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480" w:lineRule="auto" w:before="76"/>
        <w:ind w:left="4120" w:right="5037" w:hanging="7"/>
        <w:jc w:val="center"/>
      </w:pPr>
      <w:r>
        <w:rPr/>
        <w:t>CHAPTER ONE </w:t>
      </w:r>
      <w:r>
        <w:rPr>
          <w:spacing w:val="-2"/>
        </w:rPr>
        <w:t>INTRODUCTION</w:t>
      </w:r>
    </w:p>
    <w:p>
      <w:pPr>
        <w:pStyle w:val="ListParagraph"/>
        <w:numPr>
          <w:ilvl w:val="1"/>
          <w:numId w:val="1"/>
        </w:numPr>
        <w:tabs>
          <w:tab w:pos="1119" w:val="left" w:leader="none"/>
        </w:tabs>
        <w:spacing w:line="240" w:lineRule="auto" w:before="3" w:after="0"/>
        <w:ind w:left="1119" w:right="0" w:hanging="720"/>
        <w:jc w:val="left"/>
        <w:rPr>
          <w:b/>
          <w:sz w:val="24"/>
        </w:rPr>
      </w:pPr>
      <w:r>
        <w:rPr>
          <w:b/>
          <w:sz w:val="24"/>
        </w:rPr>
        <w:t>Background</w:t>
      </w:r>
      <w:r>
        <w:rPr>
          <w:b/>
          <w:spacing w:val="-5"/>
          <w:sz w:val="24"/>
        </w:rPr>
        <w:t> </w:t>
      </w:r>
      <w:r>
        <w:rPr>
          <w:b/>
          <w:sz w:val="24"/>
        </w:rPr>
        <w:t>of</w:t>
      </w:r>
      <w:r>
        <w:rPr>
          <w:b/>
          <w:spacing w:val="-1"/>
          <w:sz w:val="24"/>
        </w:rPr>
        <w:t> </w:t>
      </w:r>
      <w:r>
        <w:rPr>
          <w:b/>
          <w:spacing w:val="-4"/>
          <w:sz w:val="24"/>
        </w:rPr>
        <w:t>Study</w:t>
      </w:r>
    </w:p>
    <w:p>
      <w:pPr>
        <w:pStyle w:val="BodyText"/>
        <w:spacing w:before="192"/>
        <w:rPr>
          <w:b/>
        </w:rPr>
      </w:pPr>
    </w:p>
    <w:p>
      <w:pPr>
        <w:pStyle w:val="BodyText"/>
        <w:spacing w:line="480" w:lineRule="auto"/>
        <w:ind w:left="399" w:right="1317"/>
        <w:jc w:val="both"/>
      </w:pPr>
      <w:r>
        <w:rPr/>
        <w:t>Total Quality Management (TQM) is considered as an approach of continuous improvement in all quality aspects of the whole processes, goods, services and employees within the firm, and it aims at adding value to the delivered products to customers through continuous development of firms’ processes and systems (Hill, 2008). It is a philosophy of continuous organizational development through the employment of</w:t>
      </w:r>
      <w:r>
        <w:rPr>
          <w:spacing w:val="-1"/>
        </w:rPr>
        <w:t> </w:t>
      </w:r>
      <w:r>
        <w:rPr/>
        <w:t>customer</w:t>
      </w:r>
      <w:r>
        <w:rPr>
          <w:spacing w:val="-1"/>
        </w:rPr>
        <w:t> </w:t>
      </w:r>
      <w:r>
        <w:rPr/>
        <w:t>satisfaction and by</w:t>
      </w:r>
      <w:r>
        <w:rPr>
          <w:spacing w:val="-5"/>
        </w:rPr>
        <w:t> </w:t>
      </w:r>
      <w:r>
        <w:rPr/>
        <w:t>basing</w:t>
      </w:r>
      <w:r>
        <w:rPr>
          <w:spacing w:val="-2"/>
        </w:rPr>
        <w:t> </w:t>
      </w:r>
      <w:r>
        <w:rPr/>
        <w:t>it on the</w:t>
      </w:r>
      <w:r>
        <w:rPr>
          <w:spacing w:val="-1"/>
        </w:rPr>
        <w:t> </w:t>
      </w:r>
      <w:r>
        <w:rPr/>
        <w:t>permanent workers’ contributions in order to improve goods, services and processes (AL-Asiri, 2004). Prajogo (2005), asserted that TQM is a process to enhance flexibility, effectiveness, and firm competitiveness to meet customers’ needs and expectations. If correctly applied, it will assist a construction company in improving its performance</w:t>
      </w:r>
    </w:p>
    <w:p>
      <w:pPr>
        <w:pStyle w:val="BodyText"/>
        <w:spacing w:before="139"/>
      </w:pPr>
    </w:p>
    <w:p>
      <w:pPr>
        <w:pStyle w:val="BodyText"/>
        <w:spacing w:line="480" w:lineRule="auto" w:before="1"/>
        <w:ind w:left="400" w:right="1314"/>
        <w:jc w:val="both"/>
      </w:pPr>
      <w:r>
        <w:rPr/>
        <w:t>Quality has been an important issue for organizations for many years. The early focus on quality evolved from inspection to quality control and later to quality assurance, according to Dale (1999, cited by Soltan, 2006), during the 1990s, TQM evolved as a common term among organizations in different parts of the world. TQM has developed in many countries into a holistic framework (e.g. National quality or internationally recognized awards such as the Deming award, Malcolm Baldrige National Quality Award-MBNQA and European Foundation for Quality Management EFQM) aimed at helping organizations achieve excellent performance particularly in customer and business results. TQM is one of the most important management innovations of the 20th century, and it has probably had more influence on contemporary management</w:t>
      </w:r>
      <w:r>
        <w:rPr>
          <w:spacing w:val="11"/>
        </w:rPr>
        <w:t> </w:t>
      </w:r>
      <w:r>
        <w:rPr/>
        <w:t>practices</w:t>
      </w:r>
      <w:r>
        <w:rPr>
          <w:spacing w:val="13"/>
        </w:rPr>
        <w:t> </w:t>
      </w:r>
      <w:r>
        <w:rPr/>
        <w:t>than</w:t>
      </w:r>
      <w:r>
        <w:rPr>
          <w:spacing w:val="13"/>
        </w:rPr>
        <w:t> </w:t>
      </w:r>
      <w:r>
        <w:rPr/>
        <w:t>any</w:t>
      </w:r>
      <w:r>
        <w:rPr>
          <w:spacing w:val="8"/>
        </w:rPr>
        <w:t> </w:t>
      </w:r>
      <w:r>
        <w:rPr/>
        <w:t>other</w:t>
      </w:r>
      <w:r>
        <w:rPr>
          <w:spacing w:val="12"/>
        </w:rPr>
        <w:t> </w:t>
      </w:r>
      <w:r>
        <w:rPr/>
        <w:t>management</w:t>
      </w:r>
      <w:r>
        <w:rPr>
          <w:spacing w:val="13"/>
        </w:rPr>
        <w:t> </w:t>
      </w:r>
      <w:r>
        <w:rPr/>
        <w:t>movement.</w:t>
      </w:r>
      <w:r>
        <w:rPr>
          <w:spacing w:val="16"/>
        </w:rPr>
        <w:t> </w:t>
      </w:r>
      <w:r>
        <w:rPr/>
        <w:t>In</w:t>
      </w:r>
      <w:r>
        <w:rPr>
          <w:spacing w:val="13"/>
        </w:rPr>
        <w:t> </w:t>
      </w:r>
      <w:r>
        <w:rPr/>
        <w:t>fact,</w:t>
      </w:r>
      <w:r>
        <w:rPr>
          <w:spacing w:val="13"/>
        </w:rPr>
        <w:t> </w:t>
      </w:r>
      <w:r>
        <w:rPr/>
        <w:t>the</w:t>
      </w:r>
      <w:r>
        <w:rPr>
          <w:spacing w:val="17"/>
        </w:rPr>
        <w:t> </w:t>
      </w:r>
      <w:r>
        <w:rPr/>
        <w:t>principles</w:t>
      </w:r>
      <w:r>
        <w:rPr>
          <w:spacing w:val="13"/>
        </w:rPr>
        <w:t> </w:t>
      </w:r>
      <w:r>
        <w:rPr/>
        <w:t>of</w:t>
      </w:r>
      <w:r>
        <w:rPr>
          <w:spacing w:val="12"/>
        </w:rPr>
        <w:t> </w:t>
      </w:r>
      <w:r>
        <w:rPr/>
        <w:t>TQM</w:t>
      </w:r>
      <w:r>
        <w:rPr>
          <w:spacing w:val="14"/>
        </w:rPr>
        <w:t> </w:t>
      </w:r>
      <w:r>
        <w:rPr>
          <w:spacing w:val="-7"/>
        </w:rPr>
        <w:t>is</w:t>
      </w:r>
    </w:p>
    <w:p>
      <w:pPr>
        <w:spacing w:after="0" w:line="480" w:lineRule="auto"/>
        <w:jc w:val="both"/>
        <w:sectPr>
          <w:footerReference w:type="default" r:id="rId5"/>
          <w:type w:val="continuous"/>
          <w:pgSz w:w="12240" w:h="15840"/>
          <w:pgMar w:header="0" w:footer="1017" w:top="1360" w:bottom="1200" w:left="1040" w:right="120"/>
          <w:pgNumType w:start="1"/>
        </w:sectPr>
      </w:pPr>
    </w:p>
    <w:p>
      <w:pPr>
        <w:pStyle w:val="BodyText"/>
        <w:spacing w:line="480" w:lineRule="auto" w:before="72"/>
        <w:ind w:left="399" w:right="1318"/>
        <w:jc w:val="both"/>
      </w:pPr>
      <w:r>
        <w:rPr/>
        <w:t>related</w:t>
      </w:r>
      <w:r>
        <w:rPr>
          <w:spacing w:val="-1"/>
        </w:rPr>
        <w:t> </w:t>
      </w:r>
      <w:r>
        <w:rPr/>
        <w:t>to competitiveness</w:t>
      </w:r>
      <w:r>
        <w:rPr>
          <w:spacing w:val="-1"/>
        </w:rPr>
        <w:t> </w:t>
      </w:r>
      <w:r>
        <w:rPr/>
        <w:t>of</w:t>
      </w:r>
      <w:r>
        <w:rPr>
          <w:spacing w:val="-2"/>
        </w:rPr>
        <w:t> </w:t>
      </w:r>
      <w:r>
        <w:rPr/>
        <w:t>enterprises gained and</w:t>
      </w:r>
      <w:r>
        <w:rPr>
          <w:spacing w:val="-1"/>
        </w:rPr>
        <w:t> </w:t>
      </w:r>
      <w:r>
        <w:rPr/>
        <w:t>main</w:t>
      </w:r>
      <w:r>
        <w:rPr>
          <w:spacing w:val="-1"/>
        </w:rPr>
        <w:t> </w:t>
      </w:r>
      <w:r>
        <w:rPr/>
        <w:t>purpose is</w:t>
      </w:r>
      <w:r>
        <w:rPr>
          <w:spacing w:val="-1"/>
        </w:rPr>
        <w:t> </w:t>
      </w:r>
      <w:r>
        <w:rPr/>
        <w:t>high</w:t>
      </w:r>
      <w:r>
        <w:rPr>
          <w:spacing w:val="-1"/>
        </w:rPr>
        <w:t> </w:t>
      </w:r>
      <w:r>
        <w:rPr/>
        <w:t>efficiency,</w:t>
      </w:r>
      <w:r>
        <w:rPr>
          <w:spacing w:val="-1"/>
        </w:rPr>
        <w:t> </w:t>
      </w:r>
      <w:r>
        <w:rPr/>
        <w:t>product and market differentiation, high quality, low cost and achieve the high competitiveness power (Yatkin, 2004).</w:t>
      </w:r>
    </w:p>
    <w:p>
      <w:pPr>
        <w:pStyle w:val="BodyText"/>
        <w:spacing w:before="91"/>
      </w:pPr>
    </w:p>
    <w:p>
      <w:pPr>
        <w:pStyle w:val="BodyText"/>
        <w:spacing w:line="480" w:lineRule="auto"/>
        <w:ind w:left="400" w:right="1318"/>
        <w:jc w:val="both"/>
      </w:pPr>
      <w:r>
        <w:rPr/>
        <w:t>Since Nigeria attained independence in 1960, considerable efforts have been directed towards industrial development. The initial efforts were government-led through the vehicle of large industry, but lately, emphasis has shifted to Small and Medium Scale Enterprises (SMEs) following the lessons learnt from the success of SMEs in the economic growth of Asian</w:t>
      </w:r>
      <w:r>
        <w:rPr>
          <w:spacing w:val="40"/>
        </w:rPr>
        <w:t> </w:t>
      </w:r>
      <w:r>
        <w:rPr/>
        <w:t>countries (Ojo, 2003). The importance of SMEs in a developing economy like Nigeria can be enormous because Nigeria‘s economy is dominated by SMEs in agricultural, construction, manufacturing, commerce and industry, services, trading. They play a significant role in both developed and developing economies. Statistics has shown that SMEs contribute over 55% of Gross Domestic Product (GDP) and over 65% of total employment in developed economies and it also play a significant role by contributing 60% of GDP and over 70% of total employment in developing economies (Small and Medium Scale Enterprises Development Agency of Nigeria, 2012, Moriam, Mukaila and Hameedat 2015). It is against this background that one needs to emphasize the desirability of doing all that is possible to enhance the orderly growth and development of SMEs in Nigeria.</w:t>
      </w:r>
      <w:r>
        <w:rPr>
          <w:spacing w:val="40"/>
        </w:rPr>
        <w:t> </w:t>
      </w:r>
      <w:r>
        <w:rPr/>
        <w:t>Small and medium scale construction firms (SMCFs) are not left as they are also part of the SMEs sector.</w:t>
      </w:r>
    </w:p>
    <w:p>
      <w:pPr>
        <w:pStyle w:val="BodyText"/>
        <w:spacing w:before="92"/>
      </w:pPr>
    </w:p>
    <w:p>
      <w:pPr>
        <w:pStyle w:val="BodyText"/>
        <w:spacing w:line="480" w:lineRule="auto"/>
        <w:ind w:left="400" w:right="1318"/>
        <w:jc w:val="both"/>
      </w:pPr>
      <w:r>
        <w:rPr/>
        <w:t>There is no generally accepted definition of small or medium businesses because the classification of businesses into large, medium or small scale is a subjective and premised on different value judgement (Ekpenyong, 1997). The definition aims at setting some limits (lower and</w:t>
      </w:r>
      <w:r>
        <w:rPr>
          <w:spacing w:val="20"/>
        </w:rPr>
        <w:t> </w:t>
      </w:r>
      <w:r>
        <w:rPr/>
        <w:t>upper)</w:t>
      </w:r>
      <w:r>
        <w:rPr>
          <w:spacing w:val="19"/>
        </w:rPr>
        <w:t> </w:t>
      </w:r>
      <w:r>
        <w:rPr/>
        <w:t>that</w:t>
      </w:r>
      <w:r>
        <w:rPr>
          <w:spacing w:val="21"/>
        </w:rPr>
        <w:t> </w:t>
      </w:r>
      <w:r>
        <w:rPr/>
        <w:t>will</w:t>
      </w:r>
      <w:r>
        <w:rPr>
          <w:spacing w:val="21"/>
        </w:rPr>
        <w:t> </w:t>
      </w:r>
      <w:r>
        <w:rPr/>
        <w:t>assist</w:t>
      </w:r>
      <w:r>
        <w:rPr>
          <w:spacing w:val="21"/>
        </w:rPr>
        <w:t> </w:t>
      </w:r>
      <w:r>
        <w:rPr/>
        <w:t>in</w:t>
      </w:r>
      <w:r>
        <w:rPr>
          <w:spacing w:val="20"/>
        </w:rPr>
        <w:t> </w:t>
      </w:r>
      <w:r>
        <w:rPr/>
        <w:t>achieving</w:t>
      </w:r>
      <w:r>
        <w:rPr>
          <w:spacing w:val="18"/>
        </w:rPr>
        <w:t> </w:t>
      </w:r>
      <w:r>
        <w:rPr/>
        <w:t>the</w:t>
      </w:r>
      <w:r>
        <w:rPr>
          <w:spacing w:val="19"/>
        </w:rPr>
        <w:t> </w:t>
      </w:r>
      <w:r>
        <w:rPr/>
        <w:t>set</w:t>
      </w:r>
      <w:r>
        <w:rPr>
          <w:spacing w:val="21"/>
        </w:rPr>
        <w:t> </w:t>
      </w:r>
      <w:r>
        <w:rPr/>
        <w:t>purpose.</w:t>
      </w:r>
      <w:r>
        <w:rPr>
          <w:spacing w:val="20"/>
        </w:rPr>
        <w:t> </w:t>
      </w:r>
      <w:r>
        <w:rPr/>
        <w:t>Such</w:t>
      </w:r>
      <w:r>
        <w:rPr>
          <w:spacing w:val="20"/>
        </w:rPr>
        <w:t> </w:t>
      </w:r>
      <w:r>
        <w:rPr/>
        <w:t>limits</w:t>
      </w:r>
      <w:r>
        <w:rPr>
          <w:spacing w:val="20"/>
        </w:rPr>
        <w:t> </w:t>
      </w:r>
      <w:r>
        <w:rPr/>
        <w:t>can</w:t>
      </w:r>
      <w:r>
        <w:rPr>
          <w:spacing w:val="20"/>
        </w:rPr>
        <w:t> </w:t>
      </w:r>
      <w:r>
        <w:rPr/>
        <w:t>be</w:t>
      </w:r>
      <w:r>
        <w:rPr>
          <w:spacing w:val="19"/>
        </w:rPr>
        <w:t> </w:t>
      </w:r>
      <w:r>
        <w:rPr/>
        <w:t>in</w:t>
      </w:r>
      <w:r>
        <w:rPr>
          <w:spacing w:val="20"/>
        </w:rPr>
        <w:t> </w:t>
      </w:r>
      <w:r>
        <w:rPr/>
        <w:t>terms</w:t>
      </w:r>
      <w:r>
        <w:rPr>
          <w:spacing w:val="20"/>
        </w:rPr>
        <w:t> </w:t>
      </w:r>
      <w:r>
        <w:rPr/>
        <w:t>of</w:t>
      </w:r>
      <w:r>
        <w:rPr>
          <w:spacing w:val="19"/>
        </w:rPr>
        <w:t> </w:t>
      </w:r>
      <w:r>
        <w:rPr/>
        <w:t>level</w:t>
      </w:r>
      <w:r>
        <w:rPr>
          <w:spacing w:val="22"/>
        </w:rPr>
        <w:t> </w:t>
      </w:r>
      <w:r>
        <w:rPr>
          <w:spacing w:val="-5"/>
        </w:rPr>
        <w:t>of</w:t>
      </w:r>
    </w:p>
    <w:p>
      <w:pPr>
        <w:spacing w:after="0" w:line="480" w:lineRule="auto"/>
        <w:jc w:val="both"/>
        <w:sectPr>
          <w:pgSz w:w="12240" w:h="15840"/>
          <w:pgMar w:header="0" w:footer="1017" w:top="1360" w:bottom="1200" w:left="1040" w:right="120"/>
        </w:sectPr>
      </w:pPr>
    </w:p>
    <w:p>
      <w:pPr>
        <w:pStyle w:val="BodyText"/>
        <w:spacing w:line="480" w:lineRule="auto" w:before="72"/>
        <w:ind w:left="399" w:right="1317"/>
        <w:jc w:val="both"/>
      </w:pPr>
      <w:r>
        <w:rPr/>
        <w:t>capitalization, sales volume, and number of employees. Abdullah, Bilau, Enegbuma, Ajagbe, Ali and Bustani, (2012) highlighted that over time in Nigeria, the government has used various definitions and criteria in identifying what is referred to as Small and medium firms. At certain point in time, it</w:t>
      </w:r>
      <w:r>
        <w:rPr>
          <w:spacing w:val="40"/>
        </w:rPr>
        <w:t> </w:t>
      </w:r>
      <w:r>
        <w:rPr/>
        <w:t>used investment in machinery and equipment and working capital at another time, the capital cost and turnover were also used (Umar, 2008). The National Association of Small</w:t>
      </w:r>
      <w:r>
        <w:rPr>
          <w:spacing w:val="-2"/>
        </w:rPr>
        <w:t> </w:t>
      </w:r>
      <w:r>
        <w:rPr/>
        <w:t>and</w:t>
      </w:r>
      <w:r>
        <w:rPr>
          <w:spacing w:val="-2"/>
        </w:rPr>
        <w:t> </w:t>
      </w:r>
      <w:r>
        <w:rPr/>
        <w:t>Medium</w:t>
      </w:r>
      <w:r>
        <w:rPr>
          <w:spacing w:val="-2"/>
        </w:rPr>
        <w:t> </w:t>
      </w:r>
      <w:r>
        <w:rPr/>
        <w:t>Scale</w:t>
      </w:r>
      <w:r>
        <w:rPr>
          <w:spacing w:val="-1"/>
        </w:rPr>
        <w:t> </w:t>
      </w:r>
      <w:r>
        <w:rPr/>
        <w:t>Enterprise</w:t>
      </w:r>
      <w:r>
        <w:rPr>
          <w:spacing w:val="-1"/>
        </w:rPr>
        <w:t> </w:t>
      </w:r>
      <w:r>
        <w:rPr/>
        <w:t>(NASME)</w:t>
      </w:r>
      <w:r>
        <w:rPr>
          <w:spacing w:val="-3"/>
        </w:rPr>
        <w:t> </w:t>
      </w:r>
      <w:r>
        <w:rPr/>
        <w:t>defines</w:t>
      </w:r>
      <w:r>
        <w:rPr>
          <w:spacing w:val="-2"/>
        </w:rPr>
        <w:t> </w:t>
      </w:r>
      <w:r>
        <w:rPr/>
        <w:t>a</w:t>
      </w:r>
      <w:r>
        <w:rPr>
          <w:spacing w:val="-1"/>
        </w:rPr>
        <w:t> </w:t>
      </w:r>
      <w:r>
        <w:rPr/>
        <w:t>small</w:t>
      </w:r>
      <w:r>
        <w:rPr>
          <w:spacing w:val="-2"/>
        </w:rPr>
        <w:t> </w:t>
      </w:r>
      <w:r>
        <w:rPr/>
        <w:t>sized</w:t>
      </w:r>
      <w:r>
        <w:rPr>
          <w:spacing w:val="-2"/>
        </w:rPr>
        <w:t> </w:t>
      </w:r>
      <w:r>
        <w:rPr/>
        <w:t>firm as</w:t>
      </w:r>
      <w:r>
        <w:rPr>
          <w:spacing w:val="-2"/>
        </w:rPr>
        <w:t> </w:t>
      </w:r>
      <w:r>
        <w:rPr/>
        <w:t>an</w:t>
      </w:r>
      <w:r>
        <w:rPr>
          <w:spacing w:val="-3"/>
        </w:rPr>
        <w:t> </w:t>
      </w:r>
      <w:r>
        <w:rPr/>
        <w:t>organization</w:t>
      </w:r>
      <w:r>
        <w:rPr>
          <w:spacing w:val="-2"/>
        </w:rPr>
        <w:t> </w:t>
      </w:r>
      <w:r>
        <w:rPr/>
        <w:t>with less</w:t>
      </w:r>
      <w:r>
        <w:rPr>
          <w:spacing w:val="15"/>
        </w:rPr>
        <w:t> </w:t>
      </w:r>
      <w:r>
        <w:rPr/>
        <w:t>than</w:t>
      </w:r>
      <w:r>
        <w:rPr>
          <w:spacing w:val="17"/>
        </w:rPr>
        <w:t> </w:t>
      </w:r>
      <w:r>
        <w:rPr/>
        <w:t>100</w:t>
      </w:r>
      <w:r>
        <w:rPr>
          <w:spacing w:val="18"/>
        </w:rPr>
        <w:t> </w:t>
      </w:r>
      <w:r>
        <w:rPr/>
        <w:t>employees</w:t>
      </w:r>
      <w:r>
        <w:rPr>
          <w:spacing w:val="19"/>
        </w:rPr>
        <w:t> </w:t>
      </w:r>
      <w:r>
        <w:rPr/>
        <w:t>and</w:t>
      </w:r>
      <w:r>
        <w:rPr>
          <w:spacing w:val="18"/>
        </w:rPr>
        <w:t> </w:t>
      </w:r>
      <w:r>
        <w:rPr/>
        <w:t>an</w:t>
      </w:r>
      <w:r>
        <w:rPr>
          <w:spacing w:val="17"/>
        </w:rPr>
        <w:t> </w:t>
      </w:r>
      <w:r>
        <w:rPr/>
        <w:t>annual</w:t>
      </w:r>
      <w:r>
        <w:rPr>
          <w:spacing w:val="18"/>
        </w:rPr>
        <w:t> </w:t>
      </w:r>
      <w:r>
        <w:rPr/>
        <w:t>turnover</w:t>
      </w:r>
      <w:r>
        <w:rPr>
          <w:spacing w:val="16"/>
        </w:rPr>
        <w:t> </w:t>
      </w:r>
      <w:r>
        <w:rPr/>
        <w:t>of</w:t>
      </w:r>
      <w:r>
        <w:rPr>
          <w:spacing w:val="17"/>
        </w:rPr>
        <w:t> </w:t>
      </w:r>
      <w:r>
        <w:rPr>
          <w:dstrike/>
        </w:rPr>
        <w:t>N</w:t>
      </w:r>
      <w:r>
        <w:rPr>
          <w:strike w:val="0"/>
        </w:rPr>
        <w:t>500</w:t>
      </w:r>
      <w:r>
        <w:rPr>
          <w:strike w:val="0"/>
          <w:spacing w:val="17"/>
        </w:rPr>
        <w:t> </w:t>
      </w:r>
      <w:r>
        <w:rPr>
          <w:strike w:val="0"/>
        </w:rPr>
        <w:t>million.</w:t>
      </w:r>
      <w:r>
        <w:rPr>
          <w:strike w:val="0"/>
          <w:spacing w:val="18"/>
        </w:rPr>
        <w:t> </w:t>
      </w:r>
      <w:r>
        <w:rPr>
          <w:strike w:val="0"/>
        </w:rPr>
        <w:t>The</w:t>
      </w:r>
      <w:r>
        <w:rPr>
          <w:strike w:val="0"/>
          <w:spacing w:val="16"/>
        </w:rPr>
        <w:t> </w:t>
      </w:r>
      <w:r>
        <w:rPr>
          <w:strike w:val="0"/>
        </w:rPr>
        <w:t>Central</w:t>
      </w:r>
      <w:r>
        <w:rPr>
          <w:strike w:val="0"/>
          <w:spacing w:val="18"/>
        </w:rPr>
        <w:t> </w:t>
      </w:r>
      <w:r>
        <w:rPr>
          <w:strike w:val="0"/>
        </w:rPr>
        <w:t>Bank</w:t>
      </w:r>
      <w:r>
        <w:rPr>
          <w:strike w:val="0"/>
          <w:spacing w:val="17"/>
        </w:rPr>
        <w:t> </w:t>
      </w:r>
      <w:r>
        <w:rPr>
          <w:strike w:val="0"/>
        </w:rPr>
        <w:t>of</w:t>
      </w:r>
      <w:r>
        <w:rPr>
          <w:strike w:val="0"/>
          <w:spacing w:val="17"/>
        </w:rPr>
        <w:t> </w:t>
      </w:r>
      <w:r>
        <w:rPr>
          <w:strike w:val="0"/>
          <w:spacing w:val="-2"/>
        </w:rPr>
        <w:t>Nigeria</w:t>
      </w:r>
    </w:p>
    <w:p>
      <w:pPr>
        <w:pStyle w:val="BodyText"/>
        <w:ind w:left="400"/>
      </w:pPr>
      <w:r>
        <w:rPr/>
        <w:t>defines</w:t>
      </w:r>
      <w:r>
        <w:rPr>
          <w:spacing w:val="9"/>
        </w:rPr>
        <w:t> </w:t>
      </w:r>
      <w:r>
        <w:rPr/>
        <w:t>SMCFs</w:t>
      </w:r>
      <w:r>
        <w:rPr>
          <w:spacing w:val="11"/>
        </w:rPr>
        <w:t> </w:t>
      </w:r>
      <w:r>
        <w:rPr/>
        <w:t>as</w:t>
      </w:r>
      <w:r>
        <w:rPr>
          <w:spacing w:val="11"/>
        </w:rPr>
        <w:t> </w:t>
      </w:r>
      <w:r>
        <w:rPr/>
        <w:t>an</w:t>
      </w:r>
      <w:r>
        <w:rPr>
          <w:spacing w:val="12"/>
        </w:rPr>
        <w:t> </w:t>
      </w:r>
      <w:r>
        <w:rPr/>
        <w:t>enterprise</w:t>
      </w:r>
      <w:r>
        <w:rPr>
          <w:spacing w:val="10"/>
        </w:rPr>
        <w:t> </w:t>
      </w:r>
      <w:r>
        <w:rPr/>
        <w:t>with</w:t>
      </w:r>
      <w:r>
        <w:rPr>
          <w:spacing w:val="11"/>
        </w:rPr>
        <w:t> </w:t>
      </w:r>
      <w:r>
        <w:rPr/>
        <w:t>an</w:t>
      </w:r>
      <w:r>
        <w:rPr>
          <w:spacing w:val="13"/>
        </w:rPr>
        <w:t> </w:t>
      </w:r>
      <w:r>
        <w:rPr/>
        <w:t>asset</w:t>
      </w:r>
      <w:r>
        <w:rPr>
          <w:spacing w:val="11"/>
        </w:rPr>
        <w:t> </w:t>
      </w:r>
      <w:r>
        <w:rPr/>
        <w:t>base</w:t>
      </w:r>
      <w:r>
        <w:rPr>
          <w:spacing w:val="10"/>
        </w:rPr>
        <w:t> </w:t>
      </w:r>
      <w:r>
        <w:rPr/>
        <w:t>of</w:t>
      </w:r>
      <w:r>
        <w:rPr>
          <w:spacing w:val="10"/>
        </w:rPr>
        <w:t> </w:t>
      </w:r>
      <w:r>
        <w:rPr>
          <w:dstrike/>
        </w:rPr>
        <w:t>N</w:t>
      </w:r>
      <w:r>
        <w:rPr>
          <w:strike w:val="0"/>
        </w:rPr>
        <w:t>200</w:t>
      </w:r>
      <w:r>
        <w:rPr>
          <w:strike w:val="0"/>
          <w:spacing w:val="11"/>
        </w:rPr>
        <w:t> </w:t>
      </w:r>
      <w:r>
        <w:rPr>
          <w:strike w:val="0"/>
        </w:rPr>
        <w:t>million</w:t>
      </w:r>
      <w:r>
        <w:rPr>
          <w:strike w:val="0"/>
          <w:spacing w:val="11"/>
        </w:rPr>
        <w:t> </w:t>
      </w:r>
      <w:r>
        <w:rPr>
          <w:strike w:val="0"/>
        </w:rPr>
        <w:t>excluding</w:t>
      </w:r>
      <w:r>
        <w:rPr>
          <w:strike w:val="0"/>
          <w:spacing w:val="9"/>
        </w:rPr>
        <w:t> </w:t>
      </w:r>
      <w:r>
        <w:rPr>
          <w:strike w:val="0"/>
        </w:rPr>
        <w:t>land</w:t>
      </w:r>
      <w:r>
        <w:rPr>
          <w:strike w:val="0"/>
          <w:spacing w:val="11"/>
        </w:rPr>
        <w:t> </w:t>
      </w:r>
      <w:r>
        <w:rPr>
          <w:strike w:val="0"/>
        </w:rPr>
        <w:t>and</w:t>
      </w:r>
      <w:r>
        <w:rPr>
          <w:strike w:val="0"/>
          <w:spacing w:val="13"/>
        </w:rPr>
        <w:t> </w:t>
      </w:r>
      <w:r>
        <w:rPr>
          <w:strike w:val="0"/>
          <w:spacing w:val="-2"/>
        </w:rPr>
        <w:t>working</w:t>
      </w:r>
    </w:p>
    <w:p>
      <w:pPr>
        <w:pStyle w:val="BodyText"/>
      </w:pPr>
    </w:p>
    <w:p>
      <w:pPr>
        <w:pStyle w:val="BodyText"/>
        <w:spacing w:line="480" w:lineRule="auto"/>
        <w:ind w:left="399" w:right="1316"/>
        <w:jc w:val="both"/>
      </w:pPr>
      <w:r>
        <w:rPr/>
        <w:t>capital</w:t>
      </w:r>
      <w:r>
        <w:rPr>
          <w:spacing w:val="80"/>
        </w:rPr>
        <w:t> </w:t>
      </w:r>
      <w:r>
        <w:rPr/>
        <w:t>with staff employed by the firm not less than 10 and not more than 300 ( Kelly, 2006). The definition of MSMEs in Nigeria as contained in the National Policy on Micro, Small and Medium Enterprises (SMEDAN, 2007) is adopted in this study which states that Micro enterprises</w:t>
      </w:r>
      <w:r>
        <w:rPr>
          <w:spacing w:val="40"/>
        </w:rPr>
        <w:t> </w:t>
      </w:r>
      <w:r>
        <w:rPr/>
        <w:t>has</w:t>
      </w:r>
      <w:r>
        <w:rPr>
          <w:spacing w:val="42"/>
        </w:rPr>
        <w:t> </w:t>
      </w:r>
      <w:r>
        <w:rPr/>
        <w:t>less</w:t>
      </w:r>
      <w:r>
        <w:rPr>
          <w:spacing w:val="63"/>
          <w:w w:val="150"/>
        </w:rPr>
        <w:t>  </w:t>
      </w:r>
      <w:r>
        <w:rPr/>
        <w:t>than</w:t>
      </w:r>
      <w:r>
        <w:rPr>
          <w:spacing w:val="43"/>
        </w:rPr>
        <w:t> </w:t>
      </w:r>
      <w:r>
        <w:rPr/>
        <w:t>10</w:t>
      </w:r>
      <w:r>
        <w:rPr>
          <w:spacing w:val="42"/>
        </w:rPr>
        <w:t> </w:t>
      </w:r>
      <w:r>
        <w:rPr/>
        <w:t>employees</w:t>
      </w:r>
      <w:r>
        <w:rPr>
          <w:spacing w:val="42"/>
        </w:rPr>
        <w:t> </w:t>
      </w:r>
      <w:r>
        <w:rPr/>
        <w:t>or</w:t>
      </w:r>
      <w:r>
        <w:rPr>
          <w:spacing w:val="43"/>
        </w:rPr>
        <w:t> </w:t>
      </w:r>
      <w:r>
        <w:rPr/>
        <w:t>Less</w:t>
      </w:r>
      <w:r>
        <w:rPr>
          <w:spacing w:val="42"/>
        </w:rPr>
        <w:t> </w:t>
      </w:r>
      <w:r>
        <w:rPr/>
        <w:t>than</w:t>
      </w:r>
      <w:r>
        <w:rPr>
          <w:spacing w:val="43"/>
        </w:rPr>
        <w:t> </w:t>
      </w:r>
      <w:r>
        <w:rPr>
          <w:dstrike/>
        </w:rPr>
        <w:t>N</w:t>
      </w:r>
      <w:r>
        <w:rPr>
          <w:strike w:val="0"/>
        </w:rPr>
        <w:t>5</w:t>
      </w:r>
      <w:r>
        <w:rPr>
          <w:strike w:val="0"/>
          <w:spacing w:val="42"/>
        </w:rPr>
        <w:t> </w:t>
      </w:r>
      <w:r>
        <w:rPr>
          <w:strike w:val="0"/>
        </w:rPr>
        <w:t>million</w:t>
      </w:r>
      <w:r>
        <w:rPr>
          <w:strike w:val="0"/>
          <w:spacing w:val="42"/>
        </w:rPr>
        <w:t> </w:t>
      </w:r>
      <w:r>
        <w:rPr>
          <w:strike w:val="0"/>
        </w:rPr>
        <w:t>assets</w:t>
      </w:r>
      <w:r>
        <w:rPr>
          <w:strike w:val="0"/>
          <w:spacing w:val="42"/>
        </w:rPr>
        <w:t> </w:t>
      </w:r>
      <w:r>
        <w:rPr>
          <w:strike w:val="0"/>
        </w:rPr>
        <w:t>excluding</w:t>
      </w:r>
      <w:r>
        <w:rPr>
          <w:strike w:val="0"/>
          <w:spacing w:val="39"/>
        </w:rPr>
        <w:t> </w:t>
      </w:r>
      <w:r>
        <w:rPr>
          <w:strike w:val="0"/>
        </w:rPr>
        <w:t>land</w:t>
      </w:r>
      <w:r>
        <w:rPr>
          <w:strike w:val="0"/>
          <w:spacing w:val="43"/>
        </w:rPr>
        <w:t> </w:t>
      </w:r>
      <w:r>
        <w:rPr>
          <w:strike w:val="0"/>
          <w:spacing w:val="-5"/>
        </w:rPr>
        <w:t>and</w:t>
      </w:r>
    </w:p>
    <w:p>
      <w:pPr>
        <w:pStyle w:val="BodyText"/>
        <w:ind w:left="400"/>
      </w:pPr>
      <w:r>
        <w:rPr/>
        <w:t>buildings,</w:t>
      </w:r>
      <w:r>
        <w:rPr>
          <w:spacing w:val="4"/>
        </w:rPr>
        <w:t> </w:t>
      </w:r>
      <w:r>
        <w:rPr/>
        <w:t>small</w:t>
      </w:r>
      <w:r>
        <w:rPr>
          <w:spacing w:val="6"/>
        </w:rPr>
        <w:t> </w:t>
      </w:r>
      <w:r>
        <w:rPr/>
        <w:t>enterprises</w:t>
      </w:r>
      <w:r>
        <w:rPr>
          <w:spacing w:val="6"/>
        </w:rPr>
        <w:t> </w:t>
      </w:r>
      <w:r>
        <w:rPr/>
        <w:t>has</w:t>
      </w:r>
      <w:r>
        <w:rPr>
          <w:spacing w:val="6"/>
        </w:rPr>
        <w:t> </w:t>
      </w:r>
      <w:r>
        <w:rPr/>
        <w:t>between</w:t>
      </w:r>
      <w:r>
        <w:rPr>
          <w:spacing w:val="8"/>
        </w:rPr>
        <w:t> </w:t>
      </w:r>
      <w:r>
        <w:rPr/>
        <w:t>10</w:t>
      </w:r>
      <w:r>
        <w:rPr>
          <w:spacing w:val="7"/>
        </w:rPr>
        <w:t> </w:t>
      </w:r>
      <w:r>
        <w:rPr/>
        <w:t>to</w:t>
      </w:r>
      <w:r>
        <w:rPr>
          <w:spacing w:val="6"/>
        </w:rPr>
        <w:t> </w:t>
      </w:r>
      <w:r>
        <w:rPr/>
        <w:t>49</w:t>
      </w:r>
      <w:r>
        <w:rPr>
          <w:spacing w:val="11"/>
        </w:rPr>
        <w:t> </w:t>
      </w:r>
      <w:r>
        <w:rPr/>
        <w:t>employees</w:t>
      </w:r>
      <w:r>
        <w:rPr>
          <w:spacing w:val="6"/>
        </w:rPr>
        <w:t> </w:t>
      </w:r>
      <w:r>
        <w:rPr/>
        <w:t>or</w:t>
      </w:r>
      <w:r>
        <w:rPr>
          <w:spacing w:val="7"/>
        </w:rPr>
        <w:t> </w:t>
      </w:r>
      <w:r>
        <w:rPr/>
        <w:t>5</w:t>
      </w:r>
      <w:r>
        <w:rPr>
          <w:spacing w:val="7"/>
        </w:rPr>
        <w:t> </w:t>
      </w:r>
      <w:r>
        <w:rPr/>
        <w:t>to</w:t>
      </w:r>
      <w:r>
        <w:rPr>
          <w:spacing w:val="6"/>
        </w:rPr>
        <w:t> </w:t>
      </w:r>
      <w:r>
        <w:rPr/>
        <w:t>less</w:t>
      </w:r>
      <w:r>
        <w:rPr>
          <w:spacing w:val="6"/>
        </w:rPr>
        <w:t> </w:t>
      </w:r>
      <w:r>
        <w:rPr/>
        <w:t>than</w:t>
      </w:r>
      <w:r>
        <w:rPr>
          <w:spacing w:val="6"/>
        </w:rPr>
        <w:t> </w:t>
      </w:r>
      <w:r>
        <w:rPr>
          <w:dstrike/>
        </w:rPr>
        <w:t>N</w:t>
      </w:r>
      <w:r>
        <w:rPr>
          <w:strike w:val="0"/>
        </w:rPr>
        <w:t>50</w:t>
      </w:r>
      <w:r>
        <w:rPr>
          <w:strike w:val="0"/>
          <w:spacing w:val="6"/>
        </w:rPr>
        <w:t> </w:t>
      </w:r>
      <w:r>
        <w:rPr>
          <w:strike w:val="0"/>
        </w:rPr>
        <w:t>million</w:t>
      </w:r>
      <w:r>
        <w:rPr>
          <w:strike w:val="0"/>
          <w:spacing w:val="7"/>
        </w:rPr>
        <w:t> </w:t>
      </w:r>
      <w:r>
        <w:rPr>
          <w:strike w:val="0"/>
          <w:spacing w:val="-2"/>
        </w:rPr>
        <w:t>assets</w:t>
      </w:r>
    </w:p>
    <w:p>
      <w:pPr>
        <w:pStyle w:val="BodyText"/>
      </w:pPr>
    </w:p>
    <w:p>
      <w:pPr>
        <w:pStyle w:val="BodyText"/>
        <w:ind w:left="400"/>
      </w:pPr>
      <w:r>
        <w:rPr/>
        <w:t>excluding</w:t>
      </w:r>
      <w:r>
        <w:rPr>
          <w:spacing w:val="31"/>
        </w:rPr>
        <w:t> </w:t>
      </w:r>
      <w:r>
        <w:rPr/>
        <w:t>land</w:t>
      </w:r>
      <w:r>
        <w:rPr>
          <w:spacing w:val="35"/>
        </w:rPr>
        <w:t> </w:t>
      </w:r>
      <w:r>
        <w:rPr/>
        <w:t>and</w:t>
      </w:r>
      <w:r>
        <w:rPr>
          <w:spacing w:val="35"/>
        </w:rPr>
        <w:t> </w:t>
      </w:r>
      <w:r>
        <w:rPr/>
        <w:t>buildings,</w:t>
      </w:r>
      <w:r>
        <w:rPr>
          <w:spacing w:val="35"/>
        </w:rPr>
        <w:t> </w:t>
      </w:r>
      <w:r>
        <w:rPr/>
        <w:t>that</w:t>
      </w:r>
      <w:r>
        <w:rPr>
          <w:spacing w:val="35"/>
        </w:rPr>
        <w:t> </w:t>
      </w:r>
      <w:r>
        <w:rPr/>
        <w:t>Medium</w:t>
      </w:r>
      <w:r>
        <w:rPr>
          <w:spacing w:val="35"/>
        </w:rPr>
        <w:t> </w:t>
      </w:r>
      <w:r>
        <w:rPr/>
        <w:t>enterprises</w:t>
      </w:r>
      <w:r>
        <w:rPr>
          <w:spacing w:val="35"/>
        </w:rPr>
        <w:t> </w:t>
      </w:r>
      <w:r>
        <w:rPr/>
        <w:t>50</w:t>
      </w:r>
      <w:r>
        <w:rPr>
          <w:spacing w:val="35"/>
        </w:rPr>
        <w:t> </w:t>
      </w:r>
      <w:r>
        <w:rPr/>
        <w:t>to</w:t>
      </w:r>
      <w:r>
        <w:rPr>
          <w:spacing w:val="35"/>
        </w:rPr>
        <w:t> </w:t>
      </w:r>
      <w:r>
        <w:rPr/>
        <w:t>199</w:t>
      </w:r>
      <w:r>
        <w:rPr>
          <w:spacing w:val="35"/>
        </w:rPr>
        <w:t> </w:t>
      </w:r>
      <w:r>
        <w:rPr/>
        <w:t>employees</w:t>
      </w:r>
      <w:r>
        <w:rPr>
          <w:spacing w:val="35"/>
        </w:rPr>
        <w:t> </w:t>
      </w:r>
      <w:r>
        <w:rPr/>
        <w:t>or</w:t>
      </w:r>
      <w:r>
        <w:rPr>
          <w:spacing w:val="34"/>
        </w:rPr>
        <w:t> </w:t>
      </w:r>
      <w:r>
        <w:rPr>
          <w:dstrike/>
        </w:rPr>
        <w:t>N</w:t>
      </w:r>
      <w:r>
        <w:rPr>
          <w:strike w:val="0"/>
        </w:rPr>
        <w:t>50</w:t>
      </w:r>
      <w:r>
        <w:rPr>
          <w:strike w:val="0"/>
          <w:spacing w:val="35"/>
        </w:rPr>
        <w:t> </w:t>
      </w:r>
      <w:r>
        <w:rPr>
          <w:strike w:val="0"/>
        </w:rPr>
        <w:t>to</w:t>
      </w:r>
      <w:r>
        <w:rPr>
          <w:strike w:val="0"/>
          <w:spacing w:val="35"/>
        </w:rPr>
        <w:t> </w:t>
      </w:r>
      <w:r>
        <w:rPr>
          <w:dstrike/>
          <w:spacing w:val="-4"/>
        </w:rPr>
        <w:t>N</w:t>
      </w:r>
      <w:r>
        <w:rPr>
          <w:strike w:val="0"/>
          <w:spacing w:val="-4"/>
        </w:rPr>
        <w:t>500</w:t>
      </w:r>
    </w:p>
    <w:p>
      <w:pPr>
        <w:pStyle w:val="BodyText"/>
      </w:pPr>
    </w:p>
    <w:p>
      <w:pPr>
        <w:pStyle w:val="BodyText"/>
        <w:ind w:left="400"/>
        <w:jc w:val="both"/>
      </w:pPr>
      <w:r>
        <w:rPr/>
        <w:t>million</w:t>
      </w:r>
      <w:r>
        <w:rPr>
          <w:spacing w:val="-2"/>
        </w:rPr>
        <w:t> </w:t>
      </w:r>
      <w:r>
        <w:rPr/>
        <w:t>assets</w:t>
      </w:r>
      <w:r>
        <w:rPr>
          <w:spacing w:val="-1"/>
        </w:rPr>
        <w:t> </w:t>
      </w:r>
      <w:r>
        <w:rPr/>
        <w:t>excluding</w:t>
      </w:r>
      <w:r>
        <w:rPr>
          <w:spacing w:val="-4"/>
        </w:rPr>
        <w:t> </w:t>
      </w:r>
      <w:r>
        <w:rPr/>
        <w:t>land</w:t>
      </w:r>
      <w:r>
        <w:rPr>
          <w:spacing w:val="-1"/>
        </w:rPr>
        <w:t> </w:t>
      </w:r>
      <w:r>
        <w:rPr/>
        <w:t>and</w:t>
      </w:r>
      <w:r>
        <w:rPr>
          <w:spacing w:val="-1"/>
        </w:rPr>
        <w:t> </w:t>
      </w:r>
      <w:r>
        <w:rPr>
          <w:spacing w:val="-2"/>
        </w:rPr>
        <w:t>buildings.</w:t>
      </w:r>
    </w:p>
    <w:p>
      <w:pPr>
        <w:pStyle w:val="BodyText"/>
      </w:pPr>
    </w:p>
    <w:p>
      <w:pPr>
        <w:pStyle w:val="BodyText"/>
      </w:pPr>
    </w:p>
    <w:p>
      <w:pPr>
        <w:pStyle w:val="BodyText"/>
      </w:pPr>
    </w:p>
    <w:p>
      <w:pPr>
        <w:pStyle w:val="BodyText"/>
        <w:spacing w:line="480" w:lineRule="auto"/>
        <w:ind w:left="400" w:right="1317"/>
        <w:jc w:val="both"/>
      </w:pPr>
      <w:r>
        <w:rPr/>
        <w:t>SMCFs are mostly indigenous firms, however they do not perform as expected. Multinational and large construction firms though few in number, operate on a large scale and execute the majority</w:t>
      </w:r>
      <w:r>
        <w:rPr>
          <w:spacing w:val="-8"/>
        </w:rPr>
        <w:t> </w:t>
      </w:r>
      <w:r>
        <w:rPr/>
        <w:t>of</w:t>
      </w:r>
      <w:r>
        <w:rPr>
          <w:spacing w:val="-2"/>
        </w:rPr>
        <w:t> </w:t>
      </w:r>
      <w:r>
        <w:rPr/>
        <w:t>contracts</w:t>
      </w:r>
      <w:r>
        <w:rPr>
          <w:spacing w:val="-1"/>
        </w:rPr>
        <w:t> </w:t>
      </w:r>
      <w:r>
        <w:rPr/>
        <w:t>in</w:t>
      </w:r>
      <w:r>
        <w:rPr>
          <w:spacing w:val="-3"/>
        </w:rPr>
        <w:t> </w:t>
      </w:r>
      <w:r>
        <w:rPr/>
        <w:t>Nigeria;</w:t>
      </w:r>
      <w:r>
        <w:rPr>
          <w:spacing w:val="-1"/>
        </w:rPr>
        <w:t> </w:t>
      </w:r>
      <w:r>
        <w:rPr/>
        <w:t>in</w:t>
      </w:r>
      <w:r>
        <w:rPr>
          <w:spacing w:val="-1"/>
        </w:rPr>
        <w:t> </w:t>
      </w:r>
      <w:r>
        <w:rPr/>
        <w:t>contrast,</w:t>
      </w:r>
      <w:r>
        <w:rPr>
          <w:spacing w:val="-1"/>
        </w:rPr>
        <w:t> </w:t>
      </w:r>
      <w:r>
        <w:rPr/>
        <w:t>indigenous</w:t>
      </w:r>
      <w:r>
        <w:rPr>
          <w:spacing w:val="-1"/>
        </w:rPr>
        <w:t> </w:t>
      </w:r>
      <w:r>
        <w:rPr/>
        <w:t>contractors</w:t>
      </w:r>
      <w:r>
        <w:rPr>
          <w:spacing w:val="-1"/>
        </w:rPr>
        <w:t> </w:t>
      </w:r>
      <w:r>
        <w:rPr/>
        <w:t>considerably</w:t>
      </w:r>
      <w:r>
        <w:rPr>
          <w:spacing w:val="-8"/>
        </w:rPr>
        <w:t> </w:t>
      </w:r>
      <w:r>
        <w:rPr/>
        <w:t>outnumber</w:t>
      </w:r>
      <w:r>
        <w:rPr>
          <w:spacing w:val="-2"/>
        </w:rPr>
        <w:t> </w:t>
      </w:r>
      <w:r>
        <w:rPr/>
        <w:t>their multinational counterparts and operate on small and medium scales, but they are responsible for</w:t>
      </w:r>
      <w:r>
        <w:rPr>
          <w:spacing w:val="40"/>
        </w:rPr>
        <w:t> </w:t>
      </w:r>
      <w:r>
        <w:rPr/>
        <w:t>a very small proportion of the value of contracts executed in Nigeria (Ogunpola, 1984; Olateju, 1991; Samuel, 1999 and Idoro, 2004). This implies that a large number of registered SMCF’s services have not been adequately utilized on the delivery of capital projects by the client.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Shittu (1997) surmised that the combination of the small and medium construction firms make</w:t>
      </w:r>
      <w:r>
        <w:rPr>
          <w:spacing w:val="40"/>
        </w:rPr>
        <w:t> </w:t>
      </w:r>
      <w:r>
        <w:rPr/>
        <w:t>up 90 percent of the total registered contractors in Nigeria. Unfortunately, they have not played the significant and crucial role they are expected to play in Nigeria’s economic growth, development and industry (Basil, 2005).Idoro (2010) opined that multinational and large construction firms have however continued to succeed in Nigeria as the preferred type of Construction Company.</w:t>
      </w:r>
      <w:r>
        <w:rPr>
          <w:spacing w:val="40"/>
        </w:rPr>
        <w:t> </w:t>
      </w:r>
      <w:r>
        <w:rPr/>
        <w:t>Idoro (2010) also discovered that Nigerian clients give expatriate contractors preference over their indigenous counterparts in the award of contracts because they perceive the performance of the former is better than the latter in work quality standards. In the context of construction project, contractor performance is usually considered as a significant contributor to client satisfaction.</w:t>
      </w:r>
      <w:r>
        <w:rPr>
          <w:spacing w:val="-2"/>
        </w:rPr>
        <w:t> </w:t>
      </w:r>
      <w:r>
        <w:rPr/>
        <w:t>Performance is therefore key for any contractor to survive. The challenge before indigenous contractors is to determine the way in which the confidence of clients</w:t>
      </w:r>
      <w:r>
        <w:rPr>
          <w:spacing w:val="-2"/>
        </w:rPr>
        <w:t> </w:t>
      </w:r>
      <w:r>
        <w:rPr/>
        <w:t>can</w:t>
      </w:r>
      <w:r>
        <w:rPr>
          <w:spacing w:val="-2"/>
        </w:rPr>
        <w:t> </w:t>
      </w:r>
      <w:r>
        <w:rPr/>
        <w:t>be</w:t>
      </w:r>
      <w:r>
        <w:rPr>
          <w:spacing w:val="-2"/>
        </w:rPr>
        <w:t> </w:t>
      </w:r>
      <w:r>
        <w:rPr/>
        <w:t>gained</w:t>
      </w:r>
      <w:r>
        <w:rPr>
          <w:spacing w:val="-2"/>
        </w:rPr>
        <w:t> </w:t>
      </w:r>
      <w:r>
        <w:rPr/>
        <w:t>and</w:t>
      </w:r>
      <w:r>
        <w:rPr>
          <w:spacing w:val="-1"/>
        </w:rPr>
        <w:t> </w:t>
      </w:r>
      <w:r>
        <w:rPr/>
        <w:t>their</w:t>
      </w:r>
      <w:r>
        <w:rPr>
          <w:spacing w:val="-3"/>
        </w:rPr>
        <w:t> </w:t>
      </w:r>
      <w:r>
        <w:rPr/>
        <w:t>impression</w:t>
      </w:r>
      <w:r>
        <w:rPr>
          <w:spacing w:val="-2"/>
        </w:rPr>
        <w:t> </w:t>
      </w:r>
      <w:r>
        <w:rPr/>
        <w:t>of</w:t>
      </w:r>
      <w:r>
        <w:rPr>
          <w:spacing w:val="-2"/>
        </w:rPr>
        <w:t> </w:t>
      </w:r>
      <w:r>
        <w:rPr/>
        <w:t>these</w:t>
      </w:r>
      <w:r>
        <w:rPr>
          <w:spacing w:val="-2"/>
        </w:rPr>
        <w:t> </w:t>
      </w:r>
      <w:r>
        <w:rPr/>
        <w:t>contractors</w:t>
      </w:r>
      <w:r>
        <w:rPr>
          <w:spacing w:val="-2"/>
        </w:rPr>
        <w:t> </w:t>
      </w:r>
      <w:r>
        <w:rPr/>
        <w:t>can</w:t>
      </w:r>
      <w:r>
        <w:rPr>
          <w:spacing w:val="-2"/>
        </w:rPr>
        <w:t> </w:t>
      </w:r>
      <w:r>
        <w:rPr/>
        <w:t>be</w:t>
      </w:r>
      <w:r>
        <w:rPr>
          <w:spacing w:val="-2"/>
        </w:rPr>
        <w:t> </w:t>
      </w:r>
      <w:r>
        <w:rPr/>
        <w:t>reversed.</w:t>
      </w:r>
      <w:r>
        <w:rPr>
          <w:spacing w:val="-2"/>
        </w:rPr>
        <w:t> </w:t>
      </w:r>
      <w:r>
        <w:rPr/>
        <w:t>One</w:t>
      </w:r>
      <w:r>
        <w:rPr>
          <w:spacing w:val="-2"/>
        </w:rPr>
        <w:t> </w:t>
      </w:r>
      <w:r>
        <w:rPr/>
        <w:t>of</w:t>
      </w:r>
      <w:r>
        <w:rPr>
          <w:spacing w:val="-3"/>
        </w:rPr>
        <w:t> </w:t>
      </w:r>
      <w:r>
        <w:rPr/>
        <w:t>such</w:t>
      </w:r>
      <w:r>
        <w:rPr>
          <w:spacing w:val="-1"/>
        </w:rPr>
        <w:t> </w:t>
      </w:r>
      <w:r>
        <w:rPr/>
        <w:t>ways is the application of Total Quality management. It is increasingly been adopted by construction companies as an initiative to solve quality problems and to meet the needs of the final customer (Kanji &amp; Wong, 1998 as cited in Hoonakker, 2010). The major findings from a study by Aniagbaoso (2014) shows that multinationals take TQM seriously</w:t>
      </w:r>
      <w:r>
        <w:rPr>
          <w:spacing w:val="-1"/>
        </w:rPr>
        <w:t> </w:t>
      </w:r>
      <w:r>
        <w:rPr/>
        <w:t>because it is what makes their brand unique and different from any other brand in the market. And the quality of their product affects the demand of their products. For SMCFs to be able to compete effectively, they need to adopt some of the practices of their multinational and large counterparts, especially those practices that are very prominent in giving them a competitive advantage. According to Faihan (2013), one of such practices is TQM. Pheng and Teo (2004) believed that the benefits of higher customer satisfaction, better quality</w:t>
      </w:r>
      <w:r>
        <w:rPr>
          <w:spacing w:val="-1"/>
        </w:rPr>
        <w:t> </w:t>
      </w:r>
      <w:r>
        <w:rPr/>
        <w:t>products and higher market are often obtained following the adoption</w:t>
      </w:r>
      <w:r>
        <w:rPr>
          <w:spacing w:val="8"/>
        </w:rPr>
        <w:t> </w:t>
      </w:r>
      <w:r>
        <w:rPr/>
        <w:t>of</w:t>
      </w:r>
      <w:r>
        <w:rPr>
          <w:spacing w:val="10"/>
        </w:rPr>
        <w:t> </w:t>
      </w:r>
      <w:r>
        <w:rPr/>
        <w:t>TQM</w:t>
      </w:r>
      <w:r>
        <w:rPr>
          <w:spacing w:val="45"/>
        </w:rPr>
        <w:t>  </w:t>
      </w:r>
      <w:r>
        <w:rPr/>
        <w:t>by</w:t>
      </w:r>
      <w:r>
        <w:rPr>
          <w:spacing w:val="4"/>
        </w:rPr>
        <w:t> </w:t>
      </w:r>
      <w:r>
        <w:rPr/>
        <w:t>construction</w:t>
      </w:r>
      <w:r>
        <w:rPr>
          <w:spacing w:val="11"/>
        </w:rPr>
        <w:t> </w:t>
      </w:r>
      <w:r>
        <w:rPr/>
        <w:t>companies.</w:t>
      </w:r>
      <w:r>
        <w:rPr>
          <w:spacing w:val="11"/>
        </w:rPr>
        <w:t> </w:t>
      </w:r>
      <w:r>
        <w:rPr/>
        <w:t>Although</w:t>
      </w:r>
      <w:r>
        <w:rPr>
          <w:spacing w:val="11"/>
        </w:rPr>
        <w:t> </w:t>
      </w:r>
      <w:r>
        <w:rPr/>
        <w:t>the</w:t>
      </w:r>
      <w:r>
        <w:rPr>
          <w:spacing w:val="10"/>
        </w:rPr>
        <w:t> </w:t>
      </w:r>
      <w:r>
        <w:rPr/>
        <w:t>interest</w:t>
      </w:r>
      <w:r>
        <w:rPr>
          <w:spacing w:val="11"/>
        </w:rPr>
        <w:t> </w:t>
      </w:r>
      <w:r>
        <w:rPr/>
        <w:t>and</w:t>
      </w:r>
      <w:r>
        <w:rPr>
          <w:spacing w:val="10"/>
        </w:rPr>
        <w:t> </w:t>
      </w:r>
      <w:r>
        <w:rPr/>
        <w:t>the</w:t>
      </w:r>
      <w:r>
        <w:rPr>
          <w:spacing w:val="10"/>
        </w:rPr>
        <w:t> </w:t>
      </w:r>
      <w:r>
        <w:rPr/>
        <w:t>need</w:t>
      </w:r>
      <w:r>
        <w:rPr>
          <w:spacing w:val="11"/>
        </w:rPr>
        <w:t> </w:t>
      </w:r>
      <w:r>
        <w:rPr/>
        <w:t>to</w:t>
      </w:r>
      <w:r>
        <w:rPr>
          <w:spacing w:val="11"/>
        </w:rPr>
        <w:t> </w:t>
      </w:r>
      <w:r>
        <w:rPr>
          <w:spacing w:val="-2"/>
        </w:rPr>
        <w:t>implement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TQM continue to be high among large organisations, small organisations are still lacking behind in TQM implementation (Hansson, 2002).</w:t>
      </w:r>
    </w:p>
    <w:p>
      <w:pPr>
        <w:pStyle w:val="BodyText"/>
        <w:spacing w:before="21"/>
      </w:pPr>
    </w:p>
    <w:p>
      <w:pPr>
        <w:pStyle w:val="BodyText"/>
        <w:spacing w:line="480" w:lineRule="auto"/>
        <w:ind w:left="400" w:right="1315"/>
        <w:jc w:val="both"/>
      </w:pPr>
      <w:r>
        <w:rPr/>
        <w:t>TQM has become one of the most successful practices in helping companies enhance competitiveness and prosperity through ensuring sustainable growth (Osayawe and McAndrew, 2005). TQM focuses on the process of improvement, customer and supplier involvement and training and education in an effort to achieve customer’s satisfaction, cost effectiveness and defect-free work and it provides culture and climate essentials for innovation and for technology advancement (David and Murat,1997) . When TQM is fully applied in small and medium construction firms as an improvement tool, it will increase their profit level, increase the level of employment, and expand their business, innovation and overall development of the economy in </w:t>
      </w:r>
      <w:r>
        <w:rPr>
          <w:spacing w:val="-2"/>
        </w:rPr>
        <w:t>Nigeria.</w:t>
      </w:r>
    </w:p>
    <w:p>
      <w:pPr>
        <w:pStyle w:val="BodyText"/>
        <w:spacing w:line="480" w:lineRule="auto" w:before="162"/>
        <w:ind w:left="400" w:right="1318"/>
        <w:jc w:val="both"/>
      </w:pPr>
      <w:r>
        <w:rPr/>
        <w:t>This issue is crucial because the majority of firms in the construction industry are small firms (Riza, 2015). Therefore, it is important to focus improvement efforts on TQM of small organisations so that the overall industry performance may be improved. The desires of all beneficiaries such as stakeholders, customers (internal and external) to attain success in the construction industry are not enough to achieve the desired quality. TQM has become one of the most successful practices in helping companies enhance competitiveness and prosperity through ensuring sustainable growth, (Osayawe and McAndrew, 2005). As such, all parties should be involved in implementation of TQM in other to effectively improve the construction industry in proper and methodological way.</w:t>
      </w:r>
    </w:p>
    <w:p>
      <w:pPr>
        <w:spacing w:after="0" w:line="480" w:lineRule="auto"/>
        <w:jc w:val="both"/>
        <w:sectPr>
          <w:pgSz w:w="12240" w:h="15840"/>
          <w:pgMar w:header="0" w:footer="1017" w:top="1360" w:bottom="1200" w:left="1040" w:right="120"/>
        </w:sectPr>
      </w:pPr>
    </w:p>
    <w:p>
      <w:pPr>
        <w:pStyle w:val="Heading2"/>
        <w:numPr>
          <w:ilvl w:val="1"/>
          <w:numId w:val="1"/>
        </w:numPr>
        <w:tabs>
          <w:tab w:pos="1119" w:val="left" w:leader="none"/>
        </w:tabs>
        <w:spacing w:line="240" w:lineRule="auto" w:before="76" w:after="0"/>
        <w:ind w:left="1119" w:right="0" w:hanging="719"/>
        <w:jc w:val="left"/>
      </w:pPr>
      <w:r>
        <w:rPr/>
        <w:t>Statement</w:t>
      </w:r>
      <w:r>
        <w:rPr>
          <w:spacing w:val="-4"/>
        </w:rPr>
        <w:t> </w:t>
      </w:r>
      <w:r>
        <w:rPr/>
        <w:t>of</w:t>
      </w:r>
      <w:r>
        <w:rPr>
          <w:spacing w:val="-1"/>
        </w:rPr>
        <w:t> </w:t>
      </w:r>
      <w:r>
        <w:rPr/>
        <w:t>the</w:t>
      </w:r>
      <w:r>
        <w:rPr>
          <w:spacing w:val="-1"/>
        </w:rPr>
        <w:t> </w:t>
      </w:r>
      <w:r>
        <w:rPr>
          <w:spacing w:val="-2"/>
        </w:rPr>
        <w:t>Problem</w:t>
      </w:r>
    </w:p>
    <w:p>
      <w:pPr>
        <w:pStyle w:val="BodyText"/>
        <w:spacing w:before="240"/>
        <w:rPr>
          <w:b/>
        </w:rPr>
      </w:pPr>
    </w:p>
    <w:p>
      <w:pPr>
        <w:pStyle w:val="BodyText"/>
        <w:spacing w:line="480" w:lineRule="auto"/>
        <w:ind w:left="399" w:right="1317"/>
        <w:jc w:val="both"/>
      </w:pPr>
      <w:r>
        <w:rPr/>
        <w:t>Over</w:t>
      </w:r>
      <w:r>
        <w:rPr>
          <w:spacing w:val="-1"/>
        </w:rPr>
        <w:t> </w:t>
      </w:r>
      <w:r>
        <w:rPr/>
        <w:t>the years, SMCFs in Nigeria</w:t>
      </w:r>
      <w:r>
        <w:rPr>
          <w:spacing w:val="-1"/>
        </w:rPr>
        <w:t> </w:t>
      </w:r>
      <w:r>
        <w:rPr/>
        <w:t>have</w:t>
      </w:r>
      <w:r>
        <w:rPr>
          <w:spacing w:val="-1"/>
        </w:rPr>
        <w:t> </w:t>
      </w:r>
      <w:r>
        <w:rPr/>
        <w:t>recorded a</w:t>
      </w:r>
      <w:r>
        <w:rPr>
          <w:spacing w:val="-1"/>
        </w:rPr>
        <w:t> </w:t>
      </w:r>
      <w:r>
        <w:rPr/>
        <w:t>low</w:t>
      </w:r>
      <w:r>
        <w:rPr>
          <w:spacing w:val="-1"/>
        </w:rPr>
        <w:t> </w:t>
      </w:r>
      <w:r>
        <w:rPr/>
        <w:t>level of</w:t>
      </w:r>
      <w:r>
        <w:rPr>
          <w:spacing w:val="-1"/>
        </w:rPr>
        <w:t> </w:t>
      </w:r>
      <w:r>
        <w:rPr/>
        <w:t>participation and have</w:t>
      </w:r>
      <w:r>
        <w:rPr>
          <w:spacing w:val="-1"/>
        </w:rPr>
        <w:t> </w:t>
      </w:r>
      <w:r>
        <w:rPr/>
        <w:t>often been sidelined in large scale construction activities (Nnadi and Alintah-Abel, 2015). They have not</w:t>
      </w:r>
      <w:r>
        <w:rPr>
          <w:spacing w:val="40"/>
        </w:rPr>
        <w:t> </w:t>
      </w:r>
      <w:r>
        <w:rPr/>
        <w:t>had a fair share of major construction activities in the country, as they are often awarded to multinational or large contractors whom are considered more technically and managerially more superior and efficient in funds acquisition and project execution. According to Eze and Okpala (2015), Obasanjo (2002) in his address at the commissioning of the headquarters of Small and Medium Development Agency of Nigeria (SMEDAN) in Abuja noted that there was a great disconnection between the SMEs and the large companies in Nigeria, pointing out that the multinational companies dominated business in the</w:t>
      </w:r>
      <w:r>
        <w:rPr>
          <w:spacing w:val="-1"/>
        </w:rPr>
        <w:t> </w:t>
      </w:r>
      <w:r>
        <w:rPr/>
        <w:t>country</w:t>
      </w:r>
      <w:r>
        <w:rPr>
          <w:spacing w:val="-2"/>
        </w:rPr>
        <w:t> </w:t>
      </w:r>
      <w:r>
        <w:rPr/>
        <w:t>even in the area</w:t>
      </w:r>
      <w:r>
        <w:rPr>
          <w:spacing w:val="-1"/>
        </w:rPr>
        <w:t> </w:t>
      </w:r>
      <w:r>
        <w:rPr/>
        <w:t>of finished products. This is a dolorous situation that calls for deep and sober reflection.</w:t>
      </w:r>
    </w:p>
    <w:p>
      <w:pPr>
        <w:pStyle w:val="BodyText"/>
        <w:spacing w:before="46"/>
      </w:pPr>
    </w:p>
    <w:p>
      <w:pPr>
        <w:pStyle w:val="BodyText"/>
        <w:spacing w:line="480" w:lineRule="auto" w:before="1"/>
        <w:ind w:left="400" w:right="1316"/>
        <w:jc w:val="both"/>
      </w:pPr>
      <w:r>
        <w:rPr/>
        <w:t>Seaver (2001) affirms that successful companies need to meet their customer expectations through superior implementation of their quality policies, however currently</w:t>
      </w:r>
      <w:r>
        <w:rPr>
          <w:spacing w:val="-2"/>
        </w:rPr>
        <w:t> </w:t>
      </w:r>
      <w:r>
        <w:rPr/>
        <w:t>many customers are still not satisfied with the quality of constructed projects. Construction materials sometimes do not meet specified standards and this also leads to subordinate quality on projects. Past studies have reported that the application of quality management practices in SMCFs helps them to sharpen their market focus, use their material and human resources more efficiently</w:t>
      </w:r>
      <w:r>
        <w:rPr>
          <w:spacing w:val="-2"/>
        </w:rPr>
        <w:t> </w:t>
      </w:r>
      <w:r>
        <w:rPr/>
        <w:t>and improve their</w:t>
      </w:r>
      <w:r>
        <w:rPr>
          <w:spacing w:val="-2"/>
        </w:rPr>
        <w:t> </w:t>
      </w:r>
      <w:r>
        <w:rPr/>
        <w:t>competitive</w:t>
      </w:r>
      <w:r>
        <w:rPr>
          <w:spacing w:val="-2"/>
        </w:rPr>
        <w:t> </w:t>
      </w:r>
      <w:r>
        <w:rPr/>
        <w:t>position</w:t>
      </w:r>
      <w:r>
        <w:rPr>
          <w:spacing w:val="-1"/>
        </w:rPr>
        <w:t> </w:t>
      </w:r>
      <w:r>
        <w:rPr/>
        <w:t>in</w:t>
      </w:r>
      <w:r>
        <w:rPr>
          <w:spacing w:val="-1"/>
        </w:rPr>
        <w:t> </w:t>
      </w:r>
      <w:r>
        <w:rPr/>
        <w:t>the</w:t>
      </w:r>
      <w:r>
        <w:rPr>
          <w:spacing w:val="-2"/>
        </w:rPr>
        <w:t> </w:t>
      </w:r>
      <w:r>
        <w:rPr/>
        <w:t>market (Ahire and</w:t>
      </w:r>
      <w:r>
        <w:rPr>
          <w:spacing w:val="-1"/>
        </w:rPr>
        <w:t> </w:t>
      </w:r>
      <w:r>
        <w:rPr/>
        <w:t>Golhar</w:t>
      </w:r>
      <w:r>
        <w:rPr>
          <w:spacing w:val="-2"/>
        </w:rPr>
        <w:t> </w:t>
      </w:r>
      <w:r>
        <w:rPr/>
        <w:t>1996). However,</w:t>
      </w:r>
      <w:r>
        <w:rPr>
          <w:spacing w:val="-1"/>
        </w:rPr>
        <w:t> </w:t>
      </w:r>
      <w:r>
        <w:rPr/>
        <w:t>compared</w:t>
      </w:r>
      <w:r>
        <w:rPr>
          <w:spacing w:val="-1"/>
        </w:rPr>
        <w:t> </w:t>
      </w:r>
      <w:r>
        <w:rPr/>
        <w:t>with</w:t>
      </w:r>
      <w:r>
        <w:rPr>
          <w:spacing w:val="-1"/>
        </w:rPr>
        <w:t> </w:t>
      </w:r>
      <w:r>
        <w:rPr/>
        <w:t>large organisations, SMCFs have been slow to adopt the quality management tool such as TQM (Ghobadian and</w:t>
      </w:r>
      <w:r>
        <w:rPr>
          <w:spacing w:val="-2"/>
        </w:rPr>
        <w:t> </w:t>
      </w:r>
      <w:r>
        <w:rPr/>
        <w:t>Gallear, 1996).</w:t>
      </w:r>
      <w:r>
        <w:rPr>
          <w:spacing w:val="40"/>
        </w:rPr>
        <w:t> </w:t>
      </w:r>
      <w:r>
        <w:rPr/>
        <w:t>A</w:t>
      </w:r>
      <w:r>
        <w:rPr>
          <w:spacing w:val="-3"/>
        </w:rPr>
        <w:t> </w:t>
      </w:r>
      <w:r>
        <w:rPr/>
        <w:t>study</w:t>
      </w:r>
      <w:r>
        <w:rPr>
          <w:spacing w:val="-7"/>
        </w:rPr>
        <w:t> </w:t>
      </w:r>
      <w:r>
        <w:rPr/>
        <w:t>by</w:t>
      </w:r>
      <w:r>
        <w:rPr>
          <w:spacing w:val="-5"/>
        </w:rPr>
        <w:t> </w:t>
      </w:r>
      <w:r>
        <w:rPr/>
        <w:t>Ahire, Golhar</w:t>
      </w:r>
      <w:r>
        <w:rPr>
          <w:spacing w:val="-3"/>
        </w:rPr>
        <w:t> </w:t>
      </w:r>
      <w:r>
        <w:rPr/>
        <w:t>and</w:t>
      </w:r>
      <w:r>
        <w:rPr>
          <w:spacing w:val="-2"/>
        </w:rPr>
        <w:t> </w:t>
      </w:r>
      <w:r>
        <w:rPr/>
        <w:t>Waller</w:t>
      </w:r>
      <w:r>
        <w:rPr>
          <w:spacing w:val="-1"/>
        </w:rPr>
        <w:t> </w:t>
      </w:r>
      <w:r>
        <w:rPr/>
        <w:t>(1996),</w:t>
      </w:r>
      <w:r>
        <w:rPr>
          <w:spacing w:val="-2"/>
        </w:rPr>
        <w:t> </w:t>
      </w:r>
      <w:r>
        <w:rPr/>
        <w:t>in</w:t>
      </w:r>
      <w:r>
        <w:rPr>
          <w:spacing w:val="-2"/>
        </w:rPr>
        <w:t> </w:t>
      </w:r>
      <w:r>
        <w:rPr/>
        <w:t>which</w:t>
      </w:r>
      <w:r>
        <w:rPr>
          <w:spacing w:val="-2"/>
        </w:rPr>
        <w:t> </w:t>
      </w:r>
      <w:r>
        <w:rPr/>
        <w:t>500</w:t>
      </w:r>
      <w:r>
        <w:rPr>
          <w:spacing w:val="-2"/>
        </w:rPr>
        <w:t> </w:t>
      </w:r>
      <w:r>
        <w:rPr/>
        <w:t>firms that considered themselves as practising QM, approximately half of which were SMEs, showed that one-third experienced benefits while the other two thirds had failed.</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Akintunde (2003) stated that the lack of technical competence, deficiency in managerial skills, poor financial management and slow adaptation to modern innovation on the part of the small and medium contractors are some of the reasons for employing large contractors in Nigeria.</w:t>
      </w:r>
      <w:r>
        <w:rPr>
          <w:spacing w:val="40"/>
        </w:rPr>
        <w:t> </w:t>
      </w:r>
      <w:r>
        <w:rPr/>
        <w:t>Idoro and Akande–Subar (2008) compared client assessment of the quality performance of SMCFs and large contractors in Nigeria.</w:t>
      </w:r>
      <w:r>
        <w:rPr>
          <w:spacing w:val="40"/>
        </w:rPr>
        <w:t> </w:t>
      </w:r>
      <w:r>
        <w:rPr/>
        <w:t>The</w:t>
      </w:r>
      <w:r>
        <w:rPr>
          <w:spacing w:val="40"/>
        </w:rPr>
        <w:t> </w:t>
      </w:r>
      <w:r>
        <w:rPr/>
        <w:t>results</w:t>
      </w:r>
      <w:r>
        <w:rPr>
          <w:spacing w:val="40"/>
        </w:rPr>
        <w:t> </w:t>
      </w:r>
      <w:r>
        <w:rPr/>
        <w:t>indicated</w:t>
      </w:r>
      <w:r>
        <w:rPr>
          <w:spacing w:val="40"/>
        </w:rPr>
        <w:t> </w:t>
      </w:r>
      <w:r>
        <w:rPr/>
        <w:t>that</w:t>
      </w:r>
      <w:r>
        <w:rPr>
          <w:spacing w:val="40"/>
        </w:rPr>
        <w:t> </w:t>
      </w:r>
      <w:r>
        <w:rPr/>
        <w:t>the</w:t>
      </w:r>
      <w:r>
        <w:rPr>
          <w:spacing w:val="40"/>
        </w:rPr>
        <w:t> </w:t>
      </w:r>
      <w:r>
        <w:rPr/>
        <w:t>quality</w:t>
      </w:r>
      <w:r>
        <w:rPr>
          <w:spacing w:val="40"/>
        </w:rPr>
        <w:t> </w:t>
      </w:r>
      <w:r>
        <w:rPr/>
        <w:t>of</w:t>
      </w:r>
      <w:r>
        <w:rPr>
          <w:spacing w:val="40"/>
        </w:rPr>
        <w:t> </w:t>
      </w:r>
      <w:r>
        <w:rPr/>
        <w:t>materials used</w:t>
      </w:r>
      <w:r>
        <w:rPr>
          <w:spacing w:val="80"/>
        </w:rPr>
        <w:t> </w:t>
      </w:r>
      <w:r>
        <w:rPr/>
        <w:t>for</w:t>
      </w:r>
      <w:r>
        <w:rPr>
          <w:spacing w:val="80"/>
        </w:rPr>
        <w:t> </w:t>
      </w:r>
      <w:r>
        <w:rPr/>
        <w:t>construction</w:t>
      </w:r>
      <w:r>
        <w:rPr>
          <w:spacing w:val="80"/>
        </w:rPr>
        <w:t> </w:t>
      </w:r>
      <w:r>
        <w:rPr/>
        <w:t>and</w:t>
      </w:r>
      <w:r>
        <w:rPr>
          <w:spacing w:val="80"/>
        </w:rPr>
        <w:t> </w:t>
      </w:r>
      <w:r>
        <w:rPr/>
        <w:t>the standard</w:t>
      </w:r>
      <w:r>
        <w:rPr>
          <w:spacing w:val="80"/>
        </w:rPr>
        <w:t> </w:t>
      </w:r>
      <w:r>
        <w:rPr/>
        <w:t>of</w:t>
      </w:r>
      <w:r>
        <w:rPr>
          <w:spacing w:val="80"/>
        </w:rPr>
        <w:t> </w:t>
      </w:r>
      <w:r>
        <w:rPr/>
        <w:t>workmanship</w:t>
      </w:r>
      <w:r>
        <w:rPr>
          <w:spacing w:val="80"/>
        </w:rPr>
        <w:t> </w:t>
      </w:r>
      <w:r>
        <w:rPr/>
        <w:t>of</w:t>
      </w:r>
      <w:r>
        <w:rPr>
          <w:spacing w:val="80"/>
        </w:rPr>
        <w:t> </w:t>
      </w:r>
      <w:r>
        <w:rPr/>
        <w:t>large</w:t>
      </w:r>
      <w:r>
        <w:rPr>
          <w:spacing w:val="80"/>
        </w:rPr>
        <w:t> </w:t>
      </w:r>
      <w:r>
        <w:rPr/>
        <w:t>contractors</w:t>
      </w:r>
      <w:r>
        <w:rPr>
          <w:spacing w:val="80"/>
        </w:rPr>
        <w:t> </w:t>
      </w:r>
      <w:r>
        <w:rPr/>
        <w:t>are</w:t>
      </w:r>
      <w:r>
        <w:rPr>
          <w:spacing w:val="80"/>
        </w:rPr>
        <w:t> </w:t>
      </w:r>
      <w:r>
        <w:rPr/>
        <w:t>better than</w:t>
      </w:r>
      <w:r>
        <w:rPr>
          <w:spacing w:val="40"/>
        </w:rPr>
        <w:t> </w:t>
      </w:r>
      <w:r>
        <w:rPr/>
        <w:t>those</w:t>
      </w:r>
      <w:r>
        <w:rPr>
          <w:spacing w:val="40"/>
        </w:rPr>
        <w:t> </w:t>
      </w:r>
      <w:r>
        <w:rPr/>
        <w:t>of</w:t>
      </w:r>
      <w:r>
        <w:rPr>
          <w:spacing w:val="40"/>
        </w:rPr>
        <w:t> </w:t>
      </w:r>
      <w:r>
        <w:rPr/>
        <w:t>small and medium counterparts while the magnitude of defective work and the amount of retention fee spent to rectify</w:t>
      </w:r>
      <w:r>
        <w:rPr>
          <w:spacing w:val="40"/>
        </w:rPr>
        <w:t> </w:t>
      </w:r>
      <w:r>
        <w:rPr/>
        <w:t>defects</w:t>
      </w:r>
      <w:r>
        <w:rPr>
          <w:spacing w:val="40"/>
        </w:rPr>
        <w:t> </w:t>
      </w:r>
      <w:r>
        <w:rPr/>
        <w:t>that</w:t>
      </w:r>
      <w:r>
        <w:rPr>
          <w:spacing w:val="40"/>
        </w:rPr>
        <w:t> </w:t>
      </w:r>
      <w:r>
        <w:rPr/>
        <w:t>occur</w:t>
      </w:r>
      <w:r>
        <w:rPr>
          <w:spacing w:val="40"/>
        </w:rPr>
        <w:t> </w:t>
      </w:r>
      <w:r>
        <w:rPr/>
        <w:t>during</w:t>
      </w:r>
      <w:r>
        <w:rPr>
          <w:spacing w:val="40"/>
        </w:rPr>
        <w:t> </w:t>
      </w:r>
      <w:r>
        <w:rPr/>
        <w:t>defect</w:t>
      </w:r>
      <w:r>
        <w:rPr>
          <w:spacing w:val="40"/>
        </w:rPr>
        <w:t> </w:t>
      </w:r>
      <w:r>
        <w:rPr/>
        <w:t>liability</w:t>
      </w:r>
      <w:r>
        <w:rPr>
          <w:spacing w:val="40"/>
        </w:rPr>
        <w:t> </w:t>
      </w:r>
      <w:r>
        <w:rPr/>
        <w:t>period</w:t>
      </w:r>
      <w:r>
        <w:rPr>
          <w:spacing w:val="40"/>
        </w:rPr>
        <w:t> </w:t>
      </w:r>
      <w:r>
        <w:rPr/>
        <w:t>are higher</w:t>
      </w:r>
      <w:r>
        <w:rPr>
          <w:spacing w:val="40"/>
        </w:rPr>
        <w:t> </w:t>
      </w:r>
      <w:r>
        <w:rPr/>
        <w:t>in</w:t>
      </w:r>
      <w:r>
        <w:rPr>
          <w:spacing w:val="40"/>
        </w:rPr>
        <w:t> </w:t>
      </w:r>
      <w:r>
        <w:rPr/>
        <w:t>projects</w:t>
      </w:r>
      <w:r>
        <w:rPr>
          <w:spacing w:val="40"/>
        </w:rPr>
        <w:t> </w:t>
      </w:r>
      <w:r>
        <w:rPr/>
        <w:t>executed</w:t>
      </w:r>
      <w:r>
        <w:rPr>
          <w:spacing w:val="40"/>
        </w:rPr>
        <w:t> </w:t>
      </w:r>
      <w:r>
        <w:rPr/>
        <w:t>by small and medium scale contractors</w:t>
      </w:r>
      <w:r>
        <w:rPr>
          <w:spacing w:val="40"/>
        </w:rPr>
        <w:t> </w:t>
      </w:r>
      <w:r>
        <w:rPr/>
        <w:t>than</w:t>
      </w:r>
      <w:r>
        <w:rPr>
          <w:spacing w:val="40"/>
        </w:rPr>
        <w:t> </w:t>
      </w:r>
      <w:r>
        <w:rPr/>
        <w:t>those</w:t>
      </w:r>
      <w:r>
        <w:rPr>
          <w:spacing w:val="40"/>
        </w:rPr>
        <w:t> </w:t>
      </w:r>
      <w:r>
        <w:rPr/>
        <w:t>of</w:t>
      </w:r>
      <w:r>
        <w:rPr>
          <w:spacing w:val="40"/>
        </w:rPr>
        <w:t> </w:t>
      </w:r>
      <w:r>
        <w:rPr/>
        <w:t>large contractors.</w:t>
      </w:r>
      <w:r>
        <w:rPr>
          <w:spacing w:val="40"/>
        </w:rPr>
        <w:t> </w:t>
      </w:r>
      <w:r>
        <w:rPr/>
        <w:t>Furthermore, Oke and Falemu (2009) investigated the effects of poor quality materials and workmanship on building collapse. The study showed that the quality of materials and standard of workmanship used by small and medium contractors in Nigerian is not satisfactory and that the problem lies in the use of substandard materials supplied to site and inefficient supervision of workmen.</w:t>
      </w:r>
    </w:p>
    <w:p>
      <w:pPr>
        <w:pStyle w:val="BodyText"/>
        <w:spacing w:line="480" w:lineRule="auto" w:before="159"/>
        <w:ind w:left="400" w:right="1315"/>
        <w:jc w:val="both"/>
      </w:pPr>
      <w:r>
        <w:rPr/>
        <w:t>Tunji-Olayeni </w:t>
      </w:r>
      <w:r>
        <w:rPr>
          <w:i/>
        </w:rPr>
        <w:t>et al</w:t>
      </w:r>
      <w:r>
        <w:rPr/>
        <w:t>., (2017) noted that poor construction leads to rework. Oyewobi </w:t>
      </w:r>
      <w:r>
        <w:rPr>
          <w:i/>
        </w:rPr>
        <w:t>et al</w:t>
      </w:r>
      <w:r>
        <w:rPr/>
        <w:t>. (2011) discovered that cost of rework was about 5% of the total cost of construction. All these problems have resulted into substantial increases observed in the cost of construction projects.</w:t>
      </w:r>
      <w:r>
        <w:rPr>
          <w:spacing w:val="40"/>
        </w:rPr>
        <w:t> </w:t>
      </w:r>
      <w:r>
        <w:rPr/>
        <w:t>According to Mbachu and Nkado (2004), this substantial increase has negative implications for major stakeholders in the industry which includes loss of client confidence in consultants, added investment risks, inability to deliver value to clients, and disinvestment in the construction industry; thereby undermining the viability and sustainability of construction firms and the construction industry at large.</w:t>
      </w:r>
    </w:p>
    <w:p>
      <w:pPr>
        <w:spacing w:after="0" w:line="480" w:lineRule="auto"/>
        <w:jc w:val="both"/>
        <w:sectPr>
          <w:pgSz w:w="12240" w:h="15840"/>
          <w:pgMar w:header="0" w:footer="1017" w:top="1360" w:bottom="1200" w:left="1040" w:right="120"/>
        </w:sectPr>
      </w:pPr>
    </w:p>
    <w:p>
      <w:pPr>
        <w:pStyle w:val="BodyText"/>
        <w:spacing w:line="480" w:lineRule="auto" w:before="72"/>
        <w:ind w:left="399" w:right="1313"/>
        <w:jc w:val="both"/>
      </w:pPr>
      <w:r>
        <w:rPr/>
        <w:t>The level of quality of construction works in Nigeria is becoming alarming. The high level of dilapidation and deterioration of roads and other construction infrastructural</w:t>
      </w:r>
      <w:r>
        <w:rPr>
          <w:spacing w:val="40"/>
        </w:rPr>
        <w:t> </w:t>
      </w:r>
      <w:r>
        <w:rPr/>
        <w:t>facilities</w:t>
      </w:r>
      <w:r>
        <w:rPr>
          <w:spacing w:val="40"/>
        </w:rPr>
        <w:t> </w:t>
      </w:r>
      <w:r>
        <w:rPr/>
        <w:t>seen</w:t>
      </w:r>
      <w:r>
        <w:rPr>
          <w:spacing w:val="40"/>
        </w:rPr>
        <w:t> </w:t>
      </w:r>
      <w:r>
        <w:rPr/>
        <w:t>in South-East zone could be attributed to abysmal performance of construction project</w:t>
      </w:r>
      <w:r>
        <w:rPr>
          <w:spacing w:val="80"/>
          <w:w w:val="150"/>
        </w:rPr>
        <w:t> </w:t>
      </w:r>
      <w:r>
        <w:rPr/>
        <w:t>management (Ubani , Korocha and</w:t>
      </w:r>
      <w:r>
        <w:rPr>
          <w:spacing w:val="40"/>
        </w:rPr>
        <w:t> </w:t>
      </w:r>
      <w:r>
        <w:rPr/>
        <w:t>Emeribe ,2015).Some public buildings in south-east like some of millellium intervention projects, TET Fund projects, state universal basic education boards’ projects etc are facing quality problems, in some cases; notably cracks. The poor quality has led to poor finishings, early maintenance, rework or abandonment. Similarly, south-east federal roads are 32,100km out of which 26,500km are paved (CBN, 2003). Some of such roads include Owerri-Onitsha, Abakaliki-Enugu, Enugu-Onitsha, 9</w:t>
      </w:r>
      <w:r>
        <w:rPr>
          <w:vertAlign w:val="superscript"/>
        </w:rPr>
        <w:t>th</w:t>
      </w:r>
      <w:r>
        <w:rPr>
          <w:vertAlign w:val="baseline"/>
        </w:rPr>
        <w:t> Mile-Otukpa, Umuahia-Bende roads etc. it has been observed that most of the roads are in bad shape due to many factors, including poor construction. One begin to question the quality level of those works.</w:t>
      </w:r>
      <w:r>
        <w:rPr>
          <w:spacing w:val="80"/>
          <w:vertAlign w:val="baseline"/>
        </w:rPr>
        <w:t> </w:t>
      </w:r>
      <w:r>
        <w:rPr>
          <w:vertAlign w:val="baseline"/>
        </w:rPr>
        <w:t>Ndefo (2012) stated the causes of road failure and some of them include poor design and construction, poor maintenance culture, poor highway facilities, poor laboratory and in-situ test on site, use of low quality</w:t>
      </w:r>
      <w:r>
        <w:rPr>
          <w:spacing w:val="-2"/>
          <w:vertAlign w:val="baseline"/>
        </w:rPr>
        <w:t> </w:t>
      </w:r>
      <w:r>
        <w:rPr>
          <w:vertAlign w:val="baseline"/>
        </w:rPr>
        <w:t>materials, poor workmanship, or supervision, low knowledge base, no local standard of practice inadequate sanctions for highway failures and not co-opting local professional bodies in highway design, construction and maintenance.</w:t>
      </w:r>
      <w:r>
        <w:rPr>
          <w:spacing w:val="40"/>
          <w:vertAlign w:val="baseline"/>
        </w:rPr>
        <w:t> </w:t>
      </w:r>
      <w:r>
        <w:rPr>
          <w:vertAlign w:val="baseline"/>
        </w:rPr>
        <w:t>All these factors listed anchor on various factors of total quality management. This means that total quality management is key for quality and sustainable projects.</w:t>
      </w:r>
    </w:p>
    <w:p>
      <w:pPr>
        <w:pStyle w:val="BodyText"/>
        <w:spacing w:before="3"/>
      </w:pPr>
    </w:p>
    <w:p>
      <w:pPr>
        <w:pStyle w:val="BodyText"/>
        <w:spacing w:line="480" w:lineRule="auto"/>
        <w:ind w:left="399" w:right="1316"/>
        <w:jc w:val="both"/>
      </w:pPr>
      <w:r>
        <w:rPr/>
        <w:t>With the construction opportunities that are available because of the state of construction work, small and medium construction firms have more chances to survive. To be competitive in</w:t>
      </w:r>
      <w:r>
        <w:rPr>
          <w:spacing w:val="80"/>
        </w:rPr>
        <w:t> </w:t>
      </w:r>
      <w:r>
        <w:rPr/>
        <w:t>today’s market, it is essential for small and medium scale construction firms to provide more consistent quality and value to their owners/customers. Interest in quality issues has been on the rise</w:t>
      </w:r>
      <w:r>
        <w:rPr>
          <w:spacing w:val="41"/>
        </w:rPr>
        <w:t> </w:t>
      </w:r>
      <w:r>
        <w:rPr/>
        <w:t>as</w:t>
      </w:r>
      <w:r>
        <w:rPr>
          <w:spacing w:val="47"/>
        </w:rPr>
        <w:t> </w:t>
      </w:r>
      <w:r>
        <w:rPr/>
        <w:t>firms</w:t>
      </w:r>
      <w:r>
        <w:rPr>
          <w:spacing w:val="45"/>
        </w:rPr>
        <w:t> </w:t>
      </w:r>
      <w:r>
        <w:rPr/>
        <w:t>come</w:t>
      </w:r>
      <w:r>
        <w:rPr>
          <w:spacing w:val="46"/>
        </w:rPr>
        <w:t> </w:t>
      </w:r>
      <w:r>
        <w:rPr/>
        <w:t>to</w:t>
      </w:r>
      <w:r>
        <w:rPr>
          <w:spacing w:val="45"/>
        </w:rPr>
        <w:t> </w:t>
      </w:r>
      <w:r>
        <w:rPr/>
        <w:t>realize</w:t>
      </w:r>
      <w:r>
        <w:rPr>
          <w:spacing w:val="43"/>
        </w:rPr>
        <w:t> </w:t>
      </w:r>
      <w:r>
        <w:rPr/>
        <w:t>that</w:t>
      </w:r>
      <w:r>
        <w:rPr>
          <w:spacing w:val="46"/>
        </w:rPr>
        <w:t> </w:t>
      </w:r>
      <w:r>
        <w:rPr/>
        <w:t>providing</w:t>
      </w:r>
      <w:r>
        <w:rPr>
          <w:spacing w:val="42"/>
        </w:rPr>
        <w:t> </w:t>
      </w:r>
      <w:r>
        <w:rPr/>
        <w:t>better</w:t>
      </w:r>
      <w:r>
        <w:rPr>
          <w:spacing w:val="44"/>
        </w:rPr>
        <w:t> </w:t>
      </w:r>
      <w:r>
        <w:rPr/>
        <w:t>quality</w:t>
      </w:r>
      <w:r>
        <w:rPr>
          <w:spacing w:val="39"/>
        </w:rPr>
        <w:t> </w:t>
      </w:r>
      <w:r>
        <w:rPr/>
        <w:t>leads</w:t>
      </w:r>
      <w:r>
        <w:rPr>
          <w:spacing w:val="48"/>
        </w:rPr>
        <w:t> </w:t>
      </w:r>
      <w:r>
        <w:rPr/>
        <w:t>to</w:t>
      </w:r>
      <w:r>
        <w:rPr>
          <w:spacing w:val="44"/>
        </w:rPr>
        <w:t> </w:t>
      </w:r>
      <w:r>
        <w:rPr/>
        <w:t>lower</w:t>
      </w:r>
      <w:r>
        <w:rPr>
          <w:spacing w:val="44"/>
        </w:rPr>
        <w:t> </w:t>
      </w:r>
      <w:r>
        <w:rPr/>
        <w:t>costs,</w:t>
      </w:r>
      <w:r>
        <w:rPr>
          <w:spacing w:val="47"/>
        </w:rPr>
        <w:t> </w:t>
      </w:r>
      <w:r>
        <w:rPr/>
        <w:t>reduction</w:t>
      </w:r>
      <w:r>
        <w:rPr>
          <w:spacing w:val="45"/>
        </w:rPr>
        <w:t> </w:t>
      </w:r>
      <w:r>
        <w:rPr>
          <w:spacing w:val="-5"/>
        </w:rPr>
        <w:t>in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appraisals and failure costs, and a higher market share. Within the past decade, the process of achieving quality improvement has become a priority for many organizations. Recent evidence also suggests that more and more corporations and organizations tend to recognize the importance and necessity of quality improvement if they are to survive in today's domestic and worldwide competition. (Mohammad and Anshul, 2014)</w:t>
      </w:r>
    </w:p>
    <w:p>
      <w:pPr>
        <w:pStyle w:val="BodyText"/>
        <w:spacing w:line="480" w:lineRule="auto" w:before="161"/>
        <w:ind w:left="400" w:right="1316"/>
        <w:jc w:val="both"/>
      </w:pPr>
      <w:r>
        <w:rPr/>
        <w:t>Many authors and researchers have conducted studies on the theories and implementation of TQM in different industries such as manufacturing and services, while few have focused on the construction industry. However, presently, study on how the Small and medium construction firms in Nigeria could be strengthened using TQM as a tool have not been conducted in</w:t>
      </w:r>
      <w:r>
        <w:rPr>
          <w:spacing w:val="40"/>
        </w:rPr>
        <w:t> </w:t>
      </w:r>
      <w:r>
        <w:rPr/>
        <w:t>sufficient details especially in the South-Eastern part of Nigeria thus the need for this study has become very crucial.</w:t>
      </w:r>
    </w:p>
    <w:p>
      <w:pPr>
        <w:pStyle w:val="Heading2"/>
        <w:numPr>
          <w:ilvl w:val="1"/>
          <w:numId w:val="1"/>
        </w:numPr>
        <w:tabs>
          <w:tab w:pos="1120" w:val="left" w:leader="none"/>
        </w:tabs>
        <w:spacing w:line="240" w:lineRule="auto" w:before="190" w:after="0"/>
        <w:ind w:left="1120" w:right="0" w:hanging="720"/>
        <w:jc w:val="both"/>
      </w:pPr>
      <w:r>
        <w:rPr/>
        <w:t>Aim</w:t>
      </w:r>
      <w:r>
        <w:rPr>
          <w:spacing w:val="-8"/>
        </w:rPr>
        <w:t> </w:t>
      </w:r>
      <w:r>
        <w:rPr/>
        <w:t>and</w:t>
      </w:r>
      <w:r>
        <w:rPr>
          <w:spacing w:val="-1"/>
        </w:rPr>
        <w:t> </w:t>
      </w:r>
      <w:r>
        <w:rPr/>
        <w:t>Objectives</w:t>
      </w:r>
      <w:r>
        <w:rPr>
          <w:spacing w:val="-1"/>
        </w:rPr>
        <w:t> </w:t>
      </w:r>
      <w:r>
        <w:rPr/>
        <w:t>the </w:t>
      </w:r>
      <w:r>
        <w:rPr>
          <w:spacing w:val="-2"/>
        </w:rPr>
        <w:t>Study</w:t>
      </w:r>
    </w:p>
    <w:p>
      <w:pPr>
        <w:pStyle w:val="BodyText"/>
        <w:spacing w:before="191"/>
        <w:rPr>
          <w:b/>
        </w:rPr>
      </w:pPr>
    </w:p>
    <w:p>
      <w:pPr>
        <w:pStyle w:val="BodyText"/>
        <w:spacing w:line="480" w:lineRule="auto" w:before="1"/>
        <w:ind w:left="399" w:right="1316"/>
        <w:jc w:val="both"/>
      </w:pPr>
      <w:r>
        <w:rPr/>
        <w:t>The aim of this research is to develop a total quality management model for small and medium scale construction firms in South-East Nigeria for competitive advantage and effective service </w:t>
      </w:r>
      <w:r>
        <w:rPr>
          <w:spacing w:val="-2"/>
        </w:rPr>
        <w:t>delivery.</w:t>
      </w:r>
    </w:p>
    <w:p>
      <w:pPr>
        <w:pStyle w:val="BodyText"/>
        <w:spacing w:before="201"/>
        <w:ind w:left="399"/>
        <w:jc w:val="both"/>
      </w:pPr>
      <w:r>
        <w:rPr/>
        <w:t>The</w:t>
      </w:r>
      <w:r>
        <w:rPr>
          <w:spacing w:val="-4"/>
        </w:rPr>
        <w:t> </w:t>
      </w:r>
      <w:r>
        <w:rPr/>
        <w:t>research</w:t>
      </w:r>
      <w:r>
        <w:rPr>
          <w:spacing w:val="-2"/>
        </w:rPr>
        <w:t> </w:t>
      </w:r>
      <w:r>
        <w:rPr/>
        <w:t>Objectives</w:t>
      </w:r>
      <w:r>
        <w:rPr>
          <w:spacing w:val="-2"/>
        </w:rPr>
        <w:t> include:</w:t>
      </w:r>
    </w:p>
    <w:p>
      <w:pPr>
        <w:pStyle w:val="BodyText"/>
      </w:pPr>
    </w:p>
    <w:p>
      <w:pPr>
        <w:pStyle w:val="ListParagraph"/>
        <w:numPr>
          <w:ilvl w:val="2"/>
          <w:numId w:val="1"/>
        </w:numPr>
        <w:tabs>
          <w:tab w:pos="1119" w:val="left" w:leader="none"/>
        </w:tabs>
        <w:spacing w:line="480" w:lineRule="auto" w:before="0" w:after="0"/>
        <w:ind w:left="1119" w:right="1321" w:hanging="360"/>
        <w:jc w:val="left"/>
        <w:rPr>
          <w:sz w:val="24"/>
        </w:rPr>
      </w:pPr>
      <w:r>
        <w:rPr>
          <w:sz w:val="24"/>
        </w:rPr>
        <w:t>To</w:t>
      </w:r>
      <w:r>
        <w:rPr>
          <w:spacing w:val="37"/>
          <w:sz w:val="24"/>
        </w:rPr>
        <w:t> </w:t>
      </w:r>
      <w:r>
        <w:rPr>
          <w:sz w:val="24"/>
        </w:rPr>
        <w:t>examine</w:t>
      </w:r>
      <w:r>
        <w:rPr>
          <w:spacing w:val="36"/>
          <w:sz w:val="24"/>
        </w:rPr>
        <w:t> </w:t>
      </w:r>
      <w:r>
        <w:rPr>
          <w:sz w:val="24"/>
        </w:rPr>
        <w:t>the</w:t>
      </w:r>
      <w:r>
        <w:rPr>
          <w:spacing w:val="80"/>
          <w:w w:val="150"/>
          <w:sz w:val="24"/>
        </w:rPr>
        <w:t> </w:t>
      </w:r>
      <w:r>
        <w:rPr>
          <w:sz w:val="24"/>
        </w:rPr>
        <w:t>perception</w:t>
      </w:r>
      <w:r>
        <w:rPr>
          <w:spacing w:val="37"/>
          <w:sz w:val="24"/>
        </w:rPr>
        <w:t> </w:t>
      </w:r>
      <w:r>
        <w:rPr>
          <w:sz w:val="24"/>
        </w:rPr>
        <w:t>of</w:t>
      </w:r>
      <w:r>
        <w:rPr>
          <w:spacing w:val="36"/>
          <w:sz w:val="24"/>
        </w:rPr>
        <w:t> </w:t>
      </w:r>
      <w:r>
        <w:rPr>
          <w:sz w:val="24"/>
        </w:rPr>
        <w:t>the</w:t>
      </w:r>
      <w:r>
        <w:rPr>
          <w:spacing w:val="38"/>
          <w:sz w:val="24"/>
        </w:rPr>
        <w:t> </w:t>
      </w:r>
      <w:r>
        <w:rPr>
          <w:sz w:val="24"/>
        </w:rPr>
        <w:t>concept</w:t>
      </w:r>
      <w:r>
        <w:rPr>
          <w:spacing w:val="37"/>
          <w:sz w:val="24"/>
        </w:rPr>
        <w:t> </w:t>
      </w:r>
      <w:r>
        <w:rPr>
          <w:sz w:val="24"/>
        </w:rPr>
        <w:t>of</w:t>
      </w:r>
      <w:r>
        <w:rPr>
          <w:spacing w:val="36"/>
          <w:sz w:val="24"/>
        </w:rPr>
        <w:t> </w:t>
      </w:r>
      <w:r>
        <w:rPr>
          <w:sz w:val="24"/>
        </w:rPr>
        <w:t>total</w:t>
      </w:r>
      <w:r>
        <w:rPr>
          <w:spacing w:val="37"/>
          <w:sz w:val="24"/>
        </w:rPr>
        <w:t> </w:t>
      </w:r>
      <w:r>
        <w:rPr>
          <w:sz w:val="24"/>
        </w:rPr>
        <w:t>quality</w:t>
      </w:r>
      <w:r>
        <w:rPr>
          <w:spacing w:val="32"/>
          <w:sz w:val="24"/>
        </w:rPr>
        <w:t> </w:t>
      </w:r>
      <w:r>
        <w:rPr>
          <w:sz w:val="24"/>
        </w:rPr>
        <w:t>management</w:t>
      </w:r>
      <w:r>
        <w:rPr>
          <w:spacing w:val="37"/>
          <w:sz w:val="24"/>
        </w:rPr>
        <w:t> </w:t>
      </w:r>
      <w:r>
        <w:rPr>
          <w:sz w:val="24"/>
        </w:rPr>
        <w:t>by</w:t>
      </w:r>
      <w:r>
        <w:rPr>
          <w:spacing w:val="35"/>
          <w:sz w:val="24"/>
        </w:rPr>
        <w:t> </w:t>
      </w:r>
      <w:r>
        <w:rPr>
          <w:sz w:val="24"/>
        </w:rPr>
        <w:t>small</w:t>
      </w:r>
      <w:r>
        <w:rPr>
          <w:spacing w:val="37"/>
          <w:sz w:val="24"/>
        </w:rPr>
        <w:t> </w:t>
      </w:r>
      <w:r>
        <w:rPr>
          <w:sz w:val="24"/>
        </w:rPr>
        <w:t>and medium construction firms in South-East Nigeria;</w:t>
      </w:r>
    </w:p>
    <w:p>
      <w:pPr>
        <w:pStyle w:val="ListParagraph"/>
        <w:numPr>
          <w:ilvl w:val="2"/>
          <w:numId w:val="1"/>
        </w:numPr>
        <w:tabs>
          <w:tab w:pos="1119" w:val="left" w:leader="none"/>
        </w:tabs>
        <w:spacing w:line="480" w:lineRule="auto" w:before="0" w:after="0"/>
        <w:ind w:left="1119" w:right="1318" w:hanging="360"/>
        <w:jc w:val="left"/>
        <w:rPr>
          <w:sz w:val="24"/>
        </w:rPr>
      </w:pPr>
      <w:r>
        <w:rPr>
          <w:sz w:val="24"/>
        </w:rPr>
        <w:t>To evaluate the current</w:t>
      </w:r>
      <w:r>
        <w:rPr>
          <w:spacing w:val="26"/>
          <w:sz w:val="24"/>
        </w:rPr>
        <w:t> </w:t>
      </w:r>
      <w:r>
        <w:rPr>
          <w:sz w:val="24"/>
        </w:rPr>
        <w:t>level</w:t>
      </w:r>
      <w:r>
        <w:rPr>
          <w:spacing w:val="26"/>
          <w:sz w:val="24"/>
        </w:rPr>
        <w:t> </w:t>
      </w:r>
      <w:r>
        <w:rPr>
          <w:sz w:val="24"/>
        </w:rPr>
        <w:t>of total</w:t>
      </w:r>
      <w:r>
        <w:rPr>
          <w:spacing w:val="26"/>
          <w:sz w:val="24"/>
        </w:rPr>
        <w:t> </w:t>
      </w:r>
      <w:r>
        <w:rPr>
          <w:sz w:val="24"/>
        </w:rPr>
        <w:t>quality management</w:t>
      </w:r>
      <w:r>
        <w:rPr>
          <w:spacing w:val="26"/>
          <w:sz w:val="24"/>
        </w:rPr>
        <w:t> </w:t>
      </w:r>
      <w:r>
        <w:rPr>
          <w:sz w:val="24"/>
        </w:rPr>
        <w:t>implementation in small and medium scale construction firms in South-East Nigeria;</w:t>
      </w:r>
    </w:p>
    <w:p>
      <w:pPr>
        <w:pStyle w:val="ListParagraph"/>
        <w:numPr>
          <w:ilvl w:val="2"/>
          <w:numId w:val="1"/>
        </w:numPr>
        <w:tabs>
          <w:tab w:pos="1119" w:val="left" w:leader="none"/>
        </w:tabs>
        <w:spacing w:line="480" w:lineRule="auto" w:before="1" w:after="0"/>
        <w:ind w:left="1119" w:right="1317" w:hanging="360"/>
        <w:jc w:val="left"/>
        <w:rPr>
          <w:sz w:val="24"/>
        </w:rPr>
      </w:pPr>
      <w:r>
        <w:rPr>
          <w:sz w:val="24"/>
        </w:rPr>
        <w:t>To determine the Critical Success Factors of total quality management and their impact</w:t>
      </w:r>
      <w:r>
        <w:rPr>
          <w:spacing w:val="40"/>
          <w:sz w:val="24"/>
        </w:rPr>
        <w:t> </w:t>
      </w:r>
      <w:r>
        <w:rPr>
          <w:sz w:val="24"/>
        </w:rPr>
        <w:t>on small and medium firms’ strategies for success in South-East Nigeria;</w:t>
      </w:r>
    </w:p>
    <w:p>
      <w:pPr>
        <w:spacing w:after="0" w:line="480" w:lineRule="auto"/>
        <w:jc w:val="left"/>
        <w:rPr>
          <w:sz w:val="24"/>
        </w:rPr>
        <w:sectPr>
          <w:pgSz w:w="12240" w:h="15840"/>
          <w:pgMar w:header="0" w:footer="1017" w:top="1360" w:bottom="1200" w:left="1040" w:right="120"/>
        </w:sectPr>
      </w:pPr>
    </w:p>
    <w:p>
      <w:pPr>
        <w:pStyle w:val="ListParagraph"/>
        <w:numPr>
          <w:ilvl w:val="2"/>
          <w:numId w:val="1"/>
        </w:numPr>
        <w:tabs>
          <w:tab w:pos="1120" w:val="left" w:leader="none"/>
        </w:tabs>
        <w:spacing w:line="480" w:lineRule="auto" w:before="72" w:after="0"/>
        <w:ind w:left="1120" w:right="1318" w:hanging="360"/>
        <w:jc w:val="left"/>
        <w:rPr>
          <w:sz w:val="24"/>
        </w:rPr>
      </w:pPr>
      <w:r>
        <w:rPr>
          <w:sz w:val="24"/>
        </w:rPr>
        <w:t>To</w:t>
      </w:r>
      <w:r>
        <w:rPr>
          <w:spacing w:val="30"/>
          <w:sz w:val="24"/>
        </w:rPr>
        <w:t> </w:t>
      </w:r>
      <w:r>
        <w:rPr>
          <w:sz w:val="24"/>
        </w:rPr>
        <w:t>identify the</w:t>
      </w:r>
      <w:r>
        <w:rPr>
          <w:spacing w:val="32"/>
          <w:sz w:val="24"/>
        </w:rPr>
        <w:t> </w:t>
      </w:r>
      <w:r>
        <w:rPr>
          <w:sz w:val="24"/>
        </w:rPr>
        <w:t>relationship</w:t>
      </w:r>
      <w:r>
        <w:rPr>
          <w:spacing w:val="30"/>
          <w:sz w:val="24"/>
        </w:rPr>
        <w:t> </w:t>
      </w:r>
      <w:r>
        <w:rPr>
          <w:sz w:val="24"/>
        </w:rPr>
        <w:t>between</w:t>
      </w:r>
      <w:r>
        <w:rPr>
          <w:spacing w:val="80"/>
          <w:sz w:val="24"/>
        </w:rPr>
        <w:t> </w:t>
      </w:r>
      <w:r>
        <w:rPr>
          <w:sz w:val="24"/>
        </w:rPr>
        <w:t>implementation</w:t>
      </w:r>
      <w:r>
        <w:rPr>
          <w:spacing w:val="30"/>
          <w:sz w:val="24"/>
        </w:rPr>
        <w:t> </w:t>
      </w:r>
      <w:r>
        <w:rPr>
          <w:sz w:val="24"/>
        </w:rPr>
        <w:t>of</w:t>
      </w:r>
      <w:r>
        <w:rPr>
          <w:spacing w:val="29"/>
          <w:sz w:val="24"/>
        </w:rPr>
        <w:t> </w:t>
      </w:r>
      <w:r>
        <w:rPr>
          <w:sz w:val="24"/>
        </w:rPr>
        <w:t>total</w:t>
      </w:r>
      <w:r>
        <w:rPr>
          <w:spacing w:val="31"/>
          <w:sz w:val="24"/>
        </w:rPr>
        <w:t> </w:t>
      </w:r>
      <w:r>
        <w:rPr>
          <w:sz w:val="24"/>
        </w:rPr>
        <w:t>quality management</w:t>
      </w:r>
      <w:r>
        <w:rPr>
          <w:spacing w:val="31"/>
          <w:sz w:val="24"/>
        </w:rPr>
        <w:t> </w:t>
      </w:r>
      <w:r>
        <w:rPr>
          <w:sz w:val="24"/>
        </w:rPr>
        <w:t>and Competitive advantage;</w:t>
      </w:r>
    </w:p>
    <w:p>
      <w:pPr>
        <w:pStyle w:val="ListParagraph"/>
        <w:numPr>
          <w:ilvl w:val="2"/>
          <w:numId w:val="1"/>
        </w:numPr>
        <w:tabs>
          <w:tab w:pos="1120" w:val="left" w:leader="none"/>
        </w:tabs>
        <w:spacing w:line="480" w:lineRule="auto" w:before="0" w:after="0"/>
        <w:ind w:left="1120" w:right="1320" w:hanging="360"/>
        <w:jc w:val="left"/>
        <w:rPr>
          <w:sz w:val="24"/>
        </w:rPr>
      </w:pPr>
      <w:r>
        <w:rPr>
          <w:sz w:val="24"/>
        </w:rPr>
        <w:t>To</w:t>
      </w:r>
      <w:r>
        <w:rPr>
          <w:spacing w:val="40"/>
          <w:sz w:val="24"/>
        </w:rPr>
        <w:t> </w:t>
      </w:r>
      <w:r>
        <w:rPr>
          <w:sz w:val="24"/>
        </w:rPr>
        <w:t>identify</w:t>
      </w:r>
      <w:r>
        <w:rPr>
          <w:spacing w:val="40"/>
          <w:sz w:val="24"/>
        </w:rPr>
        <w:t> </w:t>
      </w:r>
      <w:r>
        <w:rPr>
          <w:sz w:val="24"/>
        </w:rPr>
        <w:t>significant</w:t>
      </w:r>
      <w:r>
        <w:rPr>
          <w:spacing w:val="40"/>
          <w:sz w:val="24"/>
        </w:rPr>
        <w:t> </w:t>
      </w:r>
      <w:r>
        <w:rPr>
          <w:sz w:val="24"/>
        </w:rPr>
        <w:t>impact</w:t>
      </w:r>
      <w:r>
        <w:rPr>
          <w:spacing w:val="40"/>
          <w:sz w:val="24"/>
        </w:rPr>
        <w:t> </w:t>
      </w:r>
      <w:r>
        <w:rPr>
          <w:sz w:val="24"/>
        </w:rPr>
        <w:t>of</w:t>
      </w:r>
      <w:r>
        <w:rPr>
          <w:spacing w:val="40"/>
          <w:sz w:val="24"/>
        </w:rPr>
        <w:t> </w:t>
      </w:r>
      <w:r>
        <w:rPr>
          <w:sz w:val="24"/>
        </w:rPr>
        <w:t>small</w:t>
      </w:r>
      <w:r>
        <w:rPr>
          <w:spacing w:val="40"/>
          <w:sz w:val="24"/>
        </w:rPr>
        <w:t> </w:t>
      </w:r>
      <w:r>
        <w:rPr>
          <w:sz w:val="24"/>
        </w:rPr>
        <w:t>and</w:t>
      </w:r>
      <w:r>
        <w:rPr>
          <w:spacing w:val="40"/>
          <w:sz w:val="24"/>
        </w:rPr>
        <w:t> </w:t>
      </w:r>
      <w:r>
        <w:rPr>
          <w:sz w:val="24"/>
        </w:rPr>
        <w:t>medium</w:t>
      </w:r>
      <w:r>
        <w:rPr>
          <w:spacing w:val="40"/>
          <w:sz w:val="24"/>
        </w:rPr>
        <w:t> </w:t>
      </w:r>
      <w:r>
        <w:rPr>
          <w:sz w:val="24"/>
        </w:rPr>
        <w:t>construction</w:t>
      </w:r>
      <w:r>
        <w:rPr>
          <w:spacing w:val="40"/>
          <w:sz w:val="24"/>
        </w:rPr>
        <w:t> </w:t>
      </w:r>
      <w:r>
        <w:rPr>
          <w:sz w:val="24"/>
        </w:rPr>
        <w:t>firms’</w:t>
      </w:r>
      <w:r>
        <w:rPr>
          <w:spacing w:val="40"/>
          <w:sz w:val="24"/>
        </w:rPr>
        <w:t> </w:t>
      </w:r>
      <w:r>
        <w:rPr>
          <w:sz w:val="24"/>
        </w:rPr>
        <w:t>strategies</w:t>
      </w:r>
      <w:r>
        <w:rPr>
          <w:spacing w:val="40"/>
          <w:sz w:val="24"/>
        </w:rPr>
        <w:t> </w:t>
      </w:r>
      <w:r>
        <w:rPr>
          <w:sz w:val="24"/>
        </w:rPr>
        <w:t>on competitive advantages in South-East Nigeria;</w:t>
      </w:r>
    </w:p>
    <w:p>
      <w:pPr>
        <w:pStyle w:val="BodyText"/>
        <w:spacing w:before="4"/>
      </w:pPr>
    </w:p>
    <w:p>
      <w:pPr>
        <w:pStyle w:val="Heading2"/>
        <w:numPr>
          <w:ilvl w:val="1"/>
          <w:numId w:val="1"/>
        </w:numPr>
        <w:tabs>
          <w:tab w:pos="1119" w:val="left" w:leader="none"/>
        </w:tabs>
        <w:spacing w:line="240" w:lineRule="auto" w:before="1" w:after="0"/>
        <w:ind w:left="1119" w:right="0" w:hanging="719"/>
        <w:jc w:val="left"/>
      </w:pPr>
      <w:r>
        <w:rPr/>
        <w:t>Research</w:t>
      </w:r>
      <w:r>
        <w:rPr>
          <w:spacing w:val="-3"/>
        </w:rPr>
        <w:t> </w:t>
      </w:r>
      <w:r>
        <w:rPr>
          <w:spacing w:val="-2"/>
        </w:rPr>
        <w:t>Questions</w:t>
      </w:r>
    </w:p>
    <w:p>
      <w:pPr>
        <w:pStyle w:val="ListParagraph"/>
        <w:numPr>
          <w:ilvl w:val="2"/>
          <w:numId w:val="1"/>
        </w:numPr>
        <w:tabs>
          <w:tab w:pos="1120" w:val="left" w:leader="none"/>
        </w:tabs>
        <w:spacing w:line="480" w:lineRule="auto" w:before="271" w:after="0"/>
        <w:ind w:left="1120" w:right="1318" w:hanging="360"/>
        <w:jc w:val="left"/>
        <w:rPr>
          <w:sz w:val="24"/>
        </w:rPr>
      </w:pPr>
      <w:r>
        <w:rPr>
          <w:sz w:val="24"/>
        </w:rPr>
        <w:t>What</w:t>
      </w:r>
      <w:r>
        <w:rPr>
          <w:spacing w:val="-1"/>
          <w:sz w:val="24"/>
        </w:rPr>
        <w:t> </w:t>
      </w:r>
      <w:r>
        <w:rPr>
          <w:sz w:val="24"/>
        </w:rPr>
        <w:t>are</w:t>
      </w:r>
      <w:r>
        <w:rPr>
          <w:spacing w:val="-2"/>
          <w:sz w:val="24"/>
        </w:rPr>
        <w:t> </w:t>
      </w:r>
      <w:r>
        <w:rPr>
          <w:sz w:val="24"/>
        </w:rPr>
        <w:t>the</w:t>
      </w:r>
      <w:r>
        <w:rPr>
          <w:spacing w:val="-2"/>
          <w:sz w:val="24"/>
        </w:rPr>
        <w:t> </w:t>
      </w:r>
      <w:r>
        <w:rPr>
          <w:sz w:val="24"/>
        </w:rPr>
        <w:t>perceptions</w:t>
      </w:r>
      <w:r>
        <w:rPr>
          <w:spacing w:val="-1"/>
          <w:sz w:val="24"/>
        </w:rPr>
        <w:t> </w:t>
      </w:r>
      <w:r>
        <w:rPr>
          <w:sz w:val="24"/>
        </w:rPr>
        <w:t>of</w:t>
      </w:r>
      <w:r>
        <w:rPr>
          <w:spacing w:val="-2"/>
          <w:sz w:val="24"/>
        </w:rPr>
        <w:t> </w:t>
      </w:r>
      <w:r>
        <w:rPr>
          <w:sz w:val="24"/>
        </w:rPr>
        <w:t>the</w:t>
      </w:r>
      <w:r>
        <w:rPr>
          <w:spacing w:val="-2"/>
          <w:sz w:val="24"/>
        </w:rPr>
        <w:t> </w:t>
      </w:r>
      <w:r>
        <w:rPr>
          <w:sz w:val="24"/>
        </w:rPr>
        <w:t>concept of</w:t>
      </w:r>
      <w:r>
        <w:rPr>
          <w:spacing w:val="-2"/>
          <w:sz w:val="24"/>
        </w:rPr>
        <w:t> </w:t>
      </w:r>
      <w:r>
        <w:rPr>
          <w:sz w:val="24"/>
        </w:rPr>
        <w:t>TQM by</w:t>
      </w:r>
      <w:r>
        <w:rPr>
          <w:spacing w:val="-6"/>
          <w:sz w:val="24"/>
        </w:rPr>
        <w:t> </w:t>
      </w:r>
      <w:r>
        <w:rPr>
          <w:sz w:val="24"/>
        </w:rPr>
        <w:t>small</w:t>
      </w:r>
      <w:r>
        <w:rPr>
          <w:spacing w:val="-1"/>
          <w:sz w:val="24"/>
        </w:rPr>
        <w:t> </w:t>
      </w:r>
      <w:r>
        <w:rPr>
          <w:sz w:val="24"/>
        </w:rPr>
        <w:t>and</w:t>
      </w:r>
      <w:r>
        <w:rPr>
          <w:spacing w:val="-1"/>
          <w:sz w:val="24"/>
        </w:rPr>
        <w:t> </w:t>
      </w:r>
      <w:r>
        <w:rPr>
          <w:sz w:val="24"/>
        </w:rPr>
        <w:t>medium</w:t>
      </w:r>
      <w:r>
        <w:rPr>
          <w:spacing w:val="-1"/>
          <w:sz w:val="24"/>
        </w:rPr>
        <w:t> </w:t>
      </w:r>
      <w:r>
        <w:rPr>
          <w:sz w:val="24"/>
        </w:rPr>
        <w:t>construction</w:t>
      </w:r>
      <w:r>
        <w:rPr>
          <w:spacing w:val="-1"/>
          <w:sz w:val="24"/>
        </w:rPr>
        <w:t> </w:t>
      </w:r>
      <w:r>
        <w:rPr>
          <w:sz w:val="24"/>
        </w:rPr>
        <w:t>firms in South-East Nigeria?</w:t>
      </w:r>
    </w:p>
    <w:p>
      <w:pPr>
        <w:pStyle w:val="ListParagraph"/>
        <w:numPr>
          <w:ilvl w:val="2"/>
          <w:numId w:val="1"/>
        </w:numPr>
        <w:tabs>
          <w:tab w:pos="1120" w:val="left" w:leader="none"/>
        </w:tabs>
        <w:spacing w:line="240" w:lineRule="auto" w:before="0" w:after="0"/>
        <w:ind w:left="1120" w:right="0" w:hanging="360"/>
        <w:jc w:val="left"/>
        <w:rPr>
          <w:sz w:val="24"/>
        </w:rPr>
      </w:pPr>
      <w:r>
        <w:rPr>
          <w:sz w:val="24"/>
        </w:rPr>
        <w:t>What</w:t>
      </w:r>
      <w:r>
        <w:rPr>
          <w:spacing w:val="-4"/>
          <w:sz w:val="24"/>
        </w:rPr>
        <w:t> </w:t>
      </w:r>
      <w:r>
        <w:rPr>
          <w:sz w:val="24"/>
        </w:rPr>
        <w:t>is</w:t>
      </w:r>
      <w:r>
        <w:rPr>
          <w:spacing w:val="-1"/>
          <w:sz w:val="24"/>
        </w:rPr>
        <w:t> </w:t>
      </w:r>
      <w:r>
        <w:rPr>
          <w:sz w:val="24"/>
        </w:rPr>
        <w:t>the</w:t>
      </w:r>
      <w:r>
        <w:rPr>
          <w:spacing w:val="-2"/>
          <w:sz w:val="24"/>
        </w:rPr>
        <w:t> </w:t>
      </w:r>
      <w:r>
        <w:rPr>
          <w:sz w:val="24"/>
        </w:rPr>
        <w:t>current</w:t>
      </w:r>
      <w:r>
        <w:rPr>
          <w:spacing w:val="-2"/>
          <w:sz w:val="24"/>
        </w:rPr>
        <w:t> </w:t>
      </w:r>
      <w:r>
        <w:rPr>
          <w:sz w:val="24"/>
        </w:rPr>
        <w:t>level</w:t>
      </w:r>
      <w:r>
        <w:rPr>
          <w:spacing w:val="1"/>
          <w:sz w:val="24"/>
        </w:rPr>
        <w:t> </w:t>
      </w:r>
      <w:r>
        <w:rPr>
          <w:sz w:val="24"/>
        </w:rPr>
        <w:t>of</w:t>
      </w:r>
      <w:r>
        <w:rPr>
          <w:spacing w:val="-3"/>
          <w:sz w:val="24"/>
        </w:rPr>
        <w:t> </w:t>
      </w:r>
      <w:r>
        <w:rPr>
          <w:sz w:val="24"/>
        </w:rPr>
        <w:t>TQM</w:t>
      </w:r>
      <w:r>
        <w:rPr>
          <w:spacing w:val="-1"/>
          <w:sz w:val="24"/>
        </w:rPr>
        <w:t> </w:t>
      </w:r>
      <w:r>
        <w:rPr>
          <w:sz w:val="24"/>
        </w:rPr>
        <w:t>implementation</w:t>
      </w:r>
      <w:r>
        <w:rPr>
          <w:spacing w:val="-1"/>
          <w:sz w:val="24"/>
        </w:rPr>
        <w:t> </w:t>
      </w:r>
      <w:r>
        <w:rPr>
          <w:sz w:val="24"/>
        </w:rPr>
        <w:t>in</w:t>
      </w:r>
      <w:r>
        <w:rPr>
          <w:spacing w:val="-2"/>
          <w:sz w:val="24"/>
        </w:rPr>
        <w:t> </w:t>
      </w:r>
      <w:r>
        <w:rPr>
          <w:sz w:val="24"/>
        </w:rPr>
        <w:t>SMCFs</w:t>
      </w:r>
      <w:r>
        <w:rPr>
          <w:spacing w:val="-1"/>
          <w:sz w:val="24"/>
        </w:rPr>
        <w:t> </w:t>
      </w:r>
      <w:r>
        <w:rPr>
          <w:sz w:val="24"/>
        </w:rPr>
        <w:t>in</w:t>
      </w:r>
      <w:r>
        <w:rPr>
          <w:spacing w:val="-1"/>
          <w:sz w:val="24"/>
        </w:rPr>
        <w:t> </w:t>
      </w:r>
      <w:r>
        <w:rPr>
          <w:sz w:val="24"/>
        </w:rPr>
        <w:t>South-East</w:t>
      </w:r>
      <w:r>
        <w:rPr>
          <w:spacing w:val="-3"/>
          <w:sz w:val="24"/>
        </w:rPr>
        <w:t> </w:t>
      </w:r>
      <w:r>
        <w:rPr>
          <w:spacing w:val="-2"/>
          <w:sz w:val="24"/>
        </w:rPr>
        <w:t>Nigeria?</w:t>
      </w:r>
    </w:p>
    <w:p>
      <w:pPr>
        <w:pStyle w:val="BodyText"/>
      </w:pPr>
    </w:p>
    <w:p>
      <w:pPr>
        <w:pStyle w:val="ListParagraph"/>
        <w:numPr>
          <w:ilvl w:val="2"/>
          <w:numId w:val="1"/>
        </w:numPr>
        <w:tabs>
          <w:tab w:pos="1120" w:val="left" w:leader="none"/>
        </w:tabs>
        <w:spacing w:line="480" w:lineRule="auto" w:before="0" w:after="0"/>
        <w:ind w:left="1120" w:right="1317" w:hanging="360"/>
        <w:jc w:val="left"/>
        <w:rPr>
          <w:sz w:val="24"/>
        </w:rPr>
      </w:pPr>
      <w:r>
        <w:rPr>
          <w:sz w:val="24"/>
        </w:rPr>
        <w:t>What</w:t>
      </w:r>
      <w:r>
        <w:rPr>
          <w:spacing w:val="38"/>
          <w:sz w:val="24"/>
        </w:rPr>
        <w:t> </w:t>
      </w:r>
      <w:r>
        <w:rPr>
          <w:sz w:val="24"/>
        </w:rPr>
        <w:t>are</w:t>
      </w:r>
      <w:r>
        <w:rPr>
          <w:spacing w:val="36"/>
          <w:sz w:val="24"/>
        </w:rPr>
        <w:t> </w:t>
      </w:r>
      <w:r>
        <w:rPr>
          <w:sz w:val="24"/>
        </w:rPr>
        <w:t>the</w:t>
      </w:r>
      <w:r>
        <w:rPr>
          <w:spacing w:val="36"/>
          <w:sz w:val="24"/>
        </w:rPr>
        <w:t> </w:t>
      </w:r>
      <w:r>
        <w:rPr>
          <w:sz w:val="24"/>
        </w:rPr>
        <w:t>critical</w:t>
      </w:r>
      <w:r>
        <w:rPr>
          <w:spacing w:val="38"/>
          <w:sz w:val="24"/>
        </w:rPr>
        <w:t> </w:t>
      </w:r>
      <w:r>
        <w:rPr>
          <w:sz w:val="24"/>
        </w:rPr>
        <w:t>success</w:t>
      </w:r>
      <w:r>
        <w:rPr>
          <w:spacing w:val="40"/>
          <w:sz w:val="24"/>
        </w:rPr>
        <w:t> </w:t>
      </w:r>
      <w:r>
        <w:rPr>
          <w:sz w:val="24"/>
        </w:rPr>
        <w:t>factors</w:t>
      </w:r>
      <w:r>
        <w:rPr>
          <w:spacing w:val="38"/>
          <w:sz w:val="24"/>
        </w:rPr>
        <w:t> </w:t>
      </w:r>
      <w:r>
        <w:rPr>
          <w:sz w:val="24"/>
        </w:rPr>
        <w:t>of</w:t>
      </w:r>
      <w:r>
        <w:rPr>
          <w:spacing w:val="39"/>
          <w:sz w:val="24"/>
        </w:rPr>
        <w:t> </w:t>
      </w:r>
      <w:r>
        <w:rPr>
          <w:sz w:val="24"/>
        </w:rPr>
        <w:t>TQM</w:t>
      </w:r>
      <w:r>
        <w:rPr>
          <w:spacing w:val="40"/>
          <w:sz w:val="24"/>
        </w:rPr>
        <w:t> </w:t>
      </w:r>
      <w:r>
        <w:rPr>
          <w:sz w:val="24"/>
        </w:rPr>
        <w:t>and</w:t>
      </w:r>
      <w:r>
        <w:rPr>
          <w:spacing w:val="37"/>
          <w:sz w:val="24"/>
        </w:rPr>
        <w:t> </w:t>
      </w:r>
      <w:r>
        <w:rPr>
          <w:sz w:val="24"/>
        </w:rPr>
        <w:t>their</w:t>
      </w:r>
      <w:r>
        <w:rPr>
          <w:spacing w:val="37"/>
          <w:sz w:val="24"/>
        </w:rPr>
        <w:t> </w:t>
      </w:r>
      <w:r>
        <w:rPr>
          <w:sz w:val="24"/>
        </w:rPr>
        <w:t>impact</w:t>
      </w:r>
      <w:r>
        <w:rPr>
          <w:spacing w:val="40"/>
          <w:sz w:val="24"/>
        </w:rPr>
        <w:t> </w:t>
      </w:r>
      <w:r>
        <w:rPr>
          <w:sz w:val="24"/>
        </w:rPr>
        <w:t>SMCFs’</w:t>
      </w:r>
      <w:r>
        <w:rPr>
          <w:spacing w:val="39"/>
          <w:sz w:val="24"/>
        </w:rPr>
        <w:t> </w:t>
      </w:r>
      <w:r>
        <w:rPr>
          <w:sz w:val="24"/>
        </w:rPr>
        <w:t>strategies</w:t>
      </w:r>
      <w:r>
        <w:rPr>
          <w:spacing w:val="40"/>
          <w:sz w:val="24"/>
        </w:rPr>
        <w:t> </w:t>
      </w:r>
      <w:r>
        <w:rPr>
          <w:sz w:val="24"/>
        </w:rPr>
        <w:t>for success in South-East Nigeria?</w:t>
      </w:r>
    </w:p>
    <w:p>
      <w:pPr>
        <w:pStyle w:val="ListParagraph"/>
        <w:numPr>
          <w:ilvl w:val="2"/>
          <w:numId w:val="1"/>
        </w:numPr>
        <w:tabs>
          <w:tab w:pos="1120" w:val="left" w:leader="none"/>
        </w:tabs>
        <w:spacing w:line="240" w:lineRule="auto" w:before="0" w:after="0"/>
        <w:ind w:left="1120" w:right="0" w:hanging="360"/>
        <w:jc w:val="left"/>
        <w:rPr>
          <w:sz w:val="24"/>
        </w:rPr>
      </w:pPr>
      <w:r>
        <w:rPr>
          <w:sz w:val="24"/>
        </w:rPr>
        <w:t>What</w:t>
      </w:r>
      <w:r>
        <w:rPr>
          <w:spacing w:val="-4"/>
          <w:sz w:val="24"/>
        </w:rPr>
        <w:t> </w:t>
      </w:r>
      <w:r>
        <w:rPr>
          <w:sz w:val="24"/>
        </w:rPr>
        <w:t>are</w:t>
      </w:r>
      <w:r>
        <w:rPr>
          <w:spacing w:val="-2"/>
          <w:sz w:val="24"/>
        </w:rPr>
        <w:t> </w:t>
      </w:r>
      <w:r>
        <w:rPr>
          <w:sz w:val="24"/>
        </w:rPr>
        <w:t>the</w:t>
      </w:r>
      <w:r>
        <w:rPr>
          <w:spacing w:val="-3"/>
          <w:sz w:val="24"/>
        </w:rPr>
        <w:t> </w:t>
      </w:r>
      <w:r>
        <w:rPr>
          <w:sz w:val="24"/>
        </w:rPr>
        <w:t>relationship</w:t>
      </w:r>
      <w:r>
        <w:rPr>
          <w:spacing w:val="-1"/>
          <w:sz w:val="24"/>
        </w:rPr>
        <w:t> </w:t>
      </w:r>
      <w:r>
        <w:rPr>
          <w:sz w:val="24"/>
        </w:rPr>
        <w:t>between</w:t>
      </w:r>
      <w:r>
        <w:rPr>
          <w:spacing w:val="-1"/>
          <w:sz w:val="24"/>
        </w:rPr>
        <w:t> </w:t>
      </w:r>
      <w:r>
        <w:rPr>
          <w:sz w:val="24"/>
        </w:rPr>
        <w:t>implementation of</w:t>
      </w:r>
      <w:r>
        <w:rPr>
          <w:spacing w:val="-2"/>
          <w:sz w:val="24"/>
        </w:rPr>
        <w:t> </w:t>
      </w:r>
      <w:r>
        <w:rPr>
          <w:sz w:val="24"/>
        </w:rPr>
        <w:t>TQM</w:t>
      </w:r>
      <w:r>
        <w:rPr>
          <w:spacing w:val="-2"/>
          <w:sz w:val="24"/>
        </w:rPr>
        <w:t> </w:t>
      </w:r>
      <w:r>
        <w:rPr>
          <w:sz w:val="24"/>
        </w:rPr>
        <w:t>and</w:t>
      </w:r>
      <w:r>
        <w:rPr>
          <w:spacing w:val="-1"/>
          <w:sz w:val="24"/>
        </w:rPr>
        <w:t> </w:t>
      </w:r>
      <w:r>
        <w:rPr>
          <w:sz w:val="24"/>
        </w:rPr>
        <w:t>Competitive</w:t>
      </w:r>
      <w:r>
        <w:rPr>
          <w:spacing w:val="-2"/>
          <w:sz w:val="24"/>
        </w:rPr>
        <w:t> advantage?</w:t>
      </w:r>
    </w:p>
    <w:p>
      <w:pPr>
        <w:pStyle w:val="BodyText"/>
      </w:pPr>
    </w:p>
    <w:p>
      <w:pPr>
        <w:pStyle w:val="ListParagraph"/>
        <w:numPr>
          <w:ilvl w:val="2"/>
          <w:numId w:val="1"/>
        </w:numPr>
        <w:tabs>
          <w:tab w:pos="1119" w:val="left" w:leader="none"/>
        </w:tabs>
        <w:spacing w:line="480" w:lineRule="auto" w:before="0" w:after="0"/>
        <w:ind w:left="1119" w:right="1320" w:hanging="360"/>
        <w:jc w:val="left"/>
        <w:rPr>
          <w:sz w:val="24"/>
        </w:rPr>
      </w:pPr>
      <w:r>
        <w:rPr>
          <w:sz w:val="24"/>
        </w:rPr>
        <w:t>Is</w:t>
      </w:r>
      <w:r>
        <w:rPr>
          <w:spacing w:val="40"/>
          <w:sz w:val="24"/>
        </w:rPr>
        <w:t> </w:t>
      </w:r>
      <w:r>
        <w:rPr>
          <w:sz w:val="24"/>
        </w:rPr>
        <w:t>there</w:t>
      </w:r>
      <w:r>
        <w:rPr>
          <w:spacing w:val="40"/>
          <w:sz w:val="24"/>
        </w:rPr>
        <w:t> </w:t>
      </w:r>
      <w:r>
        <w:rPr>
          <w:sz w:val="24"/>
        </w:rPr>
        <w:t>significant</w:t>
      </w:r>
      <w:r>
        <w:rPr>
          <w:spacing w:val="40"/>
          <w:sz w:val="24"/>
        </w:rPr>
        <w:t> </w:t>
      </w:r>
      <w:r>
        <w:rPr>
          <w:sz w:val="24"/>
        </w:rPr>
        <w:t>impact</w:t>
      </w:r>
      <w:r>
        <w:rPr>
          <w:spacing w:val="40"/>
          <w:sz w:val="24"/>
        </w:rPr>
        <w:t> </w:t>
      </w:r>
      <w:r>
        <w:rPr>
          <w:sz w:val="24"/>
        </w:rPr>
        <w:t>between</w:t>
      </w:r>
      <w:r>
        <w:rPr>
          <w:spacing w:val="40"/>
          <w:sz w:val="24"/>
        </w:rPr>
        <w:t> </w:t>
      </w:r>
      <w:r>
        <w:rPr>
          <w:sz w:val="24"/>
        </w:rPr>
        <w:t>SMCFs’</w:t>
      </w:r>
      <w:r>
        <w:rPr>
          <w:spacing w:val="40"/>
          <w:sz w:val="24"/>
        </w:rPr>
        <w:t> </w:t>
      </w:r>
      <w:r>
        <w:rPr>
          <w:sz w:val="24"/>
        </w:rPr>
        <w:t>strategies</w:t>
      </w:r>
      <w:r>
        <w:rPr>
          <w:spacing w:val="40"/>
          <w:sz w:val="24"/>
        </w:rPr>
        <w:t> </w:t>
      </w:r>
      <w:r>
        <w:rPr>
          <w:sz w:val="24"/>
        </w:rPr>
        <w:t>and</w:t>
      </w:r>
      <w:r>
        <w:rPr>
          <w:spacing w:val="40"/>
          <w:sz w:val="24"/>
        </w:rPr>
        <w:t> </w:t>
      </w:r>
      <w:r>
        <w:rPr>
          <w:sz w:val="24"/>
        </w:rPr>
        <w:t>competitive</w:t>
      </w:r>
      <w:r>
        <w:rPr>
          <w:spacing w:val="40"/>
          <w:sz w:val="24"/>
        </w:rPr>
        <w:t> </w:t>
      </w:r>
      <w:r>
        <w:rPr>
          <w:sz w:val="24"/>
        </w:rPr>
        <w:t>advantages</w:t>
      </w:r>
      <w:r>
        <w:rPr>
          <w:spacing w:val="40"/>
          <w:sz w:val="24"/>
        </w:rPr>
        <w:t> </w:t>
      </w:r>
      <w:r>
        <w:rPr>
          <w:sz w:val="24"/>
        </w:rPr>
        <w:t>in South-East Nigeria?</w:t>
      </w:r>
    </w:p>
    <w:p>
      <w:pPr>
        <w:pStyle w:val="BodyText"/>
        <w:spacing w:before="50"/>
      </w:pPr>
    </w:p>
    <w:p>
      <w:pPr>
        <w:pStyle w:val="Heading2"/>
        <w:numPr>
          <w:ilvl w:val="1"/>
          <w:numId w:val="1"/>
        </w:numPr>
        <w:tabs>
          <w:tab w:pos="1119" w:val="left" w:leader="none"/>
        </w:tabs>
        <w:spacing w:line="240" w:lineRule="auto" w:before="1" w:after="0"/>
        <w:ind w:left="1119" w:right="0" w:hanging="719"/>
        <w:jc w:val="left"/>
      </w:pPr>
      <w:r>
        <w:rPr/>
        <w:t>Research</w:t>
      </w:r>
      <w:r>
        <w:rPr>
          <w:spacing w:val="-3"/>
        </w:rPr>
        <w:t> </w:t>
      </w:r>
      <w:r>
        <w:rPr>
          <w:spacing w:val="-2"/>
        </w:rPr>
        <w:t>Hypotheses</w:t>
      </w:r>
    </w:p>
    <w:p>
      <w:pPr>
        <w:pStyle w:val="ListParagraph"/>
        <w:numPr>
          <w:ilvl w:val="0"/>
          <w:numId w:val="2"/>
        </w:numPr>
        <w:tabs>
          <w:tab w:pos="1479" w:val="left" w:leader="none"/>
        </w:tabs>
        <w:spacing w:line="240" w:lineRule="auto" w:before="270" w:after="0"/>
        <w:ind w:left="1479" w:right="0" w:hanging="487"/>
        <w:jc w:val="left"/>
        <w:rPr>
          <w:sz w:val="24"/>
        </w:rPr>
      </w:pPr>
      <w:r>
        <w:rPr>
          <w:position w:val="2"/>
          <w:sz w:val="24"/>
        </w:rPr>
        <w:t>H</w:t>
      </w:r>
      <w:r>
        <w:rPr>
          <w:sz w:val="16"/>
        </w:rPr>
        <w:t>0</w:t>
      </w:r>
      <w:r>
        <w:rPr>
          <w:position w:val="2"/>
          <w:sz w:val="24"/>
        </w:rPr>
        <w:t>:</w:t>
      </w:r>
      <w:r>
        <w:rPr>
          <w:spacing w:val="-2"/>
          <w:position w:val="2"/>
          <w:sz w:val="24"/>
        </w:rPr>
        <w:t> </w:t>
      </w:r>
      <w:r>
        <w:rPr>
          <w:position w:val="2"/>
          <w:sz w:val="24"/>
        </w:rPr>
        <w:t>The</w:t>
      </w:r>
      <w:r>
        <w:rPr>
          <w:spacing w:val="-2"/>
          <w:position w:val="2"/>
          <w:sz w:val="24"/>
        </w:rPr>
        <w:t> </w:t>
      </w:r>
      <w:r>
        <w:rPr>
          <w:position w:val="2"/>
          <w:sz w:val="24"/>
        </w:rPr>
        <w:t>level</w:t>
      </w:r>
      <w:r>
        <w:rPr>
          <w:spacing w:val="-1"/>
          <w:position w:val="2"/>
          <w:sz w:val="24"/>
        </w:rPr>
        <w:t> </w:t>
      </w:r>
      <w:r>
        <w:rPr>
          <w:position w:val="2"/>
          <w:sz w:val="24"/>
        </w:rPr>
        <w:t>of</w:t>
      </w:r>
      <w:r>
        <w:rPr>
          <w:spacing w:val="-3"/>
          <w:position w:val="2"/>
          <w:sz w:val="24"/>
        </w:rPr>
        <w:t> </w:t>
      </w:r>
      <w:r>
        <w:rPr>
          <w:position w:val="2"/>
          <w:sz w:val="24"/>
        </w:rPr>
        <w:t>implementation</w:t>
      </w:r>
      <w:r>
        <w:rPr>
          <w:spacing w:val="-1"/>
          <w:position w:val="2"/>
          <w:sz w:val="24"/>
        </w:rPr>
        <w:t> </w:t>
      </w:r>
      <w:r>
        <w:rPr>
          <w:position w:val="2"/>
          <w:sz w:val="24"/>
        </w:rPr>
        <w:t>of</w:t>
      </w:r>
      <w:r>
        <w:rPr>
          <w:spacing w:val="-2"/>
          <w:position w:val="2"/>
          <w:sz w:val="24"/>
        </w:rPr>
        <w:t> </w:t>
      </w:r>
      <w:r>
        <w:rPr>
          <w:position w:val="2"/>
          <w:sz w:val="24"/>
        </w:rPr>
        <w:t>TQM</w:t>
      </w:r>
      <w:r>
        <w:rPr>
          <w:spacing w:val="-1"/>
          <w:position w:val="2"/>
          <w:sz w:val="24"/>
        </w:rPr>
        <w:t> </w:t>
      </w:r>
      <w:r>
        <w:rPr>
          <w:position w:val="2"/>
          <w:sz w:val="24"/>
        </w:rPr>
        <w:t>in</w:t>
      </w:r>
      <w:r>
        <w:rPr>
          <w:spacing w:val="-2"/>
          <w:position w:val="2"/>
          <w:sz w:val="24"/>
        </w:rPr>
        <w:t> </w:t>
      </w:r>
      <w:r>
        <w:rPr>
          <w:position w:val="2"/>
          <w:sz w:val="24"/>
        </w:rPr>
        <w:t>SMCFs</w:t>
      </w:r>
      <w:r>
        <w:rPr>
          <w:spacing w:val="-1"/>
          <w:position w:val="2"/>
          <w:sz w:val="24"/>
        </w:rPr>
        <w:t> </w:t>
      </w:r>
      <w:r>
        <w:rPr>
          <w:position w:val="2"/>
          <w:sz w:val="24"/>
        </w:rPr>
        <w:t>in</w:t>
      </w:r>
      <w:r>
        <w:rPr>
          <w:spacing w:val="-1"/>
          <w:position w:val="2"/>
          <w:sz w:val="24"/>
        </w:rPr>
        <w:t> </w:t>
      </w:r>
      <w:r>
        <w:rPr>
          <w:position w:val="2"/>
          <w:sz w:val="24"/>
        </w:rPr>
        <w:t>South-East</w:t>
      </w:r>
      <w:r>
        <w:rPr>
          <w:spacing w:val="-2"/>
          <w:position w:val="2"/>
          <w:sz w:val="24"/>
        </w:rPr>
        <w:t> </w:t>
      </w:r>
      <w:r>
        <w:rPr>
          <w:position w:val="2"/>
          <w:sz w:val="24"/>
        </w:rPr>
        <w:t>Nigeria is</w:t>
      </w:r>
      <w:r>
        <w:rPr>
          <w:spacing w:val="-1"/>
          <w:position w:val="2"/>
          <w:sz w:val="24"/>
        </w:rPr>
        <w:t> </w:t>
      </w:r>
      <w:r>
        <w:rPr>
          <w:position w:val="2"/>
          <w:sz w:val="24"/>
        </w:rPr>
        <w:t>not</w:t>
      </w:r>
      <w:r>
        <w:rPr>
          <w:spacing w:val="-1"/>
          <w:position w:val="2"/>
          <w:sz w:val="24"/>
        </w:rPr>
        <w:t> </w:t>
      </w:r>
      <w:r>
        <w:rPr>
          <w:spacing w:val="-4"/>
          <w:position w:val="2"/>
          <w:sz w:val="24"/>
        </w:rPr>
        <w:t>low.</w:t>
      </w:r>
    </w:p>
    <w:p>
      <w:pPr>
        <w:pStyle w:val="ListParagraph"/>
        <w:numPr>
          <w:ilvl w:val="0"/>
          <w:numId w:val="2"/>
        </w:numPr>
        <w:tabs>
          <w:tab w:pos="1480" w:val="left" w:leader="none"/>
        </w:tabs>
        <w:spacing w:line="477" w:lineRule="auto" w:before="273" w:after="0"/>
        <w:ind w:left="1480" w:right="1319" w:hanging="555"/>
        <w:jc w:val="left"/>
        <w:rPr>
          <w:sz w:val="24"/>
        </w:rPr>
      </w:pPr>
      <w:r>
        <w:rPr>
          <w:position w:val="2"/>
          <w:sz w:val="24"/>
        </w:rPr>
        <w:t>H</w:t>
      </w:r>
      <w:r>
        <w:rPr>
          <w:sz w:val="16"/>
        </w:rPr>
        <w:t>0</w:t>
      </w:r>
      <w:r>
        <w:rPr>
          <w:position w:val="2"/>
          <w:sz w:val="24"/>
        </w:rPr>
        <w:t>:</w:t>
      </w:r>
      <w:r>
        <w:rPr>
          <w:spacing w:val="80"/>
          <w:position w:val="2"/>
          <w:sz w:val="24"/>
        </w:rPr>
        <w:t> </w:t>
      </w:r>
      <w:r>
        <w:rPr>
          <w:position w:val="2"/>
          <w:sz w:val="24"/>
        </w:rPr>
        <w:t>Critical</w:t>
      </w:r>
      <w:r>
        <w:rPr>
          <w:spacing w:val="80"/>
          <w:position w:val="2"/>
          <w:sz w:val="24"/>
        </w:rPr>
        <w:t> </w:t>
      </w:r>
      <w:r>
        <w:rPr>
          <w:position w:val="2"/>
          <w:sz w:val="24"/>
        </w:rPr>
        <w:t>success</w:t>
      </w:r>
      <w:r>
        <w:rPr>
          <w:spacing w:val="80"/>
          <w:position w:val="2"/>
          <w:sz w:val="24"/>
        </w:rPr>
        <w:t> </w:t>
      </w:r>
      <w:r>
        <w:rPr>
          <w:position w:val="2"/>
          <w:sz w:val="24"/>
        </w:rPr>
        <w:t>factors</w:t>
      </w:r>
      <w:r>
        <w:rPr>
          <w:spacing w:val="80"/>
          <w:position w:val="2"/>
          <w:sz w:val="24"/>
        </w:rPr>
        <w:t> </w:t>
      </w:r>
      <w:r>
        <w:rPr>
          <w:position w:val="2"/>
          <w:sz w:val="24"/>
        </w:rPr>
        <w:t>of</w:t>
      </w:r>
      <w:r>
        <w:rPr>
          <w:spacing w:val="80"/>
          <w:position w:val="2"/>
          <w:sz w:val="24"/>
        </w:rPr>
        <w:t> </w:t>
      </w:r>
      <w:r>
        <w:rPr>
          <w:position w:val="2"/>
          <w:sz w:val="24"/>
        </w:rPr>
        <w:t>TQM</w:t>
      </w:r>
      <w:r>
        <w:rPr>
          <w:spacing w:val="80"/>
          <w:position w:val="2"/>
          <w:sz w:val="24"/>
        </w:rPr>
        <w:t> </w:t>
      </w:r>
      <w:r>
        <w:rPr>
          <w:position w:val="2"/>
          <w:sz w:val="24"/>
        </w:rPr>
        <w:t>does</w:t>
      </w:r>
      <w:r>
        <w:rPr>
          <w:spacing w:val="80"/>
          <w:position w:val="2"/>
          <w:sz w:val="24"/>
        </w:rPr>
        <w:t> </w:t>
      </w:r>
      <w:r>
        <w:rPr>
          <w:position w:val="2"/>
          <w:sz w:val="24"/>
        </w:rPr>
        <w:t>not</w:t>
      </w:r>
      <w:r>
        <w:rPr>
          <w:spacing w:val="80"/>
          <w:position w:val="2"/>
          <w:sz w:val="24"/>
        </w:rPr>
        <w:t> </w:t>
      </w:r>
      <w:r>
        <w:rPr>
          <w:position w:val="2"/>
          <w:sz w:val="24"/>
        </w:rPr>
        <w:t>significantly</w:t>
      </w:r>
      <w:r>
        <w:rPr>
          <w:spacing w:val="80"/>
          <w:position w:val="2"/>
          <w:sz w:val="24"/>
        </w:rPr>
        <w:t> </w:t>
      </w:r>
      <w:r>
        <w:rPr>
          <w:position w:val="2"/>
          <w:sz w:val="24"/>
        </w:rPr>
        <w:t>affect</w:t>
      </w:r>
      <w:r>
        <w:rPr>
          <w:spacing w:val="80"/>
          <w:position w:val="2"/>
          <w:sz w:val="24"/>
        </w:rPr>
        <w:t> </w:t>
      </w:r>
      <w:r>
        <w:rPr>
          <w:position w:val="2"/>
          <w:sz w:val="24"/>
        </w:rPr>
        <w:t>companies’ </w:t>
      </w:r>
      <w:r>
        <w:rPr>
          <w:sz w:val="24"/>
        </w:rPr>
        <w:t>strategies in South-East Nigeria.</w:t>
      </w:r>
    </w:p>
    <w:p>
      <w:pPr>
        <w:pStyle w:val="ListParagraph"/>
        <w:numPr>
          <w:ilvl w:val="0"/>
          <w:numId w:val="2"/>
        </w:numPr>
        <w:tabs>
          <w:tab w:pos="1480" w:val="left" w:leader="none"/>
        </w:tabs>
        <w:spacing w:line="477" w:lineRule="auto" w:before="3" w:after="0"/>
        <w:ind w:left="1480" w:right="2187" w:hanging="620"/>
        <w:jc w:val="left"/>
        <w:rPr>
          <w:sz w:val="24"/>
        </w:rPr>
      </w:pPr>
      <w:r>
        <w:rPr>
          <w:position w:val="2"/>
          <w:sz w:val="24"/>
        </w:rPr>
        <w:t>H</w:t>
      </w:r>
      <w:r>
        <w:rPr>
          <w:sz w:val="16"/>
        </w:rPr>
        <w:t>0</w:t>
      </w:r>
      <w:r>
        <w:rPr>
          <w:position w:val="2"/>
          <w:sz w:val="24"/>
        </w:rPr>
        <w:t>:</w:t>
      </w:r>
      <w:r>
        <w:rPr>
          <w:spacing w:val="-4"/>
          <w:position w:val="2"/>
          <w:sz w:val="24"/>
        </w:rPr>
        <w:t> </w:t>
      </w:r>
      <w:r>
        <w:rPr>
          <w:position w:val="2"/>
          <w:sz w:val="24"/>
        </w:rPr>
        <w:t>There</w:t>
      </w:r>
      <w:r>
        <w:rPr>
          <w:spacing w:val="-5"/>
          <w:position w:val="2"/>
          <w:sz w:val="24"/>
        </w:rPr>
        <w:t> </w:t>
      </w:r>
      <w:r>
        <w:rPr>
          <w:position w:val="2"/>
          <w:sz w:val="24"/>
        </w:rPr>
        <w:t>is</w:t>
      </w:r>
      <w:r>
        <w:rPr>
          <w:spacing w:val="-4"/>
          <w:position w:val="2"/>
          <w:sz w:val="24"/>
        </w:rPr>
        <w:t> </w:t>
      </w:r>
      <w:r>
        <w:rPr>
          <w:position w:val="2"/>
          <w:sz w:val="24"/>
        </w:rPr>
        <w:t>no</w:t>
      </w:r>
      <w:r>
        <w:rPr>
          <w:spacing w:val="-4"/>
          <w:position w:val="2"/>
          <w:sz w:val="24"/>
        </w:rPr>
        <w:t> </w:t>
      </w:r>
      <w:r>
        <w:rPr>
          <w:position w:val="2"/>
          <w:sz w:val="24"/>
        </w:rPr>
        <w:t>significant</w:t>
      </w:r>
      <w:r>
        <w:rPr>
          <w:spacing w:val="-4"/>
          <w:position w:val="2"/>
          <w:sz w:val="24"/>
        </w:rPr>
        <w:t> </w:t>
      </w:r>
      <w:r>
        <w:rPr>
          <w:position w:val="2"/>
          <w:sz w:val="24"/>
        </w:rPr>
        <w:t>relationship</w:t>
      </w:r>
      <w:r>
        <w:rPr>
          <w:spacing w:val="-4"/>
          <w:position w:val="2"/>
          <w:sz w:val="24"/>
        </w:rPr>
        <w:t> </w:t>
      </w:r>
      <w:r>
        <w:rPr>
          <w:position w:val="2"/>
          <w:sz w:val="24"/>
        </w:rPr>
        <w:t>between</w:t>
      </w:r>
      <w:r>
        <w:rPr>
          <w:spacing w:val="-4"/>
          <w:position w:val="2"/>
          <w:sz w:val="24"/>
        </w:rPr>
        <w:t> </w:t>
      </w:r>
      <w:r>
        <w:rPr>
          <w:position w:val="2"/>
          <w:sz w:val="24"/>
        </w:rPr>
        <w:t>implementation</w:t>
      </w:r>
      <w:r>
        <w:rPr>
          <w:spacing w:val="-4"/>
          <w:position w:val="2"/>
          <w:sz w:val="24"/>
        </w:rPr>
        <w:t> </w:t>
      </w:r>
      <w:r>
        <w:rPr>
          <w:position w:val="2"/>
          <w:sz w:val="24"/>
        </w:rPr>
        <w:t>of</w:t>
      </w:r>
      <w:r>
        <w:rPr>
          <w:spacing w:val="-5"/>
          <w:position w:val="2"/>
          <w:sz w:val="24"/>
        </w:rPr>
        <w:t> </w:t>
      </w:r>
      <w:r>
        <w:rPr>
          <w:position w:val="2"/>
          <w:sz w:val="24"/>
        </w:rPr>
        <w:t>TQM</w:t>
      </w:r>
      <w:r>
        <w:rPr>
          <w:spacing w:val="-4"/>
          <w:position w:val="2"/>
          <w:sz w:val="24"/>
        </w:rPr>
        <w:t> </w:t>
      </w:r>
      <w:r>
        <w:rPr>
          <w:position w:val="2"/>
          <w:sz w:val="24"/>
        </w:rPr>
        <w:t>and </w:t>
      </w:r>
      <w:r>
        <w:rPr>
          <w:sz w:val="24"/>
        </w:rPr>
        <w:t>competitive advantage in South-East Nigeria.</w:t>
      </w:r>
    </w:p>
    <w:p>
      <w:pPr>
        <w:pStyle w:val="ListParagraph"/>
        <w:numPr>
          <w:ilvl w:val="0"/>
          <w:numId w:val="2"/>
        </w:numPr>
        <w:tabs>
          <w:tab w:pos="1479" w:val="left" w:leader="none"/>
          <w:tab w:pos="1530" w:val="left" w:leader="none"/>
        </w:tabs>
        <w:spacing w:line="477" w:lineRule="auto" w:before="3" w:after="0"/>
        <w:ind w:left="1479" w:right="1710" w:hanging="608"/>
        <w:jc w:val="left"/>
        <w:rPr>
          <w:sz w:val="24"/>
        </w:rPr>
      </w:pPr>
      <w:r>
        <w:rPr>
          <w:position w:val="2"/>
          <w:sz w:val="24"/>
        </w:rPr>
        <w:tab/>
        <w:t>H</w:t>
      </w:r>
      <w:r>
        <w:rPr>
          <w:sz w:val="16"/>
        </w:rPr>
        <w:t>0</w:t>
      </w:r>
      <w:r>
        <w:rPr>
          <w:position w:val="2"/>
          <w:sz w:val="24"/>
        </w:rPr>
        <w:t>:</w:t>
      </w:r>
      <w:r>
        <w:rPr>
          <w:spacing w:val="-4"/>
          <w:position w:val="2"/>
          <w:sz w:val="24"/>
        </w:rPr>
        <w:t> </w:t>
      </w:r>
      <w:r>
        <w:rPr>
          <w:position w:val="2"/>
          <w:sz w:val="24"/>
        </w:rPr>
        <w:t>There</w:t>
      </w:r>
      <w:r>
        <w:rPr>
          <w:spacing w:val="-5"/>
          <w:position w:val="2"/>
          <w:sz w:val="24"/>
        </w:rPr>
        <w:t> </w:t>
      </w:r>
      <w:r>
        <w:rPr>
          <w:position w:val="2"/>
          <w:sz w:val="24"/>
        </w:rPr>
        <w:t>is</w:t>
      </w:r>
      <w:r>
        <w:rPr>
          <w:spacing w:val="-4"/>
          <w:position w:val="2"/>
          <w:sz w:val="24"/>
        </w:rPr>
        <w:t> </w:t>
      </w:r>
      <w:r>
        <w:rPr>
          <w:position w:val="2"/>
          <w:sz w:val="24"/>
        </w:rPr>
        <w:t>no</w:t>
      </w:r>
      <w:r>
        <w:rPr>
          <w:spacing w:val="-4"/>
          <w:position w:val="2"/>
          <w:sz w:val="24"/>
        </w:rPr>
        <w:t> </w:t>
      </w:r>
      <w:r>
        <w:rPr>
          <w:position w:val="2"/>
          <w:sz w:val="24"/>
        </w:rPr>
        <w:t>significant</w:t>
      </w:r>
      <w:r>
        <w:rPr>
          <w:spacing w:val="-4"/>
          <w:position w:val="2"/>
          <w:sz w:val="24"/>
        </w:rPr>
        <w:t> </w:t>
      </w:r>
      <w:r>
        <w:rPr>
          <w:position w:val="2"/>
          <w:sz w:val="24"/>
        </w:rPr>
        <w:t>impact</w:t>
      </w:r>
      <w:r>
        <w:rPr>
          <w:spacing w:val="-4"/>
          <w:position w:val="2"/>
          <w:sz w:val="24"/>
        </w:rPr>
        <w:t> </w:t>
      </w:r>
      <w:r>
        <w:rPr>
          <w:position w:val="2"/>
          <w:sz w:val="24"/>
        </w:rPr>
        <w:t>between</w:t>
      </w:r>
      <w:r>
        <w:rPr>
          <w:spacing w:val="-2"/>
          <w:position w:val="2"/>
          <w:sz w:val="24"/>
        </w:rPr>
        <w:t> </w:t>
      </w:r>
      <w:r>
        <w:rPr>
          <w:position w:val="2"/>
          <w:sz w:val="24"/>
        </w:rPr>
        <w:t>companies’</w:t>
      </w:r>
      <w:r>
        <w:rPr>
          <w:spacing w:val="-5"/>
          <w:position w:val="2"/>
          <w:sz w:val="24"/>
        </w:rPr>
        <w:t> </w:t>
      </w:r>
      <w:r>
        <w:rPr>
          <w:position w:val="2"/>
          <w:sz w:val="24"/>
        </w:rPr>
        <w:t>strategies</w:t>
      </w:r>
      <w:r>
        <w:rPr>
          <w:spacing w:val="-4"/>
          <w:position w:val="2"/>
          <w:sz w:val="24"/>
        </w:rPr>
        <w:t> </w:t>
      </w:r>
      <w:r>
        <w:rPr>
          <w:position w:val="2"/>
          <w:sz w:val="24"/>
        </w:rPr>
        <w:t>and</w:t>
      </w:r>
      <w:r>
        <w:rPr>
          <w:spacing w:val="-4"/>
          <w:position w:val="2"/>
          <w:sz w:val="24"/>
        </w:rPr>
        <w:t> </w:t>
      </w:r>
      <w:r>
        <w:rPr>
          <w:position w:val="2"/>
          <w:sz w:val="24"/>
        </w:rPr>
        <w:t>competitive </w:t>
      </w:r>
      <w:r>
        <w:rPr>
          <w:sz w:val="24"/>
        </w:rPr>
        <w:t>advantages in South-East Nigeria.</w:t>
      </w:r>
    </w:p>
    <w:p>
      <w:pPr>
        <w:spacing w:after="0" w:line="477" w:lineRule="auto"/>
        <w:jc w:val="left"/>
        <w:rPr>
          <w:sz w:val="24"/>
        </w:rPr>
        <w:sectPr>
          <w:pgSz w:w="12240" w:h="15840"/>
          <w:pgMar w:header="0" w:footer="1017" w:top="1360" w:bottom="1200" w:left="1040" w:right="120"/>
        </w:sectPr>
      </w:pPr>
    </w:p>
    <w:p>
      <w:pPr>
        <w:pStyle w:val="Heading2"/>
        <w:numPr>
          <w:ilvl w:val="1"/>
          <w:numId w:val="1"/>
        </w:numPr>
        <w:tabs>
          <w:tab w:pos="1120" w:val="left" w:leader="none"/>
        </w:tabs>
        <w:spacing w:line="240" w:lineRule="auto" w:before="76" w:after="0"/>
        <w:ind w:left="1120" w:right="0" w:hanging="720"/>
        <w:jc w:val="both"/>
      </w:pPr>
      <w:r>
        <w:rPr/>
        <w:t>Scope</w:t>
      </w:r>
      <w:r>
        <w:rPr>
          <w:spacing w:val="-2"/>
        </w:rPr>
        <w:t> </w:t>
      </w:r>
      <w:r>
        <w:rPr/>
        <w:t>and </w:t>
      </w:r>
      <w:r>
        <w:rPr>
          <w:spacing w:val="-2"/>
        </w:rPr>
        <w:t>Delimitation</w:t>
      </w:r>
    </w:p>
    <w:p>
      <w:pPr>
        <w:pStyle w:val="BodyText"/>
        <w:spacing w:line="480" w:lineRule="auto" w:before="272"/>
        <w:ind w:left="399" w:right="1314"/>
        <w:jc w:val="both"/>
      </w:pPr>
      <w:r>
        <w:rPr/>
        <w:t>The research focused on developing an effective TQM model for SMCFs in South-East of Nigeria. The study holistically reviewed the concepts, principles, tools and techniques of TQM</w:t>
      </w:r>
      <w:r>
        <w:rPr>
          <w:spacing w:val="40"/>
        </w:rPr>
        <w:t> </w:t>
      </w:r>
      <w:r>
        <w:rPr/>
        <w:t>as well as comparison of different existing TQM frameworks and models such as the Deming Prize, MBNQA and EQA and other scholarly frameworks to understand the most common critical success factors (CSFs) for the construction sector aimed at achieving quality and efficiency within the SMCFs. After that, the research established a general TQM model to be </w:t>
      </w:r>
      <w:r>
        <w:rPr>
          <w:spacing w:val="-2"/>
        </w:rPr>
        <w:t>implemented.</w:t>
      </w:r>
    </w:p>
    <w:p>
      <w:pPr>
        <w:pStyle w:val="BodyText"/>
        <w:spacing w:line="480" w:lineRule="auto" w:before="199"/>
        <w:ind w:left="399" w:right="1314"/>
        <w:jc w:val="both"/>
      </w:pPr>
      <w:r>
        <w:rPr/>
        <w:t>Furthermore it studied the level of awareness and implementation of TQM by both SMCFs in South-East, Nigeria. It equally examined the effect of implementation of TQM company strategies and competitive advantages in south-east, Nigeria. The study assessed the state of</w:t>
      </w:r>
      <w:r>
        <w:rPr>
          <w:spacing w:val="40"/>
        </w:rPr>
        <w:t> </w:t>
      </w:r>
      <w:r>
        <w:rPr/>
        <w:t>some of the projects executed by some of those construction firms. Due to increase in construction firms in South-East and accessibility, the study covered only Small and Medium Construction firms who participated in executing government contracts in South-East states of Nigeria. The states include: Abia, Ebonyi and Enugu.</w:t>
      </w:r>
    </w:p>
    <w:p>
      <w:pPr>
        <w:pStyle w:val="BodyText"/>
        <w:spacing w:before="46"/>
      </w:pPr>
    </w:p>
    <w:p>
      <w:pPr>
        <w:pStyle w:val="BodyText"/>
        <w:spacing w:line="480" w:lineRule="auto"/>
        <w:ind w:left="400" w:right="1318"/>
        <w:jc w:val="both"/>
      </w:pPr>
      <w:r>
        <w:rPr/>
        <w:t>The clients under study include the state governments who awarded the contracts to the construction firms. In addition, Small and Medium Construction Scale Firms who are registered in South-East states will make up the target group.</w:t>
      </w:r>
    </w:p>
    <w:p>
      <w:pPr>
        <w:pStyle w:val="BodyText"/>
        <w:spacing w:before="53"/>
      </w:pPr>
    </w:p>
    <w:p>
      <w:pPr>
        <w:pStyle w:val="Heading2"/>
        <w:numPr>
          <w:ilvl w:val="1"/>
          <w:numId w:val="1"/>
        </w:numPr>
        <w:tabs>
          <w:tab w:pos="1180" w:val="left" w:leader="none"/>
        </w:tabs>
        <w:spacing w:line="240" w:lineRule="auto" w:before="0" w:after="0"/>
        <w:ind w:left="1180" w:right="0" w:hanging="780"/>
        <w:jc w:val="both"/>
      </w:pPr>
      <w:r>
        <w:rPr/>
        <w:t>Significance</w:t>
      </w:r>
      <w:r>
        <w:rPr>
          <w:spacing w:val="-3"/>
        </w:rPr>
        <w:t> </w:t>
      </w:r>
      <w:r>
        <w:rPr/>
        <w:t>of the</w:t>
      </w:r>
      <w:r>
        <w:rPr>
          <w:spacing w:val="-2"/>
        </w:rPr>
        <w:t> </w:t>
      </w:r>
      <w:r>
        <w:rPr>
          <w:spacing w:val="-4"/>
        </w:rPr>
        <w:t>Study</w:t>
      </w:r>
    </w:p>
    <w:p>
      <w:pPr>
        <w:pStyle w:val="BodyText"/>
        <w:spacing w:before="194"/>
        <w:rPr>
          <w:b/>
        </w:rPr>
      </w:pPr>
    </w:p>
    <w:p>
      <w:pPr>
        <w:pStyle w:val="BodyText"/>
        <w:spacing w:line="480" w:lineRule="auto" w:before="1"/>
        <w:ind w:left="400" w:right="1320"/>
        <w:jc w:val="both"/>
      </w:pPr>
      <w:r>
        <w:rPr/>
        <w:t>TQM has become one of the most successful practices in helping companies enhance competitiveness</w:t>
      </w:r>
      <w:r>
        <w:rPr>
          <w:spacing w:val="15"/>
        </w:rPr>
        <w:t> </w:t>
      </w:r>
      <w:r>
        <w:rPr/>
        <w:t>and</w:t>
      </w:r>
      <w:r>
        <w:rPr>
          <w:spacing w:val="17"/>
        </w:rPr>
        <w:t> </w:t>
      </w:r>
      <w:r>
        <w:rPr/>
        <w:t>prosperity</w:t>
      </w:r>
      <w:r>
        <w:rPr>
          <w:spacing w:val="12"/>
        </w:rPr>
        <w:t> </w:t>
      </w:r>
      <w:r>
        <w:rPr/>
        <w:t>through</w:t>
      </w:r>
      <w:r>
        <w:rPr>
          <w:spacing w:val="19"/>
        </w:rPr>
        <w:t> </w:t>
      </w:r>
      <w:r>
        <w:rPr/>
        <w:t>ensuring</w:t>
      </w:r>
      <w:r>
        <w:rPr>
          <w:spacing w:val="18"/>
        </w:rPr>
        <w:t> </w:t>
      </w:r>
      <w:r>
        <w:rPr/>
        <w:t>sustainable</w:t>
      </w:r>
      <w:r>
        <w:rPr>
          <w:spacing w:val="18"/>
        </w:rPr>
        <w:t> </w:t>
      </w:r>
      <w:r>
        <w:rPr/>
        <w:t>growth</w:t>
      </w:r>
      <w:r>
        <w:rPr>
          <w:spacing w:val="17"/>
        </w:rPr>
        <w:t> </w:t>
      </w:r>
      <w:r>
        <w:rPr/>
        <w:t>(Osayawe</w:t>
      </w:r>
      <w:r>
        <w:rPr>
          <w:spacing w:val="19"/>
        </w:rPr>
        <w:t> </w:t>
      </w:r>
      <w:r>
        <w:rPr/>
        <w:t>and</w:t>
      </w:r>
      <w:r>
        <w:rPr>
          <w:spacing w:val="18"/>
        </w:rPr>
        <w:t> </w:t>
      </w:r>
      <w:r>
        <w:rPr>
          <w:spacing w:val="-2"/>
        </w:rPr>
        <w:t>McAndrew,</w:t>
      </w:r>
    </w:p>
    <w:p>
      <w:pPr>
        <w:spacing w:after="0" w:line="480" w:lineRule="auto"/>
        <w:jc w:val="both"/>
        <w:sectPr>
          <w:pgSz w:w="12240" w:h="15840"/>
          <w:pgMar w:header="0" w:footer="1017" w:top="1360" w:bottom="1200" w:left="1040" w:right="120"/>
        </w:sectPr>
      </w:pPr>
    </w:p>
    <w:p>
      <w:pPr>
        <w:pStyle w:val="BodyText"/>
        <w:spacing w:line="482" w:lineRule="auto" w:before="72"/>
        <w:ind w:left="400" w:right="1319"/>
        <w:jc w:val="both"/>
      </w:pPr>
      <w:r>
        <w:rPr/>
        <w:t>2005). The effective implementation of TQM will also increase customer satisfaction with the service offerings (Omachonu and Ross, 1994).</w:t>
      </w:r>
    </w:p>
    <w:p>
      <w:pPr>
        <w:pStyle w:val="BodyText"/>
        <w:spacing w:line="480" w:lineRule="auto" w:before="193"/>
        <w:ind w:left="399" w:right="1314"/>
        <w:jc w:val="both"/>
      </w:pPr>
      <w:r>
        <w:rPr/>
        <w:t>The primary aim of every research is to contribute and update the existing knowledge on the subject under study. This research therefore is to be used by SMCFs in south-east Nigeria since the findings will provide knowledge of the significant of practicing TQM, so as to improve organizational strategies and competitive advantages. Policy makers can access necessary information that may be required to set up guidelines, rules and procedures that will regulate the practice, rules and procedures that will regulate the practice of Total Quality Management in the SMCFs in south-east Nigeria, to enhance competitive advantages.</w:t>
      </w:r>
    </w:p>
    <w:p>
      <w:pPr>
        <w:pStyle w:val="BodyText"/>
        <w:spacing w:before="46"/>
      </w:pPr>
    </w:p>
    <w:p>
      <w:pPr>
        <w:pStyle w:val="BodyText"/>
        <w:spacing w:line="480" w:lineRule="auto"/>
        <w:ind w:left="400" w:right="1317"/>
        <w:jc w:val="both"/>
      </w:pPr>
      <w:r>
        <w:rPr/>
        <w:t>The findings of this research ought to create theory in practice by providing information on the dimensions of total quality management practices that may be adopted as benchmarks and references by professionals and academicians.</w:t>
      </w:r>
    </w:p>
    <w:p>
      <w:pPr>
        <w:pStyle w:val="BodyText"/>
        <w:spacing w:line="480" w:lineRule="auto" w:before="1"/>
        <w:ind w:left="400" w:right="1320"/>
        <w:jc w:val="both"/>
      </w:pPr>
      <w:r>
        <w:rPr/>
        <w:t>Furthermore, the model that will be generated will not only help the SMCFs in Nigeria but can</w:t>
      </w:r>
      <w:r>
        <w:rPr>
          <w:spacing w:val="40"/>
        </w:rPr>
        <w:t> </w:t>
      </w:r>
      <w:r>
        <w:rPr/>
        <w:t>be applied in other developing countries where they have similar environment.</w:t>
      </w:r>
    </w:p>
    <w:p>
      <w:pPr>
        <w:pStyle w:val="BodyText"/>
        <w:spacing w:before="7"/>
      </w:pPr>
    </w:p>
    <w:p>
      <w:pPr>
        <w:pStyle w:val="Heading1"/>
        <w:numPr>
          <w:ilvl w:val="1"/>
          <w:numId w:val="1"/>
        </w:numPr>
        <w:tabs>
          <w:tab w:pos="918" w:val="left" w:leader="none"/>
        </w:tabs>
        <w:spacing w:line="240" w:lineRule="auto" w:before="0" w:after="0"/>
        <w:ind w:left="918" w:right="0" w:hanging="518"/>
        <w:jc w:val="left"/>
      </w:pPr>
      <w:r>
        <w:rPr/>
        <w:t>Limitations</w:t>
      </w:r>
      <w:r>
        <w:rPr>
          <w:spacing w:val="-4"/>
        </w:rPr>
        <w:t> </w:t>
      </w:r>
      <w:r>
        <w:rPr/>
        <w:t>of</w:t>
      </w:r>
      <w:r>
        <w:rPr>
          <w:spacing w:val="-7"/>
        </w:rPr>
        <w:t> </w:t>
      </w:r>
      <w:r>
        <w:rPr/>
        <w:t>the</w:t>
      </w:r>
      <w:r>
        <w:rPr>
          <w:spacing w:val="-6"/>
        </w:rPr>
        <w:t> </w:t>
      </w:r>
      <w:r>
        <w:rPr>
          <w:spacing w:val="-4"/>
        </w:rPr>
        <w:t>Study</w:t>
      </w:r>
    </w:p>
    <w:p>
      <w:pPr>
        <w:pStyle w:val="BodyText"/>
        <w:spacing w:before="291"/>
        <w:ind w:left="400"/>
        <w:jc w:val="both"/>
      </w:pPr>
      <w:r>
        <w:rPr/>
        <w:t>The</w:t>
      </w:r>
      <w:r>
        <w:rPr>
          <w:spacing w:val="-2"/>
        </w:rPr>
        <w:t> </w:t>
      </w:r>
      <w:r>
        <w:rPr/>
        <w:t>following</w:t>
      </w:r>
      <w:r>
        <w:rPr>
          <w:spacing w:val="-4"/>
        </w:rPr>
        <w:t> </w:t>
      </w:r>
      <w:r>
        <w:rPr/>
        <w:t>limitations were encountered by</w:t>
      </w:r>
      <w:r>
        <w:rPr>
          <w:spacing w:val="-6"/>
        </w:rPr>
        <w:t> </w:t>
      </w:r>
      <w:r>
        <w:rPr/>
        <w:t>the</w:t>
      </w:r>
      <w:r>
        <w:rPr>
          <w:spacing w:val="1"/>
        </w:rPr>
        <w:t> </w:t>
      </w:r>
      <w:r>
        <w:rPr/>
        <w:t>researcher</w:t>
      </w:r>
      <w:r>
        <w:rPr>
          <w:spacing w:val="-2"/>
        </w:rPr>
        <w:t> </w:t>
      </w:r>
      <w:r>
        <w:rPr/>
        <w:t>in the</w:t>
      </w:r>
      <w:r>
        <w:rPr>
          <w:spacing w:val="-2"/>
        </w:rPr>
        <w:t> </w:t>
      </w:r>
      <w:r>
        <w:rPr/>
        <w:t>cause</w:t>
      </w:r>
      <w:r>
        <w:rPr>
          <w:spacing w:val="-1"/>
        </w:rPr>
        <w:t> </w:t>
      </w:r>
      <w:r>
        <w:rPr/>
        <w:t>of</w:t>
      </w:r>
      <w:r>
        <w:rPr>
          <w:spacing w:val="-2"/>
        </w:rPr>
        <w:t> </w:t>
      </w:r>
      <w:r>
        <w:rPr/>
        <w:t>this </w:t>
      </w:r>
      <w:r>
        <w:rPr>
          <w:spacing w:val="-2"/>
        </w:rPr>
        <w:t>research:</w:t>
      </w:r>
    </w:p>
    <w:p>
      <w:pPr>
        <w:pStyle w:val="BodyText"/>
        <w:spacing w:before="214"/>
      </w:pPr>
    </w:p>
    <w:p>
      <w:pPr>
        <w:pStyle w:val="ListParagraph"/>
        <w:numPr>
          <w:ilvl w:val="0"/>
          <w:numId w:val="3"/>
        </w:numPr>
        <w:tabs>
          <w:tab w:pos="1118" w:val="left" w:leader="none"/>
        </w:tabs>
        <w:spacing w:line="240" w:lineRule="auto" w:before="0" w:after="0"/>
        <w:ind w:left="1118" w:right="0" w:hanging="358"/>
        <w:jc w:val="left"/>
        <w:rPr>
          <w:sz w:val="24"/>
        </w:rPr>
      </w:pPr>
      <w:r>
        <w:rPr>
          <w:sz w:val="24"/>
        </w:rPr>
        <w:t>This</w:t>
      </w:r>
      <w:r>
        <w:rPr>
          <w:spacing w:val="-4"/>
          <w:sz w:val="24"/>
        </w:rPr>
        <w:t> </w:t>
      </w:r>
      <w:r>
        <w:rPr>
          <w:sz w:val="24"/>
        </w:rPr>
        <w:t>research</w:t>
      </w:r>
      <w:r>
        <w:rPr>
          <w:spacing w:val="-2"/>
          <w:sz w:val="24"/>
        </w:rPr>
        <w:t> </w:t>
      </w:r>
      <w:r>
        <w:rPr>
          <w:sz w:val="24"/>
        </w:rPr>
        <w:t>work</w:t>
      </w:r>
      <w:r>
        <w:rPr>
          <w:spacing w:val="-1"/>
          <w:sz w:val="24"/>
        </w:rPr>
        <w:t> </w:t>
      </w:r>
      <w:r>
        <w:rPr>
          <w:sz w:val="24"/>
        </w:rPr>
        <w:t>is</w:t>
      </w:r>
      <w:r>
        <w:rPr>
          <w:spacing w:val="-2"/>
          <w:sz w:val="24"/>
        </w:rPr>
        <w:t> </w:t>
      </w:r>
      <w:r>
        <w:rPr>
          <w:sz w:val="24"/>
        </w:rPr>
        <w:t>limited</w:t>
      </w:r>
      <w:r>
        <w:rPr>
          <w:spacing w:val="-2"/>
          <w:sz w:val="24"/>
        </w:rPr>
        <w:t> </w:t>
      </w:r>
      <w:r>
        <w:rPr>
          <w:sz w:val="24"/>
        </w:rPr>
        <w:t>to</w:t>
      </w:r>
      <w:r>
        <w:rPr>
          <w:spacing w:val="-1"/>
          <w:sz w:val="24"/>
        </w:rPr>
        <w:t> </w:t>
      </w:r>
      <w:r>
        <w:rPr>
          <w:sz w:val="24"/>
        </w:rPr>
        <w:t>south-east</w:t>
      </w:r>
      <w:r>
        <w:rPr>
          <w:spacing w:val="-2"/>
          <w:sz w:val="24"/>
        </w:rPr>
        <w:t> </w:t>
      </w:r>
      <w:r>
        <w:rPr>
          <w:sz w:val="24"/>
        </w:rPr>
        <w:t>Nigeria</w:t>
      </w:r>
      <w:r>
        <w:rPr>
          <w:spacing w:val="-1"/>
          <w:sz w:val="24"/>
        </w:rPr>
        <w:t> </w:t>
      </w:r>
      <w:r>
        <w:rPr>
          <w:sz w:val="24"/>
        </w:rPr>
        <w:t>and</w:t>
      </w:r>
      <w:r>
        <w:rPr>
          <w:spacing w:val="-1"/>
          <w:sz w:val="24"/>
        </w:rPr>
        <w:t> </w:t>
      </w:r>
      <w:r>
        <w:rPr>
          <w:sz w:val="24"/>
        </w:rPr>
        <w:t>therefore</w:t>
      </w:r>
      <w:r>
        <w:rPr>
          <w:spacing w:val="-3"/>
          <w:sz w:val="24"/>
        </w:rPr>
        <w:t> </w:t>
      </w:r>
      <w:r>
        <w:rPr>
          <w:sz w:val="24"/>
        </w:rPr>
        <w:t>lacks</w:t>
      </w:r>
      <w:r>
        <w:rPr>
          <w:spacing w:val="1"/>
          <w:sz w:val="24"/>
        </w:rPr>
        <w:t> </w:t>
      </w:r>
      <w:r>
        <w:rPr>
          <w:spacing w:val="-2"/>
          <w:sz w:val="24"/>
        </w:rPr>
        <w:t>generalization.</w:t>
      </w:r>
    </w:p>
    <w:p>
      <w:pPr>
        <w:pStyle w:val="BodyText"/>
      </w:pPr>
    </w:p>
    <w:p>
      <w:pPr>
        <w:pStyle w:val="ListParagraph"/>
        <w:numPr>
          <w:ilvl w:val="0"/>
          <w:numId w:val="3"/>
        </w:numPr>
        <w:tabs>
          <w:tab w:pos="1118" w:val="left" w:leader="none"/>
          <w:tab w:pos="1480" w:val="left" w:leader="none"/>
        </w:tabs>
        <w:spacing w:line="480" w:lineRule="auto" w:before="0" w:after="0"/>
        <w:ind w:left="1480" w:right="1315" w:hanging="720"/>
        <w:jc w:val="both"/>
        <w:rPr>
          <w:sz w:val="24"/>
        </w:rPr>
      </w:pPr>
      <w:r>
        <w:rPr>
          <w:sz w:val="24"/>
        </w:rPr>
        <w:t>This research work focuses on limited variables in order to measure competitive advantage.</w:t>
      </w:r>
      <w:r>
        <w:rPr>
          <w:spacing w:val="40"/>
          <w:sz w:val="24"/>
        </w:rPr>
        <w:t> </w:t>
      </w:r>
      <w:r>
        <w:rPr>
          <w:sz w:val="24"/>
        </w:rPr>
        <w:t>There could be more variables used to measure and evaluate competitive </w:t>
      </w:r>
      <w:r>
        <w:rPr>
          <w:spacing w:val="-2"/>
          <w:sz w:val="24"/>
        </w:rPr>
        <w:t>advantage.</w:t>
      </w:r>
    </w:p>
    <w:p>
      <w:pPr>
        <w:pStyle w:val="ListParagraph"/>
        <w:numPr>
          <w:ilvl w:val="0"/>
          <w:numId w:val="3"/>
        </w:numPr>
        <w:tabs>
          <w:tab w:pos="1117" w:val="left" w:leader="none"/>
          <w:tab w:pos="1480" w:val="left" w:leader="none"/>
        </w:tabs>
        <w:spacing w:line="480" w:lineRule="auto" w:before="0" w:after="0"/>
        <w:ind w:left="1480" w:right="1316" w:hanging="720"/>
        <w:jc w:val="both"/>
        <w:rPr>
          <w:sz w:val="22"/>
        </w:rPr>
      </w:pPr>
      <w:r>
        <w:rPr>
          <w:sz w:val="24"/>
        </w:rPr>
        <w:t>The small and medium construction firms that made up the population were limited to those who had registered with the South-East government between 2017 to 2018.</w:t>
      </w:r>
    </w:p>
    <w:p>
      <w:pPr>
        <w:spacing w:after="0" w:line="480" w:lineRule="auto"/>
        <w:jc w:val="both"/>
        <w:rPr>
          <w:sz w:val="22"/>
        </w:rPr>
        <w:sectPr>
          <w:pgSz w:w="12240" w:h="15840"/>
          <w:pgMar w:header="0" w:footer="1017" w:top="1360" w:bottom="1200" w:left="1040" w:right="120"/>
        </w:sectPr>
      </w:pPr>
    </w:p>
    <w:p>
      <w:pPr>
        <w:pStyle w:val="ListParagraph"/>
        <w:numPr>
          <w:ilvl w:val="0"/>
          <w:numId w:val="3"/>
        </w:numPr>
        <w:tabs>
          <w:tab w:pos="1117" w:val="left" w:leader="none"/>
          <w:tab w:pos="1479" w:val="left" w:leader="none"/>
        </w:tabs>
        <w:spacing w:line="480" w:lineRule="auto" w:before="72" w:after="0"/>
        <w:ind w:left="1479" w:right="1316" w:hanging="720"/>
        <w:jc w:val="both"/>
        <w:rPr>
          <w:sz w:val="22"/>
        </w:rPr>
      </w:pPr>
      <w:r>
        <w:rPr>
          <w:sz w:val="24"/>
        </w:rPr>
        <w:t>There was the problem of data collection from offices due to excessive bureaucratic bottlenecks of the public sector and ‘official secret syndrome’, especially concerning the registered firms in their various states. During the oral interviews, there was also lack of co-operation of some</w:t>
      </w:r>
      <w:r>
        <w:rPr>
          <w:spacing w:val="-1"/>
          <w:sz w:val="24"/>
        </w:rPr>
        <w:t> </w:t>
      </w:r>
      <w:r>
        <w:rPr>
          <w:sz w:val="24"/>
        </w:rPr>
        <w:t>staff of small and medium construction firms who failed to understand the purpose of the research.</w:t>
      </w:r>
      <w:r>
        <w:rPr>
          <w:spacing w:val="40"/>
          <w:sz w:val="24"/>
        </w:rPr>
        <w:t> </w:t>
      </w:r>
      <w:r>
        <w:rPr>
          <w:sz w:val="24"/>
        </w:rPr>
        <w:t>They became either sceptical or reluctant and suspicious when questions on quality issues were asked, especially when it concerns the management of their firms.</w:t>
      </w:r>
      <w:r>
        <w:rPr>
          <w:spacing w:val="80"/>
          <w:sz w:val="24"/>
        </w:rPr>
        <w:t> </w:t>
      </w:r>
      <w:r>
        <w:rPr>
          <w:sz w:val="24"/>
        </w:rPr>
        <w:t>This would have affected the work,</w:t>
      </w:r>
      <w:r>
        <w:rPr>
          <w:spacing w:val="40"/>
          <w:sz w:val="24"/>
        </w:rPr>
        <w:t> </w:t>
      </w:r>
      <w:r>
        <w:rPr>
          <w:sz w:val="24"/>
        </w:rPr>
        <w:t>however to overcome it, an introductory letter was drafted by the researcher’s school introducing the researcher as their student and indicated that it was for academic purposes. In addition the respondents were told that they can be anonymous if</w:t>
      </w:r>
      <w:r>
        <w:rPr>
          <w:spacing w:val="40"/>
          <w:sz w:val="24"/>
        </w:rPr>
        <w:t> </w:t>
      </w:r>
      <w:r>
        <w:rPr>
          <w:sz w:val="24"/>
        </w:rPr>
        <w:t>desired. This helped in reducing their fears and made them to be more relaxed in realising information.</w:t>
      </w:r>
    </w:p>
    <w:p>
      <w:pPr>
        <w:pStyle w:val="ListParagraph"/>
        <w:numPr>
          <w:ilvl w:val="0"/>
          <w:numId w:val="3"/>
        </w:numPr>
        <w:tabs>
          <w:tab w:pos="1117" w:val="left" w:leader="none"/>
          <w:tab w:pos="1479" w:val="left" w:leader="none"/>
        </w:tabs>
        <w:spacing w:line="480" w:lineRule="auto" w:before="2" w:after="0"/>
        <w:ind w:left="1479" w:right="1316" w:hanging="720"/>
        <w:jc w:val="both"/>
        <w:rPr>
          <w:sz w:val="22"/>
        </w:rPr>
      </w:pPr>
      <w:r>
        <w:rPr>
          <w:sz w:val="22"/>
        </w:rPr>
        <w:t>Having less access to customers of firms was another limitation for this study.</w:t>
      </w:r>
      <w:r>
        <w:rPr>
          <w:spacing w:val="40"/>
          <w:sz w:val="22"/>
        </w:rPr>
        <w:t> </w:t>
      </w:r>
      <w:r>
        <w:rPr>
          <w:sz w:val="22"/>
        </w:rPr>
        <w:t>A</w:t>
      </w:r>
      <w:r>
        <w:rPr>
          <w:spacing w:val="40"/>
          <w:sz w:val="22"/>
        </w:rPr>
        <w:t> </w:t>
      </w:r>
      <w:r>
        <w:rPr>
          <w:sz w:val="22"/>
        </w:rPr>
        <w:t>few firms generously</w:t>
      </w:r>
      <w:r>
        <w:rPr>
          <w:spacing w:val="-2"/>
          <w:sz w:val="22"/>
        </w:rPr>
        <w:t> </w:t>
      </w:r>
      <w:r>
        <w:rPr>
          <w:sz w:val="22"/>
        </w:rPr>
        <w:t>agreed to contact and ask</w:t>
      </w:r>
      <w:r>
        <w:rPr>
          <w:spacing w:val="40"/>
          <w:sz w:val="22"/>
        </w:rPr>
        <w:t> </w:t>
      </w:r>
      <w:r>
        <w:rPr>
          <w:sz w:val="22"/>
        </w:rPr>
        <w:t>questions</w:t>
      </w:r>
      <w:r>
        <w:rPr>
          <w:spacing w:val="-2"/>
          <w:sz w:val="22"/>
        </w:rPr>
        <w:t> </w:t>
      </w:r>
      <w:r>
        <w:rPr>
          <w:sz w:val="22"/>
        </w:rPr>
        <w:t>from</w:t>
      </w:r>
      <w:r>
        <w:rPr>
          <w:spacing w:val="-4"/>
          <w:sz w:val="22"/>
        </w:rPr>
        <w:t> </w:t>
      </w:r>
      <w:r>
        <w:rPr>
          <w:sz w:val="22"/>
        </w:rPr>
        <w:t>their</w:t>
      </w:r>
      <w:r>
        <w:rPr>
          <w:spacing w:val="-1"/>
          <w:sz w:val="22"/>
        </w:rPr>
        <w:t> </w:t>
      </w:r>
      <w:r>
        <w:rPr>
          <w:sz w:val="22"/>
        </w:rPr>
        <w:t>customers</w:t>
      </w:r>
      <w:r>
        <w:rPr>
          <w:spacing w:val="40"/>
          <w:sz w:val="22"/>
        </w:rPr>
        <w:t> </w:t>
      </w:r>
      <w:r>
        <w:rPr>
          <w:sz w:val="22"/>
        </w:rPr>
        <w:t>that</w:t>
      </w:r>
      <w:r>
        <w:rPr>
          <w:spacing w:val="40"/>
          <w:sz w:val="22"/>
        </w:rPr>
        <w:t> </w:t>
      </w:r>
      <w:r>
        <w:rPr>
          <w:sz w:val="22"/>
        </w:rPr>
        <w:t>the</w:t>
      </w:r>
      <w:r>
        <w:rPr>
          <w:spacing w:val="-2"/>
          <w:sz w:val="22"/>
        </w:rPr>
        <w:t> </w:t>
      </w:r>
      <w:r>
        <w:rPr>
          <w:sz w:val="22"/>
        </w:rPr>
        <w:t>researcher</w:t>
      </w:r>
      <w:r>
        <w:rPr>
          <w:spacing w:val="-1"/>
          <w:sz w:val="22"/>
        </w:rPr>
        <w:t> </w:t>
      </w:r>
      <w:r>
        <w:rPr>
          <w:sz w:val="22"/>
        </w:rPr>
        <w:t>will like to express profound gratitude to them</w:t>
      </w:r>
    </w:p>
    <w:p>
      <w:pPr>
        <w:pStyle w:val="ListParagraph"/>
        <w:numPr>
          <w:ilvl w:val="0"/>
          <w:numId w:val="3"/>
        </w:numPr>
        <w:tabs>
          <w:tab w:pos="1118" w:val="left" w:leader="none"/>
          <w:tab w:pos="1480" w:val="left" w:leader="none"/>
        </w:tabs>
        <w:spacing w:line="480" w:lineRule="auto" w:before="0" w:after="0"/>
        <w:ind w:left="1480" w:right="1316" w:hanging="720"/>
        <w:jc w:val="both"/>
        <w:rPr>
          <w:sz w:val="22"/>
        </w:rPr>
      </w:pPr>
      <w:r>
        <w:rPr>
          <w:sz w:val="24"/>
        </w:rPr>
        <w:t>There was also limited publication and empirical researches on development of total quality management for small and medium construction firms, especially in developing</w:t>
      </w:r>
      <w:r>
        <w:rPr>
          <w:spacing w:val="-2"/>
          <w:sz w:val="24"/>
        </w:rPr>
        <w:t> </w:t>
      </w:r>
      <w:r>
        <w:rPr>
          <w:sz w:val="24"/>
        </w:rPr>
        <w:t>country</w:t>
      </w:r>
      <w:r>
        <w:rPr>
          <w:spacing w:val="-4"/>
          <w:sz w:val="24"/>
        </w:rPr>
        <w:t> </w:t>
      </w:r>
      <w:r>
        <w:rPr>
          <w:sz w:val="24"/>
        </w:rPr>
        <w:t>like</w:t>
      </w:r>
      <w:r>
        <w:rPr>
          <w:spacing w:val="-1"/>
          <w:sz w:val="24"/>
        </w:rPr>
        <w:t> </w:t>
      </w:r>
      <w:r>
        <w:rPr>
          <w:sz w:val="24"/>
        </w:rPr>
        <w:t>Nigeria. Most publications and researches focused</w:t>
      </w:r>
      <w:r>
        <w:rPr>
          <w:spacing w:val="-2"/>
          <w:sz w:val="24"/>
        </w:rPr>
        <w:t> </w:t>
      </w:r>
      <w:r>
        <w:rPr>
          <w:sz w:val="24"/>
        </w:rPr>
        <w:t>on general total quality management model in construction industry as a whole, and do not specifically address the small and medium construction firms.</w:t>
      </w:r>
    </w:p>
    <w:p>
      <w:pPr>
        <w:pStyle w:val="ListParagraph"/>
        <w:numPr>
          <w:ilvl w:val="0"/>
          <w:numId w:val="3"/>
        </w:numPr>
        <w:tabs>
          <w:tab w:pos="1478" w:val="left" w:leader="none"/>
          <w:tab w:pos="1480" w:val="left" w:leader="none"/>
        </w:tabs>
        <w:spacing w:line="480" w:lineRule="auto" w:before="0" w:after="0"/>
        <w:ind w:left="1480" w:right="1317" w:hanging="720"/>
        <w:jc w:val="both"/>
        <w:rPr>
          <w:sz w:val="22"/>
        </w:rPr>
      </w:pPr>
      <w:r>
        <w:rPr>
          <w:sz w:val="24"/>
        </w:rPr>
        <w:t>Due to the fact that the research was simultaneously conducted at Abia, Ebonyi and Enugu respectively, more personnel (research assistants) were needed to administer the questionnaires, which gave rise to some financial constraints and delays. Some questionnaires were lost in the hands of the respondents, though they were replaced.</w:t>
      </w:r>
    </w:p>
    <w:p>
      <w:pPr>
        <w:spacing w:after="0" w:line="480" w:lineRule="auto"/>
        <w:jc w:val="both"/>
        <w:rPr>
          <w:sz w:val="22"/>
        </w:rPr>
        <w:sectPr>
          <w:pgSz w:w="12240" w:h="15840"/>
          <w:pgMar w:header="0" w:footer="1017" w:top="1360" w:bottom="1200" w:left="1040" w:right="120"/>
        </w:sectPr>
      </w:pPr>
    </w:p>
    <w:p>
      <w:pPr>
        <w:pStyle w:val="Heading2"/>
        <w:numPr>
          <w:ilvl w:val="1"/>
          <w:numId w:val="1"/>
        </w:numPr>
        <w:tabs>
          <w:tab w:pos="1120" w:val="left" w:leader="none"/>
        </w:tabs>
        <w:spacing w:line="240" w:lineRule="auto" w:before="76" w:after="0"/>
        <w:ind w:left="1120" w:right="0" w:hanging="720"/>
        <w:jc w:val="both"/>
      </w:pPr>
      <w:r>
        <w:rPr/>
        <w:t>Assumptions</w:t>
      </w:r>
      <w:r>
        <w:rPr>
          <w:spacing w:val="-3"/>
        </w:rPr>
        <w:t> </w:t>
      </w:r>
      <w:r>
        <w:rPr/>
        <w:t>of</w:t>
      </w:r>
      <w:r>
        <w:rPr>
          <w:spacing w:val="-1"/>
        </w:rPr>
        <w:t> </w:t>
      </w:r>
      <w:r>
        <w:rPr/>
        <w:t>the</w:t>
      </w:r>
      <w:r>
        <w:rPr>
          <w:spacing w:val="-3"/>
        </w:rPr>
        <w:t> </w:t>
      </w:r>
      <w:r>
        <w:rPr>
          <w:spacing w:val="-4"/>
        </w:rPr>
        <w:t>Study</w:t>
      </w:r>
    </w:p>
    <w:p>
      <w:pPr>
        <w:pStyle w:val="BodyText"/>
        <w:spacing w:line="480" w:lineRule="auto" w:before="272"/>
        <w:ind w:left="400" w:right="1319"/>
        <w:jc w:val="both"/>
      </w:pPr>
      <w:r>
        <w:rPr/>
        <w:t>According to Leedy and Ormrod, (2010), assumptions are conditions that are taken for granted. The underlying assumption was therefore made and held constant in carrying out this research. That is; there is need for small and medium construction firms in South-East Nigeria to require and operate a TQM model for competitive advantage and effective service delivery.</w:t>
      </w:r>
    </w:p>
    <w:p>
      <w:pPr>
        <w:pStyle w:val="Heading2"/>
        <w:numPr>
          <w:ilvl w:val="1"/>
          <w:numId w:val="1"/>
        </w:numPr>
        <w:tabs>
          <w:tab w:pos="1120" w:val="left" w:leader="none"/>
        </w:tabs>
        <w:spacing w:line="240" w:lineRule="auto" w:before="235" w:after="0"/>
        <w:ind w:left="1120" w:right="0" w:hanging="720"/>
        <w:jc w:val="both"/>
      </w:pPr>
      <w:r>
        <w:rPr/>
        <w:t>Area</w:t>
      </w:r>
      <w:r>
        <w:rPr>
          <w:spacing w:val="-4"/>
        </w:rPr>
        <w:t> </w:t>
      </w:r>
      <w:r>
        <w:rPr/>
        <w:t>of </w:t>
      </w:r>
      <w:r>
        <w:rPr>
          <w:spacing w:val="-4"/>
        </w:rPr>
        <w:t>Study</w:t>
      </w:r>
    </w:p>
    <w:p>
      <w:pPr>
        <w:pStyle w:val="BodyText"/>
        <w:spacing w:before="271"/>
        <w:ind w:left="400"/>
        <w:jc w:val="both"/>
      </w:pPr>
      <w:r>
        <w:rPr/>
        <w:t>The</w:t>
      </w:r>
      <w:r>
        <w:rPr>
          <w:spacing w:val="-2"/>
        </w:rPr>
        <w:t> </w:t>
      </w:r>
      <w:r>
        <w:rPr/>
        <w:t>study</w:t>
      </w:r>
      <w:r>
        <w:rPr>
          <w:spacing w:val="-6"/>
        </w:rPr>
        <w:t> </w:t>
      </w:r>
      <w:r>
        <w:rPr/>
        <w:t>was</w:t>
      </w:r>
      <w:r>
        <w:rPr>
          <w:spacing w:val="-1"/>
        </w:rPr>
        <w:t> </w:t>
      </w:r>
      <w:r>
        <w:rPr/>
        <w:t>carried</w:t>
      </w:r>
      <w:r>
        <w:rPr>
          <w:spacing w:val="-1"/>
        </w:rPr>
        <w:t> </w:t>
      </w:r>
      <w:r>
        <w:rPr/>
        <w:t>out</w:t>
      </w:r>
      <w:r>
        <w:rPr>
          <w:spacing w:val="-1"/>
        </w:rPr>
        <w:t> </w:t>
      </w:r>
      <w:r>
        <w:rPr/>
        <w:t>in</w:t>
      </w:r>
      <w:r>
        <w:rPr>
          <w:spacing w:val="-1"/>
        </w:rPr>
        <w:t> </w:t>
      </w:r>
      <w:r>
        <w:rPr/>
        <w:t>South-East</w:t>
      </w:r>
      <w:r>
        <w:rPr>
          <w:spacing w:val="-1"/>
        </w:rPr>
        <w:t> </w:t>
      </w:r>
      <w:r>
        <w:rPr/>
        <w:t>region</w:t>
      </w:r>
      <w:r>
        <w:rPr>
          <w:spacing w:val="-1"/>
        </w:rPr>
        <w:t> </w:t>
      </w:r>
      <w:r>
        <w:rPr/>
        <w:t>of</w:t>
      </w:r>
      <w:r>
        <w:rPr>
          <w:spacing w:val="1"/>
        </w:rPr>
        <w:t> </w:t>
      </w:r>
      <w:r>
        <w:rPr>
          <w:spacing w:val="-2"/>
        </w:rPr>
        <w:t>Nigeria.</w:t>
      </w:r>
    </w:p>
    <w:p>
      <w:pPr>
        <w:pStyle w:val="BodyText"/>
      </w:pPr>
    </w:p>
    <w:p>
      <w:pPr>
        <w:pStyle w:val="BodyText"/>
        <w:spacing w:line="480" w:lineRule="auto"/>
        <w:ind w:left="399" w:right="1316"/>
        <w:jc w:val="both"/>
      </w:pPr>
      <w:r>
        <w:rPr/>
        <w:t>South-Eastern Nigeria</w:t>
      </w:r>
      <w:r>
        <w:rPr>
          <w:spacing w:val="-3"/>
        </w:rPr>
        <w:t> </w:t>
      </w:r>
      <w:r>
        <w:rPr/>
        <w:t>was one of the initial 12 states created during the Nigerian Civil War, which</w:t>
      </w:r>
      <w:r>
        <w:rPr>
          <w:spacing w:val="-2"/>
        </w:rPr>
        <w:t> </w:t>
      </w:r>
      <w:r>
        <w:rPr/>
        <w:t>later broke</w:t>
      </w:r>
      <w:r>
        <w:rPr>
          <w:spacing w:val="-3"/>
        </w:rPr>
        <w:t> </w:t>
      </w:r>
      <w:r>
        <w:rPr/>
        <w:t>into the present Akwa Ibom State and Cross River States respectively. South- East became the name of one of the six geo-political zones in the country</w:t>
      </w:r>
      <w:r>
        <w:rPr>
          <w:spacing w:val="-5"/>
        </w:rPr>
        <w:t> </w:t>
      </w:r>
      <w:r>
        <w:rPr/>
        <w:t>in the 1990s consisting of Abia State, Anambra State, Ebonyi State, Enugu State and Imo State. The local language in this region is Igbo.</w:t>
      </w:r>
    </w:p>
    <w:p>
      <w:pPr>
        <w:pStyle w:val="BodyText"/>
        <w:spacing w:line="480" w:lineRule="auto" w:before="1"/>
        <w:ind w:left="399" w:right="1318"/>
        <w:jc w:val="both"/>
      </w:pPr>
      <w:r>
        <w:rPr/>
        <w:t>According to Igbokwe (2007), South-East region is located between latitudes 04</w:t>
      </w:r>
      <w:r>
        <w:rPr>
          <w:vertAlign w:val="superscript"/>
        </w:rPr>
        <w:t>0</w:t>
      </w:r>
      <w:r>
        <w:rPr>
          <w:vertAlign w:val="baseline"/>
        </w:rPr>
        <w:t> 30’N and 07</w:t>
      </w:r>
      <w:r>
        <w:rPr>
          <w:vertAlign w:val="superscript"/>
        </w:rPr>
        <w:t>0</w:t>
      </w:r>
      <w:r>
        <w:rPr>
          <w:vertAlign w:val="baseline"/>
        </w:rPr>
        <w:t> 30’N and longitude 06</w:t>
      </w:r>
      <w:r>
        <w:rPr>
          <w:vertAlign w:val="superscript"/>
        </w:rPr>
        <w:t>0</w:t>
      </w:r>
      <w:r>
        <w:rPr>
          <w:vertAlign w:val="baseline"/>
        </w:rPr>
        <w:t> 45’É and 08</w:t>
      </w:r>
      <w:r>
        <w:rPr>
          <w:vertAlign w:val="superscript"/>
        </w:rPr>
        <w:t>0</w:t>
      </w:r>
      <w:r>
        <w:rPr>
          <w:vertAlign w:val="baseline"/>
        </w:rPr>
        <w:t> 45’E. The region is bounded in the North-West by Kogi</w:t>
      </w:r>
      <w:r>
        <w:rPr>
          <w:spacing w:val="40"/>
          <w:vertAlign w:val="baseline"/>
        </w:rPr>
        <w:t> </w:t>
      </w:r>
      <w:r>
        <w:rPr>
          <w:vertAlign w:val="baseline"/>
        </w:rPr>
        <w:t>and Benue</w:t>
      </w:r>
      <w:r>
        <w:rPr>
          <w:spacing w:val="-1"/>
          <w:vertAlign w:val="baseline"/>
        </w:rPr>
        <w:t> </w:t>
      </w:r>
      <w:r>
        <w:rPr>
          <w:vertAlign w:val="baseline"/>
        </w:rPr>
        <w:t>States, in the</w:t>
      </w:r>
      <w:r>
        <w:rPr>
          <w:spacing w:val="-3"/>
          <w:vertAlign w:val="baseline"/>
        </w:rPr>
        <w:t> </w:t>
      </w:r>
      <w:r>
        <w:rPr>
          <w:vertAlign w:val="baseline"/>
        </w:rPr>
        <w:t>North-East by</w:t>
      </w:r>
      <w:r>
        <w:rPr>
          <w:spacing w:val="-5"/>
          <w:vertAlign w:val="baseline"/>
        </w:rPr>
        <w:t> </w:t>
      </w:r>
      <w:r>
        <w:rPr>
          <w:vertAlign w:val="baseline"/>
        </w:rPr>
        <w:t>Cross River</w:t>
      </w:r>
      <w:r>
        <w:rPr>
          <w:spacing w:val="-1"/>
          <w:vertAlign w:val="baseline"/>
        </w:rPr>
        <w:t> </w:t>
      </w:r>
      <w:r>
        <w:rPr>
          <w:vertAlign w:val="baseline"/>
        </w:rPr>
        <w:t>State, in the</w:t>
      </w:r>
      <w:r>
        <w:rPr>
          <w:spacing w:val="-3"/>
          <w:vertAlign w:val="baseline"/>
        </w:rPr>
        <w:t> </w:t>
      </w:r>
      <w:r>
        <w:rPr>
          <w:vertAlign w:val="baseline"/>
        </w:rPr>
        <w:t>South by</w:t>
      </w:r>
      <w:r>
        <w:rPr>
          <w:spacing w:val="-7"/>
          <w:vertAlign w:val="baseline"/>
        </w:rPr>
        <w:t> </w:t>
      </w:r>
      <w:r>
        <w:rPr>
          <w:vertAlign w:val="baseline"/>
        </w:rPr>
        <w:t>Akwa Ibom and Rivers States and in the west by Delta State as shown in Figure 1.1. The area is well drained.</w:t>
      </w:r>
    </w:p>
    <w:p>
      <w:pPr>
        <w:pStyle w:val="BodyText"/>
        <w:spacing w:line="480" w:lineRule="auto"/>
        <w:ind w:left="399" w:right="1318"/>
        <w:jc w:val="both"/>
      </w:pPr>
      <w:r>
        <w:rPr/>
        <w:t>The notable rivers and streams that are found in the zone include the Niger, Imo, Nike Lake, Anambra, Idemili,</w:t>
      </w:r>
      <w:r>
        <w:rPr>
          <w:spacing w:val="-1"/>
        </w:rPr>
        <w:t> </w:t>
      </w:r>
      <w:r>
        <w:rPr/>
        <w:t>Njaba,</w:t>
      </w:r>
      <w:r>
        <w:rPr>
          <w:spacing w:val="-1"/>
        </w:rPr>
        <w:t> </w:t>
      </w:r>
      <w:r>
        <w:rPr/>
        <w:t>Oguta Lake, Nkisi,</w:t>
      </w:r>
      <w:r>
        <w:rPr>
          <w:spacing w:val="-1"/>
        </w:rPr>
        <w:t> </w:t>
      </w:r>
      <w:r>
        <w:rPr/>
        <w:t>Ezu,</w:t>
      </w:r>
      <w:r>
        <w:rPr>
          <w:spacing w:val="-1"/>
        </w:rPr>
        <w:t> </w:t>
      </w:r>
      <w:r>
        <w:rPr/>
        <w:t>Oji</w:t>
      </w:r>
      <w:r>
        <w:rPr>
          <w:spacing w:val="-1"/>
        </w:rPr>
        <w:t> </w:t>
      </w:r>
      <w:r>
        <w:rPr/>
        <w:t>etc.</w:t>
      </w:r>
      <w:r>
        <w:rPr>
          <w:spacing w:val="-1"/>
        </w:rPr>
        <w:t> </w:t>
      </w:r>
      <w:r>
        <w:rPr/>
        <w:t>These</w:t>
      </w:r>
      <w:r>
        <w:rPr>
          <w:spacing w:val="-2"/>
        </w:rPr>
        <w:t> </w:t>
      </w:r>
      <w:r>
        <w:rPr/>
        <w:t>States</w:t>
      </w:r>
      <w:r>
        <w:rPr>
          <w:spacing w:val="-1"/>
        </w:rPr>
        <w:t> </w:t>
      </w:r>
      <w:r>
        <w:rPr/>
        <w:t>have</w:t>
      </w:r>
      <w:r>
        <w:rPr>
          <w:spacing w:val="-2"/>
        </w:rPr>
        <w:t> </w:t>
      </w:r>
      <w:r>
        <w:rPr/>
        <w:t>fairly</w:t>
      </w:r>
      <w:r>
        <w:rPr>
          <w:spacing w:val="-3"/>
        </w:rPr>
        <w:t> </w:t>
      </w:r>
      <w:r>
        <w:rPr/>
        <w:t>good</w:t>
      </w:r>
      <w:r>
        <w:rPr>
          <w:spacing w:val="-1"/>
        </w:rPr>
        <w:t> </w:t>
      </w:r>
      <w:r>
        <w:rPr/>
        <w:t>sub-soil strata except Ebonyi which shows clay stratification. Enugu state exhibits a coal sub strata but with gravelly laterite to topsoil up to a depth of about 5 meters. Anambra, Abia and Imo States exhibit quality sub-base foundation soil for buildings and other construction work.</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b/>
        </w:rPr>
        <w:t>Abia State </w:t>
      </w:r>
      <w:r>
        <w:rPr/>
        <w:t>lies within approximately latitudes 4° 40' and 6° 14' north and longitudes 7° 10' and 8° east.</w:t>
      </w:r>
      <w:r>
        <w:rPr>
          <w:spacing w:val="40"/>
        </w:rPr>
        <w:t> </w:t>
      </w:r>
      <w:r>
        <w:rPr/>
        <w:t>The State is located east of Imo State and shares common boundaries with Anambra, Enugu and Ebonyi States to the North-West, North and North-East respectively. To the East and South-East, it is bounded by Cross River and Akwa Ibom States and by Rivers State to the</w:t>
      </w:r>
      <w:r>
        <w:rPr>
          <w:spacing w:val="40"/>
        </w:rPr>
        <w:t> </w:t>
      </w:r>
      <w:r>
        <w:rPr/>
        <w:t>South. It occupies a landmass of 5,834km</w:t>
      </w:r>
      <w:r>
        <w:rPr>
          <w:vertAlign w:val="superscript"/>
        </w:rPr>
        <w:t>2</w:t>
      </w:r>
      <w:r>
        <w:rPr>
          <w:vertAlign w:val="baseline"/>
        </w:rPr>
        <w:t>. Abia State comprises of seventeen Local</w:t>
      </w:r>
      <w:r>
        <w:rPr>
          <w:spacing w:val="40"/>
          <w:vertAlign w:val="baseline"/>
        </w:rPr>
        <w:t> </w:t>
      </w:r>
      <w:r>
        <w:rPr>
          <w:vertAlign w:val="baseline"/>
        </w:rPr>
        <w:t>Government Areas. It has heavy rainfall of about 2,400mm per year between April to October, and the most important rivers in the state are the Imo and Aba rivers that flow into the Atlantic </w:t>
      </w:r>
      <w:r>
        <w:rPr>
          <w:spacing w:val="-2"/>
          <w:vertAlign w:val="baseline"/>
        </w:rPr>
        <w:t>Ocean.</w:t>
      </w:r>
    </w:p>
    <w:p>
      <w:pPr>
        <w:pStyle w:val="BodyText"/>
        <w:spacing w:before="91"/>
      </w:pPr>
    </w:p>
    <w:p>
      <w:pPr>
        <w:pStyle w:val="BodyText"/>
        <w:spacing w:line="480" w:lineRule="auto"/>
        <w:ind w:left="399" w:right="1314"/>
        <w:jc w:val="both"/>
      </w:pPr>
      <w:r>
        <w:rPr/>
        <w:t>Abia is not just an oil producing state though; it also adds a rich agricultural importance to the economy of Nigeria with crops like yam, maize, potatoes, rice, cashew, plantain and cassava. Abia State experiences a high annual rainfall (about 2000 mm mean/year) with corresponding high discharge of water as runoff that encourages soil erosion. It has a peak period between July and September. Rainfall events have been found to be highly correlated to erosion in all the representative land surface types (Jimoh, 2005).With a temperature of about 21</w:t>
      </w:r>
      <w:r>
        <w:rPr>
          <w:vertAlign w:val="superscript"/>
        </w:rPr>
        <w:t>0</w:t>
      </w:r>
      <w:r>
        <w:rPr>
          <w:vertAlign w:val="baseline"/>
        </w:rPr>
        <w:t>c, the climate is humid tropical type and is characterized by wet and dry seasons. The capital is Umuahia, although the major commercial activities happen in Aba.</w:t>
      </w:r>
    </w:p>
    <w:p>
      <w:pPr>
        <w:pStyle w:val="BodyText"/>
        <w:spacing w:line="480" w:lineRule="auto" w:before="231"/>
        <w:ind w:left="399" w:right="1314"/>
        <w:jc w:val="both"/>
      </w:pPr>
      <w:r>
        <w:rPr>
          <w:b/>
        </w:rPr>
        <w:t>Anambra State </w:t>
      </w:r>
      <w:r>
        <w:rPr/>
        <w:t>is located between latitudes 05</w:t>
      </w:r>
      <w:r>
        <w:rPr>
          <w:vertAlign w:val="superscript"/>
        </w:rPr>
        <w:t>0</w:t>
      </w:r>
      <w:r>
        <w:rPr>
          <w:vertAlign w:val="baseline"/>
        </w:rPr>
        <w:t>40’N and 07</w:t>
      </w:r>
      <w:r>
        <w:rPr>
          <w:vertAlign w:val="superscript"/>
        </w:rPr>
        <w:t>0</w:t>
      </w:r>
      <w:r>
        <w:rPr>
          <w:vertAlign w:val="baseline"/>
        </w:rPr>
        <w:t> 10’N and longitudes 06̊</w:t>
      </w:r>
      <w:r>
        <w:rPr>
          <w:vertAlign w:val="superscript"/>
        </w:rPr>
        <w:t>0</w:t>
      </w:r>
      <w:r>
        <w:rPr>
          <w:vertAlign w:val="baseline"/>
        </w:rPr>
        <w:t>35’E and 07</w:t>
      </w:r>
      <w:r>
        <w:rPr>
          <w:vertAlign w:val="superscript"/>
        </w:rPr>
        <w:t>0</w:t>
      </w:r>
      <w:r>
        <w:rPr>
          <w:vertAlign w:val="baseline"/>
        </w:rPr>
        <w:t>20’E. It is bounded on both Western and Eastern sides by latitudes 6</w:t>
      </w:r>
      <w:r>
        <w:rPr>
          <w:vertAlign w:val="superscript"/>
        </w:rPr>
        <w:t>0</w:t>
      </w:r>
      <w:r>
        <w:rPr>
          <w:vertAlign w:val="baseline"/>
        </w:rPr>
        <w:t>35' and 7</w:t>
      </w:r>
      <w:r>
        <w:rPr>
          <w:vertAlign w:val="superscript"/>
        </w:rPr>
        <w:t>0</w:t>
      </w:r>
      <w:r>
        <w:rPr>
          <w:vertAlign w:val="baseline"/>
        </w:rPr>
        <w:t>30' feast respectively. The State is in the tropical zone of Nigeria, with two distinct seasons, dry</w:t>
      </w:r>
      <w:r>
        <w:rPr>
          <w:spacing w:val="-2"/>
          <w:vertAlign w:val="baseline"/>
        </w:rPr>
        <w:t> </w:t>
      </w:r>
      <w:r>
        <w:rPr>
          <w:vertAlign w:val="baseline"/>
        </w:rPr>
        <w:t>and rainy seasons from December to April and May to October. While annual precipitation ranges from 1500mm to 2000mm rainfall with July as the rainiest month (Umenweke, 2000). The dry season is</w:t>
      </w:r>
      <w:r>
        <w:rPr>
          <w:spacing w:val="46"/>
          <w:vertAlign w:val="baseline"/>
        </w:rPr>
        <w:t> </w:t>
      </w:r>
      <w:r>
        <w:rPr>
          <w:vertAlign w:val="baseline"/>
        </w:rPr>
        <w:t>characterized</w:t>
      </w:r>
      <w:r>
        <w:rPr>
          <w:spacing w:val="49"/>
          <w:vertAlign w:val="baseline"/>
        </w:rPr>
        <w:t> </w:t>
      </w:r>
      <w:r>
        <w:rPr>
          <w:vertAlign w:val="baseline"/>
        </w:rPr>
        <w:t>by</w:t>
      </w:r>
      <w:r>
        <w:rPr>
          <w:spacing w:val="44"/>
          <w:vertAlign w:val="baseline"/>
        </w:rPr>
        <w:t> </w:t>
      </w:r>
      <w:r>
        <w:rPr>
          <w:vertAlign w:val="baseline"/>
        </w:rPr>
        <w:t>heavy</w:t>
      </w:r>
      <w:r>
        <w:rPr>
          <w:spacing w:val="44"/>
          <w:vertAlign w:val="baseline"/>
        </w:rPr>
        <w:t> </w:t>
      </w:r>
      <w:r>
        <w:rPr>
          <w:vertAlign w:val="baseline"/>
        </w:rPr>
        <w:t>down</w:t>
      </w:r>
      <w:r>
        <w:rPr>
          <w:spacing w:val="49"/>
          <w:vertAlign w:val="baseline"/>
        </w:rPr>
        <w:t> </w:t>
      </w:r>
      <w:r>
        <w:rPr>
          <w:vertAlign w:val="baseline"/>
        </w:rPr>
        <w:t>pours</w:t>
      </w:r>
      <w:r>
        <w:rPr>
          <w:spacing w:val="51"/>
          <w:vertAlign w:val="baseline"/>
        </w:rPr>
        <w:t> </w:t>
      </w:r>
      <w:r>
        <w:rPr>
          <w:vertAlign w:val="baseline"/>
        </w:rPr>
        <w:t>accompanied</w:t>
      </w:r>
      <w:r>
        <w:rPr>
          <w:spacing w:val="49"/>
          <w:vertAlign w:val="baseline"/>
        </w:rPr>
        <w:t> </w:t>
      </w:r>
      <w:r>
        <w:rPr>
          <w:vertAlign w:val="baseline"/>
        </w:rPr>
        <w:t>by</w:t>
      </w:r>
      <w:r>
        <w:rPr>
          <w:spacing w:val="44"/>
          <w:vertAlign w:val="baseline"/>
        </w:rPr>
        <w:t> </w:t>
      </w:r>
      <w:r>
        <w:rPr>
          <w:vertAlign w:val="baseline"/>
        </w:rPr>
        <w:t>thunder</w:t>
      </w:r>
      <w:r>
        <w:rPr>
          <w:spacing w:val="48"/>
          <w:vertAlign w:val="baseline"/>
        </w:rPr>
        <w:t> </w:t>
      </w:r>
      <w:r>
        <w:rPr>
          <w:vertAlign w:val="baseline"/>
        </w:rPr>
        <w:t>storms,</w:t>
      </w:r>
      <w:r>
        <w:rPr>
          <w:spacing w:val="49"/>
          <w:vertAlign w:val="baseline"/>
        </w:rPr>
        <w:t> </w:t>
      </w:r>
      <w:r>
        <w:rPr>
          <w:vertAlign w:val="baseline"/>
        </w:rPr>
        <w:t>heavy</w:t>
      </w:r>
      <w:r>
        <w:rPr>
          <w:spacing w:val="46"/>
          <w:vertAlign w:val="baseline"/>
        </w:rPr>
        <w:t> </w:t>
      </w:r>
      <w:r>
        <w:rPr>
          <w:vertAlign w:val="baseline"/>
        </w:rPr>
        <w:t>flooding,</w:t>
      </w:r>
      <w:r>
        <w:rPr>
          <w:spacing w:val="49"/>
          <w:vertAlign w:val="baseline"/>
        </w:rPr>
        <w:t> </w:t>
      </w:r>
      <w:r>
        <w:rPr>
          <w:spacing w:val="-4"/>
          <w:vertAlign w:val="baseline"/>
        </w:rPr>
        <w:t>soil</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leaching,</w:t>
      </w:r>
      <w:r>
        <w:rPr>
          <w:spacing w:val="-1"/>
        </w:rPr>
        <w:t> </w:t>
      </w:r>
      <w:r>
        <w:rPr/>
        <w:t>extensive</w:t>
      </w:r>
      <w:r>
        <w:rPr>
          <w:spacing w:val="-2"/>
        </w:rPr>
        <w:t> </w:t>
      </w:r>
      <w:r>
        <w:rPr/>
        <w:t>sheet outwash, ground</w:t>
      </w:r>
      <w:r>
        <w:rPr>
          <w:spacing w:val="-1"/>
        </w:rPr>
        <w:t> </w:t>
      </w:r>
      <w:r>
        <w:rPr/>
        <w:t>infiltration</w:t>
      </w:r>
      <w:r>
        <w:rPr>
          <w:spacing w:val="-1"/>
        </w:rPr>
        <w:t> </w:t>
      </w:r>
      <w:r>
        <w:rPr/>
        <w:t>and</w:t>
      </w:r>
      <w:r>
        <w:rPr>
          <w:spacing w:val="-1"/>
        </w:rPr>
        <w:t> </w:t>
      </w:r>
      <w:r>
        <w:rPr/>
        <w:t>percolation.</w:t>
      </w:r>
      <w:r>
        <w:rPr>
          <w:spacing w:val="-1"/>
        </w:rPr>
        <w:t> </w:t>
      </w:r>
      <w:r>
        <w:rPr/>
        <w:t>On</w:t>
      </w:r>
      <w:r>
        <w:rPr>
          <w:spacing w:val="-1"/>
        </w:rPr>
        <w:t> </w:t>
      </w:r>
      <w:r>
        <w:rPr/>
        <w:t>the</w:t>
      </w:r>
      <w:r>
        <w:rPr>
          <w:spacing w:val="-2"/>
        </w:rPr>
        <w:t> </w:t>
      </w:r>
      <w:r>
        <w:rPr/>
        <w:t>other</w:t>
      </w:r>
      <w:r>
        <w:rPr>
          <w:spacing w:val="-2"/>
        </w:rPr>
        <w:t> </w:t>
      </w:r>
      <w:r>
        <w:rPr/>
        <w:t>hand,</w:t>
      </w:r>
      <w:r>
        <w:rPr>
          <w:spacing w:val="-1"/>
        </w:rPr>
        <w:t> </w:t>
      </w:r>
      <w:r>
        <w:rPr/>
        <w:t>the</w:t>
      </w:r>
      <w:r>
        <w:rPr>
          <w:spacing w:val="-2"/>
        </w:rPr>
        <w:t> </w:t>
      </w:r>
      <w:r>
        <w:rPr/>
        <w:t>dry season is characterized by extensive aridity and a lot of particulates generation (high</w:t>
      </w:r>
      <w:r>
        <w:rPr>
          <w:spacing w:val="40"/>
        </w:rPr>
        <w:t> </w:t>
      </w:r>
      <w:r>
        <w:rPr/>
        <w:t>temperatures and low humidity).</w:t>
      </w:r>
    </w:p>
    <w:p>
      <w:pPr>
        <w:spacing w:before="205"/>
        <w:ind w:left="400" w:right="0" w:firstLine="0"/>
        <w:jc w:val="left"/>
        <w:rPr>
          <w:sz w:val="2"/>
        </w:rPr>
      </w:pPr>
      <w:r>
        <w:rPr>
          <w:spacing w:val="-8"/>
          <w:sz w:val="2"/>
        </w:rPr>
        <w:t>[</w:t>
      </w: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spacing w:before="11"/>
        <w:rPr>
          <w:sz w:val="2"/>
        </w:rPr>
      </w:pPr>
    </w:p>
    <w:p>
      <w:pPr>
        <w:pStyle w:val="BodyText"/>
        <w:spacing w:line="480" w:lineRule="auto"/>
        <w:ind w:left="400" w:right="1316"/>
        <w:jc w:val="both"/>
      </w:pPr>
      <w:r>
        <w:rPr/>
        <w:t>According to Umenweke (2000), humidity is relatively high between 65-80 percent throughout the year; daily temperatures up to 25</w:t>
      </w:r>
      <w:r>
        <w:rPr>
          <w:vertAlign w:val="superscript"/>
        </w:rPr>
        <w:t>0</w:t>
      </w:r>
      <w:r>
        <w:rPr>
          <w:vertAlign w:val="baseline"/>
        </w:rPr>
        <w:t>c are recorded on very hot days in January and March. It lies within the rain forest belt of Nigeria. In the south, the area is bounded by mangrove swamp forest, and in the north, by savannah grassland. According to the 2006 National Population Census (NPC), the state had a total population of 4,055, 048 with an average density of 837.10/km</w:t>
      </w:r>
      <w:r>
        <w:rPr>
          <w:vertAlign w:val="superscript"/>
        </w:rPr>
        <w:t>2</w:t>
      </w:r>
      <w:r>
        <w:rPr>
          <w:vertAlign w:val="baseline"/>
        </w:rPr>
        <w:t> and the state is made up of twenty one local governments. The State shares boundaries with Delta State, Rivers State, Kogi State Imo State and Enugu State. (Figure 1:1).</w:t>
      </w:r>
    </w:p>
    <w:p>
      <w:pPr>
        <w:pStyle w:val="BodyText"/>
        <w:spacing w:before="15"/>
      </w:pPr>
    </w:p>
    <w:p>
      <w:pPr>
        <w:pStyle w:val="BodyText"/>
        <w:spacing w:line="480" w:lineRule="auto"/>
        <w:ind w:left="399" w:right="1316"/>
        <w:jc w:val="both"/>
      </w:pPr>
      <w:r>
        <w:rPr>
          <w:b/>
        </w:rPr>
        <w:t>Ebonyi State </w:t>
      </w:r>
      <w:r>
        <w:rPr/>
        <w:t>was among the new additions made by the then Military Head of State, Gen. Sani Abacha in 1996. Ebonyi is primarily agricultural and stands out as a leading producer of rice, yam, potatoes, maize, beans and cassava. Apart from agriculture, the state also has deposits of crude oil and natural gas.</w:t>
      </w:r>
    </w:p>
    <w:p>
      <w:pPr>
        <w:pStyle w:val="BodyText"/>
        <w:spacing w:before="5"/>
      </w:pPr>
    </w:p>
    <w:p>
      <w:pPr>
        <w:pStyle w:val="BodyText"/>
        <w:spacing w:line="480" w:lineRule="auto"/>
        <w:ind w:left="399" w:right="1318"/>
        <w:jc w:val="both"/>
      </w:pPr>
      <w:r>
        <w:rPr/>
        <w:t>The</w:t>
      </w:r>
      <w:r>
        <w:rPr>
          <w:spacing w:val="-3"/>
        </w:rPr>
        <w:t> </w:t>
      </w:r>
      <w:r>
        <w:rPr/>
        <w:t>area</w:t>
      </w:r>
      <w:r>
        <w:rPr>
          <w:spacing w:val="-3"/>
        </w:rPr>
        <w:t> </w:t>
      </w:r>
      <w:r>
        <w:rPr/>
        <w:t>is</w:t>
      </w:r>
      <w:r>
        <w:rPr>
          <w:spacing w:val="-2"/>
        </w:rPr>
        <w:t> </w:t>
      </w:r>
      <w:r>
        <w:rPr/>
        <w:t>5,533km2</w:t>
      </w:r>
      <w:r>
        <w:rPr>
          <w:spacing w:val="-2"/>
        </w:rPr>
        <w:t> </w:t>
      </w:r>
      <w:r>
        <w:rPr/>
        <w:t>and</w:t>
      </w:r>
      <w:r>
        <w:rPr>
          <w:spacing w:val="-2"/>
        </w:rPr>
        <w:t> </w:t>
      </w:r>
      <w:r>
        <w:rPr/>
        <w:t>the</w:t>
      </w:r>
      <w:r>
        <w:rPr>
          <w:spacing w:val="-3"/>
        </w:rPr>
        <w:t> </w:t>
      </w:r>
      <w:r>
        <w:rPr/>
        <w:t>population</w:t>
      </w:r>
      <w:r>
        <w:rPr>
          <w:spacing w:val="-2"/>
        </w:rPr>
        <w:t> </w:t>
      </w:r>
      <w:r>
        <w:rPr/>
        <w:t>is</w:t>
      </w:r>
      <w:r>
        <w:rPr>
          <w:spacing w:val="-2"/>
        </w:rPr>
        <w:t> </w:t>
      </w:r>
      <w:r>
        <w:rPr/>
        <w:t>1,739,136</w:t>
      </w:r>
      <w:r>
        <w:rPr>
          <w:spacing w:val="-2"/>
        </w:rPr>
        <w:t> </w:t>
      </w:r>
      <w:r>
        <w:rPr/>
        <w:t>(2005</w:t>
      </w:r>
      <w:r>
        <w:rPr>
          <w:spacing w:val="-2"/>
        </w:rPr>
        <w:t> </w:t>
      </w:r>
      <w:r>
        <w:rPr/>
        <w:t>est).</w:t>
      </w:r>
      <w:r>
        <w:rPr>
          <w:spacing w:val="-2"/>
        </w:rPr>
        <w:t> </w:t>
      </w:r>
      <w:r>
        <w:rPr/>
        <w:t>The</w:t>
      </w:r>
      <w:r>
        <w:rPr>
          <w:spacing w:val="-3"/>
        </w:rPr>
        <w:t> </w:t>
      </w:r>
      <w:r>
        <w:rPr/>
        <w:t>tropical</w:t>
      </w:r>
      <w:r>
        <w:rPr>
          <w:spacing w:val="-2"/>
        </w:rPr>
        <w:t> </w:t>
      </w:r>
      <w:r>
        <w:rPr/>
        <w:t>climate</w:t>
      </w:r>
      <w:r>
        <w:rPr>
          <w:spacing w:val="-3"/>
        </w:rPr>
        <w:t> </w:t>
      </w:r>
      <w:r>
        <w:rPr/>
        <w:t>of</w:t>
      </w:r>
      <w:r>
        <w:rPr>
          <w:spacing w:val="-3"/>
        </w:rPr>
        <w:t> </w:t>
      </w:r>
      <w:r>
        <w:rPr/>
        <w:t>the</w:t>
      </w:r>
      <w:r>
        <w:rPr>
          <w:spacing w:val="-3"/>
        </w:rPr>
        <w:t> </w:t>
      </w:r>
      <w:r>
        <w:rPr/>
        <w:t>state is broadly of two seasons which are the rainy season between April and October and dry season between</w:t>
      </w:r>
      <w:r>
        <w:rPr>
          <w:spacing w:val="-1"/>
        </w:rPr>
        <w:t> </w:t>
      </w:r>
      <w:r>
        <w:rPr/>
        <w:t>November</w:t>
      </w:r>
      <w:r>
        <w:rPr>
          <w:spacing w:val="-2"/>
        </w:rPr>
        <w:t> </w:t>
      </w:r>
      <w:r>
        <w:rPr/>
        <w:t>and March.</w:t>
      </w:r>
      <w:r>
        <w:rPr>
          <w:spacing w:val="-1"/>
        </w:rPr>
        <w:t> </w:t>
      </w:r>
      <w:r>
        <w:rPr/>
        <w:t>The annual</w:t>
      </w:r>
      <w:r>
        <w:rPr>
          <w:spacing w:val="-1"/>
        </w:rPr>
        <w:t> </w:t>
      </w:r>
      <w:r>
        <w:rPr/>
        <w:t>rainfall</w:t>
      </w:r>
      <w:r>
        <w:rPr>
          <w:spacing w:val="-1"/>
        </w:rPr>
        <w:t> </w:t>
      </w:r>
      <w:r>
        <w:rPr/>
        <w:t>varies</w:t>
      </w:r>
      <w:r>
        <w:rPr>
          <w:spacing w:val="-1"/>
        </w:rPr>
        <w:t> </w:t>
      </w:r>
      <w:r>
        <w:rPr/>
        <w:t>from</w:t>
      </w:r>
      <w:r>
        <w:rPr>
          <w:spacing w:val="-1"/>
        </w:rPr>
        <w:t> </w:t>
      </w:r>
      <w:r>
        <w:rPr/>
        <w:t>2,000mm</w:t>
      </w:r>
      <w:r>
        <w:rPr>
          <w:spacing w:val="-1"/>
        </w:rPr>
        <w:t> </w:t>
      </w:r>
      <w:r>
        <w:rPr/>
        <w:t>in</w:t>
      </w:r>
      <w:r>
        <w:rPr>
          <w:spacing w:val="-1"/>
        </w:rPr>
        <w:t> </w:t>
      </w:r>
      <w:r>
        <w:rPr/>
        <w:t>the</w:t>
      </w:r>
      <w:r>
        <w:rPr>
          <w:spacing w:val="-2"/>
        </w:rPr>
        <w:t> </w:t>
      </w:r>
      <w:r>
        <w:rPr/>
        <w:t>southern</w:t>
      </w:r>
      <w:r>
        <w:rPr>
          <w:spacing w:val="-1"/>
        </w:rPr>
        <w:t> </w:t>
      </w:r>
      <w:r>
        <w:rPr/>
        <w:t>areas</w:t>
      </w:r>
      <w:r>
        <w:rPr>
          <w:spacing w:val="-1"/>
        </w:rPr>
        <w:t> </w:t>
      </w:r>
      <w:r>
        <w:rPr/>
        <w:t>to 1,150mm in the northern areas. The state enjoys luxuriant vegetation with high forest zone (rain forest) in the south and sub-savannah forest in the northern fringe. .it’s capital is Abakiliki and there are nine major first languages spoken in Ebonyi State. These languages are all sub-groups of the Igbo language spoken by all Igbo people of south-eastern Nigeria.</w:t>
      </w:r>
    </w:p>
    <w:p>
      <w:pPr>
        <w:spacing w:after="0" w:line="480" w:lineRule="auto"/>
        <w:jc w:val="both"/>
        <w:sectPr>
          <w:pgSz w:w="12240" w:h="15840"/>
          <w:pgMar w:header="0" w:footer="1017" w:top="1360" w:bottom="1200" w:left="1040" w:right="120"/>
        </w:sectPr>
      </w:pPr>
    </w:p>
    <w:p>
      <w:pPr>
        <w:pStyle w:val="BodyText"/>
        <w:spacing w:line="480" w:lineRule="auto" w:before="72"/>
        <w:ind w:left="399" w:right="1317"/>
        <w:jc w:val="both"/>
      </w:pPr>
      <w:r>
        <w:rPr>
          <w:b/>
        </w:rPr>
        <w:t>Enugu State </w:t>
      </w:r>
      <w:r>
        <w:rPr/>
        <w:t>is located between 5̊ 53’N to 7̊ 05’N of the equator and longitude 6̊ 46’E to 7̊ 52’E of the Greenwich meridian and the state has an area of 7, 627.20km2. Enugu state has</w:t>
      </w:r>
      <w:r>
        <w:rPr>
          <w:spacing w:val="13"/>
        </w:rPr>
        <w:t> </w:t>
      </w:r>
      <w:r>
        <w:rPr/>
        <w:t>good soil</w:t>
      </w:r>
      <w:r>
        <w:rPr>
          <w:spacing w:val="40"/>
        </w:rPr>
        <w:t> </w:t>
      </w:r>
      <w:r>
        <w:rPr/>
        <w:t>– land and</w:t>
      </w:r>
      <w:r>
        <w:rPr>
          <w:spacing w:val="-1"/>
        </w:rPr>
        <w:t> </w:t>
      </w:r>
      <w:r>
        <w:rPr/>
        <w:t>climatic conditions all year round, sitting</w:t>
      </w:r>
      <w:r>
        <w:rPr>
          <w:spacing w:val="-1"/>
        </w:rPr>
        <w:t> </w:t>
      </w:r>
      <w:r>
        <w:rPr/>
        <w:t>at about 233 meters above sea level, and the soil is well</w:t>
      </w:r>
      <w:r>
        <w:rPr>
          <w:spacing w:val="-2"/>
        </w:rPr>
        <w:t> </w:t>
      </w:r>
      <w:r>
        <w:rPr/>
        <w:t>– drained during</w:t>
      </w:r>
      <w:r>
        <w:rPr>
          <w:spacing w:val="-2"/>
        </w:rPr>
        <w:t> </w:t>
      </w:r>
      <w:r>
        <w:rPr/>
        <w:t>its rainy</w:t>
      </w:r>
      <w:r>
        <w:rPr>
          <w:spacing w:val="-5"/>
        </w:rPr>
        <w:t> </w:t>
      </w:r>
      <w:r>
        <w:rPr/>
        <w:t>seasons. The mean temperature</w:t>
      </w:r>
      <w:r>
        <w:rPr>
          <w:spacing w:val="-1"/>
        </w:rPr>
        <w:t> </w:t>
      </w:r>
      <w:r>
        <w:rPr/>
        <w:t>in Enugu state</w:t>
      </w:r>
      <w:r>
        <w:rPr>
          <w:spacing w:val="-1"/>
        </w:rPr>
        <w:t> </w:t>
      </w:r>
      <w:r>
        <w:rPr/>
        <w:t>in the</w:t>
      </w:r>
      <w:r>
        <w:rPr>
          <w:spacing w:val="-1"/>
        </w:rPr>
        <w:t> </w:t>
      </w:r>
      <w:r>
        <w:rPr/>
        <w:t>hottest month of February is about 87.16̊ F (30.64̊ C), while the lowest temperatures occur in the month of</w:t>
      </w:r>
      <w:r>
        <w:rPr>
          <w:spacing w:val="-3"/>
        </w:rPr>
        <w:t> </w:t>
      </w:r>
      <w:r>
        <w:rPr/>
        <w:t>November, reaching</w:t>
      </w:r>
      <w:r>
        <w:rPr>
          <w:spacing w:val="-5"/>
        </w:rPr>
        <w:t> </w:t>
      </w:r>
      <w:r>
        <w:rPr/>
        <w:t>60.54</w:t>
      </w:r>
      <w:r>
        <w:rPr>
          <w:vertAlign w:val="superscript"/>
        </w:rPr>
        <w:t>0</w:t>
      </w:r>
      <w:r>
        <w:rPr>
          <w:spacing w:val="-1"/>
          <w:vertAlign w:val="baseline"/>
        </w:rPr>
        <w:t> </w:t>
      </w:r>
      <w:r>
        <w:rPr>
          <w:vertAlign w:val="baseline"/>
        </w:rPr>
        <w:t>F</w:t>
      </w:r>
      <w:r>
        <w:rPr>
          <w:spacing w:val="-4"/>
          <w:vertAlign w:val="baseline"/>
        </w:rPr>
        <w:t> </w:t>
      </w:r>
      <w:r>
        <w:rPr>
          <w:vertAlign w:val="baseline"/>
        </w:rPr>
        <w:t>(15.86</w:t>
      </w:r>
      <w:r>
        <w:rPr>
          <w:vertAlign w:val="superscript"/>
        </w:rPr>
        <w:t>0</w:t>
      </w:r>
      <w:r>
        <w:rPr>
          <w:vertAlign w:val="baseline"/>
        </w:rPr>
        <w:t>C).</w:t>
      </w:r>
      <w:r>
        <w:rPr>
          <w:spacing w:val="-2"/>
          <w:vertAlign w:val="baseline"/>
        </w:rPr>
        <w:t> </w:t>
      </w:r>
      <w:r>
        <w:rPr>
          <w:vertAlign w:val="baseline"/>
        </w:rPr>
        <w:t>The</w:t>
      </w:r>
      <w:r>
        <w:rPr>
          <w:spacing w:val="-3"/>
          <w:vertAlign w:val="baseline"/>
        </w:rPr>
        <w:t> </w:t>
      </w:r>
      <w:r>
        <w:rPr>
          <w:vertAlign w:val="baseline"/>
        </w:rPr>
        <w:t>lowest</w:t>
      </w:r>
      <w:r>
        <w:rPr>
          <w:spacing w:val="-2"/>
          <w:vertAlign w:val="baseline"/>
        </w:rPr>
        <w:t> </w:t>
      </w:r>
      <w:r>
        <w:rPr>
          <w:vertAlign w:val="baseline"/>
        </w:rPr>
        <w:t>rainfall</w:t>
      </w:r>
      <w:r>
        <w:rPr>
          <w:spacing w:val="-2"/>
          <w:vertAlign w:val="baseline"/>
        </w:rPr>
        <w:t> </w:t>
      </w:r>
      <w:r>
        <w:rPr>
          <w:vertAlign w:val="baseline"/>
        </w:rPr>
        <w:t>is</w:t>
      </w:r>
      <w:r>
        <w:rPr>
          <w:spacing w:val="-2"/>
          <w:vertAlign w:val="baseline"/>
        </w:rPr>
        <w:t> </w:t>
      </w:r>
      <w:r>
        <w:rPr>
          <w:vertAlign w:val="baseline"/>
        </w:rPr>
        <w:t>about</w:t>
      </w:r>
      <w:r>
        <w:rPr>
          <w:spacing w:val="-2"/>
          <w:vertAlign w:val="baseline"/>
        </w:rPr>
        <w:t> </w:t>
      </w:r>
      <w:r>
        <w:rPr>
          <w:vertAlign w:val="baseline"/>
        </w:rPr>
        <w:t>0.16</w:t>
      </w:r>
      <w:r>
        <w:rPr>
          <w:spacing w:val="-2"/>
          <w:vertAlign w:val="baseline"/>
        </w:rPr>
        <w:t> </w:t>
      </w:r>
      <w:r>
        <w:rPr>
          <w:vertAlign w:val="baseline"/>
        </w:rPr>
        <w:t>cubic</w:t>
      </w:r>
      <w:r>
        <w:rPr>
          <w:spacing w:val="-3"/>
          <w:vertAlign w:val="baseline"/>
        </w:rPr>
        <w:t> </w:t>
      </w:r>
      <w:r>
        <w:rPr>
          <w:vertAlign w:val="baseline"/>
        </w:rPr>
        <w:t>a</w:t>
      </w:r>
      <w:r>
        <w:rPr>
          <w:spacing w:val="-1"/>
          <w:vertAlign w:val="baseline"/>
        </w:rPr>
        <w:t> </w:t>
      </w:r>
      <w:r>
        <w:rPr>
          <w:vertAlign w:val="baseline"/>
        </w:rPr>
        <w:t>centimeter</w:t>
      </w:r>
      <w:r>
        <w:rPr>
          <w:spacing w:val="-3"/>
          <w:vertAlign w:val="baseline"/>
        </w:rPr>
        <w:t> </w:t>
      </w:r>
      <w:r>
        <w:rPr>
          <w:vertAlign w:val="baseline"/>
        </w:rPr>
        <w:t>is normal in February while the highest is about 35.7 cubic centimeters in July. The state is made</w:t>
      </w:r>
      <w:r>
        <w:rPr>
          <w:spacing w:val="40"/>
          <w:vertAlign w:val="baseline"/>
        </w:rPr>
        <w:t> </w:t>
      </w:r>
      <w:r>
        <w:rPr>
          <w:vertAlign w:val="baseline"/>
        </w:rPr>
        <w:t>up of seventeen local governments.</w:t>
      </w:r>
    </w:p>
    <w:p>
      <w:pPr>
        <w:pStyle w:val="BodyText"/>
        <w:spacing w:before="108"/>
      </w:pPr>
    </w:p>
    <w:p>
      <w:pPr>
        <w:pStyle w:val="BodyText"/>
        <w:spacing w:line="480" w:lineRule="auto"/>
        <w:ind w:left="400" w:right="1315"/>
        <w:jc w:val="both"/>
      </w:pPr>
      <w:r>
        <w:rPr>
          <w:b/>
        </w:rPr>
        <w:t>Imo State </w:t>
      </w:r>
      <w:r>
        <w:rPr/>
        <w:t>is located in the South-Eastern region of Nigeria and is one of the 36 States of the Federation,</w:t>
      </w:r>
      <w:r>
        <w:rPr>
          <w:spacing w:val="-1"/>
        </w:rPr>
        <w:t> </w:t>
      </w:r>
      <w:r>
        <w:rPr/>
        <w:t>with</w:t>
      </w:r>
      <w:r>
        <w:rPr>
          <w:spacing w:val="-1"/>
        </w:rPr>
        <w:t> </w:t>
      </w:r>
      <w:r>
        <w:rPr/>
        <w:t>Owerri as</w:t>
      </w:r>
      <w:r>
        <w:rPr>
          <w:spacing w:val="-1"/>
        </w:rPr>
        <w:t> </w:t>
      </w:r>
      <w:r>
        <w:rPr/>
        <w:t>its</w:t>
      </w:r>
      <w:r>
        <w:rPr>
          <w:spacing w:val="-1"/>
        </w:rPr>
        <w:t> </w:t>
      </w:r>
      <w:r>
        <w:rPr/>
        <w:t>capital</w:t>
      </w:r>
      <w:r>
        <w:rPr>
          <w:spacing w:val="-1"/>
        </w:rPr>
        <w:t> </w:t>
      </w:r>
      <w:r>
        <w:rPr/>
        <w:t>and largest city. It lies</w:t>
      </w:r>
      <w:r>
        <w:rPr>
          <w:spacing w:val="-1"/>
        </w:rPr>
        <w:t> </w:t>
      </w:r>
      <w:r>
        <w:rPr/>
        <w:t>between</w:t>
      </w:r>
      <w:r>
        <w:rPr>
          <w:spacing w:val="-1"/>
        </w:rPr>
        <w:t> </w:t>
      </w:r>
      <w:r>
        <w:rPr/>
        <w:t>latitude</w:t>
      </w:r>
      <w:r>
        <w:rPr>
          <w:spacing w:val="-2"/>
        </w:rPr>
        <w:t> </w:t>
      </w:r>
      <w:r>
        <w:rPr/>
        <w:t>4°45'N</w:t>
      </w:r>
      <w:r>
        <w:rPr>
          <w:spacing w:val="-2"/>
        </w:rPr>
        <w:t> </w:t>
      </w:r>
      <w:r>
        <w:rPr/>
        <w:t>and 5°50'N, longitude 6°35'E and 7°30'E, and covers approximately 5,529.17 km2 area with a Population of 2,938,708 (IMSG,2008). The State derives its name from Imo River, which takes its course from the Okigwe/Awka upland. Imo State is located between the lower River Niger and the upper and middle Imo River in the Southeastern part of the country.</w:t>
      </w:r>
    </w:p>
    <w:p>
      <w:pPr>
        <w:pStyle w:val="BodyText"/>
        <w:spacing w:before="137"/>
      </w:pPr>
    </w:p>
    <w:p>
      <w:pPr>
        <w:pStyle w:val="BodyText"/>
        <w:spacing w:line="480" w:lineRule="auto"/>
        <w:ind w:left="400" w:right="1316"/>
        <w:jc w:val="both"/>
      </w:pPr>
      <w:r>
        <w:rPr/>
        <w:t>The climate of Imo State is humid, semi-hot equatorial type. The State experiences heavy</w:t>
      </w:r>
      <w:r>
        <w:rPr>
          <w:spacing w:val="40"/>
        </w:rPr>
        <w:t> </w:t>
      </w:r>
      <w:r>
        <w:rPr/>
        <w:t>rainfall, with an average annual rainfall of 2000- 2400 mm/yr and an average number of 152</w:t>
      </w:r>
      <w:r>
        <w:rPr>
          <w:spacing w:val="40"/>
        </w:rPr>
        <w:t> </w:t>
      </w:r>
      <w:r>
        <w:rPr/>
        <w:t>rain/ days particularly during the rainy seasons (April–October) the superficial rainfall distribution is bimodal, with peaks in July</w:t>
      </w:r>
      <w:r>
        <w:rPr>
          <w:spacing w:val="-2"/>
        </w:rPr>
        <w:t> </w:t>
      </w:r>
      <w:r>
        <w:rPr/>
        <w:t>and September and a two weeks break in August. The rainy season begins in March and lasts till October or early November. Rainfall is often at its maximum at night and during the early morning hours. The higher annual rainfall depths and rainfall</w:t>
      </w:r>
      <w:r>
        <w:rPr>
          <w:spacing w:val="18"/>
        </w:rPr>
        <w:t> </w:t>
      </w:r>
      <w:r>
        <w:rPr/>
        <w:t>days</w:t>
      </w:r>
      <w:r>
        <w:rPr>
          <w:spacing w:val="19"/>
        </w:rPr>
        <w:t> </w:t>
      </w:r>
      <w:r>
        <w:rPr/>
        <w:t>encourages</w:t>
      </w:r>
      <w:r>
        <w:rPr>
          <w:spacing w:val="23"/>
        </w:rPr>
        <w:t> </w:t>
      </w:r>
      <w:r>
        <w:rPr/>
        <w:t>large</w:t>
      </w:r>
      <w:r>
        <w:rPr>
          <w:spacing w:val="18"/>
        </w:rPr>
        <w:t> </w:t>
      </w:r>
      <w:r>
        <w:rPr/>
        <w:t>volumes</w:t>
      </w:r>
      <w:r>
        <w:rPr>
          <w:spacing w:val="20"/>
        </w:rPr>
        <w:t> </w:t>
      </w:r>
      <w:r>
        <w:rPr/>
        <w:t>of</w:t>
      </w:r>
      <w:r>
        <w:rPr>
          <w:spacing w:val="18"/>
        </w:rPr>
        <w:t> </w:t>
      </w:r>
      <w:r>
        <w:rPr/>
        <w:t>runoff.</w:t>
      </w:r>
      <w:r>
        <w:rPr>
          <w:spacing w:val="19"/>
        </w:rPr>
        <w:t> </w:t>
      </w:r>
      <w:r>
        <w:rPr/>
        <w:t>However,</w:t>
      </w:r>
      <w:r>
        <w:rPr>
          <w:spacing w:val="20"/>
        </w:rPr>
        <w:t> </w:t>
      </w:r>
      <w:r>
        <w:rPr/>
        <w:t>variations</w:t>
      </w:r>
      <w:r>
        <w:rPr>
          <w:spacing w:val="19"/>
        </w:rPr>
        <w:t> </w:t>
      </w:r>
      <w:r>
        <w:rPr/>
        <w:t>occur</w:t>
      </w:r>
      <w:r>
        <w:rPr>
          <w:spacing w:val="19"/>
        </w:rPr>
        <w:t> </w:t>
      </w:r>
      <w:r>
        <w:rPr/>
        <w:t>in</w:t>
      </w:r>
      <w:r>
        <w:rPr>
          <w:spacing w:val="19"/>
        </w:rPr>
        <w:t> </w:t>
      </w:r>
      <w:r>
        <w:rPr/>
        <w:t>rainfall</w:t>
      </w:r>
      <w:r>
        <w:rPr>
          <w:spacing w:val="21"/>
        </w:rPr>
        <w:t> </w:t>
      </w:r>
      <w:r>
        <w:rPr>
          <w:spacing w:val="-2"/>
        </w:rPr>
        <w:t>amount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pPr>
      <w:r>
        <w:rPr/>
        <w:t>from</w:t>
      </w:r>
      <w:r>
        <w:rPr>
          <w:spacing w:val="69"/>
        </w:rPr>
        <w:t> </w:t>
      </w:r>
      <w:r>
        <w:rPr/>
        <w:t>year</w:t>
      </w:r>
      <w:r>
        <w:rPr>
          <w:spacing w:val="40"/>
        </w:rPr>
        <w:t> </w:t>
      </w:r>
      <w:r>
        <w:rPr/>
        <w:t>to</w:t>
      </w:r>
      <w:r>
        <w:rPr>
          <w:spacing w:val="69"/>
        </w:rPr>
        <w:t> </w:t>
      </w:r>
      <w:r>
        <w:rPr/>
        <w:t>year,</w:t>
      </w:r>
      <w:r>
        <w:rPr>
          <w:spacing w:val="66"/>
        </w:rPr>
        <w:t> </w:t>
      </w:r>
      <w:r>
        <w:rPr/>
        <w:t>usually</w:t>
      </w:r>
      <w:r>
        <w:rPr>
          <w:spacing w:val="40"/>
        </w:rPr>
        <w:t> </w:t>
      </w:r>
      <w:r>
        <w:rPr/>
        <w:t>between</w:t>
      </w:r>
      <w:r>
        <w:rPr>
          <w:spacing w:val="66"/>
        </w:rPr>
        <w:t> </w:t>
      </w:r>
      <w:r>
        <w:rPr/>
        <w:t>1,990</w:t>
      </w:r>
      <w:r>
        <w:rPr>
          <w:spacing w:val="40"/>
        </w:rPr>
        <w:t> </w:t>
      </w:r>
      <w:r>
        <w:rPr/>
        <w:t>mm</w:t>
      </w:r>
      <w:r>
        <w:rPr>
          <w:spacing w:val="40"/>
        </w:rPr>
        <w:t> </w:t>
      </w:r>
      <w:r>
        <w:rPr/>
        <w:t>and</w:t>
      </w:r>
      <w:r>
        <w:rPr>
          <w:spacing w:val="40"/>
        </w:rPr>
        <w:t> </w:t>
      </w:r>
      <w:r>
        <w:rPr/>
        <w:t>2,200mm.</w:t>
      </w:r>
      <w:r>
        <w:rPr>
          <w:spacing w:val="40"/>
        </w:rPr>
        <w:t> </w:t>
      </w:r>
      <w:r>
        <w:rPr/>
        <w:t>Relative</w:t>
      </w:r>
      <w:r>
        <w:rPr>
          <w:spacing w:val="40"/>
        </w:rPr>
        <w:t> </w:t>
      </w:r>
      <w:r>
        <w:rPr/>
        <w:t>humidity</w:t>
      </w:r>
      <w:r>
        <w:rPr>
          <w:spacing w:val="40"/>
        </w:rPr>
        <w:t> </w:t>
      </w:r>
      <w:r>
        <w:rPr/>
        <w:t>oscillates between 75% and 90% between the Dry and Rainy seasons.</w:t>
      </w:r>
    </w:p>
    <w:p>
      <w:pPr>
        <w:pStyle w:val="BodyText"/>
        <w:spacing w:line="480" w:lineRule="auto"/>
        <w:ind w:left="400" w:right="1315"/>
      </w:pPr>
      <w:r>
        <w:rPr/>
        <w:t>Temperatures</w:t>
      </w:r>
      <w:r>
        <w:rPr>
          <w:spacing w:val="24"/>
        </w:rPr>
        <w:t> </w:t>
      </w:r>
      <w:r>
        <w:rPr/>
        <w:t>are</w:t>
      </w:r>
      <w:r>
        <w:rPr>
          <w:spacing w:val="23"/>
        </w:rPr>
        <w:t> </w:t>
      </w:r>
      <w:r>
        <w:rPr/>
        <w:t>similar</w:t>
      </w:r>
      <w:r>
        <w:rPr>
          <w:spacing w:val="26"/>
        </w:rPr>
        <w:t> </w:t>
      </w:r>
      <w:r>
        <w:rPr/>
        <w:t>all</w:t>
      </w:r>
      <w:r>
        <w:rPr>
          <w:spacing w:val="24"/>
        </w:rPr>
        <w:t> </w:t>
      </w:r>
      <w:r>
        <w:rPr/>
        <w:t>over</w:t>
      </w:r>
      <w:r>
        <w:rPr>
          <w:spacing w:val="23"/>
        </w:rPr>
        <w:t> </w:t>
      </w:r>
      <w:r>
        <w:rPr/>
        <w:t>the</w:t>
      </w:r>
      <w:r>
        <w:rPr>
          <w:spacing w:val="25"/>
        </w:rPr>
        <w:t> </w:t>
      </w:r>
      <w:r>
        <w:rPr/>
        <w:t>State;</w:t>
      </w:r>
      <w:r>
        <w:rPr>
          <w:spacing w:val="24"/>
        </w:rPr>
        <w:t> </w:t>
      </w:r>
      <w:r>
        <w:rPr/>
        <w:t>the</w:t>
      </w:r>
      <w:r>
        <w:rPr>
          <w:spacing w:val="23"/>
        </w:rPr>
        <w:t> </w:t>
      </w:r>
      <w:r>
        <w:rPr/>
        <w:t>hottest</w:t>
      </w:r>
      <w:r>
        <w:rPr>
          <w:spacing w:val="24"/>
        </w:rPr>
        <w:t> </w:t>
      </w:r>
      <w:r>
        <w:rPr/>
        <w:t>months</w:t>
      </w:r>
      <w:r>
        <w:rPr>
          <w:spacing w:val="24"/>
        </w:rPr>
        <w:t> </w:t>
      </w:r>
      <w:r>
        <w:rPr/>
        <w:t>are</w:t>
      </w:r>
      <w:r>
        <w:rPr>
          <w:spacing w:val="23"/>
        </w:rPr>
        <w:t> </w:t>
      </w:r>
      <w:r>
        <w:rPr/>
        <w:t>January</w:t>
      </w:r>
      <w:r>
        <w:rPr>
          <w:spacing w:val="22"/>
        </w:rPr>
        <w:t> </w:t>
      </w:r>
      <w:r>
        <w:rPr/>
        <w:t>to</w:t>
      </w:r>
      <w:r>
        <w:rPr>
          <w:spacing w:val="24"/>
        </w:rPr>
        <w:t> </w:t>
      </w:r>
      <w:r>
        <w:rPr/>
        <w:t>March,</w:t>
      </w:r>
      <w:r>
        <w:rPr>
          <w:spacing w:val="26"/>
        </w:rPr>
        <w:t> </w:t>
      </w:r>
      <w:r>
        <w:rPr/>
        <w:t>with</w:t>
      </w:r>
      <w:r>
        <w:rPr>
          <w:spacing w:val="24"/>
        </w:rPr>
        <w:t> </w:t>
      </w:r>
      <w:r>
        <w:rPr/>
        <w:t>the mean annual temperature above 20°C. It has twenty seven local governments.</w:t>
      </w:r>
    </w:p>
    <w:p>
      <w:pPr>
        <w:spacing w:after="0" w:line="480" w:lineRule="auto"/>
        <w:sectPr>
          <w:pgSz w:w="12240" w:h="15840"/>
          <w:pgMar w:header="0" w:footer="1017" w:top="1360" w:bottom="1200" w:left="1040" w:right="120"/>
        </w:sectPr>
      </w:pPr>
    </w:p>
    <w:p>
      <w:pPr>
        <w:pStyle w:val="BodyText"/>
        <w:ind w:left="400"/>
        <w:rPr>
          <w:sz w:val="20"/>
        </w:rPr>
      </w:pPr>
      <w:r>
        <w:rPr>
          <w:sz w:val="20"/>
        </w:rPr>
        <w:drawing>
          <wp:inline distT="0" distB="0" distL="0" distR="0">
            <wp:extent cx="6004101" cy="6656832"/>
            <wp:effectExtent l="0" t="0" r="0" b="0"/>
            <wp:docPr id="2" name="Image 2" descr=""/>
            <wp:cNvGraphicFramePr>
              <a:graphicFrameLocks/>
            </wp:cNvGraphicFramePr>
            <a:graphic>
              <a:graphicData uri="http://schemas.openxmlformats.org/drawingml/2006/picture">
                <pic:pic>
                  <pic:nvPicPr>
                    <pic:cNvPr id="2" name="Image 2" descr=""/>
                    <pic:cNvPicPr/>
                  </pic:nvPicPr>
                  <pic:blipFill>
                    <a:blip r:embed="rId6" cstate="print"/>
                    <a:stretch>
                      <a:fillRect/>
                    </a:stretch>
                  </pic:blipFill>
                  <pic:spPr>
                    <a:xfrm>
                      <a:off x="0" y="0"/>
                      <a:ext cx="6004101" cy="6656832"/>
                    </a:xfrm>
                    <a:prstGeom prst="rect">
                      <a:avLst/>
                    </a:prstGeom>
                  </pic:spPr>
                </pic:pic>
              </a:graphicData>
            </a:graphic>
          </wp:inline>
        </w:drawing>
      </w:r>
      <w:r>
        <w:rPr>
          <w:sz w:val="20"/>
        </w:rPr>
      </w:r>
    </w:p>
    <w:p>
      <w:pPr>
        <w:spacing w:after="0"/>
        <w:rPr>
          <w:sz w:val="20"/>
        </w:rPr>
        <w:sectPr>
          <w:pgSz w:w="12240" w:h="15840"/>
          <w:pgMar w:header="0" w:footer="1017" w:top="1440" w:bottom="1200" w:left="1040" w:right="120"/>
        </w:sectPr>
      </w:pPr>
    </w:p>
    <w:p>
      <w:pPr>
        <w:pStyle w:val="BodyText"/>
        <w:rPr>
          <w:sz w:val="22"/>
        </w:rPr>
      </w:pPr>
      <w:r>
        <w:rPr/>
        <w:drawing>
          <wp:anchor distT="0" distB="0" distL="0" distR="0" allowOverlap="1" layoutInCell="1" locked="0" behindDoc="1" simplePos="0" relativeHeight="481933824">
            <wp:simplePos x="0" y="0"/>
            <wp:positionH relativeFrom="page">
              <wp:posOffset>914399</wp:posOffset>
            </wp:positionH>
            <wp:positionV relativeFrom="page">
              <wp:posOffset>914400</wp:posOffset>
            </wp:positionV>
            <wp:extent cx="6111872" cy="7987663"/>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111872" cy="7987663"/>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9"/>
        <w:rPr>
          <w:sz w:val="22"/>
        </w:rPr>
      </w:pPr>
    </w:p>
    <w:p>
      <w:pPr>
        <w:spacing w:line="232" w:lineRule="auto" w:before="0"/>
        <w:ind w:left="2773" w:right="1997" w:firstLine="0"/>
        <w:jc w:val="left"/>
        <w:rPr>
          <w:rFonts w:ascii="Arial MT"/>
          <w:sz w:val="22"/>
        </w:rPr>
      </w:pPr>
      <w:r>
        <w:rPr>
          <w:rFonts w:ascii="Arial MT"/>
          <w:color w:val="24211D"/>
          <w:sz w:val="22"/>
        </w:rPr>
        <w:t>Figure:</w:t>
      </w:r>
      <w:r>
        <w:rPr>
          <w:rFonts w:ascii="Arial MT"/>
          <w:color w:val="24211D"/>
          <w:spacing w:val="-2"/>
          <w:sz w:val="22"/>
        </w:rPr>
        <w:t> </w:t>
      </w:r>
      <w:r>
        <w:rPr>
          <w:rFonts w:ascii="Arial MT"/>
          <w:color w:val="24211D"/>
          <w:sz w:val="22"/>
        </w:rPr>
        <w:t>1.2</w:t>
      </w:r>
      <w:r>
        <w:rPr>
          <w:rFonts w:ascii="Arial MT"/>
          <w:color w:val="24211D"/>
          <w:spacing w:val="-4"/>
          <w:sz w:val="22"/>
        </w:rPr>
        <w:t> </w:t>
      </w:r>
      <w:r>
        <w:rPr>
          <w:rFonts w:ascii="Arial MT"/>
          <w:color w:val="24211D"/>
          <w:sz w:val="22"/>
        </w:rPr>
        <w:t>Map</w:t>
      </w:r>
      <w:r>
        <w:rPr>
          <w:rFonts w:ascii="Arial MT"/>
          <w:color w:val="24211D"/>
          <w:spacing w:val="-4"/>
          <w:sz w:val="22"/>
        </w:rPr>
        <w:t> </w:t>
      </w:r>
      <w:r>
        <w:rPr>
          <w:rFonts w:ascii="Arial MT"/>
          <w:color w:val="24211D"/>
          <w:sz w:val="22"/>
        </w:rPr>
        <w:t>of</w:t>
      </w:r>
      <w:r>
        <w:rPr>
          <w:rFonts w:ascii="Arial MT"/>
          <w:color w:val="24211D"/>
          <w:spacing w:val="-2"/>
          <w:sz w:val="22"/>
        </w:rPr>
        <w:t> </w:t>
      </w:r>
      <w:r>
        <w:rPr>
          <w:rFonts w:ascii="Arial MT"/>
          <w:color w:val="24211D"/>
          <w:sz w:val="22"/>
        </w:rPr>
        <w:t>South-East</w:t>
      </w:r>
      <w:r>
        <w:rPr>
          <w:rFonts w:ascii="Arial MT"/>
          <w:color w:val="24211D"/>
          <w:spacing w:val="-4"/>
          <w:sz w:val="22"/>
        </w:rPr>
        <w:t> </w:t>
      </w:r>
      <w:r>
        <w:rPr>
          <w:rFonts w:ascii="Arial MT"/>
          <w:color w:val="24211D"/>
          <w:sz w:val="22"/>
        </w:rPr>
        <w:t>Nigeria</w:t>
      </w:r>
      <w:r>
        <w:rPr>
          <w:rFonts w:ascii="Arial MT"/>
          <w:color w:val="24211D"/>
          <w:spacing w:val="-6"/>
          <w:sz w:val="22"/>
        </w:rPr>
        <w:t> </w:t>
      </w:r>
      <w:r>
        <w:rPr>
          <w:rFonts w:ascii="Arial MT"/>
          <w:color w:val="24211D"/>
          <w:sz w:val="22"/>
        </w:rPr>
        <w:t>the</w:t>
      </w:r>
      <w:r>
        <w:rPr>
          <w:rFonts w:ascii="Arial MT"/>
          <w:color w:val="24211D"/>
          <w:spacing w:val="-8"/>
          <w:sz w:val="22"/>
        </w:rPr>
        <w:t> </w:t>
      </w:r>
      <w:r>
        <w:rPr>
          <w:rFonts w:ascii="Arial MT"/>
          <w:color w:val="24211D"/>
          <w:sz w:val="22"/>
        </w:rPr>
        <w:t>five</w:t>
      </w:r>
      <w:r>
        <w:rPr>
          <w:rFonts w:ascii="Arial MT"/>
          <w:color w:val="24211D"/>
          <w:spacing w:val="-4"/>
          <w:sz w:val="22"/>
        </w:rPr>
        <w:t> </w:t>
      </w:r>
      <w:r>
        <w:rPr>
          <w:rFonts w:ascii="Arial MT"/>
          <w:color w:val="24211D"/>
          <w:sz w:val="22"/>
        </w:rPr>
        <w:t>states</w:t>
      </w:r>
      <w:r>
        <w:rPr>
          <w:rFonts w:ascii="Arial MT"/>
          <w:color w:val="24211D"/>
          <w:spacing w:val="-3"/>
          <w:sz w:val="22"/>
        </w:rPr>
        <w:t> </w:t>
      </w:r>
      <w:r>
        <w:rPr>
          <w:rFonts w:ascii="Arial MT"/>
          <w:color w:val="24211D"/>
          <w:sz w:val="22"/>
        </w:rPr>
        <w:t>studied Source: Department of Surveying and Geoinformatics</w:t>
      </w:r>
    </w:p>
    <w:p>
      <w:pPr>
        <w:spacing w:before="12"/>
        <w:ind w:left="3570" w:right="0" w:firstLine="0"/>
        <w:jc w:val="left"/>
        <w:rPr>
          <w:rFonts w:ascii="Arial MT"/>
          <w:sz w:val="22"/>
        </w:rPr>
      </w:pPr>
      <w:r>
        <w:rPr>
          <w:rFonts w:ascii="Arial MT"/>
          <w:color w:val="24211D"/>
          <w:sz w:val="22"/>
        </w:rPr>
        <w:t>Nnamdi</w:t>
      </w:r>
      <w:r>
        <w:rPr>
          <w:rFonts w:ascii="Arial MT"/>
          <w:color w:val="24211D"/>
          <w:spacing w:val="-11"/>
          <w:sz w:val="22"/>
        </w:rPr>
        <w:t> </w:t>
      </w:r>
      <w:r>
        <w:rPr>
          <w:rFonts w:ascii="Arial MT"/>
          <w:color w:val="24211D"/>
          <w:sz w:val="22"/>
        </w:rPr>
        <w:t>Azikiwe</w:t>
      </w:r>
      <w:r>
        <w:rPr>
          <w:rFonts w:ascii="Arial MT"/>
          <w:color w:val="24211D"/>
          <w:spacing w:val="-4"/>
          <w:sz w:val="22"/>
        </w:rPr>
        <w:t> </w:t>
      </w:r>
      <w:r>
        <w:rPr>
          <w:rFonts w:ascii="Arial MT"/>
          <w:color w:val="24211D"/>
          <w:sz w:val="22"/>
        </w:rPr>
        <w:t>University,</w:t>
      </w:r>
      <w:r>
        <w:rPr>
          <w:rFonts w:ascii="Arial MT"/>
          <w:color w:val="24211D"/>
          <w:spacing w:val="-6"/>
          <w:sz w:val="22"/>
        </w:rPr>
        <w:t> </w:t>
      </w:r>
      <w:r>
        <w:rPr>
          <w:rFonts w:ascii="Arial MT"/>
          <w:color w:val="24211D"/>
          <w:sz w:val="22"/>
        </w:rPr>
        <w:t>Awka,</w:t>
      </w:r>
      <w:r>
        <w:rPr>
          <w:rFonts w:ascii="Arial MT"/>
          <w:color w:val="24211D"/>
          <w:spacing w:val="-7"/>
          <w:sz w:val="22"/>
        </w:rPr>
        <w:t> </w:t>
      </w:r>
      <w:r>
        <w:rPr>
          <w:rFonts w:ascii="Arial MT"/>
          <w:color w:val="24211D"/>
          <w:spacing w:val="-2"/>
          <w:sz w:val="22"/>
        </w:rPr>
        <w:t>Nigeria</w:t>
      </w:r>
    </w:p>
    <w:p>
      <w:pPr>
        <w:spacing w:after="0"/>
        <w:jc w:val="left"/>
        <w:rPr>
          <w:rFonts w:ascii="Arial MT"/>
          <w:sz w:val="22"/>
        </w:rPr>
        <w:sectPr>
          <w:pgSz w:w="12240" w:h="15840"/>
          <w:pgMar w:header="0" w:footer="1017" w:top="1440" w:bottom="1200" w:left="1040" w:right="120"/>
        </w:sectPr>
      </w:pPr>
    </w:p>
    <w:p>
      <w:pPr>
        <w:pStyle w:val="Heading2"/>
        <w:numPr>
          <w:ilvl w:val="1"/>
          <w:numId w:val="1"/>
        </w:numPr>
        <w:tabs>
          <w:tab w:pos="880" w:val="left" w:leader="none"/>
        </w:tabs>
        <w:spacing w:line="240" w:lineRule="auto" w:before="79" w:after="0"/>
        <w:ind w:left="880" w:right="0" w:hanging="480"/>
        <w:jc w:val="left"/>
      </w:pPr>
      <w:r>
        <w:rPr/>
        <w:t>Dissertation</w:t>
      </w:r>
      <w:r>
        <w:rPr>
          <w:spacing w:val="-5"/>
        </w:rPr>
        <w:t> </w:t>
      </w:r>
      <w:r>
        <w:rPr>
          <w:spacing w:val="-2"/>
        </w:rPr>
        <w:t>Structure:</w:t>
      </w:r>
    </w:p>
    <w:p>
      <w:pPr>
        <w:pStyle w:val="BodyText"/>
        <w:spacing w:before="192"/>
        <w:rPr>
          <w:b/>
        </w:rPr>
      </w:pPr>
    </w:p>
    <w:p>
      <w:pPr>
        <w:pStyle w:val="BodyText"/>
        <w:spacing w:line="480" w:lineRule="auto"/>
        <w:ind w:left="400" w:right="1320"/>
        <w:jc w:val="both"/>
      </w:pPr>
      <w:r>
        <w:rPr/>
        <mc:AlternateContent>
          <mc:Choice Requires="wps">
            <w:drawing>
              <wp:anchor distT="0" distB="0" distL="0" distR="0" allowOverlap="1" layoutInCell="1" locked="0" behindDoc="0" simplePos="0" relativeHeight="15729152">
                <wp:simplePos x="0" y="0"/>
                <wp:positionH relativeFrom="page">
                  <wp:posOffset>2267581</wp:posOffset>
                </wp:positionH>
                <wp:positionV relativeFrom="paragraph">
                  <wp:posOffset>1188749</wp:posOffset>
                </wp:positionV>
                <wp:extent cx="2365375" cy="572135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365375" cy="5721350"/>
                          <a:chExt cx="2365375" cy="5721350"/>
                        </a:xfrm>
                      </wpg:grpSpPr>
                      <wps:wsp>
                        <wps:cNvPr id="5" name="Graphic 5"/>
                        <wps:cNvSpPr/>
                        <wps:spPr>
                          <a:xfrm>
                            <a:off x="12729" y="25400"/>
                            <a:ext cx="2162175" cy="659130"/>
                          </a:xfrm>
                          <a:custGeom>
                            <a:avLst/>
                            <a:gdLst/>
                            <a:ahLst/>
                            <a:cxnLst/>
                            <a:rect l="l" t="t" r="r" b="b"/>
                            <a:pathLst>
                              <a:path w="2162175" h="659130">
                                <a:moveTo>
                                  <a:pt x="122466" y="0"/>
                                </a:moveTo>
                                <a:lnTo>
                                  <a:pt x="75755" y="9245"/>
                                </a:lnTo>
                                <a:lnTo>
                                  <a:pt x="36588" y="35166"/>
                                </a:lnTo>
                                <a:lnTo>
                                  <a:pt x="9969" y="73990"/>
                                </a:lnTo>
                                <a:lnTo>
                                  <a:pt x="0" y="121462"/>
                                </a:lnTo>
                                <a:lnTo>
                                  <a:pt x="27" y="537095"/>
                                </a:lnTo>
                                <a:lnTo>
                                  <a:pt x="9194" y="582815"/>
                                </a:lnTo>
                                <a:lnTo>
                                  <a:pt x="35217" y="622033"/>
                                </a:lnTo>
                                <a:lnTo>
                                  <a:pt x="73964" y="648563"/>
                                </a:lnTo>
                                <a:lnTo>
                                  <a:pt x="121437" y="658533"/>
                                </a:lnTo>
                                <a:lnTo>
                                  <a:pt x="2039759" y="658558"/>
                                </a:lnTo>
                                <a:lnTo>
                                  <a:pt x="2051354" y="657961"/>
                                </a:lnTo>
                                <a:lnTo>
                                  <a:pt x="2097303" y="644182"/>
                                </a:lnTo>
                                <a:lnTo>
                                  <a:pt x="2105313" y="639445"/>
                                </a:lnTo>
                                <a:lnTo>
                                  <a:pt x="122428" y="639445"/>
                                </a:lnTo>
                                <a:lnTo>
                                  <a:pt x="82182" y="631317"/>
                                </a:lnTo>
                                <a:lnTo>
                                  <a:pt x="49314" y="609155"/>
                                </a:lnTo>
                                <a:lnTo>
                                  <a:pt x="27151" y="576287"/>
                                </a:lnTo>
                                <a:lnTo>
                                  <a:pt x="19029" y="536067"/>
                                </a:lnTo>
                                <a:lnTo>
                                  <a:pt x="19024" y="122453"/>
                                </a:lnTo>
                                <a:lnTo>
                                  <a:pt x="27151" y="82207"/>
                                </a:lnTo>
                                <a:lnTo>
                                  <a:pt x="49314" y="49339"/>
                                </a:lnTo>
                                <a:lnTo>
                                  <a:pt x="82182" y="27177"/>
                                </a:lnTo>
                                <a:lnTo>
                                  <a:pt x="122428" y="19050"/>
                                </a:lnTo>
                                <a:lnTo>
                                  <a:pt x="2105017" y="19050"/>
                                </a:lnTo>
                                <a:lnTo>
                                  <a:pt x="2098929" y="15278"/>
                                </a:lnTo>
                                <a:lnTo>
                                  <a:pt x="2053120" y="774"/>
                                </a:lnTo>
                                <a:lnTo>
                                  <a:pt x="2040775" y="25"/>
                                </a:lnTo>
                                <a:lnTo>
                                  <a:pt x="122466" y="0"/>
                                </a:lnTo>
                                <a:close/>
                              </a:path>
                              <a:path w="2162175" h="659130">
                                <a:moveTo>
                                  <a:pt x="2039696" y="19050"/>
                                </a:moveTo>
                                <a:lnTo>
                                  <a:pt x="122428" y="19050"/>
                                </a:lnTo>
                                <a:lnTo>
                                  <a:pt x="82182" y="27177"/>
                                </a:lnTo>
                                <a:lnTo>
                                  <a:pt x="49314" y="49339"/>
                                </a:lnTo>
                                <a:lnTo>
                                  <a:pt x="27151" y="82207"/>
                                </a:lnTo>
                                <a:lnTo>
                                  <a:pt x="19024" y="122453"/>
                                </a:lnTo>
                                <a:lnTo>
                                  <a:pt x="19029" y="536067"/>
                                </a:lnTo>
                                <a:lnTo>
                                  <a:pt x="27151" y="576287"/>
                                </a:lnTo>
                                <a:lnTo>
                                  <a:pt x="49314" y="609155"/>
                                </a:lnTo>
                                <a:lnTo>
                                  <a:pt x="82182" y="631317"/>
                                </a:lnTo>
                                <a:lnTo>
                                  <a:pt x="122428" y="639445"/>
                                </a:lnTo>
                                <a:lnTo>
                                  <a:pt x="2039696" y="639445"/>
                                </a:lnTo>
                                <a:lnTo>
                                  <a:pt x="2079941" y="631317"/>
                                </a:lnTo>
                                <a:lnTo>
                                  <a:pt x="2096009" y="620483"/>
                                </a:lnTo>
                                <a:lnTo>
                                  <a:pt x="123494" y="620483"/>
                                </a:lnTo>
                                <a:lnTo>
                                  <a:pt x="114681" y="620090"/>
                                </a:lnTo>
                                <a:lnTo>
                                  <a:pt x="76161" y="606717"/>
                                </a:lnTo>
                                <a:lnTo>
                                  <a:pt x="48653" y="577100"/>
                                </a:lnTo>
                                <a:lnTo>
                                  <a:pt x="38133" y="537095"/>
                                </a:lnTo>
                                <a:lnTo>
                                  <a:pt x="38141" y="121462"/>
                                </a:lnTo>
                                <a:lnTo>
                                  <a:pt x="47752" y="83185"/>
                                </a:lnTo>
                                <a:lnTo>
                                  <a:pt x="74587" y="53022"/>
                                </a:lnTo>
                                <a:lnTo>
                                  <a:pt x="112915" y="38646"/>
                                </a:lnTo>
                                <a:lnTo>
                                  <a:pt x="2096103" y="38074"/>
                                </a:lnTo>
                                <a:lnTo>
                                  <a:pt x="2079941" y="27177"/>
                                </a:lnTo>
                                <a:lnTo>
                                  <a:pt x="2039696" y="19050"/>
                                </a:lnTo>
                                <a:close/>
                              </a:path>
                              <a:path w="2162175" h="659130">
                                <a:moveTo>
                                  <a:pt x="2105017" y="19050"/>
                                </a:moveTo>
                                <a:lnTo>
                                  <a:pt x="2039696" y="19050"/>
                                </a:lnTo>
                                <a:lnTo>
                                  <a:pt x="2079941" y="27177"/>
                                </a:lnTo>
                                <a:lnTo>
                                  <a:pt x="2112810" y="49339"/>
                                </a:lnTo>
                                <a:lnTo>
                                  <a:pt x="2134972" y="82207"/>
                                </a:lnTo>
                                <a:lnTo>
                                  <a:pt x="2143099" y="122453"/>
                                </a:lnTo>
                                <a:lnTo>
                                  <a:pt x="2143094" y="536067"/>
                                </a:lnTo>
                                <a:lnTo>
                                  <a:pt x="2134972" y="576287"/>
                                </a:lnTo>
                                <a:lnTo>
                                  <a:pt x="2112810" y="609155"/>
                                </a:lnTo>
                                <a:lnTo>
                                  <a:pt x="2079941" y="631317"/>
                                </a:lnTo>
                                <a:lnTo>
                                  <a:pt x="2039696" y="639445"/>
                                </a:lnTo>
                                <a:lnTo>
                                  <a:pt x="2105313" y="639445"/>
                                </a:lnTo>
                                <a:lnTo>
                                  <a:pt x="2140712" y="605307"/>
                                </a:lnTo>
                                <a:lnTo>
                                  <a:pt x="2159444" y="561708"/>
                                </a:lnTo>
                                <a:lnTo>
                                  <a:pt x="2162124" y="537095"/>
                                </a:lnTo>
                                <a:lnTo>
                                  <a:pt x="2162096" y="121462"/>
                                </a:lnTo>
                                <a:lnTo>
                                  <a:pt x="2152904" y="75780"/>
                                </a:lnTo>
                                <a:lnTo>
                                  <a:pt x="2126983" y="36614"/>
                                </a:lnTo>
                                <a:lnTo>
                                  <a:pt x="2108974" y="21501"/>
                                </a:lnTo>
                                <a:lnTo>
                                  <a:pt x="2105017" y="19050"/>
                                </a:lnTo>
                                <a:close/>
                              </a:path>
                              <a:path w="2162175" h="659130">
                                <a:moveTo>
                                  <a:pt x="2038731" y="38074"/>
                                </a:moveTo>
                                <a:lnTo>
                                  <a:pt x="122466" y="38100"/>
                                </a:lnTo>
                                <a:lnTo>
                                  <a:pt x="81521" y="48679"/>
                                </a:lnTo>
                                <a:lnTo>
                                  <a:pt x="52006" y="76073"/>
                                </a:lnTo>
                                <a:lnTo>
                                  <a:pt x="38442" y="114706"/>
                                </a:lnTo>
                                <a:lnTo>
                                  <a:pt x="38133" y="537095"/>
                                </a:lnTo>
                                <a:lnTo>
                                  <a:pt x="38620" y="545617"/>
                                </a:lnTo>
                                <a:lnTo>
                                  <a:pt x="52946" y="583869"/>
                                </a:lnTo>
                                <a:lnTo>
                                  <a:pt x="83019" y="610692"/>
                                </a:lnTo>
                                <a:lnTo>
                                  <a:pt x="123494" y="620483"/>
                                </a:lnTo>
                                <a:lnTo>
                                  <a:pt x="2039759" y="620458"/>
                                </a:lnTo>
                                <a:lnTo>
                                  <a:pt x="2080691" y="609879"/>
                                </a:lnTo>
                                <a:lnTo>
                                  <a:pt x="2110232" y="582447"/>
                                </a:lnTo>
                                <a:lnTo>
                                  <a:pt x="2123681" y="543852"/>
                                </a:lnTo>
                                <a:lnTo>
                                  <a:pt x="2123990" y="121462"/>
                                </a:lnTo>
                                <a:lnTo>
                                  <a:pt x="2123503" y="112941"/>
                                </a:lnTo>
                                <a:lnTo>
                                  <a:pt x="2109139" y="74472"/>
                                </a:lnTo>
                                <a:lnTo>
                                  <a:pt x="2079066" y="47777"/>
                                </a:lnTo>
                                <a:lnTo>
                                  <a:pt x="2038731" y="38074"/>
                                </a:lnTo>
                                <a:close/>
                              </a:path>
                              <a:path w="2162175" h="659130">
                                <a:moveTo>
                                  <a:pt x="2096103" y="38074"/>
                                </a:moveTo>
                                <a:lnTo>
                                  <a:pt x="2038731" y="38074"/>
                                </a:lnTo>
                                <a:lnTo>
                                  <a:pt x="2047532" y="38468"/>
                                </a:lnTo>
                                <a:lnTo>
                                  <a:pt x="2055825" y="39585"/>
                                </a:lnTo>
                                <a:lnTo>
                                  <a:pt x="2092655" y="56769"/>
                                </a:lnTo>
                                <a:lnTo>
                                  <a:pt x="2117102" y="88811"/>
                                </a:lnTo>
                                <a:lnTo>
                                  <a:pt x="2123990" y="121462"/>
                                </a:lnTo>
                                <a:lnTo>
                                  <a:pt x="2123983" y="537095"/>
                                </a:lnTo>
                                <a:lnTo>
                                  <a:pt x="2114334" y="575525"/>
                                </a:lnTo>
                                <a:lnTo>
                                  <a:pt x="2087765" y="605548"/>
                                </a:lnTo>
                                <a:lnTo>
                                  <a:pt x="2049297" y="619912"/>
                                </a:lnTo>
                                <a:lnTo>
                                  <a:pt x="123494" y="620483"/>
                                </a:lnTo>
                                <a:lnTo>
                                  <a:pt x="2096009" y="620483"/>
                                </a:lnTo>
                                <a:lnTo>
                                  <a:pt x="2112810" y="609155"/>
                                </a:lnTo>
                                <a:lnTo>
                                  <a:pt x="2134972" y="576287"/>
                                </a:lnTo>
                                <a:lnTo>
                                  <a:pt x="2143094" y="536067"/>
                                </a:lnTo>
                                <a:lnTo>
                                  <a:pt x="2143099" y="122453"/>
                                </a:lnTo>
                                <a:lnTo>
                                  <a:pt x="2134972" y="82207"/>
                                </a:lnTo>
                                <a:lnTo>
                                  <a:pt x="2112810" y="49339"/>
                                </a:lnTo>
                                <a:lnTo>
                                  <a:pt x="2096103" y="38074"/>
                                </a:lnTo>
                                <a:close/>
                              </a:path>
                            </a:pathLst>
                          </a:custGeom>
                          <a:solidFill>
                            <a:srgbClr val="243F60">
                              <a:alpha val="50195"/>
                            </a:srgbClr>
                          </a:solidFill>
                        </wps:spPr>
                        <wps:bodyPr wrap="square" lIns="0" tIns="0" rIns="0" bIns="0" rtlCol="0">
                          <a:prstTxWarp prst="textNoShape">
                            <a:avLst/>
                          </a:prstTxWarp>
                          <a:noAutofit/>
                        </wps:bodyPr>
                      </wps:wsp>
                      <wps:wsp>
                        <wps:cNvPr id="6" name="Graphic 6"/>
                        <wps:cNvSpPr/>
                        <wps:spPr>
                          <a:xfrm>
                            <a:off x="19050" y="19050"/>
                            <a:ext cx="2124075" cy="620395"/>
                          </a:xfrm>
                          <a:custGeom>
                            <a:avLst/>
                            <a:gdLst/>
                            <a:ahLst/>
                            <a:cxnLst/>
                            <a:rect l="l" t="t" r="r" b="b"/>
                            <a:pathLst>
                              <a:path w="2124075" h="620395">
                                <a:moveTo>
                                  <a:pt x="2020684" y="0"/>
                                </a:moveTo>
                                <a:lnTo>
                                  <a:pt x="103403" y="0"/>
                                </a:lnTo>
                                <a:lnTo>
                                  <a:pt x="63157" y="8127"/>
                                </a:lnTo>
                                <a:lnTo>
                                  <a:pt x="30289" y="30289"/>
                                </a:lnTo>
                                <a:lnTo>
                                  <a:pt x="8127" y="63157"/>
                                </a:lnTo>
                                <a:lnTo>
                                  <a:pt x="0" y="103403"/>
                                </a:lnTo>
                                <a:lnTo>
                                  <a:pt x="0" y="516991"/>
                                </a:lnTo>
                                <a:lnTo>
                                  <a:pt x="8127" y="557237"/>
                                </a:lnTo>
                                <a:lnTo>
                                  <a:pt x="30289" y="590105"/>
                                </a:lnTo>
                                <a:lnTo>
                                  <a:pt x="63157" y="612267"/>
                                </a:lnTo>
                                <a:lnTo>
                                  <a:pt x="103403" y="620395"/>
                                </a:lnTo>
                                <a:lnTo>
                                  <a:pt x="2020684" y="620395"/>
                                </a:lnTo>
                                <a:lnTo>
                                  <a:pt x="2060927" y="612267"/>
                                </a:lnTo>
                                <a:lnTo>
                                  <a:pt x="2093791" y="590105"/>
                                </a:lnTo>
                                <a:lnTo>
                                  <a:pt x="2115949" y="557237"/>
                                </a:lnTo>
                                <a:lnTo>
                                  <a:pt x="2124075" y="516991"/>
                                </a:lnTo>
                                <a:lnTo>
                                  <a:pt x="2124075" y="103403"/>
                                </a:lnTo>
                                <a:lnTo>
                                  <a:pt x="2115949" y="63157"/>
                                </a:lnTo>
                                <a:lnTo>
                                  <a:pt x="2093791" y="30289"/>
                                </a:lnTo>
                                <a:lnTo>
                                  <a:pt x="2060927" y="8127"/>
                                </a:lnTo>
                                <a:lnTo>
                                  <a:pt x="2020684" y="0"/>
                                </a:lnTo>
                                <a:close/>
                              </a:path>
                            </a:pathLst>
                          </a:custGeom>
                          <a:solidFill>
                            <a:srgbClr val="4F81BD"/>
                          </a:solidFill>
                        </wps:spPr>
                        <wps:bodyPr wrap="square" lIns="0" tIns="0" rIns="0" bIns="0" rtlCol="0">
                          <a:prstTxWarp prst="textNoShape">
                            <a:avLst/>
                          </a:prstTxWarp>
                          <a:noAutofit/>
                        </wps:bodyPr>
                      </wps:wsp>
                      <wps:wsp>
                        <wps:cNvPr id="7" name="Graphic 7"/>
                        <wps:cNvSpPr/>
                        <wps:spPr>
                          <a:xfrm>
                            <a:off x="19050" y="19050"/>
                            <a:ext cx="2124075" cy="620395"/>
                          </a:xfrm>
                          <a:custGeom>
                            <a:avLst/>
                            <a:gdLst/>
                            <a:ahLst/>
                            <a:cxnLst/>
                            <a:rect l="l" t="t" r="r" b="b"/>
                            <a:pathLst>
                              <a:path w="2124075" h="620395">
                                <a:moveTo>
                                  <a:pt x="103403" y="0"/>
                                </a:moveTo>
                                <a:lnTo>
                                  <a:pt x="63157" y="8127"/>
                                </a:lnTo>
                                <a:lnTo>
                                  <a:pt x="30289" y="30289"/>
                                </a:lnTo>
                                <a:lnTo>
                                  <a:pt x="8127" y="63157"/>
                                </a:lnTo>
                                <a:lnTo>
                                  <a:pt x="0" y="103403"/>
                                </a:lnTo>
                                <a:lnTo>
                                  <a:pt x="0" y="516991"/>
                                </a:lnTo>
                                <a:lnTo>
                                  <a:pt x="8127" y="557237"/>
                                </a:lnTo>
                                <a:lnTo>
                                  <a:pt x="30289" y="590105"/>
                                </a:lnTo>
                                <a:lnTo>
                                  <a:pt x="63157" y="612267"/>
                                </a:lnTo>
                                <a:lnTo>
                                  <a:pt x="103403" y="620395"/>
                                </a:lnTo>
                                <a:lnTo>
                                  <a:pt x="2020684" y="620395"/>
                                </a:lnTo>
                                <a:lnTo>
                                  <a:pt x="2060927" y="612267"/>
                                </a:lnTo>
                                <a:lnTo>
                                  <a:pt x="2093791" y="590105"/>
                                </a:lnTo>
                                <a:lnTo>
                                  <a:pt x="2115949" y="557237"/>
                                </a:lnTo>
                                <a:lnTo>
                                  <a:pt x="2124075" y="516991"/>
                                </a:lnTo>
                                <a:lnTo>
                                  <a:pt x="2124075" y="103403"/>
                                </a:lnTo>
                                <a:lnTo>
                                  <a:pt x="2115949" y="63157"/>
                                </a:lnTo>
                                <a:lnTo>
                                  <a:pt x="2093791" y="30289"/>
                                </a:lnTo>
                                <a:lnTo>
                                  <a:pt x="2060927" y="8127"/>
                                </a:lnTo>
                                <a:lnTo>
                                  <a:pt x="2020684" y="0"/>
                                </a:lnTo>
                                <a:lnTo>
                                  <a:pt x="103403" y="0"/>
                                </a:lnTo>
                                <a:close/>
                              </a:path>
                            </a:pathLst>
                          </a:custGeom>
                          <a:ln w="38100">
                            <a:solidFill>
                              <a:srgbClr val="F2F2F2"/>
                            </a:solidFill>
                            <a:prstDash val="solid"/>
                          </a:ln>
                        </wps:spPr>
                        <wps:bodyPr wrap="square" lIns="0" tIns="0" rIns="0" bIns="0" rtlCol="0">
                          <a:prstTxWarp prst="textNoShape">
                            <a:avLst/>
                          </a:prstTxWarp>
                          <a:noAutofit/>
                        </wps:bodyPr>
                      </wps:wsp>
                      <wps:wsp>
                        <wps:cNvPr id="8" name="Graphic 8"/>
                        <wps:cNvSpPr/>
                        <wps:spPr>
                          <a:xfrm>
                            <a:off x="57217" y="979233"/>
                            <a:ext cx="2162175" cy="670560"/>
                          </a:xfrm>
                          <a:custGeom>
                            <a:avLst/>
                            <a:gdLst/>
                            <a:ahLst/>
                            <a:cxnLst/>
                            <a:rect l="l" t="t" r="r" b="b"/>
                            <a:pathLst>
                              <a:path w="2162175" h="670560">
                                <a:moveTo>
                                  <a:pt x="124460" y="0"/>
                                </a:moveTo>
                                <a:lnTo>
                                  <a:pt x="76911" y="9423"/>
                                </a:lnTo>
                                <a:lnTo>
                                  <a:pt x="37045" y="35826"/>
                                </a:lnTo>
                                <a:lnTo>
                                  <a:pt x="10198" y="74968"/>
                                </a:lnTo>
                                <a:lnTo>
                                  <a:pt x="0" y="123380"/>
                                </a:lnTo>
                                <a:lnTo>
                                  <a:pt x="14" y="547077"/>
                                </a:lnTo>
                                <a:lnTo>
                                  <a:pt x="9398" y="593623"/>
                                </a:lnTo>
                                <a:lnTo>
                                  <a:pt x="35712" y="633387"/>
                                </a:lnTo>
                                <a:lnTo>
                                  <a:pt x="75031" y="660336"/>
                                </a:lnTo>
                                <a:lnTo>
                                  <a:pt x="123443" y="670534"/>
                                </a:lnTo>
                                <a:lnTo>
                                  <a:pt x="2037651" y="670560"/>
                                </a:lnTo>
                                <a:lnTo>
                                  <a:pt x="2049424" y="669963"/>
                                </a:lnTo>
                                <a:lnTo>
                                  <a:pt x="2096249" y="655891"/>
                                </a:lnTo>
                                <a:lnTo>
                                  <a:pt x="2103710" y="651446"/>
                                </a:lnTo>
                                <a:lnTo>
                                  <a:pt x="124396" y="651446"/>
                                </a:lnTo>
                                <a:lnTo>
                                  <a:pt x="83371" y="643161"/>
                                </a:lnTo>
                                <a:lnTo>
                                  <a:pt x="49864" y="620568"/>
                                </a:lnTo>
                                <a:lnTo>
                                  <a:pt x="27271" y="587061"/>
                                </a:lnTo>
                                <a:lnTo>
                                  <a:pt x="18991" y="546061"/>
                                </a:lnTo>
                                <a:lnTo>
                                  <a:pt x="18986" y="124396"/>
                                </a:lnTo>
                                <a:lnTo>
                                  <a:pt x="27271" y="83371"/>
                                </a:lnTo>
                                <a:lnTo>
                                  <a:pt x="49864" y="49864"/>
                                </a:lnTo>
                                <a:lnTo>
                                  <a:pt x="83371" y="27271"/>
                                </a:lnTo>
                                <a:lnTo>
                                  <a:pt x="124396" y="18986"/>
                                </a:lnTo>
                                <a:lnTo>
                                  <a:pt x="2103517" y="18986"/>
                                </a:lnTo>
                                <a:lnTo>
                                  <a:pt x="2097925" y="15494"/>
                                </a:lnTo>
                                <a:lnTo>
                                  <a:pt x="2051151" y="774"/>
                                </a:lnTo>
                                <a:lnTo>
                                  <a:pt x="2038667" y="25"/>
                                </a:lnTo>
                                <a:lnTo>
                                  <a:pt x="124460" y="0"/>
                                </a:lnTo>
                                <a:close/>
                              </a:path>
                              <a:path w="2162175" h="670560">
                                <a:moveTo>
                                  <a:pt x="2037651" y="18986"/>
                                </a:moveTo>
                                <a:lnTo>
                                  <a:pt x="124396" y="18986"/>
                                </a:lnTo>
                                <a:lnTo>
                                  <a:pt x="83371" y="27271"/>
                                </a:lnTo>
                                <a:lnTo>
                                  <a:pt x="49864" y="49864"/>
                                </a:lnTo>
                                <a:lnTo>
                                  <a:pt x="27271" y="83371"/>
                                </a:lnTo>
                                <a:lnTo>
                                  <a:pt x="18986" y="124396"/>
                                </a:lnTo>
                                <a:lnTo>
                                  <a:pt x="18991" y="546061"/>
                                </a:lnTo>
                                <a:lnTo>
                                  <a:pt x="27271" y="587061"/>
                                </a:lnTo>
                                <a:lnTo>
                                  <a:pt x="49864" y="620568"/>
                                </a:lnTo>
                                <a:lnTo>
                                  <a:pt x="83371" y="643161"/>
                                </a:lnTo>
                                <a:lnTo>
                                  <a:pt x="124396" y="651446"/>
                                </a:lnTo>
                                <a:lnTo>
                                  <a:pt x="2037651" y="651446"/>
                                </a:lnTo>
                                <a:lnTo>
                                  <a:pt x="2078676" y="643161"/>
                                </a:lnTo>
                                <a:lnTo>
                                  <a:pt x="2094509" y="632485"/>
                                </a:lnTo>
                                <a:lnTo>
                                  <a:pt x="125476" y="632485"/>
                                </a:lnTo>
                                <a:lnTo>
                                  <a:pt x="116611" y="632117"/>
                                </a:lnTo>
                                <a:lnTo>
                                  <a:pt x="76962" y="618286"/>
                                </a:lnTo>
                                <a:lnTo>
                                  <a:pt x="48895" y="587883"/>
                                </a:lnTo>
                                <a:lnTo>
                                  <a:pt x="38118" y="547077"/>
                                </a:lnTo>
                                <a:lnTo>
                                  <a:pt x="38123" y="123380"/>
                                </a:lnTo>
                                <a:lnTo>
                                  <a:pt x="48082" y="84048"/>
                                </a:lnTo>
                                <a:lnTo>
                                  <a:pt x="75399" y="53327"/>
                                </a:lnTo>
                                <a:lnTo>
                                  <a:pt x="114706" y="38646"/>
                                </a:lnTo>
                                <a:lnTo>
                                  <a:pt x="2094697" y="38074"/>
                                </a:lnTo>
                                <a:lnTo>
                                  <a:pt x="2078676" y="27271"/>
                                </a:lnTo>
                                <a:lnTo>
                                  <a:pt x="2037651" y="18986"/>
                                </a:lnTo>
                                <a:close/>
                              </a:path>
                              <a:path w="2162175" h="670560">
                                <a:moveTo>
                                  <a:pt x="2103517" y="18986"/>
                                </a:moveTo>
                                <a:lnTo>
                                  <a:pt x="2037651" y="18986"/>
                                </a:lnTo>
                                <a:lnTo>
                                  <a:pt x="2078676" y="27271"/>
                                </a:lnTo>
                                <a:lnTo>
                                  <a:pt x="2112183" y="49864"/>
                                </a:lnTo>
                                <a:lnTo>
                                  <a:pt x="2134776" y="83371"/>
                                </a:lnTo>
                                <a:lnTo>
                                  <a:pt x="2143061" y="124396"/>
                                </a:lnTo>
                                <a:lnTo>
                                  <a:pt x="2143056" y="546061"/>
                                </a:lnTo>
                                <a:lnTo>
                                  <a:pt x="2134776" y="587061"/>
                                </a:lnTo>
                                <a:lnTo>
                                  <a:pt x="2112183" y="620568"/>
                                </a:lnTo>
                                <a:lnTo>
                                  <a:pt x="2078676" y="643161"/>
                                </a:lnTo>
                                <a:lnTo>
                                  <a:pt x="2037651" y="651446"/>
                                </a:lnTo>
                                <a:lnTo>
                                  <a:pt x="2103710" y="651446"/>
                                </a:lnTo>
                                <a:lnTo>
                                  <a:pt x="2133168" y="625856"/>
                                </a:lnTo>
                                <a:lnTo>
                                  <a:pt x="2156244" y="583907"/>
                                </a:lnTo>
                                <a:lnTo>
                                  <a:pt x="2162111" y="547077"/>
                                </a:lnTo>
                                <a:lnTo>
                                  <a:pt x="2162085" y="123380"/>
                                </a:lnTo>
                                <a:lnTo>
                                  <a:pt x="2152713" y="76847"/>
                                </a:lnTo>
                                <a:lnTo>
                                  <a:pt x="2126322" y="37084"/>
                                </a:lnTo>
                                <a:lnTo>
                                  <a:pt x="2108073" y="21831"/>
                                </a:lnTo>
                                <a:lnTo>
                                  <a:pt x="2103517" y="18986"/>
                                </a:lnTo>
                                <a:close/>
                              </a:path>
                              <a:path w="2162175" h="670560">
                                <a:moveTo>
                                  <a:pt x="2036635" y="38074"/>
                                </a:moveTo>
                                <a:lnTo>
                                  <a:pt x="124460" y="38100"/>
                                </a:lnTo>
                                <a:lnTo>
                                  <a:pt x="82499" y="48895"/>
                                </a:lnTo>
                                <a:lnTo>
                                  <a:pt x="52298" y="76911"/>
                                </a:lnTo>
                                <a:lnTo>
                                  <a:pt x="38417" y="116547"/>
                                </a:lnTo>
                                <a:lnTo>
                                  <a:pt x="38118" y="547077"/>
                                </a:lnTo>
                                <a:lnTo>
                                  <a:pt x="38608" y="555815"/>
                                </a:lnTo>
                                <a:lnTo>
                                  <a:pt x="53365" y="595249"/>
                                </a:lnTo>
                                <a:lnTo>
                                  <a:pt x="84035" y="622401"/>
                                </a:lnTo>
                                <a:lnTo>
                                  <a:pt x="125476" y="632485"/>
                                </a:lnTo>
                                <a:lnTo>
                                  <a:pt x="2037651" y="632460"/>
                                </a:lnTo>
                                <a:lnTo>
                                  <a:pt x="2079637" y="621601"/>
                                </a:lnTo>
                                <a:lnTo>
                                  <a:pt x="2109876" y="593572"/>
                                </a:lnTo>
                                <a:lnTo>
                                  <a:pt x="2123668" y="554088"/>
                                </a:lnTo>
                                <a:lnTo>
                                  <a:pt x="2123984" y="547077"/>
                                </a:lnTo>
                                <a:lnTo>
                                  <a:pt x="2123981" y="123380"/>
                                </a:lnTo>
                                <a:lnTo>
                                  <a:pt x="2113241" y="82435"/>
                                </a:lnTo>
                                <a:lnTo>
                                  <a:pt x="2085149" y="52273"/>
                                </a:lnTo>
                                <a:lnTo>
                                  <a:pt x="2045677" y="38468"/>
                                </a:lnTo>
                                <a:lnTo>
                                  <a:pt x="2036635" y="38074"/>
                                </a:lnTo>
                                <a:close/>
                              </a:path>
                              <a:path w="2162175" h="670560">
                                <a:moveTo>
                                  <a:pt x="2094697" y="38074"/>
                                </a:moveTo>
                                <a:lnTo>
                                  <a:pt x="2036635" y="38074"/>
                                </a:lnTo>
                                <a:lnTo>
                                  <a:pt x="2045677" y="38468"/>
                                </a:lnTo>
                                <a:lnTo>
                                  <a:pt x="2054021" y="39560"/>
                                </a:lnTo>
                                <a:lnTo>
                                  <a:pt x="2091969" y="57315"/>
                                </a:lnTo>
                                <a:lnTo>
                                  <a:pt x="2116899" y="89839"/>
                                </a:lnTo>
                                <a:lnTo>
                                  <a:pt x="2123984" y="547077"/>
                                </a:lnTo>
                                <a:lnTo>
                                  <a:pt x="2123668" y="554088"/>
                                </a:lnTo>
                                <a:lnTo>
                                  <a:pt x="2109838" y="593623"/>
                                </a:lnTo>
                                <a:lnTo>
                                  <a:pt x="2079637" y="621601"/>
                                </a:lnTo>
                                <a:lnTo>
                                  <a:pt x="2037651" y="632460"/>
                                </a:lnTo>
                                <a:lnTo>
                                  <a:pt x="125476" y="632485"/>
                                </a:lnTo>
                                <a:lnTo>
                                  <a:pt x="2094509" y="632485"/>
                                </a:lnTo>
                                <a:lnTo>
                                  <a:pt x="2112183" y="620568"/>
                                </a:lnTo>
                                <a:lnTo>
                                  <a:pt x="2134776" y="587061"/>
                                </a:lnTo>
                                <a:lnTo>
                                  <a:pt x="2143056" y="546061"/>
                                </a:lnTo>
                                <a:lnTo>
                                  <a:pt x="2143061" y="124396"/>
                                </a:lnTo>
                                <a:lnTo>
                                  <a:pt x="2134776" y="83371"/>
                                </a:lnTo>
                                <a:lnTo>
                                  <a:pt x="2112183" y="49864"/>
                                </a:lnTo>
                                <a:lnTo>
                                  <a:pt x="2094697" y="38074"/>
                                </a:lnTo>
                                <a:close/>
                              </a:path>
                            </a:pathLst>
                          </a:custGeom>
                          <a:solidFill>
                            <a:srgbClr val="622423">
                              <a:alpha val="50195"/>
                            </a:srgbClr>
                          </a:solidFill>
                        </wps:spPr>
                        <wps:bodyPr wrap="square" lIns="0" tIns="0" rIns="0" bIns="0" rtlCol="0">
                          <a:prstTxWarp prst="textNoShape">
                            <a:avLst/>
                          </a:prstTxWarp>
                          <a:noAutofit/>
                        </wps:bodyPr>
                      </wps:wsp>
                      <wps:wsp>
                        <wps:cNvPr id="9" name="Graphic 9"/>
                        <wps:cNvSpPr/>
                        <wps:spPr>
                          <a:xfrm>
                            <a:off x="63503" y="972819"/>
                            <a:ext cx="2124075" cy="632460"/>
                          </a:xfrm>
                          <a:custGeom>
                            <a:avLst/>
                            <a:gdLst/>
                            <a:ahLst/>
                            <a:cxnLst/>
                            <a:rect l="l" t="t" r="r" b="b"/>
                            <a:pathLst>
                              <a:path w="2124075" h="632460">
                                <a:moveTo>
                                  <a:pt x="2018665" y="0"/>
                                </a:moveTo>
                                <a:lnTo>
                                  <a:pt x="105410" y="0"/>
                                </a:lnTo>
                                <a:lnTo>
                                  <a:pt x="64384" y="8285"/>
                                </a:lnTo>
                                <a:lnTo>
                                  <a:pt x="30878" y="30878"/>
                                </a:lnTo>
                                <a:lnTo>
                                  <a:pt x="8285" y="64384"/>
                                </a:lnTo>
                                <a:lnTo>
                                  <a:pt x="0" y="105410"/>
                                </a:lnTo>
                                <a:lnTo>
                                  <a:pt x="0" y="527050"/>
                                </a:lnTo>
                                <a:lnTo>
                                  <a:pt x="8285" y="568075"/>
                                </a:lnTo>
                                <a:lnTo>
                                  <a:pt x="30878" y="601581"/>
                                </a:lnTo>
                                <a:lnTo>
                                  <a:pt x="64384" y="624174"/>
                                </a:lnTo>
                                <a:lnTo>
                                  <a:pt x="105410" y="632460"/>
                                </a:lnTo>
                                <a:lnTo>
                                  <a:pt x="2018665" y="632460"/>
                                </a:lnTo>
                                <a:lnTo>
                                  <a:pt x="2059690" y="624174"/>
                                </a:lnTo>
                                <a:lnTo>
                                  <a:pt x="2093196" y="601581"/>
                                </a:lnTo>
                                <a:lnTo>
                                  <a:pt x="2115789" y="568075"/>
                                </a:lnTo>
                                <a:lnTo>
                                  <a:pt x="2124075" y="527050"/>
                                </a:lnTo>
                                <a:lnTo>
                                  <a:pt x="2124075" y="105410"/>
                                </a:lnTo>
                                <a:lnTo>
                                  <a:pt x="2115789" y="64384"/>
                                </a:lnTo>
                                <a:lnTo>
                                  <a:pt x="2093196" y="30878"/>
                                </a:lnTo>
                                <a:lnTo>
                                  <a:pt x="2059690" y="8285"/>
                                </a:lnTo>
                                <a:lnTo>
                                  <a:pt x="2018665" y="0"/>
                                </a:lnTo>
                                <a:close/>
                              </a:path>
                            </a:pathLst>
                          </a:custGeom>
                          <a:solidFill>
                            <a:srgbClr val="C0504D"/>
                          </a:solidFill>
                        </wps:spPr>
                        <wps:bodyPr wrap="square" lIns="0" tIns="0" rIns="0" bIns="0" rtlCol="0">
                          <a:prstTxWarp prst="textNoShape">
                            <a:avLst/>
                          </a:prstTxWarp>
                          <a:noAutofit/>
                        </wps:bodyPr>
                      </wps:wsp>
                      <wps:wsp>
                        <wps:cNvPr id="10" name="Graphic 10"/>
                        <wps:cNvSpPr/>
                        <wps:spPr>
                          <a:xfrm>
                            <a:off x="63503" y="972819"/>
                            <a:ext cx="2124075" cy="632460"/>
                          </a:xfrm>
                          <a:custGeom>
                            <a:avLst/>
                            <a:gdLst/>
                            <a:ahLst/>
                            <a:cxnLst/>
                            <a:rect l="l" t="t" r="r" b="b"/>
                            <a:pathLst>
                              <a:path w="2124075" h="632460">
                                <a:moveTo>
                                  <a:pt x="105410" y="0"/>
                                </a:moveTo>
                                <a:lnTo>
                                  <a:pt x="64384" y="8285"/>
                                </a:lnTo>
                                <a:lnTo>
                                  <a:pt x="30878" y="30878"/>
                                </a:lnTo>
                                <a:lnTo>
                                  <a:pt x="8285" y="64384"/>
                                </a:lnTo>
                                <a:lnTo>
                                  <a:pt x="0" y="105410"/>
                                </a:lnTo>
                                <a:lnTo>
                                  <a:pt x="0" y="527050"/>
                                </a:lnTo>
                                <a:lnTo>
                                  <a:pt x="8285" y="568075"/>
                                </a:lnTo>
                                <a:lnTo>
                                  <a:pt x="30878" y="601581"/>
                                </a:lnTo>
                                <a:lnTo>
                                  <a:pt x="64384" y="624174"/>
                                </a:lnTo>
                                <a:lnTo>
                                  <a:pt x="105410" y="632460"/>
                                </a:lnTo>
                                <a:lnTo>
                                  <a:pt x="2018665" y="632460"/>
                                </a:lnTo>
                                <a:lnTo>
                                  <a:pt x="2059690" y="624174"/>
                                </a:lnTo>
                                <a:lnTo>
                                  <a:pt x="2093196" y="601581"/>
                                </a:lnTo>
                                <a:lnTo>
                                  <a:pt x="2115789" y="568075"/>
                                </a:lnTo>
                                <a:lnTo>
                                  <a:pt x="2124075" y="527050"/>
                                </a:lnTo>
                                <a:lnTo>
                                  <a:pt x="2124075" y="105410"/>
                                </a:lnTo>
                                <a:lnTo>
                                  <a:pt x="2115789" y="64384"/>
                                </a:lnTo>
                                <a:lnTo>
                                  <a:pt x="2093196" y="30878"/>
                                </a:lnTo>
                                <a:lnTo>
                                  <a:pt x="2059690" y="8285"/>
                                </a:lnTo>
                                <a:lnTo>
                                  <a:pt x="2018665" y="0"/>
                                </a:lnTo>
                                <a:lnTo>
                                  <a:pt x="105410" y="0"/>
                                </a:lnTo>
                                <a:close/>
                              </a:path>
                            </a:pathLst>
                          </a:custGeom>
                          <a:ln w="38100">
                            <a:solidFill>
                              <a:srgbClr val="F2F2F2"/>
                            </a:solidFill>
                            <a:prstDash val="solid"/>
                          </a:ln>
                        </wps:spPr>
                        <wps:bodyPr wrap="square" lIns="0" tIns="0" rIns="0" bIns="0" rtlCol="0">
                          <a:prstTxWarp prst="textNoShape">
                            <a:avLst/>
                          </a:prstTxWarp>
                          <a:noAutofit/>
                        </wps:bodyPr>
                      </wps:wsp>
                      <wps:wsp>
                        <wps:cNvPr id="11" name="Graphic 11"/>
                        <wps:cNvSpPr/>
                        <wps:spPr>
                          <a:xfrm>
                            <a:off x="118177" y="3975131"/>
                            <a:ext cx="2162175" cy="685800"/>
                          </a:xfrm>
                          <a:custGeom>
                            <a:avLst/>
                            <a:gdLst/>
                            <a:ahLst/>
                            <a:cxnLst/>
                            <a:rect l="l" t="t" r="r" b="b"/>
                            <a:pathLst>
                              <a:path w="2162175" h="685800">
                                <a:moveTo>
                                  <a:pt x="126936" y="0"/>
                                </a:moveTo>
                                <a:lnTo>
                                  <a:pt x="78397" y="9639"/>
                                </a:lnTo>
                                <a:lnTo>
                                  <a:pt x="37884" y="36525"/>
                                </a:lnTo>
                                <a:lnTo>
                                  <a:pt x="10350" y="76657"/>
                                </a:lnTo>
                                <a:lnTo>
                                  <a:pt x="0" y="125983"/>
                                </a:lnTo>
                                <a:lnTo>
                                  <a:pt x="22" y="559815"/>
                                </a:lnTo>
                                <a:lnTo>
                                  <a:pt x="9601" y="607377"/>
                                </a:lnTo>
                                <a:lnTo>
                                  <a:pt x="36563" y="647966"/>
                                </a:lnTo>
                                <a:lnTo>
                                  <a:pt x="76619" y="675411"/>
                                </a:lnTo>
                                <a:lnTo>
                                  <a:pt x="125958" y="685774"/>
                                </a:lnTo>
                                <a:lnTo>
                                  <a:pt x="2035175" y="685799"/>
                                </a:lnTo>
                                <a:lnTo>
                                  <a:pt x="2047201" y="685203"/>
                                </a:lnTo>
                                <a:lnTo>
                                  <a:pt x="2094915" y="670839"/>
                                </a:lnTo>
                                <a:lnTo>
                                  <a:pt x="2101943" y="666711"/>
                                </a:lnTo>
                                <a:lnTo>
                                  <a:pt x="126936" y="666711"/>
                                </a:lnTo>
                                <a:lnTo>
                                  <a:pt x="84919" y="658227"/>
                                </a:lnTo>
                                <a:lnTo>
                                  <a:pt x="50606" y="635092"/>
                                </a:lnTo>
                                <a:lnTo>
                                  <a:pt x="27470" y="600778"/>
                                </a:lnTo>
                                <a:lnTo>
                                  <a:pt x="19001" y="558838"/>
                                </a:lnTo>
                                <a:lnTo>
                                  <a:pt x="18986" y="126961"/>
                                </a:lnTo>
                                <a:lnTo>
                                  <a:pt x="27470" y="84950"/>
                                </a:lnTo>
                                <a:lnTo>
                                  <a:pt x="50606" y="50636"/>
                                </a:lnTo>
                                <a:lnTo>
                                  <a:pt x="84919" y="27497"/>
                                </a:lnTo>
                                <a:lnTo>
                                  <a:pt x="126936" y="19011"/>
                                </a:lnTo>
                                <a:lnTo>
                                  <a:pt x="2101688" y="19011"/>
                                </a:lnTo>
                                <a:lnTo>
                                  <a:pt x="2096490" y="15811"/>
                                </a:lnTo>
                                <a:lnTo>
                                  <a:pt x="2049081" y="787"/>
                                </a:lnTo>
                                <a:lnTo>
                                  <a:pt x="2036152" y="25"/>
                                </a:lnTo>
                                <a:lnTo>
                                  <a:pt x="126936" y="0"/>
                                </a:lnTo>
                                <a:close/>
                              </a:path>
                              <a:path w="2162175" h="685800">
                                <a:moveTo>
                                  <a:pt x="2035111" y="19011"/>
                                </a:moveTo>
                                <a:lnTo>
                                  <a:pt x="126936" y="19011"/>
                                </a:lnTo>
                                <a:lnTo>
                                  <a:pt x="84919" y="27497"/>
                                </a:lnTo>
                                <a:lnTo>
                                  <a:pt x="50606" y="50636"/>
                                </a:lnTo>
                                <a:lnTo>
                                  <a:pt x="27470" y="84950"/>
                                </a:lnTo>
                                <a:lnTo>
                                  <a:pt x="18986" y="126961"/>
                                </a:lnTo>
                                <a:lnTo>
                                  <a:pt x="19001" y="558838"/>
                                </a:lnTo>
                                <a:lnTo>
                                  <a:pt x="27470" y="600778"/>
                                </a:lnTo>
                                <a:lnTo>
                                  <a:pt x="50606" y="635092"/>
                                </a:lnTo>
                                <a:lnTo>
                                  <a:pt x="84919" y="658227"/>
                                </a:lnTo>
                                <a:lnTo>
                                  <a:pt x="126936" y="666711"/>
                                </a:lnTo>
                                <a:lnTo>
                                  <a:pt x="2035111" y="666711"/>
                                </a:lnTo>
                                <a:lnTo>
                                  <a:pt x="2077128" y="658227"/>
                                </a:lnTo>
                                <a:lnTo>
                                  <a:pt x="2092704" y="647725"/>
                                </a:lnTo>
                                <a:lnTo>
                                  <a:pt x="127914" y="647725"/>
                                </a:lnTo>
                                <a:lnTo>
                                  <a:pt x="118745" y="647344"/>
                                </a:lnTo>
                                <a:lnTo>
                                  <a:pt x="78155" y="633183"/>
                                </a:lnTo>
                                <a:lnTo>
                                  <a:pt x="49212" y="601954"/>
                                </a:lnTo>
                                <a:lnTo>
                                  <a:pt x="38127" y="559815"/>
                                </a:lnTo>
                                <a:lnTo>
                                  <a:pt x="38130" y="125983"/>
                                </a:lnTo>
                                <a:lnTo>
                                  <a:pt x="48310" y="85483"/>
                                </a:lnTo>
                                <a:lnTo>
                                  <a:pt x="76593" y="53771"/>
                                </a:lnTo>
                                <a:lnTo>
                                  <a:pt x="116865" y="38646"/>
                                </a:lnTo>
                                <a:lnTo>
                                  <a:pt x="2092813" y="38074"/>
                                </a:lnTo>
                                <a:lnTo>
                                  <a:pt x="2077128" y="27497"/>
                                </a:lnTo>
                                <a:lnTo>
                                  <a:pt x="2035111" y="19011"/>
                                </a:lnTo>
                                <a:close/>
                              </a:path>
                              <a:path w="2162175" h="685800">
                                <a:moveTo>
                                  <a:pt x="2101688" y="19011"/>
                                </a:moveTo>
                                <a:lnTo>
                                  <a:pt x="2035111" y="19011"/>
                                </a:lnTo>
                                <a:lnTo>
                                  <a:pt x="2077128" y="27497"/>
                                </a:lnTo>
                                <a:lnTo>
                                  <a:pt x="2111441" y="50636"/>
                                </a:lnTo>
                                <a:lnTo>
                                  <a:pt x="2134577" y="84950"/>
                                </a:lnTo>
                                <a:lnTo>
                                  <a:pt x="2143061" y="126961"/>
                                </a:lnTo>
                                <a:lnTo>
                                  <a:pt x="2143046" y="558838"/>
                                </a:lnTo>
                                <a:lnTo>
                                  <a:pt x="2134577" y="600778"/>
                                </a:lnTo>
                                <a:lnTo>
                                  <a:pt x="2111441" y="635092"/>
                                </a:lnTo>
                                <a:lnTo>
                                  <a:pt x="2077128" y="658227"/>
                                </a:lnTo>
                                <a:lnTo>
                                  <a:pt x="2035111" y="666711"/>
                                </a:lnTo>
                                <a:lnTo>
                                  <a:pt x="2101943" y="666711"/>
                                </a:lnTo>
                                <a:lnTo>
                                  <a:pt x="2132495" y="640346"/>
                                </a:lnTo>
                                <a:lnTo>
                                  <a:pt x="2156129" y="597471"/>
                                </a:lnTo>
                                <a:lnTo>
                                  <a:pt x="2162111" y="559815"/>
                                </a:lnTo>
                                <a:lnTo>
                                  <a:pt x="2162088" y="125983"/>
                                </a:lnTo>
                                <a:lnTo>
                                  <a:pt x="2152510" y="78422"/>
                                </a:lnTo>
                                <a:lnTo>
                                  <a:pt x="2125624" y="37922"/>
                                </a:lnTo>
                                <a:lnTo>
                                  <a:pt x="2106968" y="22263"/>
                                </a:lnTo>
                                <a:lnTo>
                                  <a:pt x="2101688" y="19011"/>
                                </a:lnTo>
                                <a:close/>
                              </a:path>
                              <a:path w="2162175" h="685800">
                                <a:moveTo>
                                  <a:pt x="2034197" y="38074"/>
                                </a:moveTo>
                                <a:lnTo>
                                  <a:pt x="126936" y="38099"/>
                                </a:lnTo>
                                <a:lnTo>
                                  <a:pt x="83807" y="49237"/>
                                </a:lnTo>
                                <a:lnTo>
                                  <a:pt x="52755" y="78079"/>
                                </a:lnTo>
                                <a:lnTo>
                                  <a:pt x="38430" y="118783"/>
                                </a:lnTo>
                                <a:lnTo>
                                  <a:pt x="38127" y="559815"/>
                                </a:lnTo>
                                <a:lnTo>
                                  <a:pt x="38620" y="568896"/>
                                </a:lnTo>
                                <a:lnTo>
                                  <a:pt x="53784" y="609345"/>
                                </a:lnTo>
                                <a:lnTo>
                                  <a:pt x="85331" y="637374"/>
                                </a:lnTo>
                                <a:lnTo>
                                  <a:pt x="127914" y="647725"/>
                                </a:lnTo>
                                <a:lnTo>
                                  <a:pt x="2035175" y="647699"/>
                                </a:lnTo>
                                <a:lnTo>
                                  <a:pt x="2078304" y="636562"/>
                                </a:lnTo>
                                <a:lnTo>
                                  <a:pt x="2109533" y="607707"/>
                                </a:lnTo>
                                <a:lnTo>
                                  <a:pt x="2123681" y="567016"/>
                                </a:lnTo>
                                <a:lnTo>
                                  <a:pt x="2123990" y="559815"/>
                                </a:lnTo>
                                <a:lnTo>
                                  <a:pt x="2123983" y="125983"/>
                                </a:lnTo>
                                <a:lnTo>
                                  <a:pt x="2112899" y="83845"/>
                                </a:lnTo>
                                <a:lnTo>
                                  <a:pt x="2084158" y="52793"/>
                                </a:lnTo>
                                <a:lnTo>
                                  <a:pt x="2043366" y="38455"/>
                                </a:lnTo>
                                <a:lnTo>
                                  <a:pt x="2034197" y="38074"/>
                                </a:lnTo>
                                <a:close/>
                              </a:path>
                              <a:path w="2162175" h="685800">
                                <a:moveTo>
                                  <a:pt x="2092813" y="38074"/>
                                </a:moveTo>
                                <a:lnTo>
                                  <a:pt x="2034197" y="38074"/>
                                </a:lnTo>
                                <a:lnTo>
                                  <a:pt x="2043366" y="38455"/>
                                </a:lnTo>
                                <a:lnTo>
                                  <a:pt x="2052154" y="39687"/>
                                </a:lnTo>
                                <a:lnTo>
                                  <a:pt x="2091004" y="57784"/>
                                </a:lnTo>
                                <a:lnTo>
                                  <a:pt x="2116721" y="91503"/>
                                </a:lnTo>
                                <a:lnTo>
                                  <a:pt x="2123990" y="559815"/>
                                </a:lnTo>
                                <a:lnTo>
                                  <a:pt x="2123681" y="567016"/>
                                </a:lnTo>
                                <a:lnTo>
                                  <a:pt x="2109533" y="607707"/>
                                </a:lnTo>
                                <a:lnTo>
                                  <a:pt x="2078304" y="636562"/>
                                </a:lnTo>
                                <a:lnTo>
                                  <a:pt x="2035175" y="647699"/>
                                </a:lnTo>
                                <a:lnTo>
                                  <a:pt x="127914" y="647725"/>
                                </a:lnTo>
                                <a:lnTo>
                                  <a:pt x="2092704" y="647725"/>
                                </a:lnTo>
                                <a:lnTo>
                                  <a:pt x="2111441" y="635092"/>
                                </a:lnTo>
                                <a:lnTo>
                                  <a:pt x="2134577" y="600778"/>
                                </a:lnTo>
                                <a:lnTo>
                                  <a:pt x="2143046" y="558838"/>
                                </a:lnTo>
                                <a:lnTo>
                                  <a:pt x="2143061" y="126961"/>
                                </a:lnTo>
                                <a:lnTo>
                                  <a:pt x="2134577" y="84950"/>
                                </a:lnTo>
                                <a:lnTo>
                                  <a:pt x="2111441" y="50636"/>
                                </a:lnTo>
                                <a:lnTo>
                                  <a:pt x="2092813" y="38074"/>
                                </a:lnTo>
                                <a:close/>
                              </a:path>
                            </a:pathLst>
                          </a:custGeom>
                          <a:solidFill>
                            <a:srgbClr val="205867">
                              <a:alpha val="50195"/>
                            </a:srgbClr>
                          </a:solidFill>
                        </wps:spPr>
                        <wps:bodyPr wrap="square" lIns="0" tIns="0" rIns="0" bIns="0" rtlCol="0">
                          <a:prstTxWarp prst="textNoShape">
                            <a:avLst/>
                          </a:prstTxWarp>
                          <a:noAutofit/>
                        </wps:bodyPr>
                      </wps:wsp>
                      <wps:wsp>
                        <wps:cNvPr id="12" name="Graphic 12"/>
                        <wps:cNvSpPr/>
                        <wps:spPr>
                          <a:xfrm>
                            <a:off x="124463" y="3968750"/>
                            <a:ext cx="2124075" cy="647700"/>
                          </a:xfrm>
                          <a:custGeom>
                            <a:avLst/>
                            <a:gdLst/>
                            <a:ahLst/>
                            <a:cxnLst/>
                            <a:rect l="l" t="t" r="r" b="b"/>
                            <a:pathLst>
                              <a:path w="2124075" h="647700">
                                <a:moveTo>
                                  <a:pt x="2016125" y="0"/>
                                </a:moveTo>
                                <a:lnTo>
                                  <a:pt x="107950" y="0"/>
                                </a:lnTo>
                                <a:lnTo>
                                  <a:pt x="65933" y="8483"/>
                                </a:lnTo>
                                <a:lnTo>
                                  <a:pt x="31619" y="31619"/>
                                </a:lnTo>
                                <a:lnTo>
                                  <a:pt x="8483" y="65933"/>
                                </a:lnTo>
                                <a:lnTo>
                                  <a:pt x="0" y="107950"/>
                                </a:lnTo>
                                <a:lnTo>
                                  <a:pt x="0" y="539750"/>
                                </a:lnTo>
                                <a:lnTo>
                                  <a:pt x="8483" y="581766"/>
                                </a:lnTo>
                                <a:lnTo>
                                  <a:pt x="31619" y="616080"/>
                                </a:lnTo>
                                <a:lnTo>
                                  <a:pt x="65933" y="639216"/>
                                </a:lnTo>
                                <a:lnTo>
                                  <a:pt x="107950" y="647700"/>
                                </a:lnTo>
                                <a:lnTo>
                                  <a:pt x="2016125" y="647700"/>
                                </a:lnTo>
                                <a:lnTo>
                                  <a:pt x="2058141" y="639216"/>
                                </a:lnTo>
                                <a:lnTo>
                                  <a:pt x="2092455" y="616080"/>
                                </a:lnTo>
                                <a:lnTo>
                                  <a:pt x="2115591" y="581766"/>
                                </a:lnTo>
                                <a:lnTo>
                                  <a:pt x="2124075" y="539750"/>
                                </a:lnTo>
                                <a:lnTo>
                                  <a:pt x="2124075" y="107950"/>
                                </a:lnTo>
                                <a:lnTo>
                                  <a:pt x="2115591" y="65933"/>
                                </a:lnTo>
                                <a:lnTo>
                                  <a:pt x="2092455" y="31619"/>
                                </a:lnTo>
                                <a:lnTo>
                                  <a:pt x="2058141" y="8483"/>
                                </a:lnTo>
                                <a:lnTo>
                                  <a:pt x="2016125" y="0"/>
                                </a:lnTo>
                                <a:close/>
                              </a:path>
                            </a:pathLst>
                          </a:custGeom>
                          <a:solidFill>
                            <a:srgbClr val="4BACC6"/>
                          </a:solidFill>
                        </wps:spPr>
                        <wps:bodyPr wrap="square" lIns="0" tIns="0" rIns="0" bIns="0" rtlCol="0">
                          <a:prstTxWarp prst="textNoShape">
                            <a:avLst/>
                          </a:prstTxWarp>
                          <a:noAutofit/>
                        </wps:bodyPr>
                      </wps:wsp>
                      <wps:wsp>
                        <wps:cNvPr id="13" name="Graphic 13"/>
                        <wps:cNvSpPr/>
                        <wps:spPr>
                          <a:xfrm>
                            <a:off x="124463" y="3968750"/>
                            <a:ext cx="2124075" cy="647700"/>
                          </a:xfrm>
                          <a:custGeom>
                            <a:avLst/>
                            <a:gdLst/>
                            <a:ahLst/>
                            <a:cxnLst/>
                            <a:rect l="l" t="t" r="r" b="b"/>
                            <a:pathLst>
                              <a:path w="2124075" h="647700">
                                <a:moveTo>
                                  <a:pt x="107950" y="0"/>
                                </a:moveTo>
                                <a:lnTo>
                                  <a:pt x="65933" y="8483"/>
                                </a:lnTo>
                                <a:lnTo>
                                  <a:pt x="31619" y="31619"/>
                                </a:lnTo>
                                <a:lnTo>
                                  <a:pt x="8483" y="65933"/>
                                </a:lnTo>
                                <a:lnTo>
                                  <a:pt x="0" y="107950"/>
                                </a:lnTo>
                                <a:lnTo>
                                  <a:pt x="0" y="539750"/>
                                </a:lnTo>
                                <a:lnTo>
                                  <a:pt x="8483" y="581766"/>
                                </a:lnTo>
                                <a:lnTo>
                                  <a:pt x="31619" y="616080"/>
                                </a:lnTo>
                                <a:lnTo>
                                  <a:pt x="65933" y="639216"/>
                                </a:lnTo>
                                <a:lnTo>
                                  <a:pt x="107950" y="647700"/>
                                </a:lnTo>
                                <a:lnTo>
                                  <a:pt x="2016125" y="647700"/>
                                </a:lnTo>
                                <a:lnTo>
                                  <a:pt x="2058141" y="639216"/>
                                </a:lnTo>
                                <a:lnTo>
                                  <a:pt x="2092455" y="616080"/>
                                </a:lnTo>
                                <a:lnTo>
                                  <a:pt x="2115591" y="581766"/>
                                </a:lnTo>
                                <a:lnTo>
                                  <a:pt x="2124075" y="539750"/>
                                </a:lnTo>
                                <a:lnTo>
                                  <a:pt x="2124075" y="107950"/>
                                </a:lnTo>
                                <a:lnTo>
                                  <a:pt x="2115591" y="65933"/>
                                </a:lnTo>
                                <a:lnTo>
                                  <a:pt x="2092455" y="31619"/>
                                </a:lnTo>
                                <a:lnTo>
                                  <a:pt x="2058141" y="8483"/>
                                </a:lnTo>
                                <a:lnTo>
                                  <a:pt x="2016125" y="0"/>
                                </a:lnTo>
                                <a:lnTo>
                                  <a:pt x="107950" y="0"/>
                                </a:lnTo>
                                <a:close/>
                              </a:path>
                            </a:pathLst>
                          </a:custGeom>
                          <a:ln w="38100">
                            <a:solidFill>
                              <a:srgbClr val="F2F2F2"/>
                            </a:solidFill>
                            <a:prstDash val="solid"/>
                          </a:ln>
                        </wps:spPr>
                        <wps:bodyPr wrap="square" lIns="0" tIns="0" rIns="0" bIns="0" rtlCol="0">
                          <a:prstTxWarp prst="textNoShape">
                            <a:avLst/>
                          </a:prstTxWarp>
                          <a:noAutofit/>
                        </wps:bodyPr>
                      </wps:wsp>
                      <wps:wsp>
                        <wps:cNvPr id="14" name="Graphic 14"/>
                        <wps:cNvSpPr/>
                        <wps:spPr>
                          <a:xfrm>
                            <a:off x="99120" y="2966720"/>
                            <a:ext cx="2162175" cy="676275"/>
                          </a:xfrm>
                          <a:custGeom>
                            <a:avLst/>
                            <a:gdLst/>
                            <a:ahLst/>
                            <a:cxnLst/>
                            <a:rect l="l" t="t" r="r" b="b"/>
                            <a:pathLst>
                              <a:path w="2162175" h="676275">
                                <a:moveTo>
                                  <a:pt x="125323" y="0"/>
                                </a:moveTo>
                                <a:lnTo>
                                  <a:pt x="77330" y="9575"/>
                                </a:lnTo>
                                <a:lnTo>
                                  <a:pt x="37337" y="36118"/>
                                </a:lnTo>
                                <a:lnTo>
                                  <a:pt x="10223" y="75768"/>
                                </a:lnTo>
                                <a:lnTo>
                                  <a:pt x="0" y="124345"/>
                                </a:lnTo>
                                <a:lnTo>
                                  <a:pt x="25" y="551357"/>
                                </a:lnTo>
                                <a:lnTo>
                                  <a:pt x="9550" y="598347"/>
                                </a:lnTo>
                                <a:lnTo>
                                  <a:pt x="36093" y="638340"/>
                                </a:lnTo>
                                <a:lnTo>
                                  <a:pt x="75742" y="665441"/>
                                </a:lnTo>
                                <a:lnTo>
                                  <a:pt x="124320" y="675678"/>
                                </a:lnTo>
                                <a:lnTo>
                                  <a:pt x="2036902" y="675703"/>
                                </a:lnTo>
                                <a:lnTo>
                                  <a:pt x="2048751" y="675106"/>
                                </a:lnTo>
                                <a:lnTo>
                                  <a:pt x="2095804" y="660971"/>
                                </a:lnTo>
                                <a:lnTo>
                                  <a:pt x="2103063" y="656590"/>
                                </a:lnTo>
                                <a:lnTo>
                                  <a:pt x="125247" y="656590"/>
                                </a:lnTo>
                                <a:lnTo>
                                  <a:pt x="83893" y="648239"/>
                                </a:lnTo>
                                <a:lnTo>
                                  <a:pt x="50120" y="625467"/>
                                </a:lnTo>
                                <a:lnTo>
                                  <a:pt x="27349" y="591690"/>
                                </a:lnTo>
                                <a:lnTo>
                                  <a:pt x="19004" y="550354"/>
                                </a:lnTo>
                                <a:lnTo>
                                  <a:pt x="18999" y="125310"/>
                                </a:lnTo>
                                <a:lnTo>
                                  <a:pt x="27349" y="83949"/>
                                </a:lnTo>
                                <a:lnTo>
                                  <a:pt x="50120" y="50172"/>
                                </a:lnTo>
                                <a:lnTo>
                                  <a:pt x="83893" y="27400"/>
                                </a:lnTo>
                                <a:lnTo>
                                  <a:pt x="125247" y="19050"/>
                                </a:lnTo>
                                <a:lnTo>
                                  <a:pt x="2102946" y="19050"/>
                                </a:lnTo>
                                <a:lnTo>
                                  <a:pt x="2097557" y="15684"/>
                                </a:lnTo>
                                <a:lnTo>
                                  <a:pt x="2050643" y="787"/>
                                </a:lnTo>
                                <a:lnTo>
                                  <a:pt x="2037892" y="25"/>
                                </a:lnTo>
                                <a:lnTo>
                                  <a:pt x="125323" y="0"/>
                                </a:lnTo>
                                <a:close/>
                              </a:path>
                              <a:path w="2162175" h="676275">
                                <a:moveTo>
                                  <a:pt x="2036813" y="19050"/>
                                </a:moveTo>
                                <a:lnTo>
                                  <a:pt x="125247" y="19050"/>
                                </a:lnTo>
                                <a:lnTo>
                                  <a:pt x="83893" y="27400"/>
                                </a:lnTo>
                                <a:lnTo>
                                  <a:pt x="50120" y="50172"/>
                                </a:lnTo>
                                <a:lnTo>
                                  <a:pt x="27349" y="83949"/>
                                </a:lnTo>
                                <a:lnTo>
                                  <a:pt x="18999" y="125310"/>
                                </a:lnTo>
                                <a:lnTo>
                                  <a:pt x="19004" y="550354"/>
                                </a:lnTo>
                                <a:lnTo>
                                  <a:pt x="27349" y="591690"/>
                                </a:lnTo>
                                <a:lnTo>
                                  <a:pt x="50120" y="625467"/>
                                </a:lnTo>
                                <a:lnTo>
                                  <a:pt x="83893" y="648239"/>
                                </a:lnTo>
                                <a:lnTo>
                                  <a:pt x="125247" y="656590"/>
                                </a:lnTo>
                                <a:lnTo>
                                  <a:pt x="2036813" y="656590"/>
                                </a:lnTo>
                                <a:lnTo>
                                  <a:pt x="2078167" y="648239"/>
                                </a:lnTo>
                                <a:lnTo>
                                  <a:pt x="2093903" y="637628"/>
                                </a:lnTo>
                                <a:lnTo>
                                  <a:pt x="126326" y="637628"/>
                                </a:lnTo>
                                <a:lnTo>
                                  <a:pt x="117347" y="637247"/>
                                </a:lnTo>
                                <a:lnTo>
                                  <a:pt x="77266" y="623176"/>
                                </a:lnTo>
                                <a:lnTo>
                                  <a:pt x="49060" y="592785"/>
                                </a:lnTo>
                                <a:lnTo>
                                  <a:pt x="38130" y="551357"/>
                                </a:lnTo>
                                <a:lnTo>
                                  <a:pt x="38134" y="124345"/>
                                </a:lnTo>
                                <a:lnTo>
                                  <a:pt x="48158" y="84582"/>
                                </a:lnTo>
                                <a:lnTo>
                                  <a:pt x="75793" y="53517"/>
                                </a:lnTo>
                                <a:lnTo>
                                  <a:pt x="115468" y="38646"/>
                                </a:lnTo>
                                <a:lnTo>
                                  <a:pt x="2093997" y="38074"/>
                                </a:lnTo>
                                <a:lnTo>
                                  <a:pt x="2078167" y="27400"/>
                                </a:lnTo>
                                <a:lnTo>
                                  <a:pt x="2036813" y="19050"/>
                                </a:lnTo>
                                <a:close/>
                              </a:path>
                              <a:path w="2162175" h="676275">
                                <a:moveTo>
                                  <a:pt x="2102946" y="19050"/>
                                </a:moveTo>
                                <a:lnTo>
                                  <a:pt x="2036813" y="19050"/>
                                </a:lnTo>
                                <a:lnTo>
                                  <a:pt x="2078167" y="27400"/>
                                </a:lnTo>
                                <a:lnTo>
                                  <a:pt x="2111940" y="50172"/>
                                </a:lnTo>
                                <a:lnTo>
                                  <a:pt x="2134711" y="83949"/>
                                </a:lnTo>
                                <a:lnTo>
                                  <a:pt x="2143061" y="125310"/>
                                </a:lnTo>
                                <a:lnTo>
                                  <a:pt x="2143056" y="550354"/>
                                </a:lnTo>
                                <a:lnTo>
                                  <a:pt x="2134711" y="591690"/>
                                </a:lnTo>
                                <a:lnTo>
                                  <a:pt x="2111940" y="625467"/>
                                </a:lnTo>
                                <a:lnTo>
                                  <a:pt x="2078167" y="648239"/>
                                </a:lnTo>
                                <a:lnTo>
                                  <a:pt x="2036813" y="656590"/>
                                </a:lnTo>
                                <a:lnTo>
                                  <a:pt x="2103063" y="656590"/>
                                </a:lnTo>
                                <a:lnTo>
                                  <a:pt x="2132888" y="630809"/>
                                </a:lnTo>
                                <a:lnTo>
                                  <a:pt x="2156193" y="588632"/>
                                </a:lnTo>
                                <a:lnTo>
                                  <a:pt x="2162124" y="551357"/>
                                </a:lnTo>
                                <a:lnTo>
                                  <a:pt x="2162099" y="124345"/>
                                </a:lnTo>
                                <a:lnTo>
                                  <a:pt x="2152543" y="77292"/>
                                </a:lnTo>
                                <a:lnTo>
                                  <a:pt x="2126030" y="37363"/>
                                </a:lnTo>
                                <a:lnTo>
                                  <a:pt x="2107603" y="21958"/>
                                </a:lnTo>
                                <a:lnTo>
                                  <a:pt x="2102946" y="19050"/>
                                </a:lnTo>
                                <a:close/>
                              </a:path>
                              <a:path w="2162175" h="676275">
                                <a:moveTo>
                                  <a:pt x="2035898" y="38074"/>
                                </a:moveTo>
                                <a:lnTo>
                                  <a:pt x="125323" y="38100"/>
                                </a:lnTo>
                                <a:lnTo>
                                  <a:pt x="82892" y="49085"/>
                                </a:lnTo>
                                <a:lnTo>
                                  <a:pt x="52463" y="77355"/>
                                </a:lnTo>
                                <a:lnTo>
                                  <a:pt x="38430" y="117373"/>
                                </a:lnTo>
                                <a:lnTo>
                                  <a:pt x="38130" y="551357"/>
                                </a:lnTo>
                                <a:lnTo>
                                  <a:pt x="38620" y="560209"/>
                                </a:lnTo>
                                <a:lnTo>
                                  <a:pt x="53531" y="599935"/>
                                </a:lnTo>
                                <a:lnTo>
                                  <a:pt x="84556" y="627519"/>
                                </a:lnTo>
                                <a:lnTo>
                                  <a:pt x="126326" y="637628"/>
                                </a:lnTo>
                                <a:lnTo>
                                  <a:pt x="2036902" y="637603"/>
                                </a:lnTo>
                                <a:lnTo>
                                  <a:pt x="2079332" y="626618"/>
                                </a:lnTo>
                                <a:lnTo>
                                  <a:pt x="2109800" y="598309"/>
                                </a:lnTo>
                                <a:lnTo>
                                  <a:pt x="2123694" y="558330"/>
                                </a:lnTo>
                                <a:lnTo>
                                  <a:pt x="2123994" y="124345"/>
                                </a:lnTo>
                                <a:lnTo>
                                  <a:pt x="2123503" y="115493"/>
                                </a:lnTo>
                                <a:lnTo>
                                  <a:pt x="2108657" y="75692"/>
                                </a:lnTo>
                                <a:lnTo>
                                  <a:pt x="2077580" y="48133"/>
                                </a:lnTo>
                                <a:lnTo>
                                  <a:pt x="2035898" y="38074"/>
                                </a:lnTo>
                                <a:close/>
                              </a:path>
                              <a:path w="2162175" h="676275">
                                <a:moveTo>
                                  <a:pt x="2093997" y="38074"/>
                                </a:moveTo>
                                <a:lnTo>
                                  <a:pt x="2035898" y="38074"/>
                                </a:lnTo>
                                <a:lnTo>
                                  <a:pt x="2044865" y="38455"/>
                                </a:lnTo>
                                <a:lnTo>
                                  <a:pt x="2053666" y="39712"/>
                                </a:lnTo>
                                <a:lnTo>
                                  <a:pt x="2091601" y="57416"/>
                                </a:lnTo>
                                <a:lnTo>
                                  <a:pt x="2116861" y="90665"/>
                                </a:lnTo>
                                <a:lnTo>
                                  <a:pt x="2123994" y="124345"/>
                                </a:lnTo>
                                <a:lnTo>
                                  <a:pt x="2123989" y="551357"/>
                                </a:lnTo>
                                <a:lnTo>
                                  <a:pt x="2113889" y="591248"/>
                                </a:lnTo>
                                <a:lnTo>
                                  <a:pt x="2086254" y="622236"/>
                                </a:lnTo>
                                <a:lnTo>
                                  <a:pt x="2046757" y="637057"/>
                                </a:lnTo>
                                <a:lnTo>
                                  <a:pt x="126326" y="637628"/>
                                </a:lnTo>
                                <a:lnTo>
                                  <a:pt x="2093903" y="637628"/>
                                </a:lnTo>
                                <a:lnTo>
                                  <a:pt x="2111940" y="625467"/>
                                </a:lnTo>
                                <a:lnTo>
                                  <a:pt x="2134711" y="591690"/>
                                </a:lnTo>
                                <a:lnTo>
                                  <a:pt x="2143056" y="550354"/>
                                </a:lnTo>
                                <a:lnTo>
                                  <a:pt x="2143061" y="125310"/>
                                </a:lnTo>
                                <a:lnTo>
                                  <a:pt x="2134711" y="83949"/>
                                </a:lnTo>
                                <a:lnTo>
                                  <a:pt x="2111940" y="50172"/>
                                </a:lnTo>
                                <a:lnTo>
                                  <a:pt x="2093997" y="38074"/>
                                </a:lnTo>
                                <a:close/>
                              </a:path>
                            </a:pathLst>
                          </a:custGeom>
                          <a:solidFill>
                            <a:srgbClr val="3F3151">
                              <a:alpha val="50195"/>
                            </a:srgbClr>
                          </a:solidFill>
                        </wps:spPr>
                        <wps:bodyPr wrap="square" lIns="0" tIns="0" rIns="0" bIns="0" rtlCol="0">
                          <a:prstTxWarp prst="textNoShape">
                            <a:avLst/>
                          </a:prstTxWarp>
                          <a:noAutofit/>
                        </wps:bodyPr>
                      </wps:wsp>
                      <wps:wsp>
                        <wps:cNvPr id="15" name="Graphic 15"/>
                        <wps:cNvSpPr/>
                        <wps:spPr>
                          <a:xfrm>
                            <a:off x="105410" y="2960370"/>
                            <a:ext cx="2124075" cy="637540"/>
                          </a:xfrm>
                          <a:custGeom>
                            <a:avLst/>
                            <a:gdLst/>
                            <a:ahLst/>
                            <a:cxnLst/>
                            <a:rect l="l" t="t" r="r" b="b"/>
                            <a:pathLst>
                              <a:path w="2124075" h="637540">
                                <a:moveTo>
                                  <a:pt x="2017826" y="0"/>
                                </a:moveTo>
                                <a:lnTo>
                                  <a:pt x="106260" y="0"/>
                                </a:lnTo>
                                <a:lnTo>
                                  <a:pt x="64904" y="8350"/>
                                </a:lnTo>
                                <a:lnTo>
                                  <a:pt x="31127" y="31122"/>
                                </a:lnTo>
                                <a:lnTo>
                                  <a:pt x="8352" y="64899"/>
                                </a:lnTo>
                                <a:lnTo>
                                  <a:pt x="0" y="106260"/>
                                </a:lnTo>
                                <a:lnTo>
                                  <a:pt x="0" y="531279"/>
                                </a:lnTo>
                                <a:lnTo>
                                  <a:pt x="8352" y="572640"/>
                                </a:lnTo>
                                <a:lnTo>
                                  <a:pt x="31127" y="606417"/>
                                </a:lnTo>
                                <a:lnTo>
                                  <a:pt x="64904" y="629189"/>
                                </a:lnTo>
                                <a:lnTo>
                                  <a:pt x="106260" y="637540"/>
                                </a:lnTo>
                                <a:lnTo>
                                  <a:pt x="2017826" y="637540"/>
                                </a:lnTo>
                                <a:lnTo>
                                  <a:pt x="2059181" y="629189"/>
                                </a:lnTo>
                                <a:lnTo>
                                  <a:pt x="2092953" y="606417"/>
                                </a:lnTo>
                                <a:lnTo>
                                  <a:pt x="2115724" y="572640"/>
                                </a:lnTo>
                                <a:lnTo>
                                  <a:pt x="2124075" y="531279"/>
                                </a:lnTo>
                                <a:lnTo>
                                  <a:pt x="2124075" y="106260"/>
                                </a:lnTo>
                                <a:lnTo>
                                  <a:pt x="2115724" y="64899"/>
                                </a:lnTo>
                                <a:lnTo>
                                  <a:pt x="2092953" y="31122"/>
                                </a:lnTo>
                                <a:lnTo>
                                  <a:pt x="2059181" y="8350"/>
                                </a:lnTo>
                                <a:lnTo>
                                  <a:pt x="2017826" y="0"/>
                                </a:lnTo>
                                <a:close/>
                              </a:path>
                            </a:pathLst>
                          </a:custGeom>
                          <a:solidFill>
                            <a:srgbClr val="8064A2"/>
                          </a:solidFill>
                        </wps:spPr>
                        <wps:bodyPr wrap="square" lIns="0" tIns="0" rIns="0" bIns="0" rtlCol="0">
                          <a:prstTxWarp prst="textNoShape">
                            <a:avLst/>
                          </a:prstTxWarp>
                          <a:noAutofit/>
                        </wps:bodyPr>
                      </wps:wsp>
                      <wps:wsp>
                        <wps:cNvPr id="16" name="Graphic 16"/>
                        <wps:cNvSpPr/>
                        <wps:spPr>
                          <a:xfrm>
                            <a:off x="105410" y="2960370"/>
                            <a:ext cx="2124075" cy="637540"/>
                          </a:xfrm>
                          <a:custGeom>
                            <a:avLst/>
                            <a:gdLst/>
                            <a:ahLst/>
                            <a:cxnLst/>
                            <a:rect l="l" t="t" r="r" b="b"/>
                            <a:pathLst>
                              <a:path w="2124075" h="637540">
                                <a:moveTo>
                                  <a:pt x="106260" y="0"/>
                                </a:moveTo>
                                <a:lnTo>
                                  <a:pt x="64904" y="8350"/>
                                </a:lnTo>
                                <a:lnTo>
                                  <a:pt x="31127" y="31122"/>
                                </a:lnTo>
                                <a:lnTo>
                                  <a:pt x="8352" y="64899"/>
                                </a:lnTo>
                                <a:lnTo>
                                  <a:pt x="0" y="106260"/>
                                </a:lnTo>
                                <a:lnTo>
                                  <a:pt x="0" y="531279"/>
                                </a:lnTo>
                                <a:lnTo>
                                  <a:pt x="8352" y="572640"/>
                                </a:lnTo>
                                <a:lnTo>
                                  <a:pt x="31127" y="606417"/>
                                </a:lnTo>
                                <a:lnTo>
                                  <a:pt x="64904" y="629189"/>
                                </a:lnTo>
                                <a:lnTo>
                                  <a:pt x="106260" y="637540"/>
                                </a:lnTo>
                                <a:lnTo>
                                  <a:pt x="2017826" y="637540"/>
                                </a:lnTo>
                                <a:lnTo>
                                  <a:pt x="2059181" y="629189"/>
                                </a:lnTo>
                                <a:lnTo>
                                  <a:pt x="2092953" y="606417"/>
                                </a:lnTo>
                                <a:lnTo>
                                  <a:pt x="2115724" y="572640"/>
                                </a:lnTo>
                                <a:lnTo>
                                  <a:pt x="2124075" y="531279"/>
                                </a:lnTo>
                                <a:lnTo>
                                  <a:pt x="2124075" y="106260"/>
                                </a:lnTo>
                                <a:lnTo>
                                  <a:pt x="2115724" y="64899"/>
                                </a:lnTo>
                                <a:lnTo>
                                  <a:pt x="2092953" y="31122"/>
                                </a:lnTo>
                                <a:lnTo>
                                  <a:pt x="2059181" y="8350"/>
                                </a:lnTo>
                                <a:lnTo>
                                  <a:pt x="2017826" y="0"/>
                                </a:lnTo>
                                <a:lnTo>
                                  <a:pt x="106260" y="0"/>
                                </a:lnTo>
                                <a:close/>
                              </a:path>
                            </a:pathLst>
                          </a:custGeom>
                          <a:ln w="38100">
                            <a:solidFill>
                              <a:srgbClr val="F2F2F2"/>
                            </a:solidFill>
                            <a:prstDash val="solid"/>
                          </a:ln>
                        </wps:spPr>
                        <wps:bodyPr wrap="square" lIns="0" tIns="0" rIns="0" bIns="0" rtlCol="0">
                          <a:prstTxWarp prst="textNoShape">
                            <a:avLst/>
                          </a:prstTxWarp>
                          <a:noAutofit/>
                        </wps:bodyPr>
                      </wps:wsp>
                      <wps:wsp>
                        <wps:cNvPr id="17" name="Graphic 17"/>
                        <wps:cNvSpPr/>
                        <wps:spPr>
                          <a:xfrm>
                            <a:off x="76260" y="1920875"/>
                            <a:ext cx="2171700" cy="654685"/>
                          </a:xfrm>
                          <a:custGeom>
                            <a:avLst/>
                            <a:gdLst/>
                            <a:ahLst/>
                            <a:cxnLst/>
                            <a:rect l="l" t="t" r="r" b="b"/>
                            <a:pathLst>
                              <a:path w="2171700" h="654685">
                                <a:moveTo>
                                  <a:pt x="121704" y="0"/>
                                </a:moveTo>
                                <a:lnTo>
                                  <a:pt x="75120" y="9296"/>
                                </a:lnTo>
                                <a:lnTo>
                                  <a:pt x="36220" y="35140"/>
                                </a:lnTo>
                                <a:lnTo>
                                  <a:pt x="9905" y="73660"/>
                                </a:lnTo>
                                <a:lnTo>
                                  <a:pt x="0" y="120688"/>
                                </a:lnTo>
                                <a:lnTo>
                                  <a:pt x="28" y="533387"/>
                                </a:lnTo>
                                <a:lnTo>
                                  <a:pt x="9270" y="579031"/>
                                </a:lnTo>
                                <a:lnTo>
                                  <a:pt x="35026" y="617842"/>
                                </a:lnTo>
                                <a:lnTo>
                                  <a:pt x="73634" y="644156"/>
                                </a:lnTo>
                                <a:lnTo>
                                  <a:pt x="120662" y="654050"/>
                                </a:lnTo>
                                <a:lnTo>
                                  <a:pt x="2049945" y="654088"/>
                                </a:lnTo>
                                <a:lnTo>
                                  <a:pt x="2061464" y="653478"/>
                                </a:lnTo>
                                <a:lnTo>
                                  <a:pt x="2107133" y="639826"/>
                                </a:lnTo>
                                <a:lnTo>
                                  <a:pt x="2115240" y="635000"/>
                                </a:lnTo>
                                <a:lnTo>
                                  <a:pt x="121653" y="635000"/>
                                </a:lnTo>
                                <a:lnTo>
                                  <a:pt x="81694" y="626930"/>
                                </a:lnTo>
                                <a:lnTo>
                                  <a:pt x="49060" y="604927"/>
                                </a:lnTo>
                                <a:lnTo>
                                  <a:pt x="27055" y="572297"/>
                                </a:lnTo>
                                <a:lnTo>
                                  <a:pt x="18986" y="532345"/>
                                </a:lnTo>
                                <a:lnTo>
                                  <a:pt x="18986" y="121704"/>
                                </a:lnTo>
                                <a:lnTo>
                                  <a:pt x="27055" y="81752"/>
                                </a:lnTo>
                                <a:lnTo>
                                  <a:pt x="49060" y="49122"/>
                                </a:lnTo>
                                <a:lnTo>
                                  <a:pt x="81694" y="27119"/>
                                </a:lnTo>
                                <a:lnTo>
                                  <a:pt x="121653" y="19050"/>
                                </a:lnTo>
                                <a:lnTo>
                                  <a:pt x="2115110" y="19050"/>
                                </a:lnTo>
                                <a:lnTo>
                                  <a:pt x="2108784" y="15151"/>
                                </a:lnTo>
                                <a:lnTo>
                                  <a:pt x="2063242" y="774"/>
                                </a:lnTo>
                                <a:lnTo>
                                  <a:pt x="2050986" y="25"/>
                                </a:lnTo>
                                <a:lnTo>
                                  <a:pt x="121704" y="0"/>
                                </a:lnTo>
                                <a:close/>
                              </a:path>
                              <a:path w="2171700" h="654685">
                                <a:moveTo>
                                  <a:pt x="2049932" y="19050"/>
                                </a:moveTo>
                                <a:lnTo>
                                  <a:pt x="121653" y="19050"/>
                                </a:lnTo>
                                <a:lnTo>
                                  <a:pt x="81694" y="27119"/>
                                </a:lnTo>
                                <a:lnTo>
                                  <a:pt x="49060" y="49122"/>
                                </a:lnTo>
                                <a:lnTo>
                                  <a:pt x="27055" y="81752"/>
                                </a:lnTo>
                                <a:lnTo>
                                  <a:pt x="18986" y="121704"/>
                                </a:lnTo>
                                <a:lnTo>
                                  <a:pt x="18986" y="532345"/>
                                </a:lnTo>
                                <a:lnTo>
                                  <a:pt x="27055" y="572297"/>
                                </a:lnTo>
                                <a:lnTo>
                                  <a:pt x="49060" y="604927"/>
                                </a:lnTo>
                                <a:lnTo>
                                  <a:pt x="81694" y="626930"/>
                                </a:lnTo>
                                <a:lnTo>
                                  <a:pt x="121653" y="635000"/>
                                </a:lnTo>
                                <a:lnTo>
                                  <a:pt x="2049932" y="635000"/>
                                </a:lnTo>
                                <a:lnTo>
                                  <a:pt x="2089889" y="626930"/>
                                </a:lnTo>
                                <a:lnTo>
                                  <a:pt x="2106079" y="616013"/>
                                </a:lnTo>
                                <a:lnTo>
                                  <a:pt x="122745" y="616013"/>
                                </a:lnTo>
                                <a:lnTo>
                                  <a:pt x="114045" y="615619"/>
                                </a:lnTo>
                                <a:lnTo>
                                  <a:pt x="75666" y="602246"/>
                                </a:lnTo>
                                <a:lnTo>
                                  <a:pt x="48590" y="573087"/>
                                </a:lnTo>
                                <a:lnTo>
                                  <a:pt x="38134" y="533387"/>
                                </a:lnTo>
                                <a:lnTo>
                                  <a:pt x="38143" y="120688"/>
                                </a:lnTo>
                                <a:lnTo>
                                  <a:pt x="47688" y="82651"/>
                                </a:lnTo>
                                <a:lnTo>
                                  <a:pt x="74155" y="52857"/>
                                </a:lnTo>
                                <a:lnTo>
                                  <a:pt x="112267" y="38646"/>
                                </a:lnTo>
                                <a:lnTo>
                                  <a:pt x="2106136" y="38074"/>
                                </a:lnTo>
                                <a:lnTo>
                                  <a:pt x="2089889" y="27119"/>
                                </a:lnTo>
                                <a:lnTo>
                                  <a:pt x="2049932" y="19050"/>
                                </a:lnTo>
                                <a:close/>
                              </a:path>
                              <a:path w="2171700" h="654685">
                                <a:moveTo>
                                  <a:pt x="2115110" y="19050"/>
                                </a:moveTo>
                                <a:lnTo>
                                  <a:pt x="2049932" y="19050"/>
                                </a:lnTo>
                                <a:lnTo>
                                  <a:pt x="2089889" y="27119"/>
                                </a:lnTo>
                                <a:lnTo>
                                  <a:pt x="2122519" y="49122"/>
                                </a:lnTo>
                                <a:lnTo>
                                  <a:pt x="2144519" y="81752"/>
                                </a:lnTo>
                                <a:lnTo>
                                  <a:pt x="2152586" y="121704"/>
                                </a:lnTo>
                                <a:lnTo>
                                  <a:pt x="2152586" y="532345"/>
                                </a:lnTo>
                                <a:lnTo>
                                  <a:pt x="2144519" y="572297"/>
                                </a:lnTo>
                                <a:lnTo>
                                  <a:pt x="2122519" y="604927"/>
                                </a:lnTo>
                                <a:lnTo>
                                  <a:pt x="2089889" y="626930"/>
                                </a:lnTo>
                                <a:lnTo>
                                  <a:pt x="2049932" y="635000"/>
                                </a:lnTo>
                                <a:lnTo>
                                  <a:pt x="2115240" y="635000"/>
                                </a:lnTo>
                                <a:lnTo>
                                  <a:pt x="2150364" y="601192"/>
                                </a:lnTo>
                                <a:lnTo>
                                  <a:pt x="2169007" y="557644"/>
                                </a:lnTo>
                                <a:lnTo>
                                  <a:pt x="2171649" y="533387"/>
                                </a:lnTo>
                                <a:lnTo>
                                  <a:pt x="2171620" y="120688"/>
                                </a:lnTo>
                                <a:lnTo>
                                  <a:pt x="2162378" y="75145"/>
                                </a:lnTo>
                                <a:lnTo>
                                  <a:pt x="2136724" y="36347"/>
                                </a:lnTo>
                                <a:lnTo>
                                  <a:pt x="2118779" y="21310"/>
                                </a:lnTo>
                                <a:lnTo>
                                  <a:pt x="2115110" y="19050"/>
                                </a:lnTo>
                                <a:close/>
                              </a:path>
                              <a:path w="2171700" h="654685">
                                <a:moveTo>
                                  <a:pt x="2048903" y="38074"/>
                                </a:moveTo>
                                <a:lnTo>
                                  <a:pt x="121704" y="38100"/>
                                </a:lnTo>
                                <a:lnTo>
                                  <a:pt x="80898" y="48653"/>
                                </a:lnTo>
                                <a:lnTo>
                                  <a:pt x="51815" y="75692"/>
                                </a:lnTo>
                                <a:lnTo>
                                  <a:pt x="38442" y="114071"/>
                                </a:lnTo>
                                <a:lnTo>
                                  <a:pt x="38134" y="533387"/>
                                </a:lnTo>
                                <a:lnTo>
                                  <a:pt x="38620" y="541794"/>
                                </a:lnTo>
                                <a:lnTo>
                                  <a:pt x="52831" y="579907"/>
                                </a:lnTo>
                                <a:lnTo>
                                  <a:pt x="82626" y="606361"/>
                                </a:lnTo>
                                <a:lnTo>
                                  <a:pt x="122745" y="616013"/>
                                </a:lnTo>
                                <a:lnTo>
                                  <a:pt x="2049945" y="615988"/>
                                </a:lnTo>
                                <a:lnTo>
                                  <a:pt x="2090674" y="605472"/>
                                </a:lnTo>
                                <a:lnTo>
                                  <a:pt x="2119833" y="578383"/>
                                </a:lnTo>
                                <a:lnTo>
                                  <a:pt x="2133206" y="540016"/>
                                </a:lnTo>
                                <a:lnTo>
                                  <a:pt x="2133514" y="120688"/>
                                </a:lnTo>
                                <a:lnTo>
                                  <a:pt x="2133028" y="112293"/>
                                </a:lnTo>
                                <a:lnTo>
                                  <a:pt x="2118817" y="74180"/>
                                </a:lnTo>
                                <a:lnTo>
                                  <a:pt x="2089023" y="47713"/>
                                </a:lnTo>
                                <a:lnTo>
                                  <a:pt x="2048903" y="38074"/>
                                </a:lnTo>
                                <a:close/>
                              </a:path>
                              <a:path w="2171700" h="654685">
                                <a:moveTo>
                                  <a:pt x="2106136" y="38074"/>
                                </a:moveTo>
                                <a:lnTo>
                                  <a:pt x="2048903" y="38074"/>
                                </a:lnTo>
                                <a:lnTo>
                                  <a:pt x="2057603" y="38468"/>
                                </a:lnTo>
                                <a:lnTo>
                                  <a:pt x="2065997" y="39624"/>
                                </a:lnTo>
                                <a:lnTo>
                                  <a:pt x="2102472" y="56578"/>
                                </a:lnTo>
                                <a:lnTo>
                                  <a:pt x="2126678" y="88493"/>
                                </a:lnTo>
                                <a:lnTo>
                                  <a:pt x="2133514" y="120688"/>
                                </a:lnTo>
                                <a:lnTo>
                                  <a:pt x="2133506" y="533387"/>
                                </a:lnTo>
                                <a:lnTo>
                                  <a:pt x="2123960" y="571423"/>
                                </a:lnTo>
                                <a:lnTo>
                                  <a:pt x="2097493" y="601218"/>
                                </a:lnTo>
                                <a:lnTo>
                                  <a:pt x="2059381" y="615442"/>
                                </a:lnTo>
                                <a:lnTo>
                                  <a:pt x="122745" y="616013"/>
                                </a:lnTo>
                                <a:lnTo>
                                  <a:pt x="2106079" y="616013"/>
                                </a:lnTo>
                                <a:lnTo>
                                  <a:pt x="2122519" y="604927"/>
                                </a:lnTo>
                                <a:lnTo>
                                  <a:pt x="2144519" y="572297"/>
                                </a:lnTo>
                                <a:lnTo>
                                  <a:pt x="2152586" y="532345"/>
                                </a:lnTo>
                                <a:lnTo>
                                  <a:pt x="2152586" y="121704"/>
                                </a:lnTo>
                                <a:lnTo>
                                  <a:pt x="2144519" y="81752"/>
                                </a:lnTo>
                                <a:lnTo>
                                  <a:pt x="2122519" y="49122"/>
                                </a:lnTo>
                                <a:lnTo>
                                  <a:pt x="2106136" y="38074"/>
                                </a:lnTo>
                                <a:close/>
                              </a:path>
                            </a:pathLst>
                          </a:custGeom>
                          <a:solidFill>
                            <a:srgbClr val="4E6128">
                              <a:alpha val="50195"/>
                            </a:srgbClr>
                          </a:solidFill>
                        </wps:spPr>
                        <wps:bodyPr wrap="square" lIns="0" tIns="0" rIns="0" bIns="0" rtlCol="0">
                          <a:prstTxWarp prst="textNoShape">
                            <a:avLst/>
                          </a:prstTxWarp>
                          <a:noAutofit/>
                        </wps:bodyPr>
                      </wps:wsp>
                      <wps:wsp>
                        <wps:cNvPr id="18" name="Graphic 18"/>
                        <wps:cNvSpPr/>
                        <wps:spPr>
                          <a:xfrm>
                            <a:off x="82557" y="1914525"/>
                            <a:ext cx="2133600" cy="615950"/>
                          </a:xfrm>
                          <a:custGeom>
                            <a:avLst/>
                            <a:gdLst/>
                            <a:ahLst/>
                            <a:cxnLst/>
                            <a:rect l="l" t="t" r="r" b="b"/>
                            <a:pathLst>
                              <a:path w="2133600" h="615950">
                                <a:moveTo>
                                  <a:pt x="2030933" y="0"/>
                                </a:moveTo>
                                <a:lnTo>
                                  <a:pt x="102654" y="0"/>
                                </a:lnTo>
                                <a:lnTo>
                                  <a:pt x="62697" y="8069"/>
                                </a:lnTo>
                                <a:lnTo>
                                  <a:pt x="30067" y="30072"/>
                                </a:lnTo>
                                <a:lnTo>
                                  <a:pt x="8067" y="62702"/>
                                </a:lnTo>
                                <a:lnTo>
                                  <a:pt x="0" y="102654"/>
                                </a:lnTo>
                                <a:lnTo>
                                  <a:pt x="0" y="513295"/>
                                </a:lnTo>
                                <a:lnTo>
                                  <a:pt x="8067" y="553247"/>
                                </a:lnTo>
                                <a:lnTo>
                                  <a:pt x="30067" y="585877"/>
                                </a:lnTo>
                                <a:lnTo>
                                  <a:pt x="62697" y="607880"/>
                                </a:lnTo>
                                <a:lnTo>
                                  <a:pt x="102654" y="615950"/>
                                </a:lnTo>
                                <a:lnTo>
                                  <a:pt x="2030933" y="615950"/>
                                </a:lnTo>
                                <a:lnTo>
                                  <a:pt x="2070892" y="607880"/>
                                </a:lnTo>
                                <a:lnTo>
                                  <a:pt x="2103526" y="585877"/>
                                </a:lnTo>
                                <a:lnTo>
                                  <a:pt x="2125530" y="553247"/>
                                </a:lnTo>
                                <a:lnTo>
                                  <a:pt x="2133600" y="513295"/>
                                </a:lnTo>
                                <a:lnTo>
                                  <a:pt x="2133600" y="102654"/>
                                </a:lnTo>
                                <a:lnTo>
                                  <a:pt x="2125530" y="62702"/>
                                </a:lnTo>
                                <a:lnTo>
                                  <a:pt x="2103526" y="30072"/>
                                </a:lnTo>
                                <a:lnTo>
                                  <a:pt x="2070892" y="8069"/>
                                </a:lnTo>
                                <a:lnTo>
                                  <a:pt x="2030933" y="0"/>
                                </a:lnTo>
                                <a:close/>
                              </a:path>
                            </a:pathLst>
                          </a:custGeom>
                          <a:solidFill>
                            <a:srgbClr val="9BBB59"/>
                          </a:solidFill>
                        </wps:spPr>
                        <wps:bodyPr wrap="square" lIns="0" tIns="0" rIns="0" bIns="0" rtlCol="0">
                          <a:prstTxWarp prst="textNoShape">
                            <a:avLst/>
                          </a:prstTxWarp>
                          <a:noAutofit/>
                        </wps:bodyPr>
                      </wps:wsp>
                      <wps:wsp>
                        <wps:cNvPr id="19" name="Graphic 19"/>
                        <wps:cNvSpPr/>
                        <wps:spPr>
                          <a:xfrm>
                            <a:off x="82557" y="1914525"/>
                            <a:ext cx="2133600" cy="615950"/>
                          </a:xfrm>
                          <a:custGeom>
                            <a:avLst/>
                            <a:gdLst/>
                            <a:ahLst/>
                            <a:cxnLst/>
                            <a:rect l="l" t="t" r="r" b="b"/>
                            <a:pathLst>
                              <a:path w="2133600" h="615950">
                                <a:moveTo>
                                  <a:pt x="102654" y="0"/>
                                </a:moveTo>
                                <a:lnTo>
                                  <a:pt x="62697" y="8069"/>
                                </a:lnTo>
                                <a:lnTo>
                                  <a:pt x="30067" y="30072"/>
                                </a:lnTo>
                                <a:lnTo>
                                  <a:pt x="8067" y="62702"/>
                                </a:lnTo>
                                <a:lnTo>
                                  <a:pt x="0" y="102654"/>
                                </a:lnTo>
                                <a:lnTo>
                                  <a:pt x="0" y="513295"/>
                                </a:lnTo>
                                <a:lnTo>
                                  <a:pt x="8067" y="553247"/>
                                </a:lnTo>
                                <a:lnTo>
                                  <a:pt x="30067" y="585877"/>
                                </a:lnTo>
                                <a:lnTo>
                                  <a:pt x="62697" y="607880"/>
                                </a:lnTo>
                                <a:lnTo>
                                  <a:pt x="102654" y="615950"/>
                                </a:lnTo>
                                <a:lnTo>
                                  <a:pt x="2030933" y="615950"/>
                                </a:lnTo>
                                <a:lnTo>
                                  <a:pt x="2070892" y="607880"/>
                                </a:lnTo>
                                <a:lnTo>
                                  <a:pt x="2103526" y="585877"/>
                                </a:lnTo>
                                <a:lnTo>
                                  <a:pt x="2125530" y="553247"/>
                                </a:lnTo>
                                <a:lnTo>
                                  <a:pt x="2133600" y="513295"/>
                                </a:lnTo>
                                <a:lnTo>
                                  <a:pt x="2133600" y="102654"/>
                                </a:lnTo>
                                <a:lnTo>
                                  <a:pt x="2125530" y="62702"/>
                                </a:lnTo>
                                <a:lnTo>
                                  <a:pt x="2103526" y="30072"/>
                                </a:lnTo>
                                <a:lnTo>
                                  <a:pt x="2070892" y="8069"/>
                                </a:lnTo>
                                <a:lnTo>
                                  <a:pt x="2030933" y="0"/>
                                </a:lnTo>
                                <a:lnTo>
                                  <a:pt x="102654" y="0"/>
                                </a:lnTo>
                                <a:close/>
                              </a:path>
                            </a:pathLst>
                          </a:custGeom>
                          <a:ln w="38100">
                            <a:solidFill>
                              <a:srgbClr val="F2F2F2"/>
                            </a:solidFill>
                            <a:prstDash val="solid"/>
                          </a:ln>
                        </wps:spPr>
                        <wps:bodyPr wrap="square" lIns="0" tIns="0" rIns="0" bIns="0" rtlCol="0">
                          <a:prstTxWarp prst="textNoShape">
                            <a:avLst/>
                          </a:prstTxWarp>
                          <a:noAutofit/>
                        </wps:bodyPr>
                      </wps:wsp>
                      <wps:wsp>
                        <wps:cNvPr id="20" name="Graphic 20"/>
                        <wps:cNvSpPr/>
                        <wps:spPr>
                          <a:xfrm>
                            <a:off x="202657" y="5001926"/>
                            <a:ext cx="2162175" cy="719455"/>
                          </a:xfrm>
                          <a:custGeom>
                            <a:avLst/>
                            <a:gdLst/>
                            <a:ahLst/>
                            <a:cxnLst/>
                            <a:rect l="l" t="t" r="r" b="b"/>
                            <a:pathLst>
                              <a:path w="2162175" h="719455">
                                <a:moveTo>
                                  <a:pt x="132562" y="0"/>
                                </a:moveTo>
                                <a:lnTo>
                                  <a:pt x="93992" y="5765"/>
                                </a:lnTo>
                                <a:lnTo>
                                  <a:pt x="59181" y="22237"/>
                                </a:lnTo>
                                <a:lnTo>
                                  <a:pt x="23139" y="57823"/>
                                </a:lnTo>
                                <a:lnTo>
                                  <a:pt x="6261" y="92354"/>
                                </a:lnTo>
                                <a:lnTo>
                                  <a:pt x="0" y="131648"/>
                                </a:lnTo>
                                <a:lnTo>
                                  <a:pt x="18" y="587768"/>
                                </a:lnTo>
                                <a:lnTo>
                                  <a:pt x="5740" y="625462"/>
                                </a:lnTo>
                                <a:lnTo>
                                  <a:pt x="22161" y="660234"/>
                                </a:lnTo>
                                <a:lnTo>
                                  <a:pt x="57696" y="696277"/>
                                </a:lnTo>
                                <a:lnTo>
                                  <a:pt x="92328" y="713130"/>
                                </a:lnTo>
                                <a:lnTo>
                                  <a:pt x="131622" y="719404"/>
                                </a:lnTo>
                                <a:lnTo>
                                  <a:pt x="2029561" y="719429"/>
                                </a:lnTo>
                                <a:lnTo>
                                  <a:pt x="2042121" y="718832"/>
                                </a:lnTo>
                                <a:lnTo>
                                  <a:pt x="2080272" y="709320"/>
                                </a:lnTo>
                                <a:lnTo>
                                  <a:pt x="2097726" y="700379"/>
                                </a:lnTo>
                                <a:lnTo>
                                  <a:pt x="132524" y="700379"/>
                                </a:lnTo>
                                <a:lnTo>
                                  <a:pt x="88323" y="691454"/>
                                </a:lnTo>
                                <a:lnTo>
                                  <a:pt x="52225" y="667115"/>
                                </a:lnTo>
                                <a:lnTo>
                                  <a:pt x="27886" y="631017"/>
                                </a:lnTo>
                                <a:lnTo>
                                  <a:pt x="18966" y="586841"/>
                                </a:lnTo>
                                <a:lnTo>
                                  <a:pt x="18961" y="132575"/>
                                </a:lnTo>
                                <a:lnTo>
                                  <a:pt x="27886" y="88374"/>
                                </a:lnTo>
                                <a:lnTo>
                                  <a:pt x="52225" y="52276"/>
                                </a:lnTo>
                                <a:lnTo>
                                  <a:pt x="88323" y="27937"/>
                                </a:lnTo>
                                <a:lnTo>
                                  <a:pt x="132524" y="19011"/>
                                </a:lnTo>
                                <a:lnTo>
                                  <a:pt x="2097624" y="19011"/>
                                </a:lnTo>
                                <a:lnTo>
                                  <a:pt x="2093607" y="16522"/>
                                </a:lnTo>
                                <a:lnTo>
                                  <a:pt x="2057272" y="2908"/>
                                </a:lnTo>
                                <a:lnTo>
                                  <a:pt x="2030501" y="25"/>
                                </a:lnTo>
                                <a:lnTo>
                                  <a:pt x="132562" y="0"/>
                                </a:lnTo>
                                <a:close/>
                              </a:path>
                              <a:path w="2162175" h="719455">
                                <a:moveTo>
                                  <a:pt x="2029472" y="19011"/>
                                </a:moveTo>
                                <a:lnTo>
                                  <a:pt x="132524" y="19011"/>
                                </a:lnTo>
                                <a:lnTo>
                                  <a:pt x="88323" y="27937"/>
                                </a:lnTo>
                                <a:lnTo>
                                  <a:pt x="52225" y="52276"/>
                                </a:lnTo>
                                <a:lnTo>
                                  <a:pt x="27886" y="88374"/>
                                </a:lnTo>
                                <a:lnTo>
                                  <a:pt x="18961" y="132575"/>
                                </a:lnTo>
                                <a:lnTo>
                                  <a:pt x="18966" y="586841"/>
                                </a:lnTo>
                                <a:lnTo>
                                  <a:pt x="27886" y="631017"/>
                                </a:lnTo>
                                <a:lnTo>
                                  <a:pt x="52225" y="667115"/>
                                </a:lnTo>
                                <a:lnTo>
                                  <a:pt x="88323" y="691454"/>
                                </a:lnTo>
                                <a:lnTo>
                                  <a:pt x="132524" y="700379"/>
                                </a:lnTo>
                                <a:lnTo>
                                  <a:pt x="2029472" y="700379"/>
                                </a:lnTo>
                                <a:lnTo>
                                  <a:pt x="2073673" y="691454"/>
                                </a:lnTo>
                                <a:lnTo>
                                  <a:pt x="2088671" y="681342"/>
                                </a:lnTo>
                                <a:lnTo>
                                  <a:pt x="133502" y="681342"/>
                                </a:lnTo>
                                <a:lnTo>
                                  <a:pt x="123812" y="680974"/>
                                </a:lnTo>
                                <a:lnTo>
                                  <a:pt x="80556" y="665797"/>
                                </a:lnTo>
                                <a:lnTo>
                                  <a:pt x="49910" y="632688"/>
                                </a:lnTo>
                                <a:lnTo>
                                  <a:pt x="38122" y="587768"/>
                                </a:lnTo>
                                <a:lnTo>
                                  <a:pt x="38123" y="131648"/>
                                </a:lnTo>
                                <a:lnTo>
                                  <a:pt x="49017" y="88374"/>
                                </a:lnTo>
                                <a:lnTo>
                                  <a:pt x="79070" y="54724"/>
                                </a:lnTo>
                                <a:lnTo>
                                  <a:pt x="121881" y="38646"/>
                                </a:lnTo>
                                <a:lnTo>
                                  <a:pt x="2088708" y="38074"/>
                                </a:lnTo>
                                <a:lnTo>
                                  <a:pt x="2073673" y="27937"/>
                                </a:lnTo>
                                <a:lnTo>
                                  <a:pt x="2029472" y="19011"/>
                                </a:lnTo>
                                <a:close/>
                              </a:path>
                              <a:path w="2162175" h="719455">
                                <a:moveTo>
                                  <a:pt x="2097624" y="19011"/>
                                </a:moveTo>
                                <a:lnTo>
                                  <a:pt x="2029472" y="19011"/>
                                </a:lnTo>
                                <a:lnTo>
                                  <a:pt x="2073673" y="27937"/>
                                </a:lnTo>
                                <a:lnTo>
                                  <a:pt x="2109771" y="52276"/>
                                </a:lnTo>
                                <a:lnTo>
                                  <a:pt x="2134110" y="88374"/>
                                </a:lnTo>
                                <a:lnTo>
                                  <a:pt x="2143036" y="132575"/>
                                </a:lnTo>
                                <a:lnTo>
                                  <a:pt x="2143030" y="586841"/>
                                </a:lnTo>
                                <a:lnTo>
                                  <a:pt x="2134110" y="631017"/>
                                </a:lnTo>
                                <a:lnTo>
                                  <a:pt x="2109771" y="667115"/>
                                </a:lnTo>
                                <a:lnTo>
                                  <a:pt x="2073673" y="691454"/>
                                </a:lnTo>
                                <a:lnTo>
                                  <a:pt x="2029472" y="700379"/>
                                </a:lnTo>
                                <a:lnTo>
                                  <a:pt x="2097726" y="700379"/>
                                </a:lnTo>
                                <a:lnTo>
                                  <a:pt x="2131237" y="672007"/>
                                </a:lnTo>
                                <a:lnTo>
                                  <a:pt x="2151316" y="639279"/>
                                </a:lnTo>
                                <a:lnTo>
                                  <a:pt x="2161362" y="601332"/>
                                </a:lnTo>
                                <a:lnTo>
                                  <a:pt x="2162124" y="587768"/>
                                </a:lnTo>
                                <a:lnTo>
                                  <a:pt x="2162104" y="131648"/>
                                </a:lnTo>
                                <a:lnTo>
                                  <a:pt x="2152053" y="81876"/>
                                </a:lnTo>
                                <a:lnTo>
                                  <a:pt x="2132462" y="49009"/>
                                </a:lnTo>
                                <a:lnTo>
                                  <a:pt x="2104326" y="23164"/>
                                </a:lnTo>
                                <a:lnTo>
                                  <a:pt x="2097624" y="19011"/>
                                </a:lnTo>
                                <a:close/>
                              </a:path>
                              <a:path w="2162175" h="719455">
                                <a:moveTo>
                                  <a:pt x="2028621" y="38074"/>
                                </a:moveTo>
                                <a:lnTo>
                                  <a:pt x="132562" y="38100"/>
                                </a:lnTo>
                                <a:lnTo>
                                  <a:pt x="94881" y="45910"/>
                                </a:lnTo>
                                <a:lnTo>
                                  <a:pt x="59054" y="73177"/>
                                </a:lnTo>
                                <a:lnTo>
                                  <a:pt x="39738" y="114579"/>
                                </a:lnTo>
                                <a:lnTo>
                                  <a:pt x="38122" y="587768"/>
                                </a:lnTo>
                                <a:lnTo>
                                  <a:pt x="38620" y="597522"/>
                                </a:lnTo>
                                <a:lnTo>
                                  <a:pt x="54749" y="640499"/>
                                </a:lnTo>
                                <a:lnTo>
                                  <a:pt x="88290" y="670331"/>
                                </a:lnTo>
                                <a:lnTo>
                                  <a:pt x="133502" y="681342"/>
                                </a:lnTo>
                                <a:lnTo>
                                  <a:pt x="2029561" y="681329"/>
                                </a:lnTo>
                                <a:lnTo>
                                  <a:pt x="2067242" y="673519"/>
                                </a:lnTo>
                                <a:lnTo>
                                  <a:pt x="2103145" y="646252"/>
                                </a:lnTo>
                                <a:lnTo>
                                  <a:pt x="2122385" y="604888"/>
                                </a:lnTo>
                                <a:lnTo>
                                  <a:pt x="2124001" y="131648"/>
                                </a:lnTo>
                                <a:lnTo>
                                  <a:pt x="2123503" y="121907"/>
                                </a:lnTo>
                                <a:lnTo>
                                  <a:pt x="2107425" y="79095"/>
                                </a:lnTo>
                                <a:lnTo>
                                  <a:pt x="2073719" y="49009"/>
                                </a:lnTo>
                                <a:lnTo>
                                  <a:pt x="2028621" y="38074"/>
                                </a:lnTo>
                                <a:close/>
                              </a:path>
                              <a:path w="2162175" h="719455">
                                <a:moveTo>
                                  <a:pt x="2088708" y="38074"/>
                                </a:moveTo>
                                <a:lnTo>
                                  <a:pt x="2028621" y="38074"/>
                                </a:lnTo>
                                <a:lnTo>
                                  <a:pt x="2038311" y="38455"/>
                                </a:lnTo>
                                <a:lnTo>
                                  <a:pt x="2047570" y="39763"/>
                                </a:lnTo>
                                <a:lnTo>
                                  <a:pt x="2088972" y="59080"/>
                                </a:lnTo>
                                <a:lnTo>
                                  <a:pt x="2116239" y="94907"/>
                                </a:lnTo>
                                <a:lnTo>
                                  <a:pt x="2124001" y="131648"/>
                                </a:lnTo>
                                <a:lnTo>
                                  <a:pt x="2124001" y="587768"/>
                                </a:lnTo>
                                <a:lnTo>
                                  <a:pt x="2113089" y="631063"/>
                                </a:lnTo>
                                <a:lnTo>
                                  <a:pt x="2083168" y="664718"/>
                                </a:lnTo>
                                <a:lnTo>
                                  <a:pt x="2040242" y="680770"/>
                                </a:lnTo>
                                <a:lnTo>
                                  <a:pt x="133502" y="681342"/>
                                </a:lnTo>
                                <a:lnTo>
                                  <a:pt x="2088689" y="681329"/>
                                </a:lnTo>
                                <a:lnTo>
                                  <a:pt x="2109771" y="667115"/>
                                </a:lnTo>
                                <a:lnTo>
                                  <a:pt x="2134110" y="631017"/>
                                </a:lnTo>
                                <a:lnTo>
                                  <a:pt x="2143030" y="586841"/>
                                </a:lnTo>
                                <a:lnTo>
                                  <a:pt x="2143036" y="132575"/>
                                </a:lnTo>
                                <a:lnTo>
                                  <a:pt x="2134110" y="88374"/>
                                </a:lnTo>
                                <a:lnTo>
                                  <a:pt x="2109771" y="52276"/>
                                </a:lnTo>
                                <a:lnTo>
                                  <a:pt x="2088708" y="38074"/>
                                </a:lnTo>
                                <a:close/>
                              </a:path>
                            </a:pathLst>
                          </a:custGeom>
                          <a:solidFill>
                            <a:srgbClr val="622423">
                              <a:alpha val="50195"/>
                            </a:srgbClr>
                          </a:solidFill>
                        </wps:spPr>
                        <wps:bodyPr wrap="square" lIns="0" tIns="0" rIns="0" bIns="0" rtlCol="0">
                          <a:prstTxWarp prst="textNoShape">
                            <a:avLst/>
                          </a:prstTxWarp>
                          <a:noAutofit/>
                        </wps:bodyPr>
                      </wps:wsp>
                      <wps:wsp>
                        <wps:cNvPr id="21" name="Graphic 21"/>
                        <wps:cNvSpPr/>
                        <wps:spPr>
                          <a:xfrm>
                            <a:off x="208915" y="4995545"/>
                            <a:ext cx="2124075" cy="681355"/>
                          </a:xfrm>
                          <a:custGeom>
                            <a:avLst/>
                            <a:gdLst/>
                            <a:ahLst/>
                            <a:cxnLst/>
                            <a:rect l="l" t="t" r="r" b="b"/>
                            <a:pathLst>
                              <a:path w="2124075" h="681355">
                                <a:moveTo>
                                  <a:pt x="2010524" y="0"/>
                                </a:moveTo>
                                <a:lnTo>
                                  <a:pt x="113563" y="0"/>
                                </a:lnTo>
                                <a:lnTo>
                                  <a:pt x="69362" y="8925"/>
                                </a:lnTo>
                                <a:lnTo>
                                  <a:pt x="33264" y="33264"/>
                                </a:lnTo>
                                <a:lnTo>
                                  <a:pt x="8925" y="69362"/>
                                </a:lnTo>
                                <a:lnTo>
                                  <a:pt x="0" y="113563"/>
                                </a:lnTo>
                                <a:lnTo>
                                  <a:pt x="0" y="567791"/>
                                </a:lnTo>
                                <a:lnTo>
                                  <a:pt x="8925" y="611992"/>
                                </a:lnTo>
                                <a:lnTo>
                                  <a:pt x="33264" y="648090"/>
                                </a:lnTo>
                                <a:lnTo>
                                  <a:pt x="69362" y="672429"/>
                                </a:lnTo>
                                <a:lnTo>
                                  <a:pt x="113563" y="681354"/>
                                </a:lnTo>
                                <a:lnTo>
                                  <a:pt x="2010524" y="681354"/>
                                </a:lnTo>
                                <a:lnTo>
                                  <a:pt x="2054718" y="672429"/>
                                </a:lnTo>
                                <a:lnTo>
                                  <a:pt x="2090812" y="648090"/>
                                </a:lnTo>
                                <a:lnTo>
                                  <a:pt x="2115149" y="611992"/>
                                </a:lnTo>
                                <a:lnTo>
                                  <a:pt x="2124075" y="567791"/>
                                </a:lnTo>
                                <a:lnTo>
                                  <a:pt x="2124075" y="113563"/>
                                </a:lnTo>
                                <a:lnTo>
                                  <a:pt x="2115149" y="69362"/>
                                </a:lnTo>
                                <a:lnTo>
                                  <a:pt x="2090812" y="33264"/>
                                </a:lnTo>
                                <a:lnTo>
                                  <a:pt x="2054718" y="8925"/>
                                </a:lnTo>
                                <a:lnTo>
                                  <a:pt x="2010524" y="0"/>
                                </a:lnTo>
                                <a:close/>
                              </a:path>
                            </a:pathLst>
                          </a:custGeom>
                          <a:solidFill>
                            <a:srgbClr val="C0504D"/>
                          </a:solidFill>
                        </wps:spPr>
                        <wps:bodyPr wrap="square" lIns="0" tIns="0" rIns="0" bIns="0" rtlCol="0">
                          <a:prstTxWarp prst="textNoShape">
                            <a:avLst/>
                          </a:prstTxWarp>
                          <a:noAutofit/>
                        </wps:bodyPr>
                      </wps:wsp>
                      <wps:wsp>
                        <wps:cNvPr id="22" name="Graphic 22"/>
                        <wps:cNvSpPr/>
                        <wps:spPr>
                          <a:xfrm>
                            <a:off x="208915" y="4995545"/>
                            <a:ext cx="2124075" cy="681355"/>
                          </a:xfrm>
                          <a:custGeom>
                            <a:avLst/>
                            <a:gdLst/>
                            <a:ahLst/>
                            <a:cxnLst/>
                            <a:rect l="l" t="t" r="r" b="b"/>
                            <a:pathLst>
                              <a:path w="2124075" h="681355">
                                <a:moveTo>
                                  <a:pt x="113563" y="0"/>
                                </a:moveTo>
                                <a:lnTo>
                                  <a:pt x="69362" y="8925"/>
                                </a:lnTo>
                                <a:lnTo>
                                  <a:pt x="33264" y="33264"/>
                                </a:lnTo>
                                <a:lnTo>
                                  <a:pt x="8925" y="69362"/>
                                </a:lnTo>
                                <a:lnTo>
                                  <a:pt x="0" y="113563"/>
                                </a:lnTo>
                                <a:lnTo>
                                  <a:pt x="0" y="567791"/>
                                </a:lnTo>
                                <a:lnTo>
                                  <a:pt x="8925" y="611992"/>
                                </a:lnTo>
                                <a:lnTo>
                                  <a:pt x="33264" y="648090"/>
                                </a:lnTo>
                                <a:lnTo>
                                  <a:pt x="69362" y="672429"/>
                                </a:lnTo>
                                <a:lnTo>
                                  <a:pt x="113563" y="681354"/>
                                </a:lnTo>
                                <a:lnTo>
                                  <a:pt x="2010524" y="681354"/>
                                </a:lnTo>
                                <a:lnTo>
                                  <a:pt x="2054718" y="672429"/>
                                </a:lnTo>
                                <a:lnTo>
                                  <a:pt x="2090812" y="648090"/>
                                </a:lnTo>
                                <a:lnTo>
                                  <a:pt x="2115149" y="611992"/>
                                </a:lnTo>
                                <a:lnTo>
                                  <a:pt x="2124075" y="567791"/>
                                </a:lnTo>
                                <a:lnTo>
                                  <a:pt x="2124075" y="113563"/>
                                </a:lnTo>
                                <a:lnTo>
                                  <a:pt x="2115149" y="69362"/>
                                </a:lnTo>
                                <a:lnTo>
                                  <a:pt x="2090812" y="33264"/>
                                </a:lnTo>
                                <a:lnTo>
                                  <a:pt x="2054718" y="8925"/>
                                </a:lnTo>
                                <a:lnTo>
                                  <a:pt x="2010524" y="0"/>
                                </a:lnTo>
                                <a:lnTo>
                                  <a:pt x="113563" y="0"/>
                                </a:lnTo>
                                <a:close/>
                              </a:path>
                            </a:pathLst>
                          </a:custGeom>
                          <a:ln w="38100">
                            <a:solidFill>
                              <a:srgbClr val="F2F2F2"/>
                            </a:solidFill>
                            <a:prstDash val="solid"/>
                          </a:ln>
                        </wps:spPr>
                        <wps:bodyPr wrap="square" lIns="0" tIns="0" rIns="0" bIns="0" rtlCol="0">
                          <a:prstTxWarp prst="textNoShape">
                            <a:avLst/>
                          </a:prstTxWarp>
                          <a:noAutofit/>
                        </wps:bodyPr>
                      </wps:wsp>
                      <wps:wsp>
                        <wps:cNvPr id="23" name="Graphic 23"/>
                        <wps:cNvSpPr/>
                        <wps:spPr>
                          <a:xfrm>
                            <a:off x="1013463" y="605155"/>
                            <a:ext cx="1270" cy="316865"/>
                          </a:xfrm>
                          <a:custGeom>
                            <a:avLst/>
                            <a:gdLst/>
                            <a:ahLst/>
                            <a:cxnLst/>
                            <a:rect l="l" t="t" r="r" b="b"/>
                            <a:pathLst>
                              <a:path w="0" h="316865">
                                <a:moveTo>
                                  <a:pt x="0" y="0"/>
                                </a:moveTo>
                                <a:lnTo>
                                  <a:pt x="0" y="316865"/>
                                </a:lnTo>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975363" y="909319"/>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013463" y="1577339"/>
                            <a:ext cx="1270" cy="316865"/>
                          </a:xfrm>
                          <a:custGeom>
                            <a:avLst/>
                            <a:gdLst/>
                            <a:ahLst/>
                            <a:cxnLst/>
                            <a:rect l="l" t="t" r="r" b="b"/>
                            <a:pathLst>
                              <a:path w="0" h="316865">
                                <a:moveTo>
                                  <a:pt x="0" y="0"/>
                                </a:moveTo>
                                <a:lnTo>
                                  <a:pt x="0" y="316865"/>
                                </a:lnTo>
                              </a:path>
                            </a:pathLst>
                          </a:custGeom>
                          <a:ln w="12700">
                            <a:solidFill>
                              <a:srgbClr val="000000"/>
                            </a:solidFill>
                            <a:prstDash val="solid"/>
                          </a:ln>
                        </wps:spPr>
                        <wps:bodyPr wrap="square" lIns="0" tIns="0" rIns="0" bIns="0" rtlCol="0">
                          <a:prstTxWarp prst="textNoShape">
                            <a:avLst/>
                          </a:prstTxWarp>
                          <a:noAutofit/>
                        </wps:bodyPr>
                      </wps:wsp>
                      <wps:wsp>
                        <wps:cNvPr id="26" name="Graphic 26"/>
                        <wps:cNvSpPr/>
                        <wps:spPr>
                          <a:xfrm>
                            <a:off x="975363" y="1881504"/>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066168" y="2580004"/>
                            <a:ext cx="1270" cy="316865"/>
                          </a:xfrm>
                          <a:custGeom>
                            <a:avLst/>
                            <a:gdLst/>
                            <a:ahLst/>
                            <a:cxnLst/>
                            <a:rect l="l" t="t" r="r" b="b"/>
                            <a:pathLst>
                              <a:path w="0" h="316865">
                                <a:moveTo>
                                  <a:pt x="0" y="0"/>
                                </a:moveTo>
                                <a:lnTo>
                                  <a:pt x="0" y="316865"/>
                                </a:lnTo>
                              </a:path>
                            </a:pathLst>
                          </a:custGeom>
                          <a:ln w="12700">
                            <a:solidFill>
                              <a:srgbClr val="000000"/>
                            </a:solidFill>
                            <a:prstDash val="solid"/>
                          </a:ln>
                        </wps:spPr>
                        <wps:bodyPr wrap="square" lIns="0" tIns="0" rIns="0" bIns="0" rtlCol="0">
                          <a:prstTxWarp prst="textNoShape">
                            <a:avLst/>
                          </a:prstTxWarp>
                          <a:noAutofit/>
                        </wps:bodyPr>
                      </wps:wsp>
                      <wps:wsp>
                        <wps:cNvPr id="28" name="Graphic 28"/>
                        <wps:cNvSpPr/>
                        <wps:spPr>
                          <a:xfrm>
                            <a:off x="1028068" y="288417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120143" y="3588384"/>
                            <a:ext cx="1270" cy="316865"/>
                          </a:xfrm>
                          <a:custGeom>
                            <a:avLst/>
                            <a:gdLst/>
                            <a:ahLst/>
                            <a:cxnLst/>
                            <a:rect l="l" t="t" r="r" b="b"/>
                            <a:pathLst>
                              <a:path w="0" h="316865">
                                <a:moveTo>
                                  <a:pt x="0" y="0"/>
                                </a:moveTo>
                                <a:lnTo>
                                  <a:pt x="0" y="316865"/>
                                </a:lnTo>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1082043" y="389255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132843" y="4649470"/>
                            <a:ext cx="1270" cy="316865"/>
                          </a:xfrm>
                          <a:custGeom>
                            <a:avLst/>
                            <a:gdLst/>
                            <a:ahLst/>
                            <a:cxnLst/>
                            <a:rect l="l" t="t" r="r" b="b"/>
                            <a:pathLst>
                              <a:path w="0" h="316865">
                                <a:moveTo>
                                  <a:pt x="0" y="0"/>
                                </a:moveTo>
                                <a:lnTo>
                                  <a:pt x="0" y="316864"/>
                                </a:lnTo>
                              </a:path>
                            </a:pathLst>
                          </a:custGeom>
                          <a:ln w="12700">
                            <a:solidFill>
                              <a:srgbClr val="000000"/>
                            </a:solidFill>
                            <a:prstDash val="solid"/>
                          </a:ln>
                        </wps:spPr>
                        <wps:bodyPr wrap="square" lIns="0" tIns="0" rIns="0" bIns="0" rtlCol="0">
                          <a:prstTxWarp prst="textNoShape">
                            <a:avLst/>
                          </a:prstTxWarp>
                          <a:noAutofit/>
                        </wps:bodyPr>
                      </wps:wsp>
                      <wps:wsp>
                        <wps:cNvPr id="32" name="Graphic 32"/>
                        <wps:cNvSpPr/>
                        <wps:spPr>
                          <a:xfrm>
                            <a:off x="1094743" y="4953634"/>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154054" y="110420"/>
                            <a:ext cx="1074420" cy="309245"/>
                          </a:xfrm>
                          <a:prstGeom prst="rect">
                            <a:avLst/>
                          </a:prstGeom>
                        </wps:spPr>
                        <wps:txbx>
                          <w:txbxContent>
                            <w:p>
                              <w:pPr>
                                <w:spacing w:line="221" w:lineRule="exact" w:before="0"/>
                                <w:ind w:left="720" w:right="0" w:firstLine="0"/>
                                <w:jc w:val="left"/>
                                <w:rPr>
                                  <w:sz w:val="20"/>
                                </w:rPr>
                              </w:pPr>
                              <w:r>
                                <w:rPr>
                                  <w:sz w:val="20"/>
                                </w:rPr>
                                <w:t>Chapter</w:t>
                              </w:r>
                              <w:r>
                                <w:rPr>
                                  <w:spacing w:val="-9"/>
                                  <w:sz w:val="20"/>
                                </w:rPr>
                                <w:t> </w:t>
                              </w:r>
                              <w:r>
                                <w:rPr>
                                  <w:spacing w:val="-10"/>
                                  <w:sz w:val="20"/>
                                </w:rPr>
                                <w:t>1</w:t>
                              </w:r>
                            </w:p>
                            <w:p>
                              <w:pPr>
                                <w:spacing w:before="36"/>
                                <w:ind w:left="0" w:right="0" w:firstLine="0"/>
                                <w:jc w:val="left"/>
                                <w:rPr>
                                  <w:sz w:val="20"/>
                                </w:rPr>
                              </w:pPr>
                              <w:r>
                                <w:rPr>
                                  <w:sz w:val="20"/>
                                </w:rPr>
                                <w:t>General</w:t>
                              </w:r>
                              <w:r>
                                <w:rPr>
                                  <w:spacing w:val="-9"/>
                                  <w:sz w:val="20"/>
                                </w:rPr>
                                <w:t> </w:t>
                              </w:r>
                              <w:r>
                                <w:rPr>
                                  <w:spacing w:val="-2"/>
                                  <w:sz w:val="20"/>
                                </w:rPr>
                                <w:t>Introduction</w:t>
                              </w:r>
                            </w:p>
                          </w:txbxContent>
                        </wps:txbx>
                        <wps:bodyPr wrap="square" lIns="0" tIns="0" rIns="0" bIns="0" rtlCol="0">
                          <a:noAutofit/>
                        </wps:bodyPr>
                      </wps:wsp>
                      <wps:wsp>
                        <wps:cNvPr id="34" name="Textbox 34"/>
                        <wps:cNvSpPr txBox="1"/>
                        <wps:spPr>
                          <a:xfrm>
                            <a:off x="426850" y="1065968"/>
                            <a:ext cx="1639570" cy="475615"/>
                          </a:xfrm>
                          <a:prstGeom prst="rect">
                            <a:avLst/>
                          </a:prstGeom>
                        </wps:spPr>
                        <wps:txbx>
                          <w:txbxContent>
                            <w:p>
                              <w:pPr>
                                <w:spacing w:line="221" w:lineRule="exact" w:before="0"/>
                                <w:ind w:left="360" w:right="0" w:firstLine="0"/>
                                <w:jc w:val="left"/>
                                <w:rPr>
                                  <w:sz w:val="20"/>
                                </w:rPr>
                              </w:pPr>
                              <w:r>
                                <w:rPr>
                                  <w:sz w:val="20"/>
                                </w:rPr>
                                <w:t>Chapter</w:t>
                              </w:r>
                              <w:r>
                                <w:rPr>
                                  <w:spacing w:val="-9"/>
                                  <w:sz w:val="20"/>
                                </w:rPr>
                                <w:t> </w:t>
                              </w:r>
                              <w:r>
                                <w:rPr>
                                  <w:spacing w:val="-10"/>
                                  <w:sz w:val="20"/>
                                </w:rPr>
                                <w:t>2</w:t>
                              </w:r>
                            </w:p>
                            <w:p>
                              <w:pPr>
                                <w:tabs>
                                  <w:tab w:pos="1159" w:val="left" w:leader="none"/>
                                  <w:tab w:pos="1694" w:val="left" w:leader="none"/>
                                </w:tabs>
                                <w:spacing w:line="260" w:lineRule="atLeast" w:before="4"/>
                                <w:ind w:left="0" w:right="18" w:firstLine="0"/>
                                <w:jc w:val="left"/>
                                <w:rPr>
                                  <w:sz w:val="20"/>
                                </w:rPr>
                              </w:pPr>
                              <w:r>
                                <w:rPr>
                                  <w:spacing w:val="-2"/>
                                  <w:sz w:val="20"/>
                                </w:rPr>
                                <w:t>Theoretical</w:t>
                              </w:r>
                              <w:r>
                                <w:rPr>
                                  <w:sz w:val="20"/>
                                </w:rPr>
                                <w:tab/>
                              </w:r>
                              <w:r>
                                <w:rPr>
                                  <w:spacing w:val="-4"/>
                                  <w:sz w:val="20"/>
                                </w:rPr>
                                <w:t>and</w:t>
                              </w:r>
                              <w:r>
                                <w:rPr>
                                  <w:sz w:val="20"/>
                                </w:rPr>
                                <w:tab/>
                              </w:r>
                              <w:r>
                                <w:rPr>
                                  <w:spacing w:val="-2"/>
                                  <w:sz w:val="20"/>
                                </w:rPr>
                                <w:t>conceptual framework</w:t>
                              </w:r>
                            </w:p>
                          </w:txbxContent>
                        </wps:txbx>
                        <wps:bodyPr wrap="square" lIns="0" tIns="0" rIns="0" bIns="0" rtlCol="0">
                          <a:noAutofit/>
                        </wps:bodyPr>
                      </wps:wsp>
                      <wps:wsp>
                        <wps:cNvPr id="35" name="Textbox 35"/>
                        <wps:cNvSpPr txBox="1"/>
                        <wps:spPr>
                          <a:xfrm>
                            <a:off x="477141" y="2006276"/>
                            <a:ext cx="933450" cy="307975"/>
                          </a:xfrm>
                          <a:prstGeom prst="rect">
                            <a:avLst/>
                          </a:prstGeom>
                        </wps:spPr>
                        <wps:txbx>
                          <w:txbxContent>
                            <w:p>
                              <w:pPr>
                                <w:spacing w:line="221" w:lineRule="exact" w:before="0"/>
                                <w:ind w:left="0" w:right="66" w:firstLine="0"/>
                                <w:jc w:val="center"/>
                                <w:rPr>
                                  <w:sz w:val="20"/>
                                </w:rPr>
                              </w:pPr>
                              <w:r>
                                <w:rPr>
                                  <w:sz w:val="20"/>
                                </w:rPr>
                                <w:t>Chapter</w:t>
                              </w:r>
                              <w:r>
                                <w:rPr>
                                  <w:spacing w:val="-9"/>
                                  <w:sz w:val="20"/>
                                </w:rPr>
                                <w:t> </w:t>
                              </w:r>
                              <w:r>
                                <w:rPr>
                                  <w:spacing w:val="-10"/>
                                  <w:sz w:val="20"/>
                                </w:rPr>
                                <w:t>3</w:t>
                              </w:r>
                            </w:p>
                            <w:p>
                              <w:pPr>
                                <w:spacing w:before="34"/>
                                <w:ind w:left="-1" w:right="18" w:firstLine="0"/>
                                <w:jc w:val="center"/>
                                <w:rPr>
                                  <w:sz w:val="20"/>
                                </w:rPr>
                              </w:pPr>
                              <w:r>
                                <w:rPr>
                                  <w:sz w:val="20"/>
                                </w:rPr>
                                <w:t>Literature</w:t>
                              </w:r>
                              <w:r>
                                <w:rPr>
                                  <w:spacing w:val="-12"/>
                                  <w:sz w:val="20"/>
                                </w:rPr>
                                <w:t> </w:t>
                              </w:r>
                              <w:r>
                                <w:rPr>
                                  <w:spacing w:val="-2"/>
                                  <w:sz w:val="20"/>
                                </w:rPr>
                                <w:t>Review</w:t>
                              </w:r>
                            </w:p>
                          </w:txbxContent>
                        </wps:txbx>
                        <wps:bodyPr wrap="square" lIns="0" tIns="0" rIns="0" bIns="0" rtlCol="0">
                          <a:noAutofit/>
                        </wps:bodyPr>
                      </wps:wsp>
                      <wps:wsp>
                        <wps:cNvPr id="36" name="Textbox 36"/>
                        <wps:cNvSpPr txBox="1"/>
                        <wps:spPr>
                          <a:xfrm>
                            <a:off x="496942" y="3053264"/>
                            <a:ext cx="1193165" cy="307975"/>
                          </a:xfrm>
                          <a:prstGeom prst="rect">
                            <a:avLst/>
                          </a:prstGeom>
                        </wps:spPr>
                        <wps:txbx>
                          <w:txbxContent>
                            <w:p>
                              <w:pPr>
                                <w:spacing w:line="221" w:lineRule="exact" w:before="0"/>
                                <w:ind w:left="316" w:right="0" w:firstLine="0"/>
                                <w:jc w:val="left"/>
                                <w:rPr>
                                  <w:sz w:val="20"/>
                                </w:rPr>
                              </w:pPr>
                              <w:r>
                                <w:rPr>
                                  <w:sz w:val="20"/>
                                </w:rPr>
                                <w:t>Chapter</w:t>
                              </w:r>
                              <w:r>
                                <w:rPr>
                                  <w:spacing w:val="-9"/>
                                  <w:sz w:val="20"/>
                                </w:rPr>
                                <w:t> </w:t>
                              </w:r>
                              <w:r>
                                <w:rPr>
                                  <w:spacing w:val="-10"/>
                                  <w:sz w:val="20"/>
                                </w:rPr>
                                <w:t>4</w:t>
                              </w:r>
                            </w:p>
                            <w:p>
                              <w:pPr>
                                <w:spacing w:before="34"/>
                                <w:ind w:left="0" w:right="0" w:firstLine="0"/>
                                <w:jc w:val="left"/>
                                <w:rPr>
                                  <w:sz w:val="20"/>
                                </w:rPr>
                              </w:pPr>
                              <w:r>
                                <w:rPr>
                                  <w:sz w:val="20"/>
                                </w:rPr>
                                <w:t>Research</w:t>
                              </w:r>
                              <w:r>
                                <w:rPr>
                                  <w:spacing w:val="-11"/>
                                  <w:sz w:val="20"/>
                                </w:rPr>
                                <w:t> </w:t>
                              </w:r>
                              <w:r>
                                <w:rPr>
                                  <w:spacing w:val="-2"/>
                                  <w:sz w:val="20"/>
                                </w:rPr>
                                <w:t>Methodology</w:t>
                              </w:r>
                            </w:p>
                          </w:txbxContent>
                        </wps:txbx>
                        <wps:bodyPr wrap="square" lIns="0" tIns="0" rIns="0" bIns="0" rtlCol="0">
                          <a:noAutofit/>
                        </wps:bodyPr>
                      </wps:wsp>
                      <wps:wsp>
                        <wps:cNvPr id="37" name="Textbox 37"/>
                        <wps:cNvSpPr txBox="1"/>
                        <wps:spPr>
                          <a:xfrm>
                            <a:off x="489334" y="4062152"/>
                            <a:ext cx="1634489" cy="475615"/>
                          </a:xfrm>
                          <a:prstGeom prst="rect">
                            <a:avLst/>
                          </a:prstGeom>
                        </wps:spPr>
                        <wps:txbx>
                          <w:txbxContent>
                            <w:p>
                              <w:pPr>
                                <w:spacing w:line="221" w:lineRule="exact" w:before="0"/>
                                <w:ind w:left="360" w:right="0" w:firstLine="0"/>
                                <w:jc w:val="left"/>
                                <w:rPr>
                                  <w:sz w:val="20"/>
                                </w:rPr>
                              </w:pPr>
                              <w:r>
                                <w:rPr>
                                  <w:sz w:val="20"/>
                                </w:rPr>
                                <w:t>Chapter</w:t>
                              </w:r>
                              <w:r>
                                <w:rPr>
                                  <w:spacing w:val="-9"/>
                                  <w:sz w:val="20"/>
                                </w:rPr>
                                <w:t> </w:t>
                              </w:r>
                              <w:r>
                                <w:rPr>
                                  <w:spacing w:val="-10"/>
                                  <w:sz w:val="20"/>
                                </w:rPr>
                                <w:t>5</w:t>
                              </w:r>
                            </w:p>
                            <w:p>
                              <w:pPr>
                                <w:spacing w:line="260" w:lineRule="atLeast" w:before="4"/>
                                <w:ind w:left="0" w:right="0" w:firstLine="0"/>
                                <w:jc w:val="left"/>
                                <w:rPr>
                                  <w:sz w:val="20"/>
                                </w:rPr>
                              </w:pPr>
                              <w:r>
                                <w:rPr>
                                  <w:sz w:val="20"/>
                                </w:rPr>
                                <w:t>Data Analysis Presentation and </w:t>
                              </w:r>
                              <w:r>
                                <w:rPr>
                                  <w:spacing w:val="-2"/>
                                  <w:sz w:val="20"/>
                                </w:rPr>
                                <w:t>Discussion</w:t>
                              </w:r>
                            </w:p>
                          </w:txbxContent>
                        </wps:txbx>
                        <wps:bodyPr wrap="square" lIns="0" tIns="0" rIns="0" bIns="0" rtlCol="0">
                          <a:noAutofit/>
                        </wps:bodyPr>
                      </wps:wsp>
                      <wps:wsp>
                        <wps:cNvPr id="38" name="Textbox 38"/>
                        <wps:cNvSpPr txBox="1"/>
                        <wps:spPr>
                          <a:xfrm>
                            <a:off x="346078" y="5090852"/>
                            <a:ext cx="1861185" cy="475615"/>
                          </a:xfrm>
                          <a:prstGeom prst="rect">
                            <a:avLst/>
                          </a:prstGeom>
                        </wps:spPr>
                        <wps:txbx>
                          <w:txbxContent>
                            <w:p>
                              <w:pPr>
                                <w:spacing w:line="221" w:lineRule="exact" w:before="0"/>
                                <w:ind w:left="720" w:right="0" w:firstLine="0"/>
                                <w:jc w:val="left"/>
                                <w:rPr>
                                  <w:sz w:val="20"/>
                                </w:rPr>
                              </w:pPr>
                              <w:r>
                                <w:rPr>
                                  <w:sz w:val="20"/>
                                </w:rPr>
                                <w:t>Chapter</w:t>
                              </w:r>
                              <w:r>
                                <w:rPr>
                                  <w:spacing w:val="-9"/>
                                  <w:sz w:val="20"/>
                                </w:rPr>
                                <w:t> </w:t>
                              </w:r>
                              <w:r>
                                <w:rPr>
                                  <w:spacing w:val="-10"/>
                                  <w:sz w:val="20"/>
                                </w:rPr>
                                <w:t>6</w:t>
                              </w:r>
                            </w:p>
                            <w:p>
                              <w:pPr>
                                <w:spacing w:line="260" w:lineRule="atLeast" w:before="4"/>
                                <w:ind w:left="0" w:right="0" w:firstLine="251"/>
                                <w:jc w:val="left"/>
                                <w:rPr>
                                  <w:sz w:val="20"/>
                                </w:rPr>
                              </w:pPr>
                              <w:r>
                                <w:rPr>
                                  <w:sz w:val="20"/>
                                </w:rPr>
                                <w:t>Summary</w:t>
                              </w:r>
                              <w:r>
                                <w:rPr>
                                  <w:spacing w:val="-6"/>
                                  <w:sz w:val="20"/>
                                </w:rPr>
                                <w:t> </w:t>
                              </w:r>
                              <w:r>
                                <w:rPr>
                                  <w:sz w:val="20"/>
                                </w:rPr>
                                <w:t>of</w:t>
                              </w:r>
                              <w:r>
                                <w:rPr>
                                  <w:spacing w:val="-4"/>
                                  <w:sz w:val="20"/>
                                </w:rPr>
                                <w:t> </w:t>
                              </w:r>
                              <w:r>
                                <w:rPr>
                                  <w:sz w:val="20"/>
                                </w:rPr>
                                <w:t>findings,</w:t>
                              </w:r>
                              <w:r>
                                <w:rPr>
                                  <w:spacing w:val="-3"/>
                                  <w:sz w:val="20"/>
                                </w:rPr>
                                <w:t> </w:t>
                              </w:r>
                              <w:r>
                                <w:rPr>
                                  <w:sz w:val="20"/>
                                </w:rPr>
                                <w:t>discussion Conclusion and Recommendation</w:t>
                              </w:r>
                            </w:p>
                          </w:txbxContent>
                        </wps:txbx>
                        <wps:bodyPr wrap="square" lIns="0" tIns="0" rIns="0" bIns="0" rtlCol="0">
                          <a:noAutofit/>
                        </wps:bodyPr>
                      </wps:wsp>
                    </wpg:wgp>
                  </a:graphicData>
                </a:graphic>
              </wp:anchor>
            </w:drawing>
          </mc:Choice>
          <mc:Fallback>
            <w:pict>
              <v:group style="position:absolute;margin-left:178.549698pt;margin-top:93.602341pt;width:186.25pt;height:450.5pt;mso-position-horizontal-relative:page;mso-position-vertical-relative:paragraph;z-index:15729152" id="docshapegroup2" coordorigin="3571,1872" coordsize="3725,9010">
                <v:shape style="position:absolute;left:3591;top:1912;width:3405;height:1038" id="docshape3" coordorigin="3591,1912" coordsize="3405,1038" path="m3784,1912l3766,1913,3747,1916,3728,1920,3710,1927,3693,1935,3677,1944,3662,1955,3649,1967,3636,1981,3625,1996,3615,2012,3607,2029,3600,2046,3595,2065,3592,2084,3591,2103,3591,2758,3592,2775,3595,2793,3599,2812,3606,2830,3614,2847,3623,2863,3634,2878,3646,2892,3660,2904,3675,2915,3691,2925,3708,2933,3725,2940,3744,2945,3763,2948,3782,2949,6803,2949,6822,2948,6840,2946,6859,2941,6877,2935,6894,2927,6906,2919,3784,2919,3720,2906,3669,2871,3634,2820,3621,2756,3621,2105,3634,2042,3669,1990,3720,1955,3784,1942,6906,1942,6896,1936,6880,1928,6862,1921,6844,1916,6824,1913,6805,1912,3784,1912xm6803,1942l3784,1942,3720,1955,3669,1990,3634,2042,3621,2105,3621,2756,3634,2820,3669,2871,3720,2906,3784,2919,6803,2919,6867,2906,6892,2889,3786,2889,3772,2889,3759,2887,3746,2884,3734,2879,3722,2874,3711,2868,3700,2860,3691,2851,3682,2842,3674,2832,3668,2821,3662,2810,3657,2797,3654,2785,3652,2771,3651,2758,3651,2103,3652,2093,3653,2080,3657,2067,3661,2055,3666,2043,3673,2032,3681,2021,3689,2012,3698,2003,3708,1996,3719,1989,3731,1983,3743,1978,3755,1975,3769,1973,3784,1972,6892,1972,6867,1955,6803,1942xm6906,1942l6803,1942,6867,1955,6918,1990,6953,2042,6966,2105,6966,2756,6953,2820,6918,2871,6867,2906,6803,2919,6906,2919,6910,2917,6925,2906,6938,2894,6951,2880,6962,2865,6972,2850,6980,2833,6987,2815,6992,2797,6995,2777,6996,2758,6996,2103,6995,2087,6992,2068,6988,2049,6981,2031,6973,2014,6964,1998,6953,1983,6941,1970,6927,1957,6912,1946,6906,1942xm6802,1972l3784,1972,3769,1973,3755,1975,3743,1978,3731,1983,3719,1989,3708,1996,3698,2003,3689,2012,3681,2021,3673,2032,3666,2043,3661,2055,3657,2067,3653,2080,3652,2093,3651,2103,3651,2758,3652,2771,3654,2785,3657,2797,3662,2810,3668,2821,3674,2832,3682,2842,3691,2851,3700,2860,3711,2868,3722,2874,3734,2879,3746,2884,3759,2887,3772,2889,3786,2889,6803,2889,6818,2888,6832,2886,6844,2883,6856,2878,6868,2872,6879,2866,6889,2858,6898,2849,6907,2840,6914,2829,6921,2818,6926,2807,6930,2795,6934,2782,6935,2769,6936,2758,6936,2103,6935,2090,6933,2076,6930,2064,6925,2052,6919,2040,6913,2029,6905,2020,6896,2010,6887,2001,6876,1994,6865,1987,6853,1982,6841,1978,6829,1974,6815,1973,6802,1972xm6892,1972l6802,1972,6815,1973,6829,1974,6841,1978,6853,1982,6865,1987,6876,1994,6887,2001,6896,2010,6905,2020,6913,2029,6919,2040,6925,2052,6930,2064,6933,2076,6935,2090,6936,2103,6936,2758,6935,2769,6934,2782,6930,2795,6926,2807,6921,2818,6914,2829,6907,2840,6898,2849,6889,2858,6879,2866,6868,2872,6856,2878,6844,2883,6832,2886,6818,2888,6803,2889,3786,2889,6892,2889,6918,2871,6953,2820,6966,2756,6966,2105,6953,2042,6918,1990,6892,1972xe" filled="true" fillcolor="#243f60" stroked="false">
                  <v:path arrowok="t"/>
                  <v:fill opacity="32896f" type="solid"/>
                </v:shape>
                <v:shape style="position:absolute;left:3601;top:1902;width:3345;height:977" id="docshape4" coordorigin="3601,1902" coordsize="3345,977" path="m6783,1902l3764,1902,3700,1915,3649,1950,3614,2002,3601,2065,3601,2716,3614,2780,3649,2831,3700,2866,3764,2879,6783,2879,6847,2866,6898,2831,6933,2780,6946,2716,6946,2065,6933,2002,6898,1950,6847,1915,6783,1902xe" filled="true" fillcolor="#4f81bd" stroked="false">
                  <v:path arrowok="t"/>
                  <v:fill type="solid"/>
                </v:shape>
                <v:shape style="position:absolute;left:3601;top:1902;width:3345;height:977" id="docshape5" coordorigin="3601,1902" coordsize="3345,977" path="m3764,1902l3700,1915,3649,1950,3614,2002,3601,2065,3601,2716,3614,2780,3649,2831,3700,2866,3764,2879,6783,2879,6847,2866,6898,2831,6933,2780,6946,2716,6946,2065,6933,2002,6898,1950,6847,1915,6783,1902,3764,1902xe" filled="false" stroked="true" strokeweight="3pt" strokecolor="#f2f2f2">
                  <v:path arrowok="t"/>
                  <v:stroke dashstyle="solid"/>
                </v:shape>
                <v:shape style="position:absolute;left:3661;top:3414;width:3405;height:1056" id="docshape6" coordorigin="3661,3414" coordsize="3405,1056" path="m3857,3414l3839,3415,3819,3418,3800,3423,3782,3429,3765,3437,3749,3447,3734,3458,3719,3471,3707,3484,3695,3499,3685,3515,3677,3532,3670,3550,3665,3569,3662,3589,3661,3608,3661,4276,3662,4293,3665,4312,3669,4331,3676,4349,3684,4366,3694,4382,3705,4398,3717,4412,3731,4425,3746,4436,3763,4446,3779,4454,3798,4461,3816,4466,3836,4469,3855,4470,6870,4470,6889,4469,6908,4466,6927,4462,6945,4455,6962,4447,6974,4440,3857,4440,3792,4427,3740,4391,3704,4339,3691,4274,3691,3610,3704,3545,3740,3493,3792,3457,3857,3444,6974,3444,6965,3439,6947,3430,6930,3423,6911,3418,6891,3415,6872,3414,3857,3414xm6870,3444l3857,3444,3792,3457,3740,3493,3704,3545,3691,3610,3691,4274,3704,4339,3740,4391,3792,4427,3857,4440,6870,4440,6935,4427,6960,4410,3859,4410,3845,4410,3831,4408,3818,4404,3806,4400,3793,4394,3782,4388,3772,4380,3762,4371,3753,4362,3745,4352,3738,4340,3732,4329,3728,4316,3724,4303,3722,4289,3721,4276,3721,3608,3722,3598,3724,3584,3727,3571,3731,3559,3737,3547,3744,3535,3751,3525,3760,3515,3769,3506,3780,3498,3791,3491,3803,3485,3815,3481,3828,3477,3842,3475,3857,3474,6960,3474,6935,3457,6870,3444xm6974,3444l6870,3444,6935,3457,6987,3493,7023,3545,7036,3610,7036,4274,7023,4339,6987,4391,6935,4427,6870,4440,6974,4440,6978,4437,6994,4426,7007,4414,7020,4400,7032,4385,7042,4369,7050,4352,7057,4334,7062,4315,7065,4295,7066,4276,7066,3608,7065,3592,7062,3572,7058,3553,7051,3535,7043,3518,7033,3502,7022,3487,7010,3473,6996,3460,6981,3449,6974,3444xm6868,3474l3857,3474,3842,3475,3828,3477,3815,3481,3803,3485,3791,3491,3780,3498,3769,3506,3760,3515,3751,3525,3743,3535,3737,3547,3731,3559,3727,3571,3724,3584,3722,3598,3721,3608,3721,4276,3722,4289,3724,4303,3728,4316,3732,4329,3738,4340,3745,4352,3753,4362,3762,4371,3772,4380,3782,4388,3793,4394,3806,4400,3818,4404,3831,4408,3845,4410,3859,4410,6870,4410,6885,4409,6899,4407,6912,4404,6924,4399,6936,4393,6947,4386,6958,4378,6967,4369,6976,4360,6984,4349,6990,4338,6996,4326,7000,4313,7004,4300,7005,4287,7006,4276,7006,3608,7005,3595,7003,3581,7000,3568,6995,3556,6989,3544,6982,3533,6974,3522,6965,3513,6956,3504,6945,3496,6933,3490,6922,3484,6909,3480,6896,3476,6883,3475,6868,3474xm6960,3474l6868,3474,6883,3475,6896,3476,6909,3480,6922,3484,6933,3490,6945,3496,6956,3504,6965,3513,6974,3522,6982,3533,6989,3544,6995,3556,7000,3568,7003,3581,7005,3595,7006,3608,7006,4276,7005,4287,7004,4300,7000,4313,6996,4326,6990,4338,6984,4349,6976,4360,6967,4369,6958,4378,6947,4386,6936,4393,6924,4399,6912,4404,6899,4407,6885,4409,6870,4410,3859,4410,6960,4410,6987,4391,7023,4339,7036,4274,7036,3610,7023,3545,6987,3493,6960,3474xe" filled="true" fillcolor="#622423" stroked="false">
                  <v:path arrowok="t"/>
                  <v:fill opacity="32896f" type="solid"/>
                </v:shape>
                <v:shape style="position:absolute;left:3671;top:3404;width:3345;height:996" id="docshape7" coordorigin="3671,3404" coordsize="3345,996" path="m6850,3404l3837,3404,3772,3417,3720,3453,3684,3505,3671,3570,3671,4234,3684,4299,3720,4351,3772,4387,3837,4400,6850,4400,6915,4387,6967,4351,7003,4299,7016,4234,7016,3570,7003,3505,6967,3453,6915,3417,6850,3404xe" filled="true" fillcolor="#c0504d" stroked="false">
                  <v:path arrowok="t"/>
                  <v:fill type="solid"/>
                </v:shape>
                <v:shape style="position:absolute;left:3671;top:3404;width:3345;height:996" id="docshape8" coordorigin="3671,3404" coordsize="3345,996" path="m3837,3404l3772,3417,3720,3453,3684,3505,3671,3570,3671,4234,3684,4299,3720,4351,3772,4387,3837,4400,6850,4400,6915,4387,6967,4351,7003,4299,7016,4234,7016,3570,7003,3505,6967,3453,6915,3417,6850,3404,3837,3404xe" filled="false" stroked="true" strokeweight="3pt" strokecolor="#f2f2f2">
                  <v:path arrowok="t"/>
                  <v:stroke dashstyle="solid"/>
                </v:shape>
                <v:shape style="position:absolute;left:3757;top:8132;width:3405;height:1080" id="docshape9" coordorigin="3757,8132" coordsize="3405,1080" path="m3957,8132l3938,8133,3918,8136,3899,8141,3881,8147,3863,8156,3846,8166,3831,8177,3817,8190,3804,8204,3792,8219,3782,8235,3773,8253,3767,8271,3761,8290,3758,8310,3757,8330,3757,9014,3758,9031,3761,9051,3766,9070,3772,9089,3781,9106,3790,9123,3802,9138,3815,9153,3829,9166,3844,9177,3861,9187,3878,9196,3896,9203,3915,9208,3935,9211,3955,9212,6962,9212,6981,9211,7001,9208,7020,9203,7039,9197,7056,9189,7067,9182,3957,9182,3891,9169,3837,9132,3800,9078,3787,9012,3787,8332,3800,8266,3837,8212,3891,8175,3957,8162,7067,8162,7059,8157,7041,8148,7023,8142,7004,8136,6984,8133,6964,8132,3957,8132xm6962,8162l3957,8162,3891,8175,3837,8212,3800,8266,3787,8332,3787,9012,3800,9078,3837,9132,3891,9169,3957,9182,6962,9182,7028,9169,7053,9152,3959,9152,3944,9152,3930,9150,3917,9146,3904,9142,3891,9136,3880,9129,3869,9121,3859,9112,3850,9102,3842,9092,3835,9080,3829,9068,3824,9055,3820,9042,3818,9028,3817,9014,3817,8330,3818,8319,3820,8305,3823,8292,3827,8279,3833,8267,3840,8255,3848,8244,3857,8234,3867,8225,3878,8217,3889,8210,3901,8204,3914,8199,3927,8195,3941,8193,3957,8192,7053,8192,7028,8175,6962,8162xm7067,8162l6962,8162,7028,8175,7082,8212,7119,8266,7132,8332,7132,9012,7119,9078,7082,9132,7028,9169,6962,9182,7067,9182,7073,9179,7088,9167,7102,9154,7115,9141,7127,9125,7137,9108,7146,9091,7153,9073,7158,9054,7161,9034,7162,9014,7162,8330,7161,8313,7158,8293,7153,8274,7147,8256,7138,8238,7129,8222,7117,8206,7105,8192,7090,8179,7075,8167,7067,8162xm6961,8192l3957,8192,3941,8193,3927,8195,3914,8199,3901,8204,3889,8210,3878,8217,3867,8225,3857,8234,3848,8244,3840,8255,3833,8267,3827,8279,3823,8292,3820,8305,3818,8319,3817,8330,3817,9014,3818,9028,3820,9042,3824,9055,3829,9068,3835,9080,3842,9092,3850,9102,3859,9112,3869,9121,3880,9129,3891,9136,3904,9142,3917,9146,3930,9150,3944,9152,3959,9152,6962,9152,6978,9151,6992,9149,7005,9145,7018,9141,7030,9135,7042,9127,7052,9119,7062,9110,7071,9100,7079,9089,7086,9078,7092,9065,7096,9052,7100,9039,7101,9025,7102,9014,7102,8330,7101,8316,7099,8302,7095,8289,7091,8276,7084,8264,7077,8253,7069,8242,7060,8232,7050,8223,7039,8215,7028,8208,7015,8202,7002,8198,6989,8195,6975,8193,6961,8192xm7053,8192l6961,8192,6975,8193,6989,8195,7002,8198,7015,8202,7028,8208,7039,8215,7050,8223,7060,8232,7069,8242,7077,8253,7084,8264,7091,8276,7095,8289,7099,8302,7101,8316,7102,8330,7102,9014,7101,9025,7100,9039,7096,9052,7092,9065,7086,9078,7079,9089,7071,9100,7062,9110,7052,9119,7042,9127,7030,9135,7018,9141,7005,9145,6992,9149,6978,9151,6962,9152,3959,9152,7053,9152,7082,9132,7119,9078,7132,9012,7132,8332,7119,8266,7082,8212,7053,8192xe" filled="true" fillcolor="#205867" stroked="false">
                  <v:path arrowok="t"/>
                  <v:fill opacity="32896f" type="solid"/>
                </v:shape>
                <v:shape style="position:absolute;left:3767;top:8122;width:3345;height:1020" id="docshape10" coordorigin="3767,8122" coordsize="3345,1020" path="m6942,8122l3937,8122,3871,8135,3817,8172,3780,8226,3767,8292,3767,8972,3780,9038,3817,9092,3871,9129,3937,9142,6942,9142,7008,9129,7062,9092,7099,9038,7112,8972,7112,8292,7099,8226,7062,8172,7008,8135,6942,8122xe" filled="true" fillcolor="#4bacc6" stroked="false">
                  <v:path arrowok="t"/>
                  <v:fill type="solid"/>
                </v:shape>
                <v:shape style="position:absolute;left:3767;top:8122;width:3345;height:1020" id="docshape11" coordorigin="3767,8122" coordsize="3345,1020" path="m3937,8122l3871,8135,3817,8172,3780,8226,3767,8292,3767,8972,3780,9038,3817,9092,3871,9129,3937,9142,6942,9142,7008,9129,7062,9092,7099,9038,7112,8972,7112,8292,7099,8226,7062,8172,7008,8135,6942,8122,3937,8122xe" filled="false" stroked="true" strokeweight="3pt" strokecolor="#f2f2f2">
                  <v:path arrowok="t"/>
                  <v:stroke dashstyle="solid"/>
                </v:shape>
                <v:shape style="position:absolute;left:3727;top:6544;width:3405;height:1065" id="docshape12" coordorigin="3727,6544" coordsize="3405,1065" path="m3924,6544l3906,6545,3886,6548,3867,6552,3849,6559,3832,6567,3815,6577,3800,6588,3786,6601,3773,6615,3762,6630,3752,6646,3743,6663,3736,6681,3731,6700,3728,6720,3727,6740,3727,7412,3728,7429,3731,7449,3735,7468,3742,7486,3750,7504,3760,7520,3771,7535,3784,7549,3798,7562,3813,7574,3829,7584,3846,7592,3864,7599,3883,7604,3903,7607,3923,7608,6935,7608,6953,7607,6973,7604,6992,7600,7010,7593,7028,7585,7039,7578,3924,7578,3859,7565,3806,7529,3770,7476,3757,7411,3757,6741,3770,6676,3806,6623,3859,6587,3924,6574,7039,6574,7030,6569,7013,6560,6995,6553,6976,6548,6956,6545,6936,6544,3924,6544xm6935,6574l3924,6574,3859,6587,3806,6623,3770,6676,3757,6741,3757,7411,3770,7476,3806,7529,3859,7565,3924,7578,6935,7578,7000,7565,7025,7548,3926,7548,3912,7548,3898,7546,3885,7543,3872,7538,3860,7532,3849,7525,3838,7518,3828,7509,3819,7499,3811,7489,3804,7478,3798,7465,3794,7453,3790,7440,3788,7426,3787,7412,3787,6740,3788,6729,3790,6715,3793,6702,3797,6689,3803,6677,3810,6666,3817,6655,3826,6645,3836,6636,3846,6628,3858,6621,3870,6615,3882,6611,3895,6607,3909,6605,3924,6604,7025,6604,7000,6587,6935,6574xm7039,6574l6935,6574,7000,6587,7053,6623,7089,6676,7102,6741,7102,7411,7089,7476,7053,7529,7000,7565,6935,7578,7039,7578,7044,7575,7059,7564,7073,7551,7086,7537,7097,7522,7108,7506,7116,7489,7123,7471,7128,7452,7131,7432,7132,7412,7132,6740,7131,6723,7128,6703,7124,6684,7117,6666,7109,6649,7099,6632,7088,6617,7075,6603,7061,6590,7046,6579,7039,6574xm6933,6604l3924,6604,3909,6605,3895,6607,3882,6611,3870,6615,3858,6621,3846,6628,3836,6636,3826,6645,3817,6655,3810,6666,3803,6677,3797,6689,3793,6702,3790,6715,3788,6729,3787,6740,3787,7412,3788,7426,3790,7440,3794,7453,3798,7465,3804,7478,3811,7489,3819,7499,3828,7509,3838,7518,3849,7525,3860,7532,3872,7538,3885,7543,3898,7546,3912,7548,3926,7548,6935,7548,6950,7547,6964,7545,6977,7542,6989,7537,7002,7531,7013,7524,7023,7516,7033,7507,7042,7497,7050,7486,7056,7475,7062,7463,7066,7450,7070,7437,7071,7423,7072,7412,7072,6740,7071,6726,7069,6712,7065,6699,7061,6687,7055,6675,7048,6663,7040,6653,7031,6643,7021,6634,7010,6627,6999,6620,6987,6614,6974,6610,6961,6607,6947,6605,6933,6604xm7025,6604l6933,6604,6947,6605,6961,6607,6974,6610,6987,6614,6999,6620,7010,6627,7021,6634,7031,6643,7040,6653,7048,6663,7055,6675,7061,6687,7065,6699,7069,6712,7071,6726,7072,6740,7072,7412,7071,7423,7070,7437,7066,7450,7062,7463,7056,7475,7050,7486,7042,7497,7033,7507,7023,7516,7013,7524,7002,7531,6989,7537,6977,7542,6964,7545,6950,7547,6935,7548,3926,7548,7025,7548,7053,7529,7089,7476,7102,7411,7102,6741,7089,6676,7053,6623,7025,6604xe" filled="true" fillcolor="#3f3151" stroked="false">
                  <v:path arrowok="t"/>
                  <v:fill opacity="32896f" type="solid"/>
                </v:shape>
                <v:shape style="position:absolute;left:3737;top:6534;width:3345;height:1004" id="docshape13" coordorigin="3737,6534" coordsize="3345,1004" path="m6915,6534l3904,6534,3839,6547,3786,6583,3750,6636,3737,6701,3737,7371,3750,7436,3786,7489,3839,7525,3904,7538,6915,7538,6980,7525,7033,7489,7069,7436,7082,7371,7082,6701,7069,6636,7033,6583,6980,6547,6915,6534xe" filled="true" fillcolor="#8064a2" stroked="false">
                  <v:path arrowok="t"/>
                  <v:fill type="solid"/>
                </v:shape>
                <v:shape style="position:absolute;left:3737;top:6534;width:3345;height:1004" id="docshape14" coordorigin="3737,6534" coordsize="3345,1004" path="m3904,6534l3839,6547,3786,6583,3750,6636,3737,6701,3737,7371,3750,7436,3786,7489,3839,7525,3904,7538,6915,7538,6980,7525,7033,7489,7069,7436,7082,7371,7082,6701,7069,6636,7033,6583,6980,6547,6915,6534,3904,6534xe" filled="false" stroked="true" strokeweight="3pt" strokecolor="#f2f2f2">
                  <v:path arrowok="t"/>
                  <v:stroke dashstyle="solid"/>
                </v:shape>
                <v:shape style="position:absolute;left:3691;top:4897;width:3420;height:1031" id="docshape15" coordorigin="3691,4897" coordsize="3420,1031" path="m3883,4897l3865,4898,3846,4901,3827,4905,3809,4912,3793,4919,3777,4929,3762,4940,3748,4952,3736,4966,3725,4980,3715,4996,3707,5013,3700,5030,3695,5049,3692,5068,3691,5087,3691,5737,3692,5754,3695,5772,3699,5791,3706,5809,3713,5825,3723,5841,3734,5856,3746,5870,3760,5882,3774,5894,3790,5903,3807,5911,3824,5918,3843,5923,3862,5926,3881,5927,6919,5927,6937,5926,6956,5923,6975,5919,6993,5912,7009,5905,7022,5897,3883,5897,3820,5884,3768,5850,3734,5798,3721,5735,3721,5089,3734,5026,3768,4974,3820,4940,3883,4927,7022,4927,7012,4921,6995,4913,6978,4906,6959,4901,6940,4898,6921,4897,3883,4897xm6919,4927l3883,4927,3820,4940,3768,4974,3734,5026,3721,5089,3721,5735,3734,5798,3768,5850,3820,5884,3883,5897,6919,5897,6982,5884,7008,5867,3884,5867,3871,5867,3858,5865,3845,5862,3833,5857,3821,5852,3810,5845,3800,5838,3791,5830,3782,5820,3774,5810,3768,5800,3762,5788,3757,5776,3754,5764,3752,5750,3751,5737,3751,5087,3752,5077,3753,5064,3756,5051,3761,5039,3766,5027,3773,5016,3780,5006,3789,4997,3798,4988,3808,4980,3818,4974,3830,4968,3842,4963,3855,4960,3868,4958,3883,4957,7008,4957,6982,4940,6919,4927xm7022,4927l6919,4927,6982,4940,7034,4974,7068,5026,7081,5089,7081,5735,7068,5798,7034,5850,6982,5884,6919,5897,7022,5897,7025,5895,7040,5884,7054,5872,7066,5858,7077,5844,7087,5828,7095,5811,7102,5794,7107,5775,7110,5756,7111,5737,7111,5087,7110,5071,7107,5052,7103,5033,7096,5015,7089,4999,7079,4983,7068,4968,7056,4954,7042,4942,7028,4931,7022,4927xm6918,4957l3883,4957,3868,4958,3855,4960,3842,4963,3830,4968,3818,4974,3808,4980,3798,4988,3789,4997,3780,5006,3773,5016,3766,5027,3761,5039,3756,5051,3753,5064,3752,5077,3751,5087,3751,5737,3752,5750,3754,5764,3757,5776,3762,5788,3768,5800,3774,5810,3782,5820,3791,5830,3800,5838,3810,5845,3821,5852,3833,5857,3845,5862,3858,5865,3871,5867,3884,5867,6919,5867,6934,5866,6947,5864,6960,5861,6972,5856,6983,5851,6994,5844,7004,5836,7014,5828,7022,5818,7029,5808,7036,5797,7041,5785,7046,5773,7049,5761,7050,5747,7051,5737,7051,5087,7050,5074,7048,5061,7045,5048,7040,5036,7034,5024,7028,5014,7020,5004,7012,4995,7002,4986,6992,4979,6981,4972,6969,4967,6957,4962,6945,4959,6931,4958,6918,4957xm7008,4957l6918,4957,6931,4958,6945,4959,6957,4962,6969,4967,6981,4972,6992,4979,7002,4986,7012,4995,7020,5004,7028,5014,7034,5024,7040,5036,7045,5048,7048,5061,7050,5074,7051,5087,7051,5737,7050,5747,7049,5761,7046,5773,7041,5785,7036,5797,7029,5808,7022,5818,7014,5828,7004,5836,6994,5844,6983,5851,6972,5856,6960,5861,6947,5864,6934,5866,6919,5867,3884,5867,7008,5867,7034,5850,7068,5798,7081,5735,7081,5089,7068,5026,7034,4974,7008,4957xe" filled="true" fillcolor="#4e6128" stroked="false">
                  <v:path arrowok="t"/>
                  <v:fill opacity="32896f" type="solid"/>
                </v:shape>
                <v:shape style="position:absolute;left:3701;top:4887;width:3360;height:970" id="docshape16" coordorigin="3701,4887" coordsize="3360,970" path="m6899,4887l3863,4887,3800,4900,3748,4934,3714,4986,3701,5049,3701,5695,3714,5758,3748,5810,3800,5844,3863,5857,6899,5857,6962,5844,7014,5810,7048,5758,7061,5695,7061,5049,7048,4986,7014,4934,6962,4900,6899,4887xe" filled="true" fillcolor="#9bbb59" stroked="false">
                  <v:path arrowok="t"/>
                  <v:fill type="solid"/>
                </v:shape>
                <v:shape style="position:absolute;left:3701;top:4887;width:3360;height:970" id="docshape17" coordorigin="3701,4887" coordsize="3360,970" path="m3863,4887l3800,4900,3748,4934,3714,4986,3701,5049,3701,5695,3714,5758,3748,5810,3800,5844,3863,5857,6899,5857,6962,5844,7014,5810,7048,5758,7061,5695,7061,5049,7048,4986,7014,4934,6962,4900,6899,4887,3863,4887xe" filled="false" stroked="true" strokeweight="3pt" strokecolor="#f2f2f2">
                  <v:path arrowok="t"/>
                  <v:stroke dashstyle="solid"/>
                </v:shape>
                <v:shape style="position:absolute;left:3890;top:9749;width:3405;height:1133" id="docshape18" coordorigin="3890,9749" coordsize="3405,1133" path="m4099,9749l4079,9750,4058,9753,4038,9758,4019,9765,4001,9774,3983,9784,3967,9796,3952,9809,3939,9824,3927,9840,3916,9857,3907,9875,3900,9895,3895,9914,3891,9935,3890,9956,3890,10675,3891,10693,3894,10714,3899,10734,3906,10753,3915,10771,3925,10789,3937,10805,3950,10820,3965,10833,3981,10846,3998,10856,4016,10865,4036,10872,4055,10877,4076,10881,4097,10882,7086,10882,7106,10881,7127,10878,7147,10873,7166,10866,7184,10857,7194,10852,4099,10852,4029,10838,3972,10800,3934,10743,3920,10673,3920,9958,3934,9888,3972,9831,4029,9793,4099,9779,7193,9779,7187,9775,7169,9766,7150,9759,7130,9754,7109,9750,7088,9749,4099,9749xm7086,9779l4099,9779,4029,9793,3972,9831,3934,9888,3920,9958,3920,10673,3934,10743,3972,10800,4029,10838,4099,10852,7086,10852,7156,10838,7179,10822,4100,10822,4085,10821,4071,10819,4056,10816,4042,10811,4029,10805,4017,10798,4005,10789,3995,10779,3985,10769,3976,10758,3969,10745,3962,10733,3957,10719,3953,10705,3951,10690,3950,10675,3950,9956,3951,9944,3953,9930,3956,9915,3961,9901,3967,9888,3975,9876,3983,9864,3993,9854,4003,9844,4015,9835,4027,9828,4040,9821,4053,9816,4067,9812,4082,9810,4099,9809,7179,9809,7156,9793,7086,9779xm7193,9779l7086,9779,7156,9793,7213,9831,7251,9888,7265,9958,7265,10673,7251,10743,7213,10800,7156,10838,7086,10852,7194,10852,7202,10847,7218,10835,7233,10822,7246,10807,7259,10791,7269,10774,7278,10756,7285,10737,7291,10717,7294,10696,7295,10675,7295,9956,7294,9938,7291,9917,7286,9897,7279,9878,7271,9860,7260,9842,7248,9826,7235,9811,7220,9798,7204,9786,7193,9779xm7085,9809l4099,9809,4082,9810,4067,9812,4053,9816,4040,9821,4027,9828,4015,9835,4003,9844,3993,9854,3983,9864,3975,9876,3967,9888,3961,9901,3956,9915,3953,9930,3951,9944,3950,9956,3950,10675,3951,10690,3953,10705,3957,10719,3962,10733,3969,10745,3976,10758,3985,10769,3995,10779,4005,10789,4017,10798,4029,10805,4042,10811,4056,10816,4071,10819,4085,10821,4100,10822,7086,10822,7103,10821,7118,10819,7132,10815,7146,10810,7158,10803,7171,10796,7182,10787,7193,10777,7202,10767,7210,10755,7218,10743,7224,10730,7229,10716,7232,10702,7235,10687,7235,10675,7235,9956,7234,9941,7232,9926,7228,9912,7223,9899,7216,9886,7209,9874,7200,9862,7191,9852,7180,9842,7168,9834,7156,9826,7143,9820,7129,9815,7115,9812,7100,9810,7085,9809xm7179,9809l7085,9809,7100,9810,7115,9812,7129,9815,7143,9820,7156,9826,7168,9834,7180,9842,7191,9852,7200,9862,7209,9874,7216,9886,7223,9899,7228,9912,7232,9926,7234,9941,7235,9956,7235,10675,7235,10687,7232,10702,7229,10716,7224,10730,7218,10743,7210,10755,7202,10767,7193,10777,7182,10787,7171,10796,7158,10803,7146,10810,7132,10815,7118,10819,7103,10821,7086,10822,4100,10822,7179,10822,7213,10800,7251,10743,7265,10673,7265,9958,7251,9888,7213,9831,7179,9809xe" filled="true" fillcolor="#622423" stroked="false">
                  <v:path arrowok="t"/>
                  <v:fill opacity="32896f" type="solid"/>
                </v:shape>
                <v:shape style="position:absolute;left:3900;top:9739;width:3345;height:1073" id="docshape19" coordorigin="3900,9739" coordsize="3345,1073" path="m7066,9739l4079,9739,4009,9753,3952,9791,3914,9848,3900,9918,3900,10633,3914,10703,3952,10760,4009,10798,4079,10812,7066,10812,7136,10798,7193,10760,7231,10703,7245,10633,7245,9918,7231,9848,7193,9791,7136,9753,7066,9739xe" filled="true" fillcolor="#c0504d" stroked="false">
                  <v:path arrowok="t"/>
                  <v:fill type="solid"/>
                </v:shape>
                <v:shape style="position:absolute;left:3900;top:9739;width:3345;height:1073" id="docshape20" coordorigin="3900,9739" coordsize="3345,1073" path="m4079,9739l4009,9753,3952,9791,3914,9848,3900,9918,3900,10633,3914,10703,3952,10760,4009,10798,4079,10812,7066,10812,7136,10798,7193,10760,7231,10703,7245,10633,7245,9918,7231,9848,7193,9791,7136,9753,7066,9739,4079,9739xe" filled="false" stroked="true" strokeweight="3pt" strokecolor="#f2f2f2">
                  <v:path arrowok="t"/>
                  <v:stroke dashstyle="solid"/>
                </v:shape>
                <v:line style="position:absolute" from="5167,2825" to="5167,3324" stroked="true" strokeweight="1pt" strokecolor="#000000">
                  <v:stroke dashstyle="solid"/>
                </v:line>
                <v:shape style="position:absolute;left:5107;top:3304;width:120;height:120" id="docshape21" coordorigin="5107,3304" coordsize="120,120" path="m5227,3304l5107,3304,5167,3424,5227,3304xe" filled="true" fillcolor="#000000" stroked="false">
                  <v:path arrowok="t"/>
                  <v:fill type="solid"/>
                </v:shape>
                <v:line style="position:absolute" from="5167,4356" to="5167,4855" stroked="true" strokeweight="1pt" strokecolor="#000000">
                  <v:stroke dashstyle="solid"/>
                </v:line>
                <v:shape style="position:absolute;left:5107;top:4835;width:120;height:120" id="docshape22" coordorigin="5107,4835" coordsize="120,120" path="m5227,4835l5107,4835,5167,4955,5227,4835xe" filled="true" fillcolor="#000000" stroked="false">
                  <v:path arrowok="t"/>
                  <v:fill type="solid"/>
                </v:shape>
                <v:line style="position:absolute" from="5250,5935" to="5250,6434" stroked="true" strokeweight="1pt" strokecolor="#000000">
                  <v:stroke dashstyle="solid"/>
                </v:line>
                <v:shape style="position:absolute;left:5190;top:6414;width:120;height:120" id="docshape23" coordorigin="5190,6414" coordsize="120,120" path="m5310,6414l5190,6414,5250,6534,5310,6414xe" filled="true" fillcolor="#000000" stroked="false">
                  <v:path arrowok="t"/>
                  <v:fill type="solid"/>
                </v:shape>
                <v:line style="position:absolute" from="5335,7523" to="5335,8022" stroked="true" strokeweight="1pt" strokecolor="#000000">
                  <v:stroke dashstyle="solid"/>
                </v:line>
                <v:shape style="position:absolute;left:5275;top:8002;width:120;height:120" id="docshape24" coordorigin="5275,8002" coordsize="120,120" path="m5395,8002l5275,8002,5335,8122,5395,8002xe" filled="true" fillcolor="#000000" stroked="false">
                  <v:path arrowok="t"/>
                  <v:fill type="solid"/>
                </v:shape>
                <v:line style="position:absolute" from="5355,9194" to="5355,9693" stroked="true" strokeweight="1pt" strokecolor="#000000">
                  <v:stroke dashstyle="solid"/>
                </v:line>
                <v:shape style="position:absolute;left:5295;top:9673;width:120;height:120" id="docshape25" coordorigin="5295,9673" coordsize="120,120" path="m5415,9673l5295,9673,5355,9793,5415,9673xe" filled="true" fillcolor="#000000" stroked="false">
                  <v:path arrowok="t"/>
                  <v:fill type="solid"/>
                </v:shape>
                <v:shape style="position:absolute;left:3813;top:2045;width:1692;height:487" type="#_x0000_t202" id="docshape26" filled="false" stroked="false">
                  <v:textbox inset="0,0,0,0">
                    <w:txbxContent>
                      <w:p>
                        <w:pPr>
                          <w:spacing w:line="221" w:lineRule="exact" w:before="0"/>
                          <w:ind w:left="720" w:right="0" w:firstLine="0"/>
                          <w:jc w:val="left"/>
                          <w:rPr>
                            <w:sz w:val="20"/>
                          </w:rPr>
                        </w:pPr>
                        <w:r>
                          <w:rPr>
                            <w:sz w:val="20"/>
                          </w:rPr>
                          <w:t>Chapter</w:t>
                        </w:r>
                        <w:r>
                          <w:rPr>
                            <w:spacing w:val="-9"/>
                            <w:sz w:val="20"/>
                          </w:rPr>
                          <w:t> </w:t>
                        </w:r>
                        <w:r>
                          <w:rPr>
                            <w:spacing w:val="-10"/>
                            <w:sz w:val="20"/>
                          </w:rPr>
                          <w:t>1</w:t>
                        </w:r>
                      </w:p>
                      <w:p>
                        <w:pPr>
                          <w:spacing w:before="36"/>
                          <w:ind w:left="0" w:right="0" w:firstLine="0"/>
                          <w:jc w:val="left"/>
                          <w:rPr>
                            <w:sz w:val="20"/>
                          </w:rPr>
                        </w:pPr>
                        <w:r>
                          <w:rPr>
                            <w:sz w:val="20"/>
                          </w:rPr>
                          <w:t>General</w:t>
                        </w:r>
                        <w:r>
                          <w:rPr>
                            <w:spacing w:val="-9"/>
                            <w:sz w:val="20"/>
                          </w:rPr>
                          <w:t> </w:t>
                        </w:r>
                        <w:r>
                          <w:rPr>
                            <w:spacing w:val="-2"/>
                            <w:sz w:val="20"/>
                          </w:rPr>
                          <w:t>Introduction</w:t>
                        </w:r>
                      </w:p>
                    </w:txbxContent>
                  </v:textbox>
                  <w10:wrap type="none"/>
                </v:shape>
                <v:shape style="position:absolute;left:4243;top:3550;width:2582;height:749" type="#_x0000_t202" id="docshape27" filled="false" stroked="false">
                  <v:textbox inset="0,0,0,0">
                    <w:txbxContent>
                      <w:p>
                        <w:pPr>
                          <w:spacing w:line="221" w:lineRule="exact" w:before="0"/>
                          <w:ind w:left="360" w:right="0" w:firstLine="0"/>
                          <w:jc w:val="left"/>
                          <w:rPr>
                            <w:sz w:val="20"/>
                          </w:rPr>
                        </w:pPr>
                        <w:r>
                          <w:rPr>
                            <w:sz w:val="20"/>
                          </w:rPr>
                          <w:t>Chapter</w:t>
                        </w:r>
                        <w:r>
                          <w:rPr>
                            <w:spacing w:val="-9"/>
                            <w:sz w:val="20"/>
                          </w:rPr>
                          <w:t> </w:t>
                        </w:r>
                        <w:r>
                          <w:rPr>
                            <w:spacing w:val="-10"/>
                            <w:sz w:val="20"/>
                          </w:rPr>
                          <w:t>2</w:t>
                        </w:r>
                      </w:p>
                      <w:p>
                        <w:pPr>
                          <w:tabs>
                            <w:tab w:pos="1159" w:val="left" w:leader="none"/>
                            <w:tab w:pos="1694" w:val="left" w:leader="none"/>
                          </w:tabs>
                          <w:spacing w:line="260" w:lineRule="atLeast" w:before="4"/>
                          <w:ind w:left="0" w:right="18" w:firstLine="0"/>
                          <w:jc w:val="left"/>
                          <w:rPr>
                            <w:sz w:val="20"/>
                          </w:rPr>
                        </w:pPr>
                        <w:r>
                          <w:rPr>
                            <w:spacing w:val="-2"/>
                            <w:sz w:val="20"/>
                          </w:rPr>
                          <w:t>Theoretical</w:t>
                        </w:r>
                        <w:r>
                          <w:rPr>
                            <w:sz w:val="20"/>
                          </w:rPr>
                          <w:tab/>
                        </w:r>
                        <w:r>
                          <w:rPr>
                            <w:spacing w:val="-4"/>
                            <w:sz w:val="20"/>
                          </w:rPr>
                          <w:t>and</w:t>
                        </w:r>
                        <w:r>
                          <w:rPr>
                            <w:sz w:val="20"/>
                          </w:rPr>
                          <w:tab/>
                        </w:r>
                        <w:r>
                          <w:rPr>
                            <w:spacing w:val="-2"/>
                            <w:sz w:val="20"/>
                          </w:rPr>
                          <w:t>conceptual framework</w:t>
                        </w:r>
                      </w:p>
                    </w:txbxContent>
                  </v:textbox>
                  <w10:wrap type="none"/>
                </v:shape>
                <v:shape style="position:absolute;left:4322;top:5031;width:1470;height:485" type="#_x0000_t202" id="docshape28" filled="false" stroked="false">
                  <v:textbox inset="0,0,0,0">
                    <w:txbxContent>
                      <w:p>
                        <w:pPr>
                          <w:spacing w:line="221" w:lineRule="exact" w:before="0"/>
                          <w:ind w:left="0" w:right="66" w:firstLine="0"/>
                          <w:jc w:val="center"/>
                          <w:rPr>
                            <w:sz w:val="20"/>
                          </w:rPr>
                        </w:pPr>
                        <w:r>
                          <w:rPr>
                            <w:sz w:val="20"/>
                          </w:rPr>
                          <w:t>Chapter</w:t>
                        </w:r>
                        <w:r>
                          <w:rPr>
                            <w:spacing w:val="-9"/>
                            <w:sz w:val="20"/>
                          </w:rPr>
                          <w:t> </w:t>
                        </w:r>
                        <w:r>
                          <w:rPr>
                            <w:spacing w:val="-10"/>
                            <w:sz w:val="20"/>
                          </w:rPr>
                          <w:t>3</w:t>
                        </w:r>
                      </w:p>
                      <w:p>
                        <w:pPr>
                          <w:spacing w:before="34"/>
                          <w:ind w:left="-1" w:right="18" w:firstLine="0"/>
                          <w:jc w:val="center"/>
                          <w:rPr>
                            <w:sz w:val="20"/>
                          </w:rPr>
                        </w:pPr>
                        <w:r>
                          <w:rPr>
                            <w:sz w:val="20"/>
                          </w:rPr>
                          <w:t>Literature</w:t>
                        </w:r>
                        <w:r>
                          <w:rPr>
                            <w:spacing w:val="-12"/>
                            <w:sz w:val="20"/>
                          </w:rPr>
                          <w:t> </w:t>
                        </w:r>
                        <w:r>
                          <w:rPr>
                            <w:spacing w:val="-2"/>
                            <w:sz w:val="20"/>
                          </w:rPr>
                          <w:t>Review</w:t>
                        </w:r>
                      </w:p>
                    </w:txbxContent>
                  </v:textbox>
                  <w10:wrap type="none"/>
                </v:shape>
                <v:shape style="position:absolute;left:4353;top:6680;width:1879;height:485" type="#_x0000_t202" id="docshape29" filled="false" stroked="false">
                  <v:textbox inset="0,0,0,0">
                    <w:txbxContent>
                      <w:p>
                        <w:pPr>
                          <w:spacing w:line="221" w:lineRule="exact" w:before="0"/>
                          <w:ind w:left="316" w:right="0" w:firstLine="0"/>
                          <w:jc w:val="left"/>
                          <w:rPr>
                            <w:sz w:val="20"/>
                          </w:rPr>
                        </w:pPr>
                        <w:r>
                          <w:rPr>
                            <w:sz w:val="20"/>
                          </w:rPr>
                          <w:t>Chapter</w:t>
                        </w:r>
                        <w:r>
                          <w:rPr>
                            <w:spacing w:val="-9"/>
                            <w:sz w:val="20"/>
                          </w:rPr>
                          <w:t> </w:t>
                        </w:r>
                        <w:r>
                          <w:rPr>
                            <w:spacing w:val="-10"/>
                            <w:sz w:val="20"/>
                          </w:rPr>
                          <w:t>4</w:t>
                        </w:r>
                      </w:p>
                      <w:p>
                        <w:pPr>
                          <w:spacing w:before="34"/>
                          <w:ind w:left="0" w:right="0" w:firstLine="0"/>
                          <w:jc w:val="left"/>
                          <w:rPr>
                            <w:sz w:val="20"/>
                          </w:rPr>
                        </w:pPr>
                        <w:r>
                          <w:rPr>
                            <w:sz w:val="20"/>
                          </w:rPr>
                          <w:t>Research</w:t>
                        </w:r>
                        <w:r>
                          <w:rPr>
                            <w:spacing w:val="-11"/>
                            <w:sz w:val="20"/>
                          </w:rPr>
                          <w:t> </w:t>
                        </w:r>
                        <w:r>
                          <w:rPr>
                            <w:spacing w:val="-2"/>
                            <w:sz w:val="20"/>
                          </w:rPr>
                          <w:t>Methodology</w:t>
                        </w:r>
                      </w:p>
                    </w:txbxContent>
                  </v:textbox>
                  <w10:wrap type="none"/>
                </v:shape>
                <v:shape style="position:absolute;left:4341;top:8269;width:2574;height:749" type="#_x0000_t202" id="docshape30" filled="false" stroked="false">
                  <v:textbox inset="0,0,0,0">
                    <w:txbxContent>
                      <w:p>
                        <w:pPr>
                          <w:spacing w:line="221" w:lineRule="exact" w:before="0"/>
                          <w:ind w:left="360" w:right="0" w:firstLine="0"/>
                          <w:jc w:val="left"/>
                          <w:rPr>
                            <w:sz w:val="20"/>
                          </w:rPr>
                        </w:pPr>
                        <w:r>
                          <w:rPr>
                            <w:sz w:val="20"/>
                          </w:rPr>
                          <w:t>Chapter</w:t>
                        </w:r>
                        <w:r>
                          <w:rPr>
                            <w:spacing w:val="-9"/>
                            <w:sz w:val="20"/>
                          </w:rPr>
                          <w:t> </w:t>
                        </w:r>
                        <w:r>
                          <w:rPr>
                            <w:spacing w:val="-10"/>
                            <w:sz w:val="20"/>
                          </w:rPr>
                          <w:t>5</w:t>
                        </w:r>
                      </w:p>
                      <w:p>
                        <w:pPr>
                          <w:spacing w:line="260" w:lineRule="atLeast" w:before="4"/>
                          <w:ind w:left="0" w:right="0" w:firstLine="0"/>
                          <w:jc w:val="left"/>
                          <w:rPr>
                            <w:sz w:val="20"/>
                          </w:rPr>
                        </w:pPr>
                        <w:r>
                          <w:rPr>
                            <w:sz w:val="20"/>
                          </w:rPr>
                          <w:t>Data Analysis Presentation and </w:t>
                        </w:r>
                        <w:r>
                          <w:rPr>
                            <w:spacing w:val="-2"/>
                            <w:sz w:val="20"/>
                          </w:rPr>
                          <w:t>Discussion</w:t>
                        </w:r>
                      </w:p>
                    </w:txbxContent>
                  </v:textbox>
                  <w10:wrap type="none"/>
                </v:shape>
                <v:shape style="position:absolute;left:4116;top:9889;width:2931;height:749" type="#_x0000_t202" id="docshape31" filled="false" stroked="false">
                  <v:textbox inset="0,0,0,0">
                    <w:txbxContent>
                      <w:p>
                        <w:pPr>
                          <w:spacing w:line="221" w:lineRule="exact" w:before="0"/>
                          <w:ind w:left="720" w:right="0" w:firstLine="0"/>
                          <w:jc w:val="left"/>
                          <w:rPr>
                            <w:sz w:val="20"/>
                          </w:rPr>
                        </w:pPr>
                        <w:r>
                          <w:rPr>
                            <w:sz w:val="20"/>
                          </w:rPr>
                          <w:t>Chapter</w:t>
                        </w:r>
                        <w:r>
                          <w:rPr>
                            <w:spacing w:val="-9"/>
                            <w:sz w:val="20"/>
                          </w:rPr>
                          <w:t> </w:t>
                        </w:r>
                        <w:r>
                          <w:rPr>
                            <w:spacing w:val="-10"/>
                            <w:sz w:val="20"/>
                          </w:rPr>
                          <w:t>6</w:t>
                        </w:r>
                      </w:p>
                      <w:p>
                        <w:pPr>
                          <w:spacing w:line="260" w:lineRule="atLeast" w:before="4"/>
                          <w:ind w:left="0" w:right="0" w:firstLine="251"/>
                          <w:jc w:val="left"/>
                          <w:rPr>
                            <w:sz w:val="20"/>
                          </w:rPr>
                        </w:pPr>
                        <w:r>
                          <w:rPr>
                            <w:sz w:val="20"/>
                          </w:rPr>
                          <w:t>Summary</w:t>
                        </w:r>
                        <w:r>
                          <w:rPr>
                            <w:spacing w:val="-6"/>
                            <w:sz w:val="20"/>
                          </w:rPr>
                          <w:t> </w:t>
                        </w:r>
                        <w:r>
                          <w:rPr>
                            <w:sz w:val="20"/>
                          </w:rPr>
                          <w:t>of</w:t>
                        </w:r>
                        <w:r>
                          <w:rPr>
                            <w:spacing w:val="-4"/>
                            <w:sz w:val="20"/>
                          </w:rPr>
                          <w:t> </w:t>
                        </w:r>
                        <w:r>
                          <w:rPr>
                            <w:sz w:val="20"/>
                          </w:rPr>
                          <w:t>findings,</w:t>
                        </w:r>
                        <w:r>
                          <w:rPr>
                            <w:spacing w:val="-3"/>
                            <w:sz w:val="20"/>
                          </w:rPr>
                          <w:t> </w:t>
                        </w:r>
                        <w:r>
                          <w:rPr>
                            <w:sz w:val="20"/>
                          </w:rPr>
                          <w:t>discussion Conclusion and Recommendation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1576387</wp:posOffset>
                </wp:positionH>
                <wp:positionV relativeFrom="paragraph">
                  <wp:posOffset>1203037</wp:posOffset>
                </wp:positionV>
                <wp:extent cx="476250" cy="3599179"/>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476250" cy="3599179"/>
                          <a:chExt cx="476250" cy="3599179"/>
                        </a:xfrm>
                      </wpg:grpSpPr>
                      <wps:wsp>
                        <wps:cNvPr id="40" name="Graphic 40"/>
                        <wps:cNvSpPr/>
                        <wps:spPr>
                          <a:xfrm>
                            <a:off x="4762" y="4762"/>
                            <a:ext cx="466725" cy="3589654"/>
                          </a:xfrm>
                          <a:custGeom>
                            <a:avLst/>
                            <a:gdLst/>
                            <a:ahLst/>
                            <a:cxnLst/>
                            <a:rect l="l" t="t" r="r" b="b"/>
                            <a:pathLst>
                              <a:path w="466725" h="3589654">
                                <a:moveTo>
                                  <a:pt x="233362" y="0"/>
                                </a:moveTo>
                                <a:lnTo>
                                  <a:pt x="0" y="717931"/>
                                </a:lnTo>
                                <a:lnTo>
                                  <a:pt x="116674" y="717931"/>
                                </a:lnTo>
                                <a:lnTo>
                                  <a:pt x="116674" y="2871724"/>
                                </a:lnTo>
                                <a:lnTo>
                                  <a:pt x="0" y="2871724"/>
                                </a:lnTo>
                                <a:lnTo>
                                  <a:pt x="233362" y="3589654"/>
                                </a:lnTo>
                                <a:lnTo>
                                  <a:pt x="466725" y="2871724"/>
                                </a:lnTo>
                                <a:lnTo>
                                  <a:pt x="350050" y="2871724"/>
                                </a:lnTo>
                                <a:lnTo>
                                  <a:pt x="350050" y="717931"/>
                                </a:lnTo>
                                <a:lnTo>
                                  <a:pt x="466725" y="717931"/>
                                </a:lnTo>
                                <a:lnTo>
                                  <a:pt x="233362" y="0"/>
                                </a:lnTo>
                                <a:close/>
                              </a:path>
                            </a:pathLst>
                          </a:custGeom>
                          <a:solidFill>
                            <a:srgbClr val="FFFF00"/>
                          </a:solidFill>
                        </wps:spPr>
                        <wps:bodyPr wrap="square" lIns="0" tIns="0" rIns="0" bIns="0" rtlCol="0">
                          <a:prstTxWarp prst="textNoShape">
                            <a:avLst/>
                          </a:prstTxWarp>
                          <a:noAutofit/>
                        </wps:bodyPr>
                      </wps:wsp>
                      <wps:wsp>
                        <wps:cNvPr id="41" name="Graphic 41"/>
                        <wps:cNvSpPr/>
                        <wps:spPr>
                          <a:xfrm>
                            <a:off x="4762" y="4762"/>
                            <a:ext cx="466725" cy="3589654"/>
                          </a:xfrm>
                          <a:custGeom>
                            <a:avLst/>
                            <a:gdLst/>
                            <a:ahLst/>
                            <a:cxnLst/>
                            <a:rect l="l" t="t" r="r" b="b"/>
                            <a:pathLst>
                              <a:path w="466725" h="3589654">
                                <a:moveTo>
                                  <a:pt x="233362" y="0"/>
                                </a:moveTo>
                                <a:lnTo>
                                  <a:pt x="466725" y="717931"/>
                                </a:lnTo>
                                <a:lnTo>
                                  <a:pt x="350050" y="717931"/>
                                </a:lnTo>
                                <a:lnTo>
                                  <a:pt x="350050" y="2871724"/>
                                </a:lnTo>
                                <a:lnTo>
                                  <a:pt x="466725" y="2871724"/>
                                </a:lnTo>
                                <a:lnTo>
                                  <a:pt x="233362" y="3589654"/>
                                </a:lnTo>
                                <a:lnTo>
                                  <a:pt x="0" y="2871724"/>
                                </a:lnTo>
                                <a:lnTo>
                                  <a:pt x="116674" y="2871724"/>
                                </a:lnTo>
                                <a:lnTo>
                                  <a:pt x="116674" y="717931"/>
                                </a:lnTo>
                                <a:lnTo>
                                  <a:pt x="0" y="717931"/>
                                </a:lnTo>
                                <a:lnTo>
                                  <a:pt x="23336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125pt;margin-top:94.727341pt;width:37.5pt;height:283.4pt;mso-position-horizontal-relative:page;mso-position-vertical-relative:paragraph;z-index:15729664" id="docshapegroup32" coordorigin="2483,1895" coordsize="750,5668">
                <v:shape style="position:absolute;left:2490;top:1902;width:735;height:5653" id="docshape33" coordorigin="2490,1902" coordsize="735,5653" path="m2858,1902l2490,3033,2674,3033,2674,6424,2490,6424,2858,7555,3225,6424,3041,6424,3041,3033,3225,3033,2858,1902xe" filled="true" fillcolor="#ffff00" stroked="false">
                  <v:path arrowok="t"/>
                  <v:fill type="solid"/>
                </v:shape>
                <v:shape style="position:absolute;left:2490;top:1902;width:735;height:5653" id="docshape34" coordorigin="2490,1902" coordsize="735,5653" path="m2858,1902l3225,3033,3041,3033,3041,6424,3225,6424,2858,7555,2490,6424,2674,6424,2674,3033,2490,3033,2858,1902x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1701800</wp:posOffset>
                </wp:positionH>
                <wp:positionV relativeFrom="paragraph">
                  <wp:posOffset>2510184</wp:posOffset>
                </wp:positionV>
                <wp:extent cx="165735" cy="826769"/>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5735" cy="826769"/>
                        </a:xfrm>
                        <a:prstGeom prst="rect">
                          <a:avLst/>
                        </a:prstGeom>
                      </wps:spPr>
                      <wps:txbx>
                        <w:txbxContent>
                          <w:p>
                            <w:pPr>
                              <w:spacing w:line="245" w:lineRule="exact" w:before="0"/>
                              <w:ind w:left="20" w:right="0" w:firstLine="0"/>
                              <w:jc w:val="left"/>
                              <w:rPr>
                                <w:rFonts w:ascii="Calibri"/>
                                <w:sz w:val="22"/>
                              </w:rPr>
                            </w:pPr>
                            <w:r>
                              <w:rPr>
                                <w:rFonts w:ascii="Calibri"/>
                                <w:sz w:val="22"/>
                              </w:rPr>
                              <w:t>Pre-field</w:t>
                            </w:r>
                            <w:r>
                              <w:rPr>
                                <w:rFonts w:ascii="Calibri"/>
                                <w:spacing w:val="-7"/>
                                <w:sz w:val="22"/>
                              </w:rPr>
                              <w:t> </w:t>
                            </w:r>
                            <w:r>
                              <w:rPr>
                                <w:rFonts w:ascii="Calibri"/>
                                <w:spacing w:val="-4"/>
                                <w:sz w:val="22"/>
                              </w:rPr>
                              <w:t>work</w:t>
                            </w:r>
                          </w:p>
                        </w:txbxContent>
                      </wps:txbx>
                      <wps:bodyPr wrap="square" lIns="0" tIns="0" rIns="0" bIns="0" rtlCol="0" vert="vert">
                        <a:noAutofit/>
                      </wps:bodyPr>
                    </wps:wsp>
                  </a:graphicData>
                </a:graphic>
              </wp:anchor>
            </w:drawing>
          </mc:Choice>
          <mc:Fallback>
            <w:pict>
              <v:shape style="position:absolute;margin-left:134pt;margin-top:197.652344pt;width:13.05pt;height:65.1pt;mso-position-horizontal-relative:page;mso-position-vertical-relative:paragraph;z-index:15731200" type="#_x0000_t202" id="docshape35" filled="false" stroked="false">
                <v:textbox inset="0,0,0,0" style="layout-flow:vertical">
                  <w:txbxContent>
                    <w:p>
                      <w:pPr>
                        <w:spacing w:line="245" w:lineRule="exact" w:before="0"/>
                        <w:ind w:left="20" w:right="0" w:firstLine="0"/>
                        <w:jc w:val="left"/>
                        <w:rPr>
                          <w:rFonts w:ascii="Calibri"/>
                          <w:sz w:val="22"/>
                        </w:rPr>
                      </w:pPr>
                      <w:r>
                        <w:rPr>
                          <w:rFonts w:ascii="Calibri"/>
                          <w:sz w:val="22"/>
                        </w:rPr>
                        <w:t>Pre-field</w:t>
                      </w:r>
                      <w:r>
                        <w:rPr>
                          <w:rFonts w:ascii="Calibri"/>
                          <w:spacing w:val="-7"/>
                          <w:sz w:val="22"/>
                        </w:rPr>
                        <w:t> </w:t>
                      </w:r>
                      <w:r>
                        <w:rPr>
                          <w:rFonts w:ascii="Calibri"/>
                          <w:spacing w:val="-4"/>
                          <w:sz w:val="22"/>
                        </w:rPr>
                        <w:t>work</w:t>
                      </w:r>
                    </w:p>
                  </w:txbxContent>
                </v:textbox>
                <w10:wrap type="none"/>
              </v:shape>
            </w:pict>
          </mc:Fallback>
        </mc:AlternateContent>
      </w:r>
      <w:r>
        <w:rPr/>
        <w:t>This thesis is structured into six chapters</w:t>
      </w:r>
      <w:r>
        <w:rPr>
          <w:b/>
        </w:rPr>
        <w:t>. </w:t>
      </w:r>
      <w:r>
        <w:rPr/>
        <w:t>Each chapter has sub heads in them which helps break them</w:t>
      </w:r>
      <w:r>
        <w:rPr>
          <w:spacing w:val="-1"/>
        </w:rPr>
        <w:t> </w:t>
      </w:r>
      <w:r>
        <w:rPr/>
        <w:t>down</w:t>
      </w:r>
      <w:r>
        <w:rPr>
          <w:spacing w:val="-1"/>
        </w:rPr>
        <w:t> </w:t>
      </w:r>
      <w:r>
        <w:rPr/>
        <w:t>to</w:t>
      </w:r>
      <w:r>
        <w:rPr>
          <w:spacing w:val="-1"/>
        </w:rPr>
        <w:t> </w:t>
      </w:r>
      <w:r>
        <w:rPr/>
        <w:t>understandable</w:t>
      </w:r>
      <w:r>
        <w:rPr>
          <w:spacing w:val="-2"/>
        </w:rPr>
        <w:t> </w:t>
      </w:r>
      <w:r>
        <w:rPr/>
        <w:t>progressive</w:t>
      </w:r>
      <w:r>
        <w:rPr>
          <w:spacing w:val="-2"/>
        </w:rPr>
        <w:t> </w:t>
      </w:r>
      <w:r>
        <w:rPr/>
        <w:t>units.</w:t>
      </w:r>
      <w:r>
        <w:rPr>
          <w:spacing w:val="-1"/>
        </w:rPr>
        <w:t> </w:t>
      </w:r>
      <w:r>
        <w:rPr/>
        <w:t>A</w:t>
      </w:r>
      <w:r>
        <w:rPr>
          <w:spacing w:val="-2"/>
        </w:rPr>
        <w:t> </w:t>
      </w:r>
      <w:r>
        <w:rPr/>
        <w:t>graphical</w:t>
      </w:r>
      <w:r>
        <w:rPr>
          <w:spacing w:val="-1"/>
        </w:rPr>
        <w:t> </w:t>
      </w:r>
      <w:r>
        <w:rPr/>
        <w:t>representation</w:t>
      </w:r>
      <w:r>
        <w:rPr>
          <w:spacing w:val="-1"/>
        </w:rPr>
        <w:t> </w:t>
      </w:r>
      <w:r>
        <w:rPr/>
        <w:t>of</w:t>
      </w:r>
      <w:r>
        <w:rPr>
          <w:spacing w:val="-2"/>
        </w:rPr>
        <w:t> </w:t>
      </w:r>
      <w:r>
        <w:rPr/>
        <w:t>the</w:t>
      </w:r>
      <w:r>
        <w:rPr>
          <w:spacing w:val="-2"/>
        </w:rPr>
        <w:t> </w:t>
      </w:r>
      <w:r>
        <w:rPr/>
        <w:t>content</w:t>
      </w:r>
      <w:r>
        <w:rPr>
          <w:spacing w:val="-1"/>
        </w:rPr>
        <w:t> </w:t>
      </w:r>
      <w:r>
        <w:rPr/>
        <w:t>of</w:t>
      </w:r>
      <w:r>
        <w:rPr>
          <w:spacing w:val="-2"/>
        </w:rPr>
        <w:t> </w:t>
      </w:r>
      <w:r>
        <w:rPr/>
        <w:t>each chapter is set out as follows: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Heading2"/>
        <w:ind w:right="4418"/>
        <w:jc w:val="left"/>
      </w:pPr>
      <w:r>
        <w:rPr/>
        <mc:AlternateContent>
          <mc:Choice Requires="wps">
            <w:drawing>
              <wp:anchor distT="0" distB="0" distL="0" distR="0" allowOverlap="1" layoutInCell="1" locked="0" behindDoc="0" simplePos="0" relativeHeight="15730176">
                <wp:simplePos x="0" y="0"/>
                <wp:positionH relativeFrom="page">
                  <wp:posOffset>1576387</wp:posOffset>
                </wp:positionH>
                <wp:positionV relativeFrom="paragraph">
                  <wp:posOffset>-2172012</wp:posOffset>
                </wp:positionV>
                <wp:extent cx="590550" cy="169862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90550" cy="1698625"/>
                          <a:chExt cx="590550" cy="1698625"/>
                        </a:xfrm>
                      </wpg:grpSpPr>
                      <wps:wsp>
                        <wps:cNvPr id="44" name="Graphic 44"/>
                        <wps:cNvSpPr/>
                        <wps:spPr>
                          <a:xfrm>
                            <a:off x="4762" y="4762"/>
                            <a:ext cx="581025" cy="1689100"/>
                          </a:xfrm>
                          <a:custGeom>
                            <a:avLst/>
                            <a:gdLst/>
                            <a:ahLst/>
                            <a:cxnLst/>
                            <a:rect l="l" t="t" r="r" b="b"/>
                            <a:pathLst>
                              <a:path w="581025" h="1689100">
                                <a:moveTo>
                                  <a:pt x="290512" y="0"/>
                                </a:moveTo>
                                <a:lnTo>
                                  <a:pt x="0" y="337820"/>
                                </a:lnTo>
                                <a:lnTo>
                                  <a:pt x="145249" y="337820"/>
                                </a:lnTo>
                                <a:lnTo>
                                  <a:pt x="145249" y="1351280"/>
                                </a:lnTo>
                                <a:lnTo>
                                  <a:pt x="0" y="1351280"/>
                                </a:lnTo>
                                <a:lnTo>
                                  <a:pt x="290512" y="1689100"/>
                                </a:lnTo>
                                <a:lnTo>
                                  <a:pt x="581025" y="1351280"/>
                                </a:lnTo>
                                <a:lnTo>
                                  <a:pt x="435775" y="1351280"/>
                                </a:lnTo>
                                <a:lnTo>
                                  <a:pt x="435775" y="337820"/>
                                </a:lnTo>
                                <a:lnTo>
                                  <a:pt x="581025" y="337820"/>
                                </a:lnTo>
                                <a:lnTo>
                                  <a:pt x="290512" y="0"/>
                                </a:lnTo>
                                <a:close/>
                              </a:path>
                            </a:pathLst>
                          </a:custGeom>
                          <a:solidFill>
                            <a:srgbClr val="FFFF00"/>
                          </a:solidFill>
                        </wps:spPr>
                        <wps:bodyPr wrap="square" lIns="0" tIns="0" rIns="0" bIns="0" rtlCol="0">
                          <a:prstTxWarp prst="textNoShape">
                            <a:avLst/>
                          </a:prstTxWarp>
                          <a:noAutofit/>
                        </wps:bodyPr>
                      </wps:wsp>
                      <wps:wsp>
                        <wps:cNvPr id="45" name="Graphic 45"/>
                        <wps:cNvSpPr/>
                        <wps:spPr>
                          <a:xfrm>
                            <a:off x="4762" y="4762"/>
                            <a:ext cx="581025" cy="1689100"/>
                          </a:xfrm>
                          <a:custGeom>
                            <a:avLst/>
                            <a:gdLst/>
                            <a:ahLst/>
                            <a:cxnLst/>
                            <a:rect l="l" t="t" r="r" b="b"/>
                            <a:pathLst>
                              <a:path w="581025" h="1689100">
                                <a:moveTo>
                                  <a:pt x="290512" y="0"/>
                                </a:moveTo>
                                <a:lnTo>
                                  <a:pt x="581025" y="337820"/>
                                </a:lnTo>
                                <a:lnTo>
                                  <a:pt x="435775" y="337820"/>
                                </a:lnTo>
                                <a:lnTo>
                                  <a:pt x="435775" y="1351280"/>
                                </a:lnTo>
                                <a:lnTo>
                                  <a:pt x="581025" y="1351280"/>
                                </a:lnTo>
                                <a:lnTo>
                                  <a:pt x="290512" y="1689100"/>
                                </a:lnTo>
                                <a:lnTo>
                                  <a:pt x="0" y="1351280"/>
                                </a:lnTo>
                                <a:lnTo>
                                  <a:pt x="145249" y="1351280"/>
                                </a:lnTo>
                                <a:lnTo>
                                  <a:pt x="145249" y="337820"/>
                                </a:lnTo>
                                <a:lnTo>
                                  <a:pt x="0" y="337820"/>
                                </a:lnTo>
                                <a:lnTo>
                                  <a:pt x="29051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4.125pt;margin-top:-171.024612pt;width:46.5pt;height:133.75pt;mso-position-horizontal-relative:page;mso-position-vertical-relative:paragraph;z-index:15730176" id="docshapegroup36" coordorigin="2483,-3420" coordsize="930,2675">
                <v:shape style="position:absolute;left:2490;top:-3413;width:915;height:2660" id="docshape37" coordorigin="2490,-3413" coordsize="915,2660" path="m2948,-3413l2490,-2881,2719,-2881,2719,-1285,2490,-1285,2948,-753,3405,-1285,3176,-1285,3176,-2881,3405,-2881,2948,-3413xe" filled="true" fillcolor="#ffff00" stroked="false">
                  <v:path arrowok="t"/>
                  <v:fill type="solid"/>
                </v:shape>
                <v:shape style="position:absolute;left:2490;top:-3413;width:915;height:2660" id="docshape38" coordorigin="2490,-3413" coordsize="915,2660" path="m2948,-3413l3405,-2881,3176,-2881,3176,-1285,3405,-1285,2948,-753,2490,-1285,2719,-1285,2719,-2881,2490,-2881,2948,-3413x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1788667</wp:posOffset>
                </wp:positionH>
                <wp:positionV relativeFrom="paragraph">
                  <wp:posOffset>-1513200</wp:posOffset>
                </wp:positionV>
                <wp:extent cx="165735" cy="56705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5735" cy="56705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Post-field</w:t>
                            </w:r>
                          </w:p>
                        </w:txbxContent>
                      </wps:txbx>
                      <wps:bodyPr wrap="square" lIns="0" tIns="0" rIns="0" bIns="0" rtlCol="0" vert="vert">
                        <a:noAutofit/>
                      </wps:bodyPr>
                    </wps:wsp>
                  </a:graphicData>
                </a:graphic>
              </wp:anchor>
            </w:drawing>
          </mc:Choice>
          <mc:Fallback>
            <w:pict>
              <v:shape style="position:absolute;margin-left:140.839996pt;margin-top:-119.149612pt;width:13.05pt;height:44.65pt;mso-position-horizontal-relative:page;mso-position-vertical-relative:paragraph;z-index:15730688" type="#_x0000_t202" id="docshape39" filled="false" stroked="false">
                <v:textbox inset="0,0,0,0" style="layout-flow:vertical">
                  <w:txbxContent>
                    <w:p>
                      <w:pPr>
                        <w:spacing w:line="245" w:lineRule="exact" w:before="0"/>
                        <w:ind w:left="20" w:right="0" w:firstLine="0"/>
                        <w:jc w:val="left"/>
                        <w:rPr>
                          <w:rFonts w:ascii="Calibri"/>
                          <w:sz w:val="22"/>
                        </w:rPr>
                      </w:pPr>
                      <w:r>
                        <w:rPr>
                          <w:rFonts w:ascii="Calibri"/>
                          <w:spacing w:val="-2"/>
                          <w:sz w:val="22"/>
                        </w:rPr>
                        <w:t>Post-field</w:t>
                      </w:r>
                    </w:p>
                  </w:txbxContent>
                </v:textbox>
                <w10:wrap type="none"/>
              </v:shape>
            </w:pict>
          </mc:Fallback>
        </mc:AlternateContent>
      </w:r>
      <w:r>
        <w:rPr/>
        <w:t>Figure</w:t>
      </w:r>
      <w:r>
        <w:rPr>
          <w:spacing w:val="-7"/>
        </w:rPr>
        <w:t> </w:t>
      </w:r>
      <w:r>
        <w:rPr/>
        <w:t>1.3</w:t>
      </w:r>
      <w:r>
        <w:rPr>
          <w:spacing w:val="-5"/>
        </w:rPr>
        <w:t> </w:t>
      </w:r>
      <w:r>
        <w:rPr/>
        <w:t>Graphical</w:t>
      </w:r>
      <w:r>
        <w:rPr>
          <w:spacing w:val="-7"/>
        </w:rPr>
        <w:t> </w:t>
      </w:r>
      <w:r>
        <w:rPr/>
        <w:t>representation</w:t>
      </w:r>
      <w:r>
        <w:rPr>
          <w:spacing w:val="-7"/>
        </w:rPr>
        <w:t> </w:t>
      </w:r>
      <w:r>
        <w:rPr/>
        <w:t>of</w:t>
      </w:r>
      <w:r>
        <w:rPr>
          <w:spacing w:val="-6"/>
        </w:rPr>
        <w:t> </w:t>
      </w:r>
      <w:r>
        <w:rPr/>
        <w:t>the</w:t>
      </w:r>
      <w:r>
        <w:rPr>
          <w:spacing w:val="-7"/>
        </w:rPr>
        <w:t> </w:t>
      </w:r>
      <w:r>
        <w:rPr/>
        <w:t>thesis</w:t>
      </w:r>
      <w:r>
        <w:rPr>
          <w:spacing w:val="-7"/>
        </w:rPr>
        <w:t> </w:t>
      </w:r>
      <w:r>
        <w:rPr/>
        <w:t>structure Source: Researcher (2017)</w:t>
      </w:r>
    </w:p>
    <w:p>
      <w:pPr>
        <w:spacing w:after="0"/>
        <w:jc w:val="left"/>
        <w:sectPr>
          <w:pgSz w:w="12240" w:h="15840"/>
          <w:pgMar w:header="0" w:footer="1017" w:top="1360" w:bottom="1200" w:left="1040" w:right="120"/>
        </w:sectPr>
      </w:pPr>
    </w:p>
    <w:p>
      <w:pPr>
        <w:pStyle w:val="BodyText"/>
        <w:spacing w:line="480" w:lineRule="auto" w:before="72"/>
        <w:ind w:left="399" w:right="1318"/>
        <w:jc w:val="both"/>
      </w:pPr>
      <w:r>
        <w:rPr>
          <w:b/>
        </w:rPr>
        <w:t>Chapter 1: </w:t>
      </w:r>
      <w:r>
        <w:rPr/>
        <w:t>It includes the general introduction, background information about the study, statement of</w:t>
      </w:r>
      <w:r>
        <w:rPr>
          <w:spacing w:val="-1"/>
        </w:rPr>
        <w:t> </w:t>
      </w:r>
      <w:r>
        <w:rPr/>
        <w:t>the problem, aim and objectives of</w:t>
      </w:r>
      <w:r>
        <w:rPr>
          <w:spacing w:val="-1"/>
        </w:rPr>
        <w:t> </w:t>
      </w:r>
      <w:r>
        <w:rPr/>
        <w:t>the</w:t>
      </w:r>
      <w:r>
        <w:rPr>
          <w:spacing w:val="-1"/>
        </w:rPr>
        <w:t> </w:t>
      </w:r>
      <w:r>
        <w:rPr/>
        <w:t>study, research questions, scope</w:t>
      </w:r>
      <w:r>
        <w:rPr>
          <w:spacing w:val="-1"/>
        </w:rPr>
        <w:t> </w:t>
      </w:r>
      <w:r>
        <w:rPr/>
        <w:t>of</w:t>
      </w:r>
      <w:r>
        <w:rPr>
          <w:spacing w:val="-1"/>
        </w:rPr>
        <w:t> </w:t>
      </w:r>
      <w:r>
        <w:rPr/>
        <w:t>the study, significance of the study, and the limitation of the study.</w:t>
      </w:r>
    </w:p>
    <w:p>
      <w:pPr>
        <w:pStyle w:val="BodyText"/>
        <w:spacing w:before="4"/>
      </w:pPr>
    </w:p>
    <w:p>
      <w:pPr>
        <w:pStyle w:val="BodyText"/>
        <w:spacing w:line="480" w:lineRule="auto" w:before="1"/>
        <w:ind w:left="400" w:right="1320"/>
        <w:jc w:val="both"/>
      </w:pPr>
      <w:r>
        <w:rPr>
          <w:b/>
        </w:rPr>
        <w:t>Chapter 2: </w:t>
      </w:r>
      <w:r>
        <w:rPr/>
        <w:t>It reviews the theoretical framework which is anchored on the TQM theories,</w:t>
      </w:r>
      <w:r>
        <w:rPr>
          <w:spacing w:val="40"/>
        </w:rPr>
        <w:t> </w:t>
      </w:r>
      <w:r>
        <w:rPr/>
        <w:t>System theory, Company Competitiveness theory and conceptual framework.</w:t>
      </w:r>
    </w:p>
    <w:p>
      <w:pPr>
        <w:pStyle w:val="BodyText"/>
        <w:spacing w:before="2"/>
      </w:pPr>
    </w:p>
    <w:p>
      <w:pPr>
        <w:pStyle w:val="BodyText"/>
        <w:spacing w:line="480" w:lineRule="auto"/>
        <w:ind w:left="400" w:right="1315"/>
        <w:jc w:val="both"/>
      </w:pPr>
      <w:r>
        <w:rPr>
          <w:b/>
        </w:rPr>
        <w:t>Chapter 3: </w:t>
      </w:r>
      <w:r>
        <w:rPr/>
        <w:t>This chapter summarises the current state of knowledge by reviewing previous relevant literatures in the fields of evolution of TQM, The implementation of TQM in the construction industry</w:t>
      </w:r>
      <w:r>
        <w:rPr>
          <w:spacing w:val="-3"/>
        </w:rPr>
        <w:t> </w:t>
      </w:r>
      <w:r>
        <w:rPr/>
        <w:t>were reviewed and the critical success factors of TQM and SWOT</w:t>
      </w:r>
      <w:r>
        <w:rPr>
          <w:spacing w:val="-1"/>
        </w:rPr>
        <w:t> </w:t>
      </w:r>
      <w:r>
        <w:rPr/>
        <w:t>analysis of SMCFs in Nigeria analysed. It continues the literature review by appreciating the interrelationship between SMCF, TQM and Competitive Advantage. A comparison of quality gurus such as Deming, Juran, and Crosby and quality awards (the Deming Prize, MBNQA,</w:t>
      </w:r>
      <w:r>
        <w:rPr>
          <w:spacing w:val="80"/>
        </w:rPr>
        <w:t> </w:t>
      </w:r>
      <w:r>
        <w:rPr/>
        <w:t>EQA, Pride in Job and Charter Mark awards) were discussed to understand the TQM requirements and critique. The chapter ended up identifying the gaps of the study.</w:t>
      </w:r>
    </w:p>
    <w:p>
      <w:pPr>
        <w:pStyle w:val="BodyText"/>
        <w:spacing w:before="5"/>
      </w:pPr>
    </w:p>
    <w:p>
      <w:pPr>
        <w:pStyle w:val="BodyText"/>
        <w:spacing w:line="480" w:lineRule="auto"/>
        <w:ind w:left="400" w:right="1316"/>
        <w:jc w:val="both"/>
      </w:pPr>
      <w:r>
        <w:rPr>
          <w:b/>
        </w:rPr>
        <w:t>Chapter 4: </w:t>
      </w:r>
      <w:r>
        <w:rPr/>
        <w:t>It includes the methodology applied for the conduct of the research and the underlying concepts for the choice of the research instruments. The chapter evaluates the various philosophical constructs and research paradigms and then justifies its philosophical position and methodology. The chapter concludes by describing the research design, data collection instruments and consequent validity.</w:t>
      </w:r>
    </w:p>
    <w:p>
      <w:pPr>
        <w:pStyle w:val="BodyText"/>
        <w:spacing w:before="3"/>
      </w:pPr>
    </w:p>
    <w:p>
      <w:pPr>
        <w:pStyle w:val="BodyText"/>
        <w:spacing w:line="480" w:lineRule="auto"/>
        <w:ind w:left="400" w:right="1315"/>
      </w:pPr>
      <w:r>
        <w:rPr>
          <w:b/>
        </w:rPr>
        <w:t>Chapter</w:t>
      </w:r>
      <w:r>
        <w:rPr>
          <w:b/>
          <w:spacing w:val="40"/>
        </w:rPr>
        <w:t> </w:t>
      </w:r>
      <w:r>
        <w:rPr>
          <w:b/>
        </w:rPr>
        <w:t>5:</w:t>
      </w:r>
      <w:r>
        <w:rPr>
          <w:b/>
          <w:spacing w:val="40"/>
        </w:rPr>
        <w:t> </w:t>
      </w:r>
      <w:r>
        <w:rPr/>
        <w:t>This</w:t>
      </w:r>
      <w:r>
        <w:rPr>
          <w:spacing w:val="40"/>
        </w:rPr>
        <w:t> </w:t>
      </w:r>
      <w:r>
        <w:rPr/>
        <w:t>chapter</w:t>
      </w:r>
      <w:r>
        <w:rPr>
          <w:spacing w:val="40"/>
        </w:rPr>
        <w:t> </w:t>
      </w:r>
      <w:r>
        <w:rPr/>
        <w:t>presents</w:t>
      </w:r>
      <w:r>
        <w:rPr>
          <w:spacing w:val="40"/>
        </w:rPr>
        <w:t> </w:t>
      </w:r>
      <w:r>
        <w:rPr/>
        <w:t>the</w:t>
      </w:r>
      <w:r>
        <w:rPr>
          <w:spacing w:val="40"/>
        </w:rPr>
        <w:t> </w:t>
      </w:r>
      <w:r>
        <w:rPr/>
        <w:t>results</w:t>
      </w:r>
      <w:r>
        <w:rPr>
          <w:spacing w:val="40"/>
        </w:rPr>
        <w:t> </w:t>
      </w:r>
      <w:r>
        <w:rPr/>
        <w:t>of</w:t>
      </w:r>
      <w:r>
        <w:rPr>
          <w:spacing w:val="40"/>
        </w:rPr>
        <w:t> </w:t>
      </w:r>
      <w:r>
        <w:rPr/>
        <w:t>the</w:t>
      </w:r>
      <w:r>
        <w:rPr>
          <w:spacing w:val="40"/>
        </w:rPr>
        <w:t> </w:t>
      </w:r>
      <w:r>
        <w:rPr/>
        <w:t>study</w:t>
      </w:r>
      <w:r>
        <w:rPr>
          <w:spacing w:val="38"/>
        </w:rPr>
        <w:t> </w:t>
      </w:r>
      <w:r>
        <w:rPr/>
        <w:t>as</w:t>
      </w:r>
      <w:r>
        <w:rPr>
          <w:spacing w:val="40"/>
        </w:rPr>
        <w:t> </w:t>
      </w:r>
      <w:r>
        <w:rPr/>
        <w:t>well</w:t>
      </w:r>
      <w:r>
        <w:rPr>
          <w:spacing w:val="40"/>
        </w:rPr>
        <w:t> </w:t>
      </w:r>
      <w:r>
        <w:rPr/>
        <w:t>as</w:t>
      </w:r>
      <w:r>
        <w:rPr>
          <w:spacing w:val="40"/>
        </w:rPr>
        <w:t> </w:t>
      </w:r>
      <w:r>
        <w:rPr/>
        <w:t>data</w:t>
      </w:r>
      <w:r>
        <w:rPr>
          <w:spacing w:val="40"/>
        </w:rPr>
        <w:t> </w:t>
      </w:r>
      <w:r>
        <w:rPr/>
        <w:t>analysed,</w:t>
      </w:r>
      <w:r>
        <w:rPr>
          <w:spacing w:val="40"/>
        </w:rPr>
        <w:t> </w:t>
      </w:r>
      <w:r>
        <w:rPr/>
        <w:t>and</w:t>
      </w:r>
      <w:r>
        <w:rPr>
          <w:spacing w:val="40"/>
        </w:rPr>
        <w:t> </w:t>
      </w:r>
      <w:r>
        <w:rPr/>
        <w:t>the interpretation of the analysed data. It also provides conclusiveness in relation to the hypotheses.</w:t>
      </w:r>
    </w:p>
    <w:p>
      <w:pPr>
        <w:spacing w:before="0"/>
        <w:ind w:left="400" w:right="0" w:firstLine="0"/>
        <w:jc w:val="left"/>
        <w:rPr>
          <w:sz w:val="24"/>
        </w:rPr>
      </w:pPr>
      <w:r>
        <w:rPr>
          <w:spacing w:val="-10"/>
          <w:sz w:val="24"/>
        </w:rPr>
        <w:t>.</w:t>
      </w:r>
    </w:p>
    <w:p>
      <w:pPr>
        <w:spacing w:after="0"/>
        <w:jc w:val="left"/>
        <w:rPr>
          <w:sz w:val="24"/>
        </w:rPr>
        <w:sectPr>
          <w:pgSz w:w="12240" w:h="15840"/>
          <w:pgMar w:header="0" w:footer="1017" w:top="1360" w:bottom="1200" w:left="1040" w:right="120"/>
        </w:sectPr>
      </w:pPr>
    </w:p>
    <w:p>
      <w:pPr>
        <w:pStyle w:val="BodyText"/>
        <w:spacing w:line="480" w:lineRule="auto" w:before="72"/>
        <w:ind w:left="400" w:right="1314"/>
        <w:jc w:val="both"/>
      </w:pPr>
      <w:r>
        <w:rPr/>
        <w:t>Furthermore, the chapter provided a discussion of the findings from the analysis of critical success factors of different models. The inadequacies of existing models were explored with particular emphasis on the contribution to SMCFs. A model was created for SMCFs in South- East Nigeria.</w:t>
      </w:r>
    </w:p>
    <w:p>
      <w:pPr>
        <w:pStyle w:val="BodyText"/>
      </w:pPr>
    </w:p>
    <w:p>
      <w:pPr>
        <w:pStyle w:val="BodyText"/>
      </w:pPr>
    </w:p>
    <w:p>
      <w:pPr>
        <w:pStyle w:val="BodyText"/>
        <w:spacing w:line="480" w:lineRule="auto"/>
        <w:ind w:left="399" w:right="1316"/>
        <w:jc w:val="both"/>
      </w:pPr>
      <w:r>
        <w:rPr>
          <w:b/>
        </w:rPr>
        <w:t>Chapter 6: </w:t>
      </w:r>
      <w:r>
        <w:rPr/>
        <w:t>It presents an overview of the research, the summary of findings, conclusions and recommendations. Consideration is also given to the research limitations, contribution to knowledge and areas for further research on this topic</w:t>
      </w:r>
    </w:p>
    <w:p>
      <w:pPr>
        <w:spacing w:after="0" w:line="480" w:lineRule="auto"/>
        <w:jc w:val="both"/>
        <w:sectPr>
          <w:pgSz w:w="12240" w:h="15840"/>
          <w:pgMar w:header="0" w:footer="1017" w:top="1360" w:bottom="1200" w:left="1040" w:right="120"/>
        </w:sectPr>
      </w:pPr>
    </w:p>
    <w:p>
      <w:pPr>
        <w:spacing w:before="76"/>
        <w:ind w:left="0" w:right="918" w:firstLine="0"/>
        <w:jc w:val="center"/>
        <w:rPr>
          <w:b/>
          <w:sz w:val="24"/>
        </w:rPr>
      </w:pPr>
      <w:r>
        <w:rPr>
          <w:b/>
          <w:sz w:val="24"/>
        </w:rPr>
        <w:t>CHAPTER</w:t>
      </w:r>
      <w:r>
        <w:rPr>
          <w:b/>
          <w:spacing w:val="-6"/>
          <w:sz w:val="24"/>
        </w:rPr>
        <w:t> </w:t>
      </w:r>
      <w:r>
        <w:rPr>
          <w:b/>
          <w:spacing w:val="-5"/>
          <w:sz w:val="24"/>
        </w:rPr>
        <w:t>TWO</w:t>
      </w:r>
    </w:p>
    <w:p>
      <w:pPr>
        <w:pStyle w:val="BodyText"/>
        <w:rPr>
          <w:b/>
        </w:rPr>
      </w:pPr>
    </w:p>
    <w:p>
      <w:pPr>
        <w:spacing w:before="0"/>
        <w:ind w:left="0" w:right="921" w:firstLine="0"/>
        <w:jc w:val="center"/>
        <w:rPr>
          <w:b/>
          <w:sz w:val="24"/>
        </w:rPr>
      </w:pPr>
      <w:r>
        <w:rPr>
          <w:b/>
          <w:sz w:val="24"/>
        </w:rPr>
        <w:t>THEORETICAL</w:t>
      </w:r>
      <w:r>
        <w:rPr>
          <w:b/>
          <w:spacing w:val="-5"/>
          <w:sz w:val="24"/>
        </w:rPr>
        <w:t> </w:t>
      </w:r>
      <w:r>
        <w:rPr>
          <w:b/>
          <w:sz w:val="24"/>
        </w:rPr>
        <w:t>AND</w:t>
      </w:r>
      <w:r>
        <w:rPr>
          <w:b/>
          <w:spacing w:val="-7"/>
          <w:sz w:val="24"/>
        </w:rPr>
        <w:t> </w:t>
      </w:r>
      <w:r>
        <w:rPr>
          <w:b/>
          <w:sz w:val="24"/>
        </w:rPr>
        <w:t>CONCEPTUAL</w:t>
      </w:r>
      <w:r>
        <w:rPr>
          <w:b/>
          <w:spacing w:val="-1"/>
          <w:sz w:val="24"/>
        </w:rPr>
        <w:t> </w:t>
      </w:r>
      <w:r>
        <w:rPr>
          <w:b/>
          <w:spacing w:val="-2"/>
          <w:sz w:val="24"/>
        </w:rPr>
        <w:t>FRAMEWORK</w:t>
      </w:r>
    </w:p>
    <w:p>
      <w:pPr>
        <w:pStyle w:val="BodyText"/>
        <w:rPr>
          <w:b/>
        </w:rPr>
      </w:pPr>
    </w:p>
    <w:p>
      <w:pPr>
        <w:pStyle w:val="BodyText"/>
        <w:rPr>
          <w:b/>
        </w:rPr>
      </w:pPr>
    </w:p>
    <w:p>
      <w:pPr>
        <w:pStyle w:val="BodyText"/>
        <w:rPr>
          <w:b/>
        </w:rPr>
      </w:pPr>
    </w:p>
    <w:p>
      <w:pPr>
        <w:pStyle w:val="ListParagraph"/>
        <w:numPr>
          <w:ilvl w:val="1"/>
          <w:numId w:val="4"/>
        </w:numPr>
        <w:tabs>
          <w:tab w:pos="1120" w:val="left" w:leader="none"/>
        </w:tabs>
        <w:spacing w:line="240" w:lineRule="auto" w:before="1" w:after="0"/>
        <w:ind w:left="1120" w:right="0" w:hanging="720"/>
        <w:jc w:val="both"/>
        <w:rPr>
          <w:b/>
          <w:sz w:val="24"/>
        </w:rPr>
      </w:pPr>
      <w:r>
        <w:rPr>
          <w:b/>
          <w:spacing w:val="-2"/>
          <w:sz w:val="24"/>
        </w:rPr>
        <w:t>Introduction</w:t>
      </w:r>
    </w:p>
    <w:p>
      <w:pPr>
        <w:pStyle w:val="BodyText"/>
        <w:spacing w:line="480" w:lineRule="auto" w:before="271"/>
        <w:ind w:left="400" w:right="1315"/>
        <w:jc w:val="both"/>
      </w:pPr>
      <w:r>
        <w:rPr/>
        <w:t>This chapter presents the perspectives that are central to the conduct of this research. It therefore introduces</w:t>
      </w:r>
      <w:r>
        <w:rPr>
          <w:spacing w:val="-1"/>
        </w:rPr>
        <w:t> </w:t>
      </w:r>
      <w:r>
        <w:rPr/>
        <w:t>the</w:t>
      </w:r>
      <w:r>
        <w:rPr>
          <w:spacing w:val="-2"/>
        </w:rPr>
        <w:t> </w:t>
      </w:r>
      <w:r>
        <w:rPr/>
        <w:t>variables</w:t>
      </w:r>
      <w:r>
        <w:rPr>
          <w:spacing w:val="-1"/>
        </w:rPr>
        <w:t> </w:t>
      </w:r>
      <w:r>
        <w:rPr/>
        <w:t>of</w:t>
      </w:r>
      <w:r>
        <w:rPr>
          <w:spacing w:val="-2"/>
        </w:rPr>
        <w:t> </w:t>
      </w:r>
      <w:r>
        <w:rPr/>
        <w:t>the</w:t>
      </w:r>
      <w:r>
        <w:rPr>
          <w:spacing w:val="-2"/>
        </w:rPr>
        <w:t> </w:t>
      </w:r>
      <w:r>
        <w:rPr/>
        <w:t>research and</w:t>
      </w:r>
      <w:r>
        <w:rPr>
          <w:spacing w:val="-1"/>
        </w:rPr>
        <w:t> </w:t>
      </w:r>
      <w:r>
        <w:rPr/>
        <w:t>the general</w:t>
      </w:r>
      <w:r>
        <w:rPr>
          <w:spacing w:val="-1"/>
        </w:rPr>
        <w:t> </w:t>
      </w:r>
      <w:r>
        <w:rPr/>
        <w:t>framework</w:t>
      </w:r>
      <w:r>
        <w:rPr>
          <w:spacing w:val="-1"/>
        </w:rPr>
        <w:t> </w:t>
      </w:r>
      <w:r>
        <w:rPr/>
        <w:t>for</w:t>
      </w:r>
      <w:r>
        <w:rPr>
          <w:spacing w:val="-2"/>
        </w:rPr>
        <w:t> </w:t>
      </w:r>
      <w:r>
        <w:rPr/>
        <w:t>data</w:t>
      </w:r>
      <w:r>
        <w:rPr>
          <w:spacing w:val="-2"/>
        </w:rPr>
        <w:t> </w:t>
      </w:r>
      <w:r>
        <w:rPr/>
        <w:t>analysis</w:t>
      </w:r>
      <w:r>
        <w:rPr>
          <w:spacing w:val="-1"/>
        </w:rPr>
        <w:t> </w:t>
      </w:r>
      <w:r>
        <w:rPr/>
        <w:t>chosen</w:t>
      </w:r>
      <w:r>
        <w:rPr>
          <w:spacing w:val="-1"/>
        </w:rPr>
        <w:t> </w:t>
      </w:r>
      <w:r>
        <w:rPr/>
        <w:t>study and the factors that are deemed relevant or important to the identified research problem. For the purpose of this study it was necessary for a theoretical framework to be determined so that the relations between all the variables would be defined and the relationship between them, understood. In formulating</w:t>
      </w:r>
      <w:r>
        <w:rPr>
          <w:spacing w:val="-2"/>
        </w:rPr>
        <w:t> </w:t>
      </w:r>
      <w:r>
        <w:rPr/>
        <w:t>a</w:t>
      </w:r>
      <w:r>
        <w:rPr>
          <w:spacing w:val="-1"/>
        </w:rPr>
        <w:t> </w:t>
      </w:r>
      <w:r>
        <w:rPr/>
        <w:t>theoretical framework it is necessary</w:t>
      </w:r>
      <w:r>
        <w:rPr>
          <w:spacing w:val="-5"/>
        </w:rPr>
        <w:t> </w:t>
      </w:r>
      <w:r>
        <w:rPr/>
        <w:t>to appreciate</w:t>
      </w:r>
      <w:r>
        <w:rPr>
          <w:spacing w:val="-1"/>
        </w:rPr>
        <w:t> </w:t>
      </w:r>
      <w:r>
        <w:rPr/>
        <w:t>that a framework of any study is a structure that can hold or support a theory of a research work. It presents the theory which explains why the problem under that study exists (Palm, 2007). Thus, the theoretical framework is but a</w:t>
      </w:r>
      <w:r>
        <w:rPr>
          <w:spacing w:val="-1"/>
        </w:rPr>
        <w:t> </w:t>
      </w:r>
      <w:r>
        <w:rPr/>
        <w:t>theory</w:t>
      </w:r>
      <w:r>
        <w:rPr>
          <w:spacing w:val="-5"/>
        </w:rPr>
        <w:t> </w:t>
      </w:r>
      <w:r>
        <w:rPr/>
        <w:t>that serves as a</w:t>
      </w:r>
      <w:r>
        <w:rPr>
          <w:spacing w:val="-1"/>
        </w:rPr>
        <w:t> </w:t>
      </w:r>
      <w:r>
        <w:rPr/>
        <w:t>basis for conducting research. It also assists in the development of a conceptual model of how one makes logical sense of the relationship among variables or factors that have been identified as significant to the problem under investigation (Okolie, 2011).</w:t>
      </w:r>
    </w:p>
    <w:p>
      <w:pPr>
        <w:pStyle w:val="BodyText"/>
        <w:spacing w:before="142"/>
      </w:pPr>
    </w:p>
    <w:p>
      <w:pPr>
        <w:pStyle w:val="Heading2"/>
        <w:numPr>
          <w:ilvl w:val="1"/>
          <w:numId w:val="4"/>
        </w:numPr>
        <w:tabs>
          <w:tab w:pos="1120" w:val="left" w:leader="none"/>
        </w:tabs>
        <w:spacing w:line="240" w:lineRule="auto" w:before="0" w:after="0"/>
        <w:ind w:left="1120" w:right="0" w:hanging="720"/>
        <w:jc w:val="both"/>
      </w:pPr>
      <w:r>
        <w:rPr/>
        <w:t>Location</w:t>
      </w:r>
      <w:r>
        <w:rPr>
          <w:spacing w:val="-2"/>
        </w:rPr>
        <w:t> </w:t>
      </w:r>
      <w:r>
        <w:rPr/>
        <w:t>of</w:t>
      </w:r>
      <w:r>
        <w:rPr>
          <w:spacing w:val="-2"/>
        </w:rPr>
        <w:t> </w:t>
      </w:r>
      <w:r>
        <w:rPr/>
        <w:t>the</w:t>
      </w:r>
      <w:r>
        <w:rPr>
          <w:spacing w:val="-2"/>
        </w:rPr>
        <w:t> </w:t>
      </w:r>
      <w:r>
        <w:rPr/>
        <w:t>Theoretical</w:t>
      </w:r>
      <w:r>
        <w:rPr>
          <w:spacing w:val="-2"/>
        </w:rPr>
        <w:t> Framework</w:t>
      </w:r>
    </w:p>
    <w:p>
      <w:pPr>
        <w:pStyle w:val="BodyText"/>
        <w:spacing w:line="480" w:lineRule="auto" w:before="271"/>
        <w:ind w:left="399" w:right="1316"/>
        <w:jc w:val="both"/>
      </w:pPr>
      <w:r>
        <w:rPr/>
        <w:t>Organizations are dynamic systems of adaptation and evolution that contain multiple parts,</w:t>
      </w:r>
      <w:r>
        <w:rPr>
          <w:spacing w:val="40"/>
        </w:rPr>
        <w:t> </w:t>
      </w:r>
      <w:r>
        <w:rPr/>
        <w:t>which interact with one another and the environment. The ability of organizations to change rapidly in response to intra and inter relationships is at the heart of an adaptive organisation (Brown and Eisenhardt, 1997). It is becoming increasingly important for organizations (Company) to gain competitive advantage by being able to manage and survive change (Cao and McHugh,</w:t>
      </w:r>
      <w:r>
        <w:rPr>
          <w:spacing w:val="8"/>
        </w:rPr>
        <w:t> </w:t>
      </w:r>
      <w:r>
        <w:rPr/>
        <w:t>2005).</w:t>
      </w:r>
      <w:r>
        <w:rPr>
          <w:spacing w:val="11"/>
        </w:rPr>
        <w:t> </w:t>
      </w:r>
      <w:r>
        <w:rPr/>
        <w:t>This</w:t>
      </w:r>
      <w:r>
        <w:rPr>
          <w:spacing w:val="11"/>
        </w:rPr>
        <w:t> </w:t>
      </w:r>
      <w:r>
        <w:rPr/>
        <w:t>were</w:t>
      </w:r>
      <w:r>
        <w:rPr>
          <w:spacing w:val="12"/>
        </w:rPr>
        <w:t> </w:t>
      </w:r>
      <w:r>
        <w:rPr/>
        <w:t>centered</w:t>
      </w:r>
      <w:r>
        <w:rPr>
          <w:spacing w:val="10"/>
        </w:rPr>
        <w:t> </w:t>
      </w:r>
      <w:r>
        <w:rPr/>
        <w:t>on</w:t>
      </w:r>
      <w:r>
        <w:rPr>
          <w:spacing w:val="11"/>
        </w:rPr>
        <w:t> </w:t>
      </w:r>
      <w:r>
        <w:rPr/>
        <w:t>system</w:t>
      </w:r>
      <w:r>
        <w:rPr>
          <w:spacing w:val="13"/>
        </w:rPr>
        <w:t> </w:t>
      </w:r>
      <w:r>
        <w:rPr/>
        <w:t>and</w:t>
      </w:r>
      <w:r>
        <w:rPr>
          <w:spacing w:val="10"/>
        </w:rPr>
        <w:t> </w:t>
      </w:r>
      <w:r>
        <w:rPr/>
        <w:t>TQM</w:t>
      </w:r>
      <w:r>
        <w:rPr>
          <w:spacing w:val="11"/>
        </w:rPr>
        <w:t> </w:t>
      </w:r>
      <w:r>
        <w:rPr/>
        <w:t>theories</w:t>
      </w:r>
      <w:r>
        <w:rPr>
          <w:spacing w:val="11"/>
        </w:rPr>
        <w:t> </w:t>
      </w:r>
      <w:r>
        <w:rPr/>
        <w:t>through</w:t>
      </w:r>
      <w:r>
        <w:rPr>
          <w:spacing w:val="11"/>
        </w:rPr>
        <w:t> </w:t>
      </w:r>
      <w:r>
        <w:rPr/>
        <w:t>which</w:t>
      </w:r>
      <w:r>
        <w:rPr>
          <w:spacing w:val="11"/>
        </w:rPr>
        <w:t> </w:t>
      </w:r>
      <w:r>
        <w:rPr>
          <w:spacing w:val="-2"/>
        </w:rPr>
        <w:t>organizational</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change process will be fruitfully examined. Systems and TQM theories are two valuable perspectives that can equip organizational leaders with the requisite knowledge and understanding of how to respond and adapt to the uncertainties and demands of global change. Competitiveness is created at the firm level, but that it is partly derived from a systemic context and emerges from complex patterns of interactions between government, enterprises and other actors, and will therefore exhibit different forms in each society (Meyer-Stamer, 1995).</w:t>
      </w:r>
    </w:p>
    <w:p>
      <w:pPr>
        <w:pStyle w:val="BodyText"/>
        <w:ind w:left="400"/>
        <w:jc w:val="both"/>
      </w:pPr>
      <w:r>
        <w:rPr/>
        <mc:AlternateContent>
          <mc:Choice Requires="wps">
            <w:drawing>
              <wp:anchor distT="0" distB="0" distL="0" distR="0" allowOverlap="1" layoutInCell="1" locked="0" behindDoc="0" simplePos="0" relativeHeight="15732224">
                <wp:simplePos x="0" y="0"/>
                <wp:positionH relativeFrom="page">
                  <wp:posOffset>719137</wp:posOffset>
                </wp:positionH>
                <wp:positionV relativeFrom="paragraph">
                  <wp:posOffset>784086</wp:posOffset>
                </wp:positionV>
                <wp:extent cx="3115310" cy="108775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3115310" cy="1087755"/>
                          <a:chExt cx="3115310" cy="1087755"/>
                        </a:xfrm>
                      </wpg:grpSpPr>
                      <wps:wsp>
                        <wps:cNvPr id="48" name="Graphic 48"/>
                        <wps:cNvSpPr/>
                        <wps:spPr>
                          <a:xfrm>
                            <a:off x="4762" y="4762"/>
                            <a:ext cx="3105785" cy="1078230"/>
                          </a:xfrm>
                          <a:custGeom>
                            <a:avLst/>
                            <a:gdLst/>
                            <a:ahLst/>
                            <a:cxnLst/>
                            <a:rect l="l" t="t" r="r" b="b"/>
                            <a:pathLst>
                              <a:path w="3105785" h="1078230">
                                <a:moveTo>
                                  <a:pt x="3105785" y="0"/>
                                </a:moveTo>
                                <a:lnTo>
                                  <a:pt x="0" y="0"/>
                                </a:lnTo>
                                <a:lnTo>
                                  <a:pt x="0" y="1078230"/>
                                </a:lnTo>
                                <a:lnTo>
                                  <a:pt x="3105785" y="1078230"/>
                                </a:lnTo>
                                <a:lnTo>
                                  <a:pt x="3105785" y="0"/>
                                </a:lnTo>
                                <a:close/>
                              </a:path>
                            </a:pathLst>
                          </a:custGeom>
                          <a:solidFill>
                            <a:srgbClr val="EEECE1"/>
                          </a:solidFill>
                        </wps:spPr>
                        <wps:bodyPr wrap="square" lIns="0" tIns="0" rIns="0" bIns="0" rtlCol="0">
                          <a:prstTxWarp prst="textNoShape">
                            <a:avLst/>
                          </a:prstTxWarp>
                          <a:noAutofit/>
                        </wps:bodyPr>
                      </wps:wsp>
                      <wps:wsp>
                        <wps:cNvPr id="49" name="Graphic 49"/>
                        <wps:cNvSpPr/>
                        <wps:spPr>
                          <a:xfrm>
                            <a:off x="523557" y="543877"/>
                            <a:ext cx="1561465" cy="367030"/>
                          </a:xfrm>
                          <a:custGeom>
                            <a:avLst/>
                            <a:gdLst/>
                            <a:ahLst/>
                            <a:cxnLst/>
                            <a:rect l="l" t="t" r="r" b="b"/>
                            <a:pathLst>
                              <a:path w="1561465" h="367030">
                                <a:moveTo>
                                  <a:pt x="780732" y="0"/>
                                </a:moveTo>
                                <a:lnTo>
                                  <a:pt x="709665" y="749"/>
                                </a:lnTo>
                                <a:lnTo>
                                  <a:pt x="640387" y="2956"/>
                                </a:lnTo>
                                <a:lnTo>
                                  <a:pt x="573172" y="6554"/>
                                </a:lnTo>
                                <a:lnTo>
                                  <a:pt x="508297" y="11480"/>
                                </a:lnTo>
                                <a:lnTo>
                                  <a:pt x="446038" y="17668"/>
                                </a:lnTo>
                                <a:lnTo>
                                  <a:pt x="386668" y="25053"/>
                                </a:lnTo>
                                <a:lnTo>
                                  <a:pt x="330465" y="33572"/>
                                </a:lnTo>
                                <a:lnTo>
                                  <a:pt x="277704" y="43158"/>
                                </a:lnTo>
                                <a:lnTo>
                                  <a:pt x="228660" y="53747"/>
                                </a:lnTo>
                                <a:lnTo>
                                  <a:pt x="183608" y="65276"/>
                                </a:lnTo>
                                <a:lnTo>
                                  <a:pt x="142825" y="77677"/>
                                </a:lnTo>
                                <a:lnTo>
                                  <a:pt x="106586" y="90888"/>
                                </a:lnTo>
                                <a:lnTo>
                                  <a:pt x="48841" y="119478"/>
                                </a:lnTo>
                                <a:lnTo>
                                  <a:pt x="12577" y="150526"/>
                                </a:lnTo>
                                <a:lnTo>
                                  <a:pt x="0" y="183515"/>
                                </a:lnTo>
                                <a:lnTo>
                                  <a:pt x="3190" y="200219"/>
                                </a:lnTo>
                                <a:lnTo>
                                  <a:pt x="27886" y="232302"/>
                                </a:lnTo>
                                <a:lnTo>
                                  <a:pt x="75166" y="262186"/>
                                </a:lnTo>
                                <a:lnTo>
                                  <a:pt x="142825" y="289352"/>
                                </a:lnTo>
                                <a:lnTo>
                                  <a:pt x="183608" y="301753"/>
                                </a:lnTo>
                                <a:lnTo>
                                  <a:pt x="228660" y="313282"/>
                                </a:lnTo>
                                <a:lnTo>
                                  <a:pt x="277704" y="323871"/>
                                </a:lnTo>
                                <a:lnTo>
                                  <a:pt x="330465" y="333457"/>
                                </a:lnTo>
                                <a:lnTo>
                                  <a:pt x="386668" y="341976"/>
                                </a:lnTo>
                                <a:lnTo>
                                  <a:pt x="446038" y="349361"/>
                                </a:lnTo>
                                <a:lnTo>
                                  <a:pt x="508297" y="355549"/>
                                </a:lnTo>
                                <a:lnTo>
                                  <a:pt x="573172" y="360475"/>
                                </a:lnTo>
                                <a:lnTo>
                                  <a:pt x="640387" y="364073"/>
                                </a:lnTo>
                                <a:lnTo>
                                  <a:pt x="709665" y="366280"/>
                                </a:lnTo>
                                <a:lnTo>
                                  <a:pt x="780732" y="367030"/>
                                </a:lnTo>
                                <a:lnTo>
                                  <a:pt x="851799" y="366280"/>
                                </a:lnTo>
                                <a:lnTo>
                                  <a:pt x="921077" y="364073"/>
                                </a:lnTo>
                                <a:lnTo>
                                  <a:pt x="988292" y="360475"/>
                                </a:lnTo>
                                <a:lnTo>
                                  <a:pt x="1053167" y="355549"/>
                                </a:lnTo>
                                <a:lnTo>
                                  <a:pt x="1115426" y="349361"/>
                                </a:lnTo>
                                <a:lnTo>
                                  <a:pt x="1174796" y="341976"/>
                                </a:lnTo>
                                <a:lnTo>
                                  <a:pt x="1230999" y="333457"/>
                                </a:lnTo>
                                <a:lnTo>
                                  <a:pt x="1283760" y="323871"/>
                                </a:lnTo>
                                <a:lnTo>
                                  <a:pt x="1332804" y="313282"/>
                                </a:lnTo>
                                <a:lnTo>
                                  <a:pt x="1377856" y="301753"/>
                                </a:lnTo>
                                <a:lnTo>
                                  <a:pt x="1418639" y="289352"/>
                                </a:lnTo>
                                <a:lnTo>
                                  <a:pt x="1454878" y="276141"/>
                                </a:lnTo>
                                <a:lnTo>
                                  <a:pt x="1512623" y="247551"/>
                                </a:lnTo>
                                <a:lnTo>
                                  <a:pt x="1548887" y="216503"/>
                                </a:lnTo>
                                <a:lnTo>
                                  <a:pt x="1561464" y="183515"/>
                                </a:lnTo>
                                <a:lnTo>
                                  <a:pt x="1558274" y="166810"/>
                                </a:lnTo>
                                <a:lnTo>
                                  <a:pt x="1533578" y="134727"/>
                                </a:lnTo>
                                <a:lnTo>
                                  <a:pt x="1486298" y="104843"/>
                                </a:lnTo>
                                <a:lnTo>
                                  <a:pt x="1418639" y="77677"/>
                                </a:lnTo>
                                <a:lnTo>
                                  <a:pt x="1377856" y="65276"/>
                                </a:lnTo>
                                <a:lnTo>
                                  <a:pt x="1332804" y="53747"/>
                                </a:lnTo>
                                <a:lnTo>
                                  <a:pt x="1283760" y="43158"/>
                                </a:lnTo>
                                <a:lnTo>
                                  <a:pt x="1230999" y="33572"/>
                                </a:lnTo>
                                <a:lnTo>
                                  <a:pt x="1174796" y="25053"/>
                                </a:lnTo>
                                <a:lnTo>
                                  <a:pt x="1115426" y="17668"/>
                                </a:lnTo>
                                <a:lnTo>
                                  <a:pt x="1053167" y="11480"/>
                                </a:lnTo>
                                <a:lnTo>
                                  <a:pt x="988292" y="6554"/>
                                </a:lnTo>
                                <a:lnTo>
                                  <a:pt x="921077" y="2956"/>
                                </a:lnTo>
                                <a:lnTo>
                                  <a:pt x="851799" y="749"/>
                                </a:lnTo>
                                <a:lnTo>
                                  <a:pt x="780732"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523557" y="543877"/>
                            <a:ext cx="1561465" cy="367030"/>
                          </a:xfrm>
                          <a:custGeom>
                            <a:avLst/>
                            <a:gdLst/>
                            <a:ahLst/>
                            <a:cxnLst/>
                            <a:rect l="l" t="t" r="r" b="b"/>
                            <a:pathLst>
                              <a:path w="1561465" h="367030">
                                <a:moveTo>
                                  <a:pt x="780732" y="0"/>
                                </a:moveTo>
                                <a:lnTo>
                                  <a:pt x="709665" y="749"/>
                                </a:lnTo>
                                <a:lnTo>
                                  <a:pt x="640387" y="2956"/>
                                </a:lnTo>
                                <a:lnTo>
                                  <a:pt x="573172" y="6554"/>
                                </a:lnTo>
                                <a:lnTo>
                                  <a:pt x="508297" y="11480"/>
                                </a:lnTo>
                                <a:lnTo>
                                  <a:pt x="446038" y="17668"/>
                                </a:lnTo>
                                <a:lnTo>
                                  <a:pt x="386668" y="25053"/>
                                </a:lnTo>
                                <a:lnTo>
                                  <a:pt x="330465" y="33572"/>
                                </a:lnTo>
                                <a:lnTo>
                                  <a:pt x="277704" y="43158"/>
                                </a:lnTo>
                                <a:lnTo>
                                  <a:pt x="228660" y="53747"/>
                                </a:lnTo>
                                <a:lnTo>
                                  <a:pt x="183608" y="65276"/>
                                </a:lnTo>
                                <a:lnTo>
                                  <a:pt x="142825" y="77677"/>
                                </a:lnTo>
                                <a:lnTo>
                                  <a:pt x="106586" y="90888"/>
                                </a:lnTo>
                                <a:lnTo>
                                  <a:pt x="48841" y="119478"/>
                                </a:lnTo>
                                <a:lnTo>
                                  <a:pt x="12577" y="150526"/>
                                </a:lnTo>
                                <a:lnTo>
                                  <a:pt x="0" y="183515"/>
                                </a:lnTo>
                                <a:lnTo>
                                  <a:pt x="3190" y="200219"/>
                                </a:lnTo>
                                <a:lnTo>
                                  <a:pt x="27886" y="232302"/>
                                </a:lnTo>
                                <a:lnTo>
                                  <a:pt x="75166" y="262186"/>
                                </a:lnTo>
                                <a:lnTo>
                                  <a:pt x="142825" y="289352"/>
                                </a:lnTo>
                                <a:lnTo>
                                  <a:pt x="183608" y="301753"/>
                                </a:lnTo>
                                <a:lnTo>
                                  <a:pt x="228660" y="313282"/>
                                </a:lnTo>
                                <a:lnTo>
                                  <a:pt x="277704" y="323871"/>
                                </a:lnTo>
                                <a:lnTo>
                                  <a:pt x="330465" y="333457"/>
                                </a:lnTo>
                                <a:lnTo>
                                  <a:pt x="386668" y="341976"/>
                                </a:lnTo>
                                <a:lnTo>
                                  <a:pt x="446038" y="349361"/>
                                </a:lnTo>
                                <a:lnTo>
                                  <a:pt x="508297" y="355549"/>
                                </a:lnTo>
                                <a:lnTo>
                                  <a:pt x="573172" y="360475"/>
                                </a:lnTo>
                                <a:lnTo>
                                  <a:pt x="640387" y="364073"/>
                                </a:lnTo>
                                <a:lnTo>
                                  <a:pt x="709665" y="366280"/>
                                </a:lnTo>
                                <a:lnTo>
                                  <a:pt x="780732" y="367030"/>
                                </a:lnTo>
                                <a:lnTo>
                                  <a:pt x="851799" y="366280"/>
                                </a:lnTo>
                                <a:lnTo>
                                  <a:pt x="921077" y="364073"/>
                                </a:lnTo>
                                <a:lnTo>
                                  <a:pt x="988292" y="360475"/>
                                </a:lnTo>
                                <a:lnTo>
                                  <a:pt x="1053167" y="355549"/>
                                </a:lnTo>
                                <a:lnTo>
                                  <a:pt x="1115426" y="349361"/>
                                </a:lnTo>
                                <a:lnTo>
                                  <a:pt x="1174796" y="341976"/>
                                </a:lnTo>
                                <a:lnTo>
                                  <a:pt x="1230999" y="333457"/>
                                </a:lnTo>
                                <a:lnTo>
                                  <a:pt x="1283760" y="323871"/>
                                </a:lnTo>
                                <a:lnTo>
                                  <a:pt x="1332804" y="313282"/>
                                </a:lnTo>
                                <a:lnTo>
                                  <a:pt x="1377856" y="301753"/>
                                </a:lnTo>
                                <a:lnTo>
                                  <a:pt x="1418639" y="289352"/>
                                </a:lnTo>
                                <a:lnTo>
                                  <a:pt x="1454878" y="276141"/>
                                </a:lnTo>
                                <a:lnTo>
                                  <a:pt x="1512623" y="247551"/>
                                </a:lnTo>
                                <a:lnTo>
                                  <a:pt x="1548887" y="216503"/>
                                </a:lnTo>
                                <a:lnTo>
                                  <a:pt x="1561464" y="183515"/>
                                </a:lnTo>
                                <a:lnTo>
                                  <a:pt x="1558274" y="166810"/>
                                </a:lnTo>
                                <a:lnTo>
                                  <a:pt x="1533578" y="134727"/>
                                </a:lnTo>
                                <a:lnTo>
                                  <a:pt x="1486298" y="104843"/>
                                </a:lnTo>
                                <a:lnTo>
                                  <a:pt x="1418639" y="77677"/>
                                </a:lnTo>
                                <a:lnTo>
                                  <a:pt x="1377856" y="65276"/>
                                </a:lnTo>
                                <a:lnTo>
                                  <a:pt x="1332804" y="53747"/>
                                </a:lnTo>
                                <a:lnTo>
                                  <a:pt x="1283760" y="43158"/>
                                </a:lnTo>
                                <a:lnTo>
                                  <a:pt x="1230999" y="33572"/>
                                </a:lnTo>
                                <a:lnTo>
                                  <a:pt x="1174796" y="25053"/>
                                </a:lnTo>
                                <a:lnTo>
                                  <a:pt x="1115426" y="17668"/>
                                </a:lnTo>
                                <a:lnTo>
                                  <a:pt x="1053167" y="11480"/>
                                </a:lnTo>
                                <a:lnTo>
                                  <a:pt x="988292" y="6554"/>
                                </a:lnTo>
                                <a:lnTo>
                                  <a:pt x="921077" y="2956"/>
                                </a:lnTo>
                                <a:lnTo>
                                  <a:pt x="851799" y="749"/>
                                </a:lnTo>
                                <a:lnTo>
                                  <a:pt x="780732" y="0"/>
                                </a:lnTo>
                                <a:close/>
                              </a:path>
                            </a:pathLst>
                          </a:custGeom>
                          <a:ln w="9525">
                            <a:solidFill>
                              <a:srgbClr val="000000"/>
                            </a:solidFill>
                            <a:prstDash val="solid"/>
                          </a:ln>
                        </wps:spPr>
                        <wps:bodyPr wrap="square" lIns="0" tIns="0" rIns="0" bIns="0" rtlCol="0">
                          <a:prstTxWarp prst="textNoShape">
                            <a:avLst/>
                          </a:prstTxWarp>
                          <a:noAutofit/>
                        </wps:bodyPr>
                      </wps:wsp>
                      <wps:wsp>
                        <wps:cNvPr id="51" name="Textbox 51"/>
                        <wps:cNvSpPr txBox="1"/>
                        <wps:spPr>
                          <a:xfrm>
                            <a:off x="4762" y="4762"/>
                            <a:ext cx="3105785" cy="1078230"/>
                          </a:xfrm>
                          <a:prstGeom prst="rect">
                            <a:avLst/>
                          </a:prstGeom>
                          <a:ln w="9525">
                            <a:solidFill>
                              <a:srgbClr val="000000"/>
                            </a:solidFill>
                            <a:prstDash val="solid"/>
                          </a:ln>
                        </wps:spPr>
                        <wps:txbx>
                          <w:txbxContent>
                            <w:p>
                              <w:pPr>
                                <w:spacing w:line="240" w:lineRule="auto" w:before="57"/>
                                <w:rPr>
                                  <w:sz w:val="22"/>
                                </w:rPr>
                              </w:pPr>
                            </w:p>
                            <w:p>
                              <w:pPr>
                                <w:spacing w:line="600" w:lineRule="auto" w:before="0"/>
                                <w:ind w:left="1276" w:right="2283" w:hanging="39"/>
                                <w:jc w:val="left"/>
                                <w:rPr>
                                  <w:rFonts w:ascii="Calibri"/>
                                  <w:b/>
                                  <w:sz w:val="22"/>
                                </w:rPr>
                              </w:pPr>
                              <w:r>
                                <w:rPr>
                                  <w:rFonts w:ascii="Calibri"/>
                                  <w:b/>
                                  <w:sz w:val="22"/>
                                </w:rPr>
                                <w:t>System</w:t>
                              </w:r>
                              <w:r>
                                <w:rPr>
                                  <w:rFonts w:ascii="Calibri"/>
                                  <w:b/>
                                  <w:spacing w:val="-13"/>
                                  <w:sz w:val="22"/>
                                </w:rPr>
                                <w:t> </w:t>
                              </w:r>
                              <w:r>
                                <w:rPr>
                                  <w:rFonts w:ascii="Calibri"/>
                                  <w:b/>
                                  <w:sz w:val="22"/>
                                </w:rPr>
                                <w:t>Theory TQM</w:t>
                              </w:r>
                              <w:r>
                                <w:rPr>
                                  <w:rFonts w:ascii="Calibri"/>
                                  <w:b/>
                                  <w:spacing w:val="-1"/>
                                  <w:sz w:val="22"/>
                                </w:rPr>
                                <w:t> </w:t>
                              </w:r>
                              <w:r>
                                <w:rPr>
                                  <w:rFonts w:ascii="Calibri"/>
                                  <w:b/>
                                  <w:spacing w:val="-2"/>
                                  <w:sz w:val="22"/>
                                </w:rPr>
                                <w:t>Theories</w:t>
                              </w:r>
                            </w:p>
                          </w:txbxContent>
                        </wps:txbx>
                        <wps:bodyPr wrap="square" lIns="0" tIns="0" rIns="0" bIns="0" rtlCol="0">
                          <a:noAutofit/>
                        </wps:bodyPr>
                      </wps:wsp>
                    </wpg:wgp>
                  </a:graphicData>
                </a:graphic>
              </wp:anchor>
            </w:drawing>
          </mc:Choice>
          <mc:Fallback>
            <w:pict>
              <v:group style="position:absolute;margin-left:56.625pt;margin-top:61.739063pt;width:245.3pt;height:85.65pt;mso-position-horizontal-relative:page;mso-position-vertical-relative:paragraph;z-index:15732224" id="docshapegroup40" coordorigin="1133,1235" coordsize="4906,1713">
                <v:rect style="position:absolute;left:1140;top:1242;width:4891;height:1698" id="docshape41" filled="true" fillcolor="#eeece1" stroked="false">
                  <v:fill type="solid"/>
                </v:rect>
                <v:shape style="position:absolute;left:1957;top:2091;width:2459;height:578" id="docshape42" coordorigin="1957,2091" coordsize="2459,578" path="m3186,2091l3075,2092,2965,2096,2860,2102,2757,2109,2659,2119,2566,2131,2477,2144,2394,2159,2317,2176,2246,2194,2182,2214,2125,2234,2034,2279,1977,2328,1957,2380,1962,2407,2001,2457,2075,2504,2182,2547,2246,2566,2317,2585,2394,2601,2477,2616,2566,2630,2659,2641,2757,2651,2860,2659,2965,2665,3075,2668,3186,2669,3298,2668,3408,2665,3513,2659,3616,2651,3714,2641,3807,2630,3896,2616,3979,2601,4056,2585,4127,2566,4191,2547,4248,2526,4339,2481,4396,2432,4416,2380,4411,2354,4372,2303,4298,2256,4191,2214,4127,2194,4056,2176,3979,2159,3896,2144,3807,2131,3714,2119,3616,2109,3513,2102,3408,2096,3298,2092,3186,2091xe" filled="true" fillcolor="#ffffff" stroked="false">
                  <v:path arrowok="t"/>
                  <v:fill type="solid"/>
                </v:shape>
                <v:shape style="position:absolute;left:1957;top:2091;width:2459;height:578" id="docshape43" coordorigin="1957,2091" coordsize="2459,578" path="m3186,2091l3075,2092,2965,2096,2860,2102,2757,2109,2659,2119,2566,2131,2477,2144,2394,2159,2317,2176,2246,2194,2182,2214,2125,2234,2034,2279,1977,2328,1957,2380,1962,2407,2001,2457,2075,2504,2182,2547,2246,2566,2317,2585,2394,2601,2477,2616,2566,2630,2659,2641,2757,2651,2860,2659,2965,2665,3075,2668,3186,2669,3298,2668,3408,2665,3513,2659,3616,2651,3714,2641,3807,2630,3896,2616,3979,2601,4056,2585,4127,2566,4191,2547,4248,2526,4339,2481,4396,2432,4416,2380,4411,2354,4372,2303,4298,2256,4191,2214,4127,2194,4056,2176,3979,2159,3896,2144,3807,2131,3714,2119,3616,2109,3513,2102,3408,2096,3298,2092,3186,2091xe" filled="false" stroked="true" strokeweight=".75pt" strokecolor="#000000">
                  <v:path arrowok="t"/>
                  <v:stroke dashstyle="solid"/>
                </v:shape>
                <v:shape style="position:absolute;left:1140;top:1242;width:4891;height:1698" type="#_x0000_t202" id="docshape44" filled="false" stroked="true" strokeweight=".75pt" strokecolor="#000000">
                  <v:textbox inset="0,0,0,0">
                    <w:txbxContent>
                      <w:p>
                        <w:pPr>
                          <w:spacing w:line="240" w:lineRule="auto" w:before="57"/>
                          <w:rPr>
                            <w:sz w:val="22"/>
                          </w:rPr>
                        </w:pPr>
                      </w:p>
                      <w:p>
                        <w:pPr>
                          <w:spacing w:line="600" w:lineRule="auto" w:before="0"/>
                          <w:ind w:left="1276" w:right="2283" w:hanging="39"/>
                          <w:jc w:val="left"/>
                          <w:rPr>
                            <w:rFonts w:ascii="Calibri"/>
                            <w:b/>
                            <w:sz w:val="22"/>
                          </w:rPr>
                        </w:pPr>
                        <w:r>
                          <w:rPr>
                            <w:rFonts w:ascii="Calibri"/>
                            <w:b/>
                            <w:sz w:val="22"/>
                          </w:rPr>
                          <w:t>System</w:t>
                        </w:r>
                        <w:r>
                          <w:rPr>
                            <w:rFonts w:ascii="Calibri"/>
                            <w:b/>
                            <w:spacing w:val="-13"/>
                            <w:sz w:val="22"/>
                          </w:rPr>
                          <w:t> </w:t>
                        </w:r>
                        <w:r>
                          <w:rPr>
                            <w:rFonts w:ascii="Calibri"/>
                            <w:b/>
                            <w:sz w:val="22"/>
                          </w:rPr>
                          <w:t>Theory TQM</w:t>
                        </w:r>
                        <w:r>
                          <w:rPr>
                            <w:rFonts w:ascii="Calibri"/>
                            <w:b/>
                            <w:spacing w:val="-1"/>
                            <w:sz w:val="22"/>
                          </w:rPr>
                          <w:t> </w:t>
                        </w:r>
                        <w:r>
                          <w:rPr>
                            <w:rFonts w:ascii="Calibri"/>
                            <w:b/>
                            <w:spacing w:val="-2"/>
                            <w:sz w:val="22"/>
                          </w:rPr>
                          <w:t>Theories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4994275</wp:posOffset>
                </wp:positionH>
                <wp:positionV relativeFrom="paragraph">
                  <wp:posOffset>779958</wp:posOffset>
                </wp:positionV>
                <wp:extent cx="1198880" cy="113855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198880" cy="1138555"/>
                        </a:xfrm>
                        <a:prstGeom prst="rect">
                          <a:avLst/>
                        </a:prstGeom>
                        <a:solidFill>
                          <a:srgbClr val="EEECE1"/>
                        </a:solidFill>
                        <a:ln w="9525">
                          <a:solidFill>
                            <a:srgbClr val="000000"/>
                          </a:solidFill>
                          <a:prstDash val="solid"/>
                        </a:ln>
                      </wps:spPr>
                      <wps:txbx>
                        <w:txbxContent>
                          <w:p>
                            <w:pPr>
                              <w:pStyle w:val="BodyText"/>
                              <w:rPr>
                                <w:color w:val="000000"/>
                                <w:sz w:val="22"/>
                              </w:rPr>
                            </w:pPr>
                          </w:p>
                          <w:p>
                            <w:pPr>
                              <w:pStyle w:val="BodyText"/>
                              <w:spacing w:before="73"/>
                              <w:rPr>
                                <w:color w:val="000000"/>
                                <w:sz w:val="22"/>
                              </w:rPr>
                            </w:pPr>
                          </w:p>
                          <w:p>
                            <w:pPr>
                              <w:spacing w:line="276" w:lineRule="auto" w:before="0"/>
                              <w:ind w:left="172" w:right="174" w:firstLine="1"/>
                              <w:jc w:val="center"/>
                              <w:rPr>
                                <w:rFonts w:ascii="Calibri"/>
                                <w:b/>
                                <w:color w:val="000000"/>
                                <w:sz w:val="22"/>
                              </w:rPr>
                            </w:pPr>
                            <w:r>
                              <w:rPr>
                                <w:rFonts w:ascii="Calibri"/>
                                <w:b/>
                                <w:color w:val="000000"/>
                                <w:spacing w:val="-2"/>
                                <w:sz w:val="22"/>
                              </w:rPr>
                              <w:t>Company Competitiveness Theory</w:t>
                            </w:r>
                          </w:p>
                        </w:txbxContent>
                      </wps:txbx>
                      <wps:bodyPr wrap="square" lIns="0" tIns="0" rIns="0" bIns="0" rtlCol="0">
                        <a:noAutofit/>
                      </wps:bodyPr>
                    </wps:wsp>
                  </a:graphicData>
                </a:graphic>
              </wp:anchor>
            </w:drawing>
          </mc:Choice>
          <mc:Fallback>
            <w:pict>
              <v:shape style="position:absolute;margin-left:393.25pt;margin-top:61.414063pt;width:94.4pt;height:89.65pt;mso-position-horizontal-relative:page;mso-position-vertical-relative:paragraph;z-index:15733248" type="#_x0000_t202" id="docshape45" filled="true" fillcolor="#eeece1" stroked="true" strokeweight=".75pt" strokecolor="#000000">
                <v:textbox inset="0,0,0,0">
                  <w:txbxContent>
                    <w:p>
                      <w:pPr>
                        <w:pStyle w:val="BodyText"/>
                        <w:rPr>
                          <w:color w:val="000000"/>
                          <w:sz w:val="22"/>
                        </w:rPr>
                      </w:pPr>
                    </w:p>
                    <w:p>
                      <w:pPr>
                        <w:pStyle w:val="BodyText"/>
                        <w:spacing w:before="73"/>
                        <w:rPr>
                          <w:color w:val="000000"/>
                          <w:sz w:val="22"/>
                        </w:rPr>
                      </w:pPr>
                    </w:p>
                    <w:p>
                      <w:pPr>
                        <w:spacing w:line="276" w:lineRule="auto" w:before="0"/>
                        <w:ind w:left="172" w:right="174" w:firstLine="1"/>
                        <w:jc w:val="center"/>
                        <w:rPr>
                          <w:rFonts w:ascii="Calibri"/>
                          <w:b/>
                          <w:color w:val="000000"/>
                          <w:sz w:val="22"/>
                        </w:rPr>
                      </w:pPr>
                      <w:r>
                        <w:rPr>
                          <w:rFonts w:ascii="Calibri"/>
                          <w:b/>
                          <w:color w:val="000000"/>
                          <w:spacing w:val="-2"/>
                          <w:sz w:val="22"/>
                        </w:rPr>
                        <w:t>Company Competitiveness Theory</w:t>
                      </w:r>
                    </w:p>
                  </w:txbxContent>
                </v:textbox>
                <v:fill type="solid"/>
                <v:stroke dashstyle="solid"/>
                <w10:wrap type="none"/>
              </v:shape>
            </w:pict>
          </mc:Fallback>
        </mc:AlternateContent>
      </w:r>
      <w:r>
        <w:rPr/>
        <w:t>Figure</w:t>
      </w:r>
      <w:r>
        <w:rPr>
          <w:spacing w:val="-5"/>
        </w:rPr>
        <w:t> </w:t>
      </w:r>
      <w:r>
        <w:rPr/>
        <w:t>2.1</w:t>
      </w:r>
      <w:r>
        <w:rPr>
          <w:spacing w:val="-2"/>
        </w:rPr>
        <w:t> </w:t>
      </w:r>
      <w:r>
        <w:rPr/>
        <w:t>shows</w:t>
      </w:r>
      <w:r>
        <w:rPr>
          <w:spacing w:val="1"/>
        </w:rPr>
        <w:t> </w:t>
      </w:r>
      <w:r>
        <w:rPr/>
        <w:t>a</w:t>
      </w:r>
      <w:r>
        <w:rPr>
          <w:spacing w:val="-1"/>
        </w:rPr>
        <w:t> </w:t>
      </w:r>
      <w:r>
        <w:rPr/>
        <w:t>graphical</w:t>
      </w:r>
      <w:r>
        <w:rPr>
          <w:spacing w:val="-1"/>
        </w:rPr>
        <w:t> </w:t>
      </w:r>
      <w:r>
        <w:rPr/>
        <w:t>illustration</w:t>
      </w:r>
      <w:r>
        <w:rPr>
          <w:spacing w:val="-2"/>
        </w:rPr>
        <w:t> </w:t>
      </w:r>
      <w:r>
        <w:rPr/>
        <w:t>of</w:t>
      </w:r>
      <w:r>
        <w:rPr>
          <w:spacing w:val="-3"/>
        </w:rPr>
        <w:t> </w:t>
      </w:r>
      <w:r>
        <w:rPr/>
        <w:t>the</w:t>
      </w:r>
      <w:r>
        <w:rPr>
          <w:spacing w:val="-2"/>
        </w:rPr>
        <w:t> </w:t>
      </w:r>
      <w:r>
        <w:rPr/>
        <w:t>theoretical</w:t>
      </w:r>
      <w:r>
        <w:rPr>
          <w:spacing w:val="-2"/>
        </w:rPr>
        <w:t> </w:t>
      </w:r>
      <w:r>
        <w:rPr/>
        <w:t>framework</w:t>
      </w:r>
      <w:r>
        <w:rPr>
          <w:spacing w:val="-1"/>
        </w:rPr>
        <w:t> </w:t>
      </w:r>
      <w:r>
        <w:rPr/>
        <w:t>for</w:t>
      </w:r>
      <w:r>
        <w:rPr>
          <w:spacing w:val="-3"/>
        </w:rPr>
        <w:t> </w:t>
      </w:r>
      <w:r>
        <w:rPr/>
        <w:t>this</w:t>
      </w:r>
      <w:r>
        <w:rPr>
          <w:spacing w:val="-1"/>
        </w:rPr>
        <w:t> </w:t>
      </w:r>
      <w:r>
        <w:rPr>
          <w:spacing w:val="-2"/>
        </w:rPr>
        <w:t>research.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spacing w:before="0"/>
        <w:ind w:left="400" w:right="0" w:firstLine="0"/>
        <w:jc w:val="both"/>
        <w:rPr>
          <w:b/>
          <w:sz w:val="24"/>
        </w:rPr>
      </w:pPr>
      <w:r>
        <w:rPr/>
        <mc:AlternateContent>
          <mc:Choice Requires="wps">
            <w:drawing>
              <wp:anchor distT="0" distB="0" distL="0" distR="0" allowOverlap="1" layoutInCell="1" locked="0" behindDoc="0" simplePos="0" relativeHeight="15731712">
                <wp:simplePos x="0" y="0"/>
                <wp:positionH relativeFrom="page">
                  <wp:posOffset>4351662</wp:posOffset>
                </wp:positionH>
                <wp:positionV relativeFrom="paragraph">
                  <wp:posOffset>-509543</wp:posOffset>
                </wp:positionV>
                <wp:extent cx="76200" cy="3111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6200" cy="311150"/>
                          <a:chExt cx="76200" cy="311150"/>
                        </a:xfrm>
                      </wpg:grpSpPr>
                      <wps:wsp>
                        <wps:cNvPr id="54" name="Graphic 54"/>
                        <wps:cNvSpPr/>
                        <wps:spPr>
                          <a:xfrm>
                            <a:off x="38092" y="63496"/>
                            <a:ext cx="1270" cy="247650"/>
                          </a:xfrm>
                          <a:custGeom>
                            <a:avLst/>
                            <a:gdLst/>
                            <a:ahLst/>
                            <a:cxnLst/>
                            <a:rect l="l" t="t" r="r" b="b"/>
                            <a:pathLst>
                              <a:path w="0" h="247650">
                                <a:moveTo>
                                  <a:pt x="0" y="24765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0" y="0"/>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2.650604pt;margin-top:-40.121574pt;width:6pt;height:24.5pt;mso-position-horizontal-relative:page;mso-position-vertical-relative:paragraph;z-index:15731712" id="docshapegroup46" coordorigin="6853,-802" coordsize="120,490">
                <v:line style="position:absolute" from="6913,-312" to="6913,-702" stroked="true" strokeweight="1pt" strokecolor="#000000">
                  <v:stroke dashstyle="solid"/>
                </v:line>
                <v:shape style="position:absolute;left:6853;top:-803;width:120;height:120" id="docshape47" coordorigin="6853,-802" coordsize="120,120" path="m6913,-802l6853,-682,6973,-682,6913,-802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4165600</wp:posOffset>
                </wp:positionH>
                <wp:positionV relativeFrom="paragraph">
                  <wp:posOffset>-947062</wp:posOffset>
                </wp:positionV>
                <wp:extent cx="422909" cy="33655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2909" cy="336550"/>
                        </a:xfrm>
                        <a:custGeom>
                          <a:avLst/>
                          <a:gdLst/>
                          <a:ahLst/>
                          <a:cxnLst/>
                          <a:rect l="l" t="t" r="r" b="b"/>
                          <a:pathLst>
                            <a:path w="422909" h="336550">
                              <a:moveTo>
                                <a:pt x="317182" y="0"/>
                              </a:moveTo>
                              <a:lnTo>
                                <a:pt x="317182" y="84137"/>
                              </a:lnTo>
                              <a:lnTo>
                                <a:pt x="0" y="84137"/>
                              </a:lnTo>
                              <a:lnTo>
                                <a:pt x="0" y="252412"/>
                              </a:lnTo>
                              <a:lnTo>
                                <a:pt x="317182" y="252412"/>
                              </a:lnTo>
                              <a:lnTo>
                                <a:pt x="317182" y="336550"/>
                              </a:lnTo>
                              <a:lnTo>
                                <a:pt x="422910" y="168275"/>
                              </a:lnTo>
                              <a:lnTo>
                                <a:pt x="317182"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8pt;margin-top:-74.571877pt;width:33.3pt;height:26.5pt;mso-position-horizontal-relative:page;mso-position-vertical-relative:paragraph;z-index:15732736" id="docshape48" coordorigin="6560,-1491" coordsize="666,530" path="m7060,-1491l7060,-1359,6560,-1359,6560,-1094,7060,-1094,7060,-961,7226,-1226,7060,-1491xe" filled="false" stroked="true" strokeweight=".75pt" strokecolor="#000000">
                <v:path arrowok="t"/>
                <v:stroke dashstyle="solid"/>
                <w10:wrap type="none"/>
              </v:shape>
            </w:pict>
          </mc:Fallback>
        </mc:AlternateContent>
      </w:r>
      <w:r>
        <w:rPr>
          <w:b/>
          <w:sz w:val="24"/>
        </w:rPr>
        <w:t>Theoretical</w:t>
      </w:r>
      <w:r>
        <w:rPr>
          <w:b/>
          <w:spacing w:val="-5"/>
          <w:sz w:val="24"/>
        </w:rPr>
        <w:t> </w:t>
      </w:r>
      <w:r>
        <w:rPr>
          <w:b/>
          <w:spacing w:val="-2"/>
          <w:sz w:val="24"/>
        </w:rPr>
        <w:t>framework</w:t>
      </w:r>
    </w:p>
    <w:p>
      <w:pPr>
        <w:spacing w:before="41"/>
        <w:ind w:left="400" w:right="0" w:firstLine="0"/>
        <w:jc w:val="both"/>
        <w:rPr>
          <w:b/>
          <w:sz w:val="24"/>
        </w:rPr>
      </w:pPr>
      <w:r>
        <w:rPr>
          <w:b/>
          <w:sz w:val="24"/>
        </w:rPr>
        <w:t>Figure</w:t>
      </w:r>
      <w:r>
        <w:rPr>
          <w:b/>
          <w:spacing w:val="-3"/>
          <w:sz w:val="24"/>
        </w:rPr>
        <w:t> </w:t>
      </w:r>
      <w:r>
        <w:rPr>
          <w:b/>
          <w:sz w:val="24"/>
        </w:rPr>
        <w:t>2.1</w:t>
      </w:r>
      <w:r>
        <w:rPr>
          <w:b/>
          <w:spacing w:val="71"/>
          <w:sz w:val="24"/>
        </w:rPr>
        <w:t>   </w:t>
      </w:r>
      <w:r>
        <w:rPr>
          <w:b/>
          <w:sz w:val="24"/>
        </w:rPr>
        <w:t>The</w:t>
      </w:r>
      <w:r>
        <w:rPr>
          <w:b/>
          <w:spacing w:val="-2"/>
          <w:sz w:val="24"/>
        </w:rPr>
        <w:t> </w:t>
      </w:r>
      <w:r>
        <w:rPr>
          <w:b/>
          <w:sz w:val="24"/>
        </w:rPr>
        <w:t>position</w:t>
      </w:r>
      <w:r>
        <w:rPr>
          <w:b/>
          <w:spacing w:val="-1"/>
          <w:sz w:val="24"/>
        </w:rPr>
        <w:t> </w:t>
      </w:r>
      <w:r>
        <w:rPr>
          <w:b/>
          <w:sz w:val="24"/>
        </w:rPr>
        <w:t>of</w:t>
      </w:r>
      <w:r>
        <w:rPr>
          <w:b/>
          <w:spacing w:val="-1"/>
          <w:sz w:val="24"/>
        </w:rPr>
        <w:t> </w:t>
      </w:r>
      <w:r>
        <w:rPr>
          <w:b/>
          <w:sz w:val="24"/>
        </w:rPr>
        <w:t>the</w:t>
      </w:r>
      <w:r>
        <w:rPr>
          <w:b/>
          <w:spacing w:val="-2"/>
          <w:sz w:val="24"/>
        </w:rPr>
        <w:t> </w:t>
      </w:r>
      <w:r>
        <w:rPr>
          <w:b/>
          <w:sz w:val="24"/>
        </w:rPr>
        <w:t>Theoretical</w:t>
      </w:r>
      <w:r>
        <w:rPr>
          <w:b/>
          <w:spacing w:val="-1"/>
          <w:sz w:val="24"/>
        </w:rPr>
        <w:t> </w:t>
      </w:r>
      <w:r>
        <w:rPr>
          <w:b/>
          <w:spacing w:val="-2"/>
          <w:sz w:val="24"/>
        </w:rPr>
        <w:t>framework</w:t>
      </w:r>
    </w:p>
    <w:p>
      <w:pPr>
        <w:pStyle w:val="BodyText"/>
        <w:rPr>
          <w:b/>
        </w:rPr>
      </w:pPr>
    </w:p>
    <w:p>
      <w:pPr>
        <w:pStyle w:val="BodyText"/>
        <w:spacing w:before="39"/>
        <w:rPr>
          <w:b/>
        </w:rPr>
      </w:pPr>
    </w:p>
    <w:p>
      <w:pPr>
        <w:pStyle w:val="ListParagraph"/>
        <w:numPr>
          <w:ilvl w:val="1"/>
          <w:numId w:val="4"/>
        </w:numPr>
        <w:tabs>
          <w:tab w:pos="1120" w:val="left" w:leader="none"/>
        </w:tabs>
        <w:spacing w:line="240" w:lineRule="auto" w:before="0" w:after="0"/>
        <w:ind w:left="1120" w:right="0" w:hanging="720"/>
        <w:jc w:val="both"/>
        <w:rPr>
          <w:b/>
          <w:sz w:val="24"/>
        </w:rPr>
      </w:pPr>
      <w:r>
        <w:rPr>
          <w:b/>
          <w:spacing w:val="-2"/>
          <w:sz w:val="24"/>
        </w:rPr>
        <w:t>Theories</w:t>
      </w:r>
    </w:p>
    <w:p>
      <w:pPr>
        <w:pStyle w:val="BodyText"/>
        <w:spacing w:line="480" w:lineRule="auto" w:before="271"/>
        <w:ind w:left="399" w:right="1320"/>
        <w:jc w:val="both"/>
      </w:pPr>
      <w:r>
        <w:rPr/>
        <w:t>To be able to understand the theoretical framework, it important to discuss the theories and the relationship among the variables.</w:t>
      </w:r>
    </w:p>
    <w:p>
      <w:pPr>
        <w:pStyle w:val="BodyText"/>
        <w:spacing w:before="50"/>
      </w:pPr>
    </w:p>
    <w:p>
      <w:pPr>
        <w:pStyle w:val="Heading2"/>
        <w:numPr>
          <w:ilvl w:val="2"/>
          <w:numId w:val="4"/>
        </w:numPr>
        <w:tabs>
          <w:tab w:pos="1120" w:val="left" w:leader="none"/>
        </w:tabs>
        <w:spacing w:line="240" w:lineRule="auto" w:before="0" w:after="0"/>
        <w:ind w:left="1120" w:right="0" w:hanging="720"/>
        <w:jc w:val="both"/>
      </w:pPr>
      <w:r>
        <w:rPr/>
        <w:t>Systems</w:t>
      </w:r>
      <w:r>
        <w:rPr>
          <w:spacing w:val="-6"/>
        </w:rPr>
        <w:t> </w:t>
      </w:r>
      <w:r>
        <w:rPr>
          <w:spacing w:val="-2"/>
        </w:rPr>
        <w:t>theory</w:t>
      </w:r>
    </w:p>
    <w:p>
      <w:pPr>
        <w:pStyle w:val="BodyText"/>
        <w:spacing w:line="480" w:lineRule="auto" w:before="272"/>
        <w:ind w:left="400" w:right="1313"/>
        <w:jc w:val="both"/>
      </w:pPr>
      <w:r>
        <w:rPr/>
        <w:t>System theory is a concept that originated from biology, economics and engineering, which explores principles and laws that can be generalized across various systems (Yoon and</w:t>
      </w:r>
      <w:r>
        <w:rPr>
          <w:spacing w:val="40"/>
        </w:rPr>
        <w:t> </w:t>
      </w:r>
      <w:r>
        <w:rPr/>
        <w:t>Kuchinke, 2005; Alter, 2007; Dubrovsky, 2004). It is an interdisciplinary theory about every system in nature, in society and in many scientific domains as well as a framework with which we can investigate phenomena from a holistic approach (Capra, 1997).</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firstLine="60"/>
        <w:jc w:val="both"/>
      </w:pPr>
      <w:r>
        <w:rPr/>
        <w:t>A system is a set of two or more elements where: the behavior of each element has an effect on the behavior of the whole; the behavior of the elements and their effects of the whole are interdependent; and while subgroups of the elements all have an effect on the behavior of the whole, none has an independent effect on it (Skyttner, 1996). In other</w:t>
      </w:r>
      <w:r>
        <w:rPr>
          <w:spacing w:val="-1"/>
        </w:rPr>
        <w:t> </w:t>
      </w:r>
      <w:r>
        <w:rPr/>
        <w:t>words, a</w:t>
      </w:r>
      <w:r>
        <w:rPr>
          <w:spacing w:val="-1"/>
        </w:rPr>
        <w:t> </w:t>
      </w:r>
      <w:r>
        <w:rPr/>
        <w:t>system comprises of subsystems whose inter-relationships and interdependence move toward equilibrium within</w:t>
      </w:r>
      <w:r>
        <w:rPr>
          <w:spacing w:val="40"/>
        </w:rPr>
        <w:t> </w:t>
      </w:r>
      <w:r>
        <w:rPr/>
        <w:t>the larger system (Martinelli, 2001, Steele, 2003).</w:t>
      </w:r>
    </w:p>
    <w:p>
      <w:pPr>
        <w:pStyle w:val="BodyText"/>
        <w:spacing w:line="480" w:lineRule="auto"/>
        <w:ind w:left="400" w:right="1316"/>
        <w:jc w:val="both"/>
      </w:pPr>
      <w:r>
        <w:rPr/>
        <w:t>The three major pioneers are Kenneth Boulding, Daniel Katz and Robert Kahn.</w:t>
      </w:r>
      <w:r>
        <w:rPr>
          <w:spacing w:val="40"/>
        </w:rPr>
        <w:t> </w:t>
      </w:r>
      <w:r>
        <w:rPr/>
        <w:t>Boulding arranged systems in a hierarchy of complexity (Marttinelli, 2001; Bausch, 2002). His general framework can be applied to managerial systems but keeping in mind that any level incorporates characteristics from all the previous levels. Daniel Katz and Robert Kahn collaboratively</w:t>
      </w:r>
      <w:r>
        <w:rPr>
          <w:spacing w:val="-3"/>
        </w:rPr>
        <w:t> </w:t>
      </w:r>
      <w:r>
        <w:rPr/>
        <w:t>viewed organizations as comprising of patterns of behavioral events. These patterns are interdependent, cyclical, consistent over time, and must be understood in terms of their interaction with each other, and with the external environment. They were the first to introduce the concept of input- throughput-out in describing organizational environments (Capps and Hazen, 2002).Since this theory considers the input- throughput-out component and their interactions both within themselves and with the external environment, the elements of purpose, people, structure, techniques and information must be coordinated and integrated by the managerial system, in order to maximize value for the organisation. System theory can be focused on knowledge,</w:t>
      </w:r>
      <w:r>
        <w:rPr>
          <w:spacing w:val="40"/>
        </w:rPr>
        <w:t> </w:t>
      </w:r>
      <w:r>
        <w:rPr/>
        <w:t>value, quality, environment, relationships, adaptation, and complexity in other to be applied in management and construction.</w:t>
      </w:r>
    </w:p>
    <w:p>
      <w:pPr>
        <w:pStyle w:val="BodyText"/>
      </w:pPr>
    </w:p>
    <w:p>
      <w:pPr>
        <w:pStyle w:val="BodyText"/>
        <w:spacing w:line="480" w:lineRule="auto" w:before="1"/>
        <w:ind w:left="400" w:right="1314"/>
        <w:jc w:val="both"/>
      </w:pPr>
      <w:r>
        <w:rPr/>
        <w:t>An open system consists of three essential elements. An organisation receives resources such as equipment, natural resources and the work of employees, referred to as </w:t>
      </w:r>
      <w:r>
        <w:rPr>
          <w:b/>
        </w:rPr>
        <w:t>inputs</w:t>
      </w:r>
      <w:r>
        <w:rPr/>
        <w:t>. The inputs are transformed</w:t>
      </w:r>
      <w:r>
        <w:rPr>
          <w:spacing w:val="5"/>
        </w:rPr>
        <w:t> </w:t>
      </w:r>
      <w:r>
        <w:rPr/>
        <w:t>called</w:t>
      </w:r>
      <w:r>
        <w:rPr>
          <w:spacing w:val="5"/>
        </w:rPr>
        <w:t> </w:t>
      </w:r>
      <w:r>
        <w:rPr>
          <w:b/>
        </w:rPr>
        <w:t>throughputs</w:t>
      </w:r>
      <w:r>
        <w:rPr>
          <w:b/>
          <w:spacing w:val="5"/>
        </w:rPr>
        <w:t> </w:t>
      </w:r>
      <w:r>
        <w:rPr/>
        <w:t>and</w:t>
      </w:r>
      <w:r>
        <w:rPr>
          <w:spacing w:val="5"/>
        </w:rPr>
        <w:t> </w:t>
      </w:r>
      <w:r>
        <w:rPr/>
        <w:t>then</w:t>
      </w:r>
      <w:r>
        <w:rPr>
          <w:spacing w:val="7"/>
        </w:rPr>
        <w:t> </w:t>
      </w:r>
      <w:r>
        <w:rPr/>
        <w:t>yield</w:t>
      </w:r>
      <w:r>
        <w:rPr>
          <w:spacing w:val="5"/>
        </w:rPr>
        <w:t> </w:t>
      </w:r>
      <w:r>
        <w:rPr/>
        <w:t>product</w:t>
      </w:r>
      <w:r>
        <w:rPr>
          <w:spacing w:val="5"/>
        </w:rPr>
        <w:t> </w:t>
      </w:r>
      <w:r>
        <w:rPr/>
        <w:t>and</w:t>
      </w:r>
      <w:r>
        <w:rPr>
          <w:spacing w:val="5"/>
        </w:rPr>
        <w:t> </w:t>
      </w:r>
      <w:r>
        <w:rPr/>
        <w:t>services</w:t>
      </w:r>
      <w:r>
        <w:rPr>
          <w:spacing w:val="5"/>
        </w:rPr>
        <w:t> </w:t>
      </w:r>
      <w:r>
        <w:rPr/>
        <w:t>called</w:t>
      </w:r>
      <w:r>
        <w:rPr>
          <w:spacing w:val="7"/>
        </w:rPr>
        <w:t> </w:t>
      </w:r>
      <w:r>
        <w:rPr>
          <w:b/>
        </w:rPr>
        <w:t>outputs</w:t>
      </w:r>
      <w:r>
        <w:rPr/>
        <w:t>.</w:t>
      </w:r>
      <w:r>
        <w:rPr>
          <w:spacing w:val="5"/>
        </w:rPr>
        <w:t> </w:t>
      </w:r>
      <w:r>
        <w:rPr/>
        <w:t>Outputs</w:t>
      </w:r>
      <w:r>
        <w:rPr>
          <w:spacing w:val="6"/>
        </w:rPr>
        <w:t> </w:t>
      </w:r>
      <w:r>
        <w:rPr>
          <w:spacing w:val="-5"/>
        </w:rPr>
        <w:t>are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4"/>
        <w:jc w:val="both"/>
      </w:pPr>
      <w:r>
        <w:rPr/>
        <w:t>realised to the environment. Feedback loops are also an important feature of the open system. They provide information to the organisation by connecting the output to the input. A negative feedback loop indicates that there is a problem that should be corrected. For example the failure of a product design indicated by the need to recall the product. A positive loophole can identify the output that has worked well. For example a successful marketing campaigns that yield high </w:t>
      </w:r>
      <w:r>
        <w:rPr>
          <w:spacing w:val="-2"/>
        </w:rPr>
        <w:t>sales.</w:t>
      </w:r>
    </w:p>
    <w:p>
      <w:pPr>
        <w:pStyle w:val="Heading3"/>
        <w:numPr>
          <w:ilvl w:val="3"/>
          <w:numId w:val="4"/>
        </w:numPr>
        <w:tabs>
          <w:tab w:pos="1120" w:val="left" w:leader="none"/>
        </w:tabs>
        <w:spacing w:line="240" w:lineRule="auto" w:before="166" w:after="0"/>
        <w:ind w:left="1120" w:right="0" w:hanging="720"/>
        <w:jc w:val="both"/>
      </w:pPr>
      <w:r>
        <w:rPr/>
        <w:t>Major</w:t>
      </w:r>
      <w:r>
        <w:rPr>
          <w:spacing w:val="-3"/>
        </w:rPr>
        <w:t> </w:t>
      </w:r>
      <w:r>
        <w:rPr/>
        <w:t>concepts</w:t>
      </w:r>
      <w:r>
        <w:rPr>
          <w:spacing w:val="-1"/>
        </w:rPr>
        <w:t> </w:t>
      </w:r>
      <w:r>
        <w:rPr/>
        <w:t>of</w:t>
      </w:r>
      <w:r>
        <w:rPr>
          <w:spacing w:val="-1"/>
        </w:rPr>
        <w:t> </w:t>
      </w:r>
      <w:r>
        <w:rPr/>
        <w:t>systems</w:t>
      </w:r>
      <w:r>
        <w:rPr>
          <w:spacing w:val="-3"/>
        </w:rPr>
        <w:t> </w:t>
      </w:r>
      <w:r>
        <w:rPr>
          <w:spacing w:val="-2"/>
        </w:rPr>
        <w:t>theory</w:t>
      </w:r>
    </w:p>
    <w:p>
      <w:pPr>
        <w:pStyle w:val="BodyText"/>
        <w:spacing w:before="153"/>
        <w:rPr>
          <w:b/>
          <w:i/>
        </w:rPr>
      </w:pPr>
    </w:p>
    <w:p>
      <w:pPr>
        <w:pStyle w:val="BodyText"/>
        <w:ind w:left="400"/>
        <w:jc w:val="both"/>
      </w:pPr>
      <w:r>
        <w:rPr/>
        <w:t>Kast</w:t>
      </w:r>
      <w:r>
        <w:rPr>
          <w:spacing w:val="-3"/>
        </w:rPr>
        <w:t> </w:t>
      </w:r>
      <w:r>
        <w:rPr/>
        <w:t>and</w:t>
      </w:r>
      <w:r>
        <w:rPr>
          <w:spacing w:val="-1"/>
        </w:rPr>
        <w:t> </w:t>
      </w:r>
      <w:r>
        <w:rPr/>
        <w:t>Rosenzweig</w:t>
      </w:r>
      <w:r>
        <w:rPr>
          <w:spacing w:val="-3"/>
        </w:rPr>
        <w:t> </w:t>
      </w:r>
      <w:r>
        <w:rPr/>
        <w:t>(1972)</w:t>
      </w:r>
      <w:r>
        <w:rPr>
          <w:spacing w:val="-2"/>
        </w:rPr>
        <w:t> </w:t>
      </w:r>
      <w:r>
        <w:rPr/>
        <w:t>have</w:t>
      </w:r>
      <w:r>
        <w:rPr>
          <w:spacing w:val="-1"/>
        </w:rPr>
        <w:t> </w:t>
      </w:r>
      <w:r>
        <w:rPr/>
        <w:t>identified</w:t>
      </w:r>
      <w:r>
        <w:rPr>
          <w:spacing w:val="-1"/>
        </w:rPr>
        <w:t> </w:t>
      </w:r>
      <w:r>
        <w:rPr/>
        <w:t>several</w:t>
      </w:r>
      <w:r>
        <w:rPr>
          <w:spacing w:val="-1"/>
        </w:rPr>
        <w:t> </w:t>
      </w:r>
      <w:r>
        <w:rPr/>
        <w:t>key</w:t>
      </w:r>
      <w:r>
        <w:rPr>
          <w:spacing w:val="-5"/>
        </w:rPr>
        <w:t> </w:t>
      </w:r>
      <w:r>
        <w:rPr/>
        <w:t>concepts</w:t>
      </w:r>
      <w:r>
        <w:rPr>
          <w:spacing w:val="-1"/>
        </w:rPr>
        <w:t> </w:t>
      </w:r>
      <w:r>
        <w:rPr/>
        <w:t>or</w:t>
      </w:r>
      <w:r>
        <w:rPr>
          <w:spacing w:val="-1"/>
        </w:rPr>
        <w:t> </w:t>
      </w:r>
      <w:r>
        <w:rPr/>
        <w:t>tenets</w:t>
      </w:r>
      <w:r>
        <w:rPr>
          <w:spacing w:val="-1"/>
        </w:rPr>
        <w:t> </w:t>
      </w:r>
      <w:r>
        <w:rPr/>
        <w:t>system </w:t>
      </w:r>
      <w:r>
        <w:rPr>
          <w:spacing w:val="-2"/>
        </w:rPr>
        <w:t>theory.</w:t>
      </w:r>
    </w:p>
    <w:p>
      <w:pPr>
        <w:pStyle w:val="BodyText"/>
        <w:spacing w:before="161"/>
      </w:pPr>
    </w:p>
    <w:p>
      <w:pPr>
        <w:pStyle w:val="ListParagraph"/>
        <w:numPr>
          <w:ilvl w:val="4"/>
          <w:numId w:val="4"/>
        </w:numPr>
        <w:tabs>
          <w:tab w:pos="1119" w:val="left" w:leader="none"/>
        </w:tabs>
        <w:spacing w:line="240" w:lineRule="auto" w:before="0" w:after="0"/>
        <w:ind w:left="1119" w:right="0" w:hanging="359"/>
        <w:jc w:val="left"/>
        <w:rPr>
          <w:sz w:val="24"/>
        </w:rPr>
      </w:pPr>
      <w:r>
        <w:rPr>
          <w:sz w:val="24"/>
          <w:u w:val="single"/>
        </w:rPr>
        <w:t>Open</w:t>
      </w:r>
      <w:r>
        <w:rPr>
          <w:spacing w:val="19"/>
          <w:sz w:val="24"/>
          <w:u w:val="single"/>
        </w:rPr>
        <w:t> </w:t>
      </w:r>
      <w:r>
        <w:rPr>
          <w:sz w:val="24"/>
          <w:u w:val="single"/>
        </w:rPr>
        <w:t>to</w:t>
      </w:r>
      <w:r>
        <w:rPr>
          <w:spacing w:val="19"/>
          <w:sz w:val="24"/>
          <w:u w:val="single"/>
        </w:rPr>
        <w:t> </w:t>
      </w:r>
      <w:r>
        <w:rPr>
          <w:sz w:val="24"/>
          <w:u w:val="single"/>
        </w:rPr>
        <w:t>environment</w:t>
      </w:r>
      <w:r>
        <w:rPr>
          <w:sz w:val="24"/>
        </w:rPr>
        <w:t>:</w:t>
      </w:r>
      <w:r>
        <w:rPr>
          <w:spacing w:val="21"/>
          <w:sz w:val="24"/>
        </w:rPr>
        <w:t> </w:t>
      </w:r>
      <w:r>
        <w:rPr>
          <w:sz w:val="24"/>
        </w:rPr>
        <w:t>This</w:t>
      </w:r>
      <w:r>
        <w:rPr>
          <w:spacing w:val="19"/>
          <w:sz w:val="24"/>
        </w:rPr>
        <w:t> </w:t>
      </w:r>
      <w:r>
        <w:rPr>
          <w:sz w:val="24"/>
        </w:rPr>
        <w:t>is</w:t>
      </w:r>
      <w:r>
        <w:rPr>
          <w:spacing w:val="19"/>
          <w:sz w:val="24"/>
        </w:rPr>
        <w:t> </w:t>
      </w:r>
      <w:r>
        <w:rPr>
          <w:sz w:val="24"/>
        </w:rPr>
        <w:t>the</w:t>
      </w:r>
      <w:r>
        <w:rPr>
          <w:spacing w:val="19"/>
          <w:sz w:val="24"/>
        </w:rPr>
        <w:t> </w:t>
      </w:r>
      <w:r>
        <w:rPr>
          <w:sz w:val="24"/>
        </w:rPr>
        <w:t>concept</w:t>
      </w:r>
      <w:r>
        <w:rPr>
          <w:spacing w:val="20"/>
          <w:sz w:val="24"/>
        </w:rPr>
        <w:t> </w:t>
      </w:r>
      <w:r>
        <w:rPr>
          <w:sz w:val="24"/>
        </w:rPr>
        <w:t>of</w:t>
      </w:r>
      <w:r>
        <w:rPr>
          <w:spacing w:val="19"/>
          <w:sz w:val="24"/>
        </w:rPr>
        <w:t> </w:t>
      </w:r>
      <w:r>
        <w:rPr>
          <w:sz w:val="24"/>
        </w:rPr>
        <w:t>open</w:t>
      </w:r>
      <w:r>
        <w:rPr>
          <w:spacing w:val="19"/>
          <w:sz w:val="24"/>
        </w:rPr>
        <w:t> </w:t>
      </w:r>
      <w:r>
        <w:rPr>
          <w:sz w:val="24"/>
        </w:rPr>
        <w:t>systems.</w:t>
      </w:r>
      <w:r>
        <w:rPr>
          <w:spacing w:val="19"/>
          <w:sz w:val="24"/>
        </w:rPr>
        <w:t> </w:t>
      </w:r>
      <w:r>
        <w:rPr>
          <w:sz w:val="24"/>
        </w:rPr>
        <w:t>As</w:t>
      </w:r>
      <w:r>
        <w:rPr>
          <w:spacing w:val="20"/>
          <w:sz w:val="24"/>
        </w:rPr>
        <w:t> </w:t>
      </w:r>
      <w:r>
        <w:rPr>
          <w:sz w:val="24"/>
        </w:rPr>
        <w:t>explained</w:t>
      </w:r>
      <w:r>
        <w:rPr>
          <w:spacing w:val="19"/>
          <w:sz w:val="24"/>
        </w:rPr>
        <w:t> </w:t>
      </w:r>
      <w:r>
        <w:rPr>
          <w:sz w:val="24"/>
        </w:rPr>
        <w:t>earlier,</w:t>
      </w:r>
      <w:r>
        <w:rPr>
          <w:spacing w:val="20"/>
          <w:sz w:val="24"/>
        </w:rPr>
        <w:t> </w:t>
      </w:r>
      <w:r>
        <w:rPr>
          <w:spacing w:val="-2"/>
          <w:sz w:val="24"/>
        </w:rPr>
        <w:t>closed</w:t>
      </w:r>
    </w:p>
    <w:p>
      <w:pPr>
        <w:pStyle w:val="BodyText"/>
      </w:pPr>
    </w:p>
    <w:p>
      <w:pPr>
        <w:pStyle w:val="BodyText"/>
        <w:spacing w:line="480" w:lineRule="auto"/>
        <w:ind w:left="1479" w:right="1318"/>
        <w:jc w:val="both"/>
      </w:pPr>
      <w:r>
        <w:rPr/>
        <w:t>systems are characterized by a greater degree of certainty because they have no</w:t>
      </w:r>
      <w:r>
        <w:rPr>
          <w:spacing w:val="80"/>
        </w:rPr>
        <w:t> </w:t>
      </w:r>
      <w:r>
        <w:rPr/>
        <w:t>ability to import energy from the environment to counteract the build-up of entropy. Open</w:t>
      </w:r>
      <w:r>
        <w:rPr>
          <w:spacing w:val="-1"/>
        </w:rPr>
        <w:t> </w:t>
      </w:r>
      <w:r>
        <w:rPr/>
        <w:t>systems</w:t>
      </w:r>
      <w:r>
        <w:rPr>
          <w:spacing w:val="-1"/>
        </w:rPr>
        <w:t> </w:t>
      </w:r>
      <w:r>
        <w:rPr/>
        <w:t>can</w:t>
      </w:r>
      <w:r>
        <w:rPr>
          <w:spacing w:val="-1"/>
        </w:rPr>
        <w:t> </w:t>
      </w:r>
      <w:r>
        <w:rPr/>
        <w:t>import energy</w:t>
      </w:r>
      <w:r>
        <w:rPr>
          <w:spacing w:val="-6"/>
        </w:rPr>
        <w:t> </w:t>
      </w:r>
      <w:r>
        <w:rPr/>
        <w:t>from</w:t>
      </w:r>
      <w:r>
        <w:rPr>
          <w:spacing w:val="-1"/>
        </w:rPr>
        <w:t> </w:t>
      </w:r>
      <w:r>
        <w:rPr/>
        <w:t>their</w:t>
      </w:r>
      <w:r>
        <w:rPr>
          <w:spacing w:val="-2"/>
        </w:rPr>
        <w:t> </w:t>
      </w:r>
      <w:r>
        <w:rPr/>
        <w:t>environment</w:t>
      </w:r>
      <w:r>
        <w:rPr>
          <w:spacing w:val="-1"/>
        </w:rPr>
        <w:t> </w:t>
      </w:r>
      <w:r>
        <w:rPr/>
        <w:t>and,</w:t>
      </w:r>
      <w:r>
        <w:rPr>
          <w:spacing w:val="-1"/>
        </w:rPr>
        <w:t> </w:t>
      </w:r>
      <w:r>
        <w:rPr/>
        <w:t>therefore, can grow</w:t>
      </w:r>
      <w:r>
        <w:rPr>
          <w:spacing w:val="-2"/>
        </w:rPr>
        <w:t> </w:t>
      </w:r>
      <w:r>
        <w:rPr/>
        <w:t>and change over time.</w:t>
      </w:r>
    </w:p>
    <w:p>
      <w:pPr>
        <w:pStyle w:val="ListParagraph"/>
        <w:numPr>
          <w:ilvl w:val="4"/>
          <w:numId w:val="4"/>
        </w:numPr>
        <w:tabs>
          <w:tab w:pos="1118" w:val="left" w:leader="none"/>
        </w:tabs>
        <w:spacing w:line="240" w:lineRule="auto" w:before="0" w:after="0"/>
        <w:ind w:left="1118" w:right="0" w:hanging="358"/>
        <w:jc w:val="both"/>
        <w:rPr>
          <w:sz w:val="24"/>
        </w:rPr>
      </w:pPr>
      <w:r>
        <w:rPr>
          <w:sz w:val="24"/>
          <w:u w:val="single"/>
        </w:rPr>
        <w:t>Teleology or</w:t>
      </w:r>
      <w:r>
        <w:rPr>
          <w:spacing w:val="6"/>
          <w:sz w:val="24"/>
          <w:u w:val="single"/>
        </w:rPr>
        <w:t> </w:t>
      </w:r>
      <w:r>
        <w:rPr>
          <w:sz w:val="24"/>
          <w:u w:val="single"/>
        </w:rPr>
        <w:t>Purpose</w:t>
      </w:r>
      <w:r>
        <w:rPr>
          <w:sz w:val="24"/>
        </w:rPr>
        <w:t>:</w:t>
      </w:r>
      <w:r>
        <w:rPr>
          <w:spacing w:val="5"/>
          <w:sz w:val="24"/>
        </w:rPr>
        <w:t> </w:t>
      </w:r>
      <w:r>
        <w:rPr>
          <w:sz w:val="24"/>
        </w:rPr>
        <w:t>The</w:t>
      </w:r>
      <w:r>
        <w:rPr>
          <w:spacing w:val="3"/>
          <w:sz w:val="24"/>
        </w:rPr>
        <w:t> </w:t>
      </w:r>
      <w:r>
        <w:rPr>
          <w:sz w:val="24"/>
        </w:rPr>
        <w:t>second</w:t>
      </w:r>
      <w:r>
        <w:rPr>
          <w:spacing w:val="4"/>
          <w:sz w:val="24"/>
        </w:rPr>
        <w:t> </w:t>
      </w:r>
      <w:r>
        <w:rPr>
          <w:sz w:val="24"/>
        </w:rPr>
        <w:t>concept</w:t>
      </w:r>
      <w:r>
        <w:rPr>
          <w:spacing w:val="5"/>
          <w:sz w:val="24"/>
        </w:rPr>
        <w:t> </w:t>
      </w:r>
      <w:r>
        <w:rPr>
          <w:sz w:val="24"/>
        </w:rPr>
        <w:t>is</w:t>
      </w:r>
      <w:r>
        <w:rPr>
          <w:spacing w:val="5"/>
          <w:sz w:val="24"/>
        </w:rPr>
        <w:t> </w:t>
      </w:r>
      <w:r>
        <w:rPr>
          <w:sz w:val="24"/>
        </w:rPr>
        <w:t>idea</w:t>
      </w:r>
      <w:r>
        <w:rPr>
          <w:spacing w:val="3"/>
          <w:sz w:val="24"/>
        </w:rPr>
        <w:t> </w:t>
      </w:r>
      <w:r>
        <w:rPr>
          <w:sz w:val="24"/>
        </w:rPr>
        <w:t>that</w:t>
      </w:r>
      <w:r>
        <w:rPr>
          <w:spacing w:val="5"/>
          <w:sz w:val="24"/>
        </w:rPr>
        <w:t> </w:t>
      </w:r>
      <w:r>
        <w:rPr>
          <w:sz w:val="24"/>
        </w:rPr>
        <w:t>behavior</w:t>
      </w:r>
      <w:r>
        <w:rPr>
          <w:spacing w:val="6"/>
          <w:sz w:val="24"/>
        </w:rPr>
        <w:t> </w:t>
      </w:r>
      <w:r>
        <w:rPr>
          <w:sz w:val="24"/>
        </w:rPr>
        <w:t>in</w:t>
      </w:r>
      <w:r>
        <w:rPr>
          <w:spacing w:val="4"/>
          <w:sz w:val="24"/>
        </w:rPr>
        <w:t> </w:t>
      </w:r>
      <w:r>
        <w:rPr>
          <w:sz w:val="24"/>
        </w:rPr>
        <w:t>systems</w:t>
      </w:r>
      <w:r>
        <w:rPr>
          <w:spacing w:val="5"/>
          <w:sz w:val="24"/>
        </w:rPr>
        <w:t> </w:t>
      </w:r>
      <w:r>
        <w:rPr>
          <w:sz w:val="24"/>
        </w:rPr>
        <w:t>is</w:t>
      </w:r>
      <w:r>
        <w:rPr>
          <w:spacing w:val="6"/>
          <w:sz w:val="24"/>
        </w:rPr>
        <w:t> </w:t>
      </w:r>
      <w:r>
        <w:rPr>
          <w:spacing w:val="-2"/>
          <w:sz w:val="24"/>
        </w:rPr>
        <w:t>teleological</w:t>
      </w:r>
    </w:p>
    <w:p>
      <w:pPr>
        <w:pStyle w:val="BodyText"/>
      </w:pPr>
    </w:p>
    <w:p>
      <w:pPr>
        <w:pStyle w:val="BodyText"/>
        <w:spacing w:line="480" w:lineRule="auto"/>
        <w:ind w:left="1480" w:right="1316"/>
        <w:jc w:val="both"/>
      </w:pPr>
      <w:r>
        <w:rPr/>
        <w:t>or purposeful. The system being studied is said to have a goal. This may appear to be a fairly trivial and obvious statement. However, upon reflection you may appreciate that a goal is not something internal or is intrinsic to a system. Rather, it is something that is ascribed by the person who is studying the phenomena as a system.</w:t>
      </w:r>
    </w:p>
    <w:p>
      <w:pPr>
        <w:pStyle w:val="ListParagraph"/>
        <w:numPr>
          <w:ilvl w:val="4"/>
          <w:numId w:val="4"/>
        </w:numPr>
        <w:tabs>
          <w:tab w:pos="1117" w:val="left" w:leader="none"/>
        </w:tabs>
        <w:spacing w:line="240" w:lineRule="auto" w:before="0" w:after="0"/>
        <w:ind w:left="1117" w:right="0" w:hanging="357"/>
        <w:jc w:val="both"/>
        <w:rPr>
          <w:sz w:val="24"/>
        </w:rPr>
      </w:pPr>
      <w:r>
        <w:rPr>
          <w:sz w:val="24"/>
          <w:u w:val="single"/>
        </w:rPr>
        <w:t>Interrelated</w:t>
      </w:r>
      <w:r>
        <w:rPr>
          <w:spacing w:val="38"/>
          <w:sz w:val="24"/>
          <w:u w:val="single"/>
        </w:rPr>
        <w:t> </w:t>
      </w:r>
      <w:r>
        <w:rPr>
          <w:sz w:val="24"/>
          <w:u w:val="single"/>
        </w:rPr>
        <w:t>subsystems</w:t>
      </w:r>
      <w:r>
        <w:rPr>
          <w:sz w:val="24"/>
        </w:rPr>
        <w:t>:</w:t>
      </w:r>
      <w:r>
        <w:rPr>
          <w:spacing w:val="41"/>
          <w:sz w:val="24"/>
        </w:rPr>
        <w:t> </w:t>
      </w:r>
      <w:r>
        <w:rPr>
          <w:sz w:val="24"/>
        </w:rPr>
        <w:t>The</w:t>
      </w:r>
      <w:r>
        <w:rPr>
          <w:spacing w:val="38"/>
          <w:sz w:val="24"/>
        </w:rPr>
        <w:t> </w:t>
      </w:r>
      <w:r>
        <w:rPr>
          <w:sz w:val="24"/>
        </w:rPr>
        <w:t>third</w:t>
      </w:r>
      <w:r>
        <w:rPr>
          <w:spacing w:val="38"/>
          <w:sz w:val="24"/>
        </w:rPr>
        <w:t> </w:t>
      </w:r>
      <w:r>
        <w:rPr>
          <w:sz w:val="24"/>
        </w:rPr>
        <w:t>major</w:t>
      </w:r>
      <w:r>
        <w:rPr>
          <w:spacing w:val="39"/>
          <w:sz w:val="24"/>
        </w:rPr>
        <w:t> </w:t>
      </w:r>
      <w:r>
        <w:rPr>
          <w:sz w:val="24"/>
        </w:rPr>
        <w:t>concept</w:t>
      </w:r>
      <w:r>
        <w:rPr>
          <w:spacing w:val="39"/>
          <w:sz w:val="24"/>
        </w:rPr>
        <w:t> </w:t>
      </w:r>
      <w:r>
        <w:rPr>
          <w:sz w:val="24"/>
        </w:rPr>
        <w:t>of</w:t>
      </w:r>
      <w:r>
        <w:rPr>
          <w:spacing w:val="39"/>
          <w:sz w:val="24"/>
        </w:rPr>
        <w:t> </w:t>
      </w:r>
      <w:r>
        <w:rPr>
          <w:sz w:val="24"/>
        </w:rPr>
        <w:t>systems</w:t>
      </w:r>
      <w:r>
        <w:rPr>
          <w:spacing w:val="39"/>
          <w:sz w:val="24"/>
        </w:rPr>
        <w:t> </w:t>
      </w:r>
      <w:r>
        <w:rPr>
          <w:sz w:val="24"/>
        </w:rPr>
        <w:t>theory</w:t>
      </w:r>
      <w:r>
        <w:rPr>
          <w:spacing w:val="32"/>
          <w:sz w:val="24"/>
        </w:rPr>
        <w:t> </w:t>
      </w:r>
      <w:r>
        <w:rPr>
          <w:sz w:val="24"/>
        </w:rPr>
        <w:t>is</w:t>
      </w:r>
      <w:r>
        <w:rPr>
          <w:spacing w:val="41"/>
          <w:sz w:val="24"/>
        </w:rPr>
        <w:t> </w:t>
      </w:r>
      <w:r>
        <w:rPr>
          <w:sz w:val="24"/>
        </w:rPr>
        <w:t>the</w:t>
      </w:r>
      <w:r>
        <w:rPr>
          <w:spacing w:val="38"/>
          <w:sz w:val="24"/>
        </w:rPr>
        <w:t> </w:t>
      </w:r>
      <w:r>
        <w:rPr>
          <w:sz w:val="24"/>
        </w:rPr>
        <w:t>notion</w:t>
      </w:r>
      <w:r>
        <w:rPr>
          <w:spacing w:val="38"/>
          <w:sz w:val="24"/>
        </w:rPr>
        <w:t> </w:t>
      </w:r>
      <w:r>
        <w:rPr>
          <w:sz w:val="24"/>
        </w:rPr>
        <w:t>of</w:t>
      </w:r>
      <w:r>
        <w:rPr>
          <w:spacing w:val="36"/>
          <w:sz w:val="24"/>
        </w:rPr>
        <w:t> </w:t>
      </w:r>
      <w:r>
        <w:rPr>
          <w:spacing w:val="-10"/>
          <w:sz w:val="24"/>
        </w:rPr>
        <w:t>a</w:t>
      </w:r>
    </w:p>
    <w:p>
      <w:pPr>
        <w:pStyle w:val="BodyText"/>
      </w:pPr>
    </w:p>
    <w:p>
      <w:pPr>
        <w:pStyle w:val="BodyText"/>
        <w:spacing w:line="480" w:lineRule="auto" w:before="1"/>
        <w:ind w:left="1480" w:right="1315"/>
        <w:jc w:val="both"/>
      </w:pPr>
      <w:r>
        <w:rPr/>
        <w:t>system as a set of interrelated subsystems. This is a defining concept of any system and, as stated earlier, it captures the idea that the behaviour of the whole is greater than the sum of its parts. Holism or gestalt means we must focus on the interrelationships</w:t>
      </w:r>
      <w:r>
        <w:rPr>
          <w:spacing w:val="10"/>
        </w:rPr>
        <w:t> </w:t>
      </w:r>
      <w:r>
        <w:rPr/>
        <w:t>between</w:t>
      </w:r>
      <w:r>
        <w:rPr>
          <w:spacing w:val="13"/>
        </w:rPr>
        <w:t> </w:t>
      </w:r>
      <w:r>
        <w:rPr/>
        <w:t>parts</w:t>
      </w:r>
      <w:r>
        <w:rPr>
          <w:spacing w:val="16"/>
        </w:rPr>
        <w:t> </w:t>
      </w:r>
      <w:r>
        <w:rPr/>
        <w:t>and</w:t>
      </w:r>
      <w:r>
        <w:rPr>
          <w:spacing w:val="12"/>
        </w:rPr>
        <w:t> </w:t>
      </w:r>
      <w:r>
        <w:rPr/>
        <w:t>linkages</w:t>
      </w:r>
      <w:r>
        <w:rPr>
          <w:spacing w:val="13"/>
        </w:rPr>
        <w:t> </w:t>
      </w:r>
      <w:r>
        <w:rPr/>
        <w:t>to</w:t>
      </w:r>
      <w:r>
        <w:rPr>
          <w:spacing w:val="13"/>
        </w:rPr>
        <w:t> </w:t>
      </w:r>
      <w:r>
        <w:rPr/>
        <w:t>understand</w:t>
      </w:r>
      <w:r>
        <w:rPr>
          <w:spacing w:val="12"/>
        </w:rPr>
        <w:t> </w:t>
      </w:r>
      <w:r>
        <w:rPr/>
        <w:t>systems.</w:t>
      </w:r>
      <w:r>
        <w:rPr>
          <w:spacing w:val="18"/>
        </w:rPr>
        <w:t> </w:t>
      </w:r>
      <w:r>
        <w:rPr/>
        <w:t>It</w:t>
      </w:r>
      <w:r>
        <w:rPr>
          <w:spacing w:val="13"/>
        </w:rPr>
        <w:t> </w:t>
      </w:r>
      <w:r>
        <w:rPr/>
        <w:t>warns</w:t>
      </w:r>
      <w:r>
        <w:rPr>
          <w:spacing w:val="13"/>
        </w:rPr>
        <w:t> </w:t>
      </w:r>
      <w:r>
        <w:rPr>
          <w:spacing w:val="-2"/>
        </w:rPr>
        <w:t>system</w:t>
      </w:r>
    </w:p>
    <w:p>
      <w:pPr>
        <w:spacing w:after="0" w:line="480" w:lineRule="auto"/>
        <w:jc w:val="both"/>
        <w:sectPr>
          <w:pgSz w:w="12240" w:h="15840"/>
          <w:pgMar w:header="0" w:footer="1017" w:top="1360" w:bottom="1200" w:left="1040" w:right="120"/>
        </w:sectPr>
      </w:pPr>
    </w:p>
    <w:p>
      <w:pPr>
        <w:pStyle w:val="BodyText"/>
        <w:spacing w:line="480" w:lineRule="auto" w:before="72"/>
        <w:ind w:left="1480" w:right="1315"/>
      </w:pPr>
      <w:r>
        <w:rPr/>
        <w:t>designers of unintended consequences if they</w:t>
      </w:r>
      <w:r>
        <w:rPr>
          <w:spacing w:val="-3"/>
        </w:rPr>
        <w:t> </w:t>
      </w:r>
      <w:r>
        <w:rPr/>
        <w:t>fail to appreciate the linkages and focus exclusively on the parts.</w:t>
      </w:r>
    </w:p>
    <w:p>
      <w:pPr>
        <w:pStyle w:val="ListParagraph"/>
        <w:numPr>
          <w:ilvl w:val="4"/>
          <w:numId w:val="4"/>
        </w:numPr>
        <w:tabs>
          <w:tab w:pos="1117" w:val="left" w:leader="none"/>
        </w:tabs>
        <w:spacing w:line="240" w:lineRule="auto" w:before="0" w:after="0"/>
        <w:ind w:left="1117" w:right="0" w:hanging="357"/>
        <w:jc w:val="left"/>
        <w:rPr>
          <w:sz w:val="24"/>
        </w:rPr>
      </w:pPr>
      <w:r>
        <w:rPr>
          <w:sz w:val="24"/>
          <w:u w:val="single"/>
        </w:rPr>
        <w:t>Input-transformation-output</w:t>
      </w:r>
      <w:r>
        <w:rPr>
          <w:spacing w:val="34"/>
          <w:sz w:val="24"/>
          <w:u w:val="single"/>
        </w:rPr>
        <w:t> </w:t>
      </w:r>
      <w:r>
        <w:rPr>
          <w:sz w:val="24"/>
          <w:u w:val="single"/>
        </w:rPr>
        <w:t>process</w:t>
      </w:r>
      <w:r>
        <w:rPr>
          <w:sz w:val="24"/>
        </w:rPr>
        <w:t>:</w:t>
      </w:r>
      <w:r>
        <w:rPr>
          <w:spacing w:val="39"/>
          <w:sz w:val="24"/>
        </w:rPr>
        <w:t> </w:t>
      </w:r>
      <w:r>
        <w:rPr>
          <w:sz w:val="24"/>
        </w:rPr>
        <w:t>The</w:t>
      </w:r>
      <w:r>
        <w:rPr>
          <w:spacing w:val="38"/>
          <w:sz w:val="24"/>
        </w:rPr>
        <w:t> </w:t>
      </w:r>
      <w:r>
        <w:rPr>
          <w:sz w:val="24"/>
        </w:rPr>
        <w:t>fourth</w:t>
      </w:r>
      <w:r>
        <w:rPr>
          <w:spacing w:val="38"/>
          <w:sz w:val="24"/>
        </w:rPr>
        <w:t> </w:t>
      </w:r>
      <w:r>
        <w:rPr>
          <w:sz w:val="24"/>
        </w:rPr>
        <w:t>concept</w:t>
      </w:r>
      <w:r>
        <w:rPr>
          <w:spacing w:val="36"/>
          <w:sz w:val="24"/>
        </w:rPr>
        <w:t> </w:t>
      </w:r>
      <w:r>
        <w:rPr>
          <w:sz w:val="24"/>
        </w:rPr>
        <w:t>is</w:t>
      </w:r>
      <w:r>
        <w:rPr>
          <w:spacing w:val="40"/>
          <w:sz w:val="24"/>
        </w:rPr>
        <w:t> </w:t>
      </w:r>
      <w:r>
        <w:rPr>
          <w:sz w:val="24"/>
        </w:rPr>
        <w:t>that</w:t>
      </w:r>
      <w:r>
        <w:rPr>
          <w:spacing w:val="36"/>
          <w:sz w:val="24"/>
        </w:rPr>
        <w:t> </w:t>
      </w:r>
      <w:r>
        <w:rPr>
          <w:sz w:val="24"/>
        </w:rPr>
        <w:t>a</w:t>
      </w:r>
      <w:r>
        <w:rPr>
          <w:spacing w:val="37"/>
          <w:sz w:val="24"/>
        </w:rPr>
        <w:t> </w:t>
      </w:r>
      <w:r>
        <w:rPr>
          <w:sz w:val="24"/>
        </w:rPr>
        <w:t>system</w:t>
      </w:r>
      <w:r>
        <w:rPr>
          <w:spacing w:val="40"/>
          <w:sz w:val="24"/>
        </w:rPr>
        <w:t> </w:t>
      </w:r>
      <w:r>
        <w:rPr>
          <w:sz w:val="24"/>
        </w:rPr>
        <w:t>is</w:t>
      </w:r>
      <w:r>
        <w:rPr>
          <w:spacing w:val="36"/>
          <w:sz w:val="24"/>
        </w:rPr>
        <w:t> </w:t>
      </w:r>
      <w:r>
        <w:rPr>
          <w:sz w:val="24"/>
        </w:rPr>
        <w:t>a</w:t>
      </w:r>
      <w:r>
        <w:rPr>
          <w:spacing w:val="38"/>
          <w:sz w:val="24"/>
        </w:rPr>
        <w:t> </w:t>
      </w:r>
      <w:r>
        <w:rPr>
          <w:spacing w:val="-2"/>
          <w:sz w:val="24"/>
        </w:rPr>
        <w:t>constant</w:t>
      </w:r>
    </w:p>
    <w:p>
      <w:pPr>
        <w:pStyle w:val="BodyText"/>
      </w:pPr>
    </w:p>
    <w:p>
      <w:pPr>
        <w:pStyle w:val="BodyText"/>
        <w:spacing w:line="480" w:lineRule="auto"/>
        <w:ind w:left="1480" w:right="1316"/>
        <w:jc w:val="both"/>
      </w:pPr>
      <w:r>
        <w:rPr/>
        <w:t>process of taking inputs and transforming them into outputs. The inputs are acquired from the environment and the output goes back into the environment in a constant exchange. For example, a business firm imports inputs such as raw materials and labor, transforms them into goods and services, and delivers this output to its customers. Both suppliers and customers are part of its external environment.</w:t>
      </w:r>
    </w:p>
    <w:p>
      <w:pPr>
        <w:pStyle w:val="ListParagraph"/>
        <w:numPr>
          <w:ilvl w:val="4"/>
          <w:numId w:val="4"/>
        </w:numPr>
        <w:tabs>
          <w:tab w:pos="1119" w:val="left" w:leader="none"/>
        </w:tabs>
        <w:spacing w:line="240" w:lineRule="auto" w:before="0" w:after="0"/>
        <w:ind w:left="1119" w:right="0" w:hanging="359"/>
        <w:jc w:val="both"/>
        <w:rPr>
          <w:sz w:val="24"/>
        </w:rPr>
      </w:pPr>
      <w:r>
        <w:rPr>
          <w:sz w:val="24"/>
          <w:u w:val="single"/>
        </w:rPr>
        <w:t>Feedback</w:t>
      </w:r>
      <w:r>
        <w:rPr>
          <w:sz w:val="24"/>
        </w:rPr>
        <w:t>:</w:t>
      </w:r>
      <w:r>
        <w:rPr>
          <w:spacing w:val="30"/>
          <w:sz w:val="24"/>
        </w:rPr>
        <w:t> </w:t>
      </w:r>
      <w:r>
        <w:rPr>
          <w:sz w:val="24"/>
        </w:rPr>
        <w:t>The</w:t>
      </w:r>
      <w:r>
        <w:rPr>
          <w:spacing w:val="31"/>
          <w:sz w:val="24"/>
        </w:rPr>
        <w:t> </w:t>
      </w:r>
      <w:r>
        <w:rPr>
          <w:sz w:val="24"/>
        </w:rPr>
        <w:t>fifth</w:t>
      </w:r>
      <w:r>
        <w:rPr>
          <w:spacing w:val="31"/>
          <w:sz w:val="24"/>
        </w:rPr>
        <w:t> </w:t>
      </w:r>
      <w:r>
        <w:rPr>
          <w:sz w:val="24"/>
        </w:rPr>
        <w:t>key</w:t>
      </w:r>
      <w:r>
        <w:rPr>
          <w:spacing w:val="30"/>
          <w:sz w:val="24"/>
        </w:rPr>
        <w:t> </w:t>
      </w:r>
      <w:r>
        <w:rPr>
          <w:sz w:val="24"/>
        </w:rPr>
        <w:t>concept</w:t>
      </w:r>
      <w:r>
        <w:rPr>
          <w:spacing w:val="33"/>
          <w:sz w:val="24"/>
        </w:rPr>
        <w:t> </w:t>
      </w:r>
      <w:r>
        <w:rPr>
          <w:sz w:val="24"/>
        </w:rPr>
        <w:t>is</w:t>
      </w:r>
      <w:r>
        <w:rPr>
          <w:spacing w:val="31"/>
          <w:sz w:val="24"/>
        </w:rPr>
        <w:t> </w:t>
      </w:r>
      <w:r>
        <w:rPr>
          <w:sz w:val="24"/>
        </w:rPr>
        <w:t>the</w:t>
      </w:r>
      <w:r>
        <w:rPr>
          <w:spacing w:val="31"/>
          <w:sz w:val="24"/>
        </w:rPr>
        <w:t> </w:t>
      </w:r>
      <w:r>
        <w:rPr>
          <w:sz w:val="24"/>
        </w:rPr>
        <w:t>notion</w:t>
      </w:r>
      <w:r>
        <w:rPr>
          <w:spacing w:val="32"/>
          <w:sz w:val="24"/>
        </w:rPr>
        <w:t> </w:t>
      </w:r>
      <w:r>
        <w:rPr>
          <w:sz w:val="24"/>
        </w:rPr>
        <w:t>of</w:t>
      </w:r>
      <w:r>
        <w:rPr>
          <w:spacing w:val="30"/>
          <w:sz w:val="24"/>
        </w:rPr>
        <w:t> </w:t>
      </w:r>
      <w:r>
        <w:rPr>
          <w:sz w:val="24"/>
        </w:rPr>
        <w:t>feedback.</w:t>
      </w:r>
      <w:r>
        <w:rPr>
          <w:spacing w:val="32"/>
          <w:sz w:val="24"/>
        </w:rPr>
        <w:t> </w:t>
      </w:r>
      <w:r>
        <w:rPr>
          <w:sz w:val="24"/>
        </w:rPr>
        <w:t>Feedback</w:t>
      </w:r>
      <w:r>
        <w:rPr>
          <w:spacing w:val="32"/>
          <w:sz w:val="24"/>
        </w:rPr>
        <w:t> </w:t>
      </w:r>
      <w:r>
        <w:rPr>
          <w:sz w:val="24"/>
        </w:rPr>
        <w:t>is</w:t>
      </w:r>
      <w:r>
        <w:rPr>
          <w:spacing w:val="31"/>
          <w:sz w:val="24"/>
        </w:rPr>
        <w:t> </w:t>
      </w:r>
      <w:r>
        <w:rPr>
          <w:sz w:val="24"/>
        </w:rPr>
        <w:t>what</w:t>
      </w:r>
      <w:r>
        <w:rPr>
          <w:spacing w:val="33"/>
          <w:sz w:val="24"/>
        </w:rPr>
        <w:t> </w:t>
      </w:r>
      <w:r>
        <w:rPr>
          <w:sz w:val="24"/>
        </w:rPr>
        <w:t>allows</w:t>
      </w:r>
      <w:r>
        <w:rPr>
          <w:spacing w:val="32"/>
          <w:sz w:val="24"/>
        </w:rPr>
        <w:t> </w:t>
      </w:r>
      <w:r>
        <w:rPr>
          <w:spacing w:val="-10"/>
          <w:sz w:val="24"/>
        </w:rPr>
        <w:t>a</w:t>
      </w:r>
    </w:p>
    <w:p>
      <w:pPr>
        <w:pStyle w:val="BodyText"/>
      </w:pPr>
    </w:p>
    <w:p>
      <w:pPr>
        <w:pStyle w:val="BodyText"/>
        <w:spacing w:line="480" w:lineRule="auto"/>
        <w:ind w:left="1480" w:right="1315"/>
        <w:jc w:val="both"/>
      </w:pPr>
      <w:r>
        <w:rPr/>
        <w:t>system</w:t>
      </w:r>
      <w:r>
        <w:rPr>
          <w:spacing w:val="-1"/>
        </w:rPr>
        <w:t> </w:t>
      </w:r>
      <w:r>
        <w:rPr/>
        <w:t>to</w:t>
      </w:r>
      <w:r>
        <w:rPr>
          <w:spacing w:val="-1"/>
        </w:rPr>
        <w:t> </w:t>
      </w:r>
      <w:r>
        <w:rPr/>
        <w:t>attain</w:t>
      </w:r>
      <w:r>
        <w:rPr>
          <w:spacing w:val="-1"/>
        </w:rPr>
        <w:t> </w:t>
      </w:r>
      <w:r>
        <w:rPr/>
        <w:t>its</w:t>
      </w:r>
      <w:r>
        <w:rPr>
          <w:spacing w:val="-1"/>
        </w:rPr>
        <w:t> </w:t>
      </w:r>
      <w:r>
        <w:rPr/>
        <w:t>desired</w:t>
      </w:r>
      <w:r>
        <w:rPr>
          <w:spacing w:val="-1"/>
        </w:rPr>
        <w:t> </w:t>
      </w:r>
      <w:r>
        <w:rPr/>
        <w:t>or</w:t>
      </w:r>
      <w:r>
        <w:rPr>
          <w:spacing w:val="-2"/>
        </w:rPr>
        <w:t> </w:t>
      </w:r>
      <w:r>
        <w:rPr/>
        <w:t>steady</w:t>
      </w:r>
      <w:r>
        <w:rPr>
          <w:spacing w:val="-6"/>
        </w:rPr>
        <w:t> </w:t>
      </w:r>
      <w:r>
        <w:rPr/>
        <w:t>state.</w:t>
      </w:r>
      <w:r>
        <w:rPr>
          <w:spacing w:val="-1"/>
        </w:rPr>
        <w:t> </w:t>
      </w:r>
      <w:r>
        <w:rPr/>
        <w:t>There</w:t>
      </w:r>
      <w:r>
        <w:rPr>
          <w:spacing w:val="-2"/>
        </w:rPr>
        <w:t> </w:t>
      </w:r>
      <w:r>
        <w:rPr/>
        <w:t>are</w:t>
      </w:r>
      <w:r>
        <w:rPr>
          <w:spacing w:val="-2"/>
        </w:rPr>
        <w:t> </w:t>
      </w:r>
      <w:r>
        <w:rPr/>
        <w:t>two</w:t>
      </w:r>
      <w:r>
        <w:rPr>
          <w:spacing w:val="-1"/>
        </w:rPr>
        <w:t> </w:t>
      </w:r>
      <w:r>
        <w:rPr/>
        <w:t>types</w:t>
      </w:r>
      <w:r>
        <w:rPr>
          <w:spacing w:val="-1"/>
        </w:rPr>
        <w:t> </w:t>
      </w:r>
      <w:r>
        <w:rPr/>
        <w:t>of</w:t>
      </w:r>
      <w:r>
        <w:rPr>
          <w:spacing w:val="-2"/>
        </w:rPr>
        <w:t> </w:t>
      </w:r>
      <w:r>
        <w:rPr/>
        <w:t>feedback loops.</w:t>
      </w:r>
      <w:r>
        <w:rPr>
          <w:spacing w:val="-1"/>
        </w:rPr>
        <w:t> </w:t>
      </w:r>
      <w:r>
        <w:rPr/>
        <w:t>The first is called negative or error-control feedback in which information on which the system reacts is one that is after the fact or after errors have occurred. The system</w:t>
      </w:r>
      <w:r>
        <w:rPr>
          <w:spacing w:val="40"/>
        </w:rPr>
        <w:t> </w:t>
      </w:r>
      <w:r>
        <w:rPr/>
        <w:t>uses information on small errors to take corrective actions. The other is called feed forward control. It is anticipatory in nature. The system anticipates what might occur and takes corrective</w:t>
      </w:r>
      <w:r>
        <w:rPr>
          <w:spacing w:val="-1"/>
        </w:rPr>
        <w:t> </w:t>
      </w:r>
      <w:r>
        <w:rPr/>
        <w:t>action before</w:t>
      </w:r>
      <w:r>
        <w:rPr>
          <w:spacing w:val="-1"/>
        </w:rPr>
        <w:t> </w:t>
      </w:r>
      <w:r>
        <w:rPr/>
        <w:t>the</w:t>
      </w:r>
      <w:r>
        <w:rPr>
          <w:spacing w:val="-1"/>
        </w:rPr>
        <w:t> </w:t>
      </w:r>
      <w:r>
        <w:rPr/>
        <w:t>disturbances can affect the</w:t>
      </w:r>
      <w:r>
        <w:rPr>
          <w:spacing w:val="-1"/>
        </w:rPr>
        <w:t> </w:t>
      </w:r>
      <w:r>
        <w:rPr/>
        <w:t>system. Thermostats use</w:t>
      </w:r>
      <w:r>
        <w:rPr>
          <w:spacing w:val="-2"/>
        </w:rPr>
        <w:t> </w:t>
      </w:r>
      <w:r>
        <w:rPr/>
        <w:t>feedback</w:t>
      </w:r>
      <w:r>
        <w:rPr>
          <w:spacing w:val="-1"/>
        </w:rPr>
        <w:t> </w:t>
      </w:r>
      <w:r>
        <w:rPr/>
        <w:t>information.</w:t>
      </w:r>
      <w:r>
        <w:rPr>
          <w:spacing w:val="-1"/>
        </w:rPr>
        <w:t> </w:t>
      </w:r>
      <w:r>
        <w:rPr/>
        <w:t>Keeping</w:t>
      </w:r>
      <w:r>
        <w:rPr>
          <w:spacing w:val="-3"/>
        </w:rPr>
        <w:t> </w:t>
      </w:r>
      <w:r>
        <w:rPr/>
        <w:t>a</w:t>
      </w:r>
      <w:r>
        <w:rPr>
          <w:spacing w:val="-2"/>
        </w:rPr>
        <w:t> </w:t>
      </w:r>
      <w:r>
        <w:rPr/>
        <w:t>spacecraft</w:t>
      </w:r>
      <w:r>
        <w:rPr>
          <w:spacing w:val="-1"/>
        </w:rPr>
        <w:t> </w:t>
      </w:r>
      <w:r>
        <w:rPr/>
        <w:t>on</w:t>
      </w:r>
      <w:r>
        <w:rPr>
          <w:spacing w:val="-1"/>
        </w:rPr>
        <w:t> </w:t>
      </w:r>
      <w:r>
        <w:rPr/>
        <w:t>its</w:t>
      </w:r>
      <w:r>
        <w:rPr>
          <w:spacing w:val="-1"/>
        </w:rPr>
        <w:t> </w:t>
      </w:r>
      <w:r>
        <w:rPr/>
        <w:t>trajectory</w:t>
      </w:r>
      <w:r>
        <w:rPr>
          <w:spacing w:val="-6"/>
        </w:rPr>
        <w:t> </w:t>
      </w:r>
      <w:r>
        <w:rPr/>
        <w:t>requires</w:t>
      </w:r>
      <w:r>
        <w:rPr>
          <w:spacing w:val="-1"/>
        </w:rPr>
        <w:t> </w:t>
      </w:r>
      <w:r>
        <w:rPr/>
        <w:t>feed</w:t>
      </w:r>
      <w:r>
        <w:rPr>
          <w:spacing w:val="-1"/>
        </w:rPr>
        <w:t> </w:t>
      </w:r>
      <w:r>
        <w:rPr/>
        <w:t>forward control. Trajectory corrections have to take place before the spacecraft gets off its </w:t>
      </w:r>
      <w:r>
        <w:rPr>
          <w:spacing w:val="-2"/>
        </w:rPr>
        <w:t>course.</w:t>
      </w:r>
    </w:p>
    <w:p>
      <w:pPr>
        <w:pStyle w:val="ListParagraph"/>
        <w:numPr>
          <w:ilvl w:val="4"/>
          <w:numId w:val="4"/>
        </w:numPr>
        <w:tabs>
          <w:tab w:pos="1117" w:val="left" w:leader="none"/>
        </w:tabs>
        <w:spacing w:line="240" w:lineRule="auto" w:before="0" w:after="0"/>
        <w:ind w:left="1117" w:right="0" w:hanging="357"/>
        <w:jc w:val="both"/>
        <w:rPr>
          <w:sz w:val="24"/>
        </w:rPr>
      </w:pPr>
      <w:r>
        <w:rPr>
          <w:sz w:val="24"/>
          <w:u w:val="single"/>
        </w:rPr>
        <w:t>Homeostasis</w:t>
      </w:r>
      <w:r>
        <w:rPr>
          <w:sz w:val="24"/>
        </w:rPr>
        <w:t>:</w:t>
      </w:r>
      <w:r>
        <w:rPr>
          <w:spacing w:val="45"/>
          <w:sz w:val="24"/>
        </w:rPr>
        <w:t> </w:t>
      </w:r>
      <w:r>
        <w:rPr>
          <w:sz w:val="24"/>
        </w:rPr>
        <w:t>The</w:t>
      </w:r>
      <w:r>
        <w:rPr>
          <w:spacing w:val="47"/>
          <w:sz w:val="24"/>
        </w:rPr>
        <w:t> </w:t>
      </w:r>
      <w:r>
        <w:rPr>
          <w:sz w:val="24"/>
        </w:rPr>
        <w:t>six</w:t>
      </w:r>
      <w:r>
        <w:rPr>
          <w:spacing w:val="49"/>
          <w:sz w:val="24"/>
        </w:rPr>
        <w:t> </w:t>
      </w:r>
      <w:r>
        <w:rPr>
          <w:sz w:val="24"/>
        </w:rPr>
        <w:t>concept</w:t>
      </w:r>
      <w:r>
        <w:rPr>
          <w:spacing w:val="48"/>
          <w:sz w:val="24"/>
        </w:rPr>
        <w:t> </w:t>
      </w:r>
      <w:r>
        <w:rPr>
          <w:sz w:val="24"/>
        </w:rPr>
        <w:t>of</w:t>
      </w:r>
      <w:r>
        <w:rPr>
          <w:spacing w:val="48"/>
          <w:sz w:val="24"/>
        </w:rPr>
        <w:t> </w:t>
      </w:r>
      <w:r>
        <w:rPr>
          <w:sz w:val="24"/>
        </w:rPr>
        <w:t>system</w:t>
      </w:r>
      <w:r>
        <w:rPr>
          <w:spacing w:val="48"/>
          <w:sz w:val="24"/>
        </w:rPr>
        <w:t> </w:t>
      </w:r>
      <w:r>
        <w:rPr>
          <w:sz w:val="24"/>
        </w:rPr>
        <w:t>theory</w:t>
      </w:r>
      <w:r>
        <w:rPr>
          <w:spacing w:val="44"/>
          <w:sz w:val="24"/>
        </w:rPr>
        <w:t> </w:t>
      </w:r>
      <w:r>
        <w:rPr>
          <w:sz w:val="24"/>
        </w:rPr>
        <w:t>is</w:t>
      </w:r>
      <w:r>
        <w:rPr>
          <w:spacing w:val="48"/>
          <w:sz w:val="24"/>
        </w:rPr>
        <w:t> </w:t>
      </w:r>
      <w:r>
        <w:rPr>
          <w:sz w:val="24"/>
        </w:rPr>
        <w:t>the</w:t>
      </w:r>
      <w:r>
        <w:rPr>
          <w:spacing w:val="48"/>
          <w:sz w:val="24"/>
        </w:rPr>
        <w:t> </w:t>
      </w:r>
      <w:r>
        <w:rPr>
          <w:sz w:val="24"/>
        </w:rPr>
        <w:t>concept</w:t>
      </w:r>
      <w:r>
        <w:rPr>
          <w:spacing w:val="50"/>
          <w:sz w:val="24"/>
        </w:rPr>
        <w:t> </w:t>
      </w:r>
      <w:r>
        <w:rPr>
          <w:sz w:val="24"/>
        </w:rPr>
        <w:t>of</w:t>
      </w:r>
      <w:r>
        <w:rPr>
          <w:spacing w:val="46"/>
          <w:sz w:val="24"/>
        </w:rPr>
        <w:t> </w:t>
      </w:r>
      <w:r>
        <w:rPr>
          <w:sz w:val="24"/>
        </w:rPr>
        <w:t>homeostasis</w:t>
      </w:r>
      <w:r>
        <w:rPr>
          <w:spacing w:val="48"/>
          <w:sz w:val="24"/>
        </w:rPr>
        <w:t> </w:t>
      </w:r>
      <w:r>
        <w:rPr>
          <w:spacing w:val="-2"/>
          <w:sz w:val="24"/>
        </w:rPr>
        <w:t>which</w:t>
      </w:r>
    </w:p>
    <w:p>
      <w:pPr>
        <w:pStyle w:val="BodyText"/>
      </w:pPr>
    </w:p>
    <w:p>
      <w:pPr>
        <w:pStyle w:val="BodyText"/>
        <w:spacing w:line="480" w:lineRule="auto" w:before="1"/>
        <w:ind w:left="1480" w:right="1317"/>
        <w:jc w:val="both"/>
      </w:pPr>
      <w:r>
        <w:rPr/>
        <w:t>refers to the ability of a system to achieve a state of dynamic equilibrium. That is, unlike simple classical mechanics. Servo mechanisms like a thermostat, the system does</w:t>
      </w:r>
      <w:r>
        <w:rPr>
          <w:spacing w:val="35"/>
        </w:rPr>
        <w:t> </w:t>
      </w:r>
      <w:r>
        <w:rPr/>
        <w:t>not</w:t>
      </w:r>
      <w:r>
        <w:rPr>
          <w:spacing w:val="35"/>
        </w:rPr>
        <w:t> </w:t>
      </w:r>
      <w:r>
        <w:rPr/>
        <w:t>return</w:t>
      </w:r>
      <w:r>
        <w:rPr>
          <w:spacing w:val="35"/>
        </w:rPr>
        <w:t> </w:t>
      </w:r>
      <w:r>
        <w:rPr/>
        <w:t>to</w:t>
      </w:r>
      <w:r>
        <w:rPr>
          <w:spacing w:val="35"/>
        </w:rPr>
        <w:t> </w:t>
      </w:r>
      <w:r>
        <w:rPr/>
        <w:t>its</w:t>
      </w:r>
      <w:r>
        <w:rPr>
          <w:spacing w:val="36"/>
        </w:rPr>
        <w:t> </w:t>
      </w:r>
      <w:r>
        <w:rPr/>
        <w:t>original</w:t>
      </w:r>
      <w:r>
        <w:rPr>
          <w:spacing w:val="35"/>
        </w:rPr>
        <w:t> </w:t>
      </w:r>
      <w:r>
        <w:rPr/>
        <w:t>state.</w:t>
      </w:r>
      <w:r>
        <w:rPr>
          <w:spacing w:val="35"/>
        </w:rPr>
        <w:t> </w:t>
      </w:r>
      <w:r>
        <w:rPr/>
        <w:t>Rather,</w:t>
      </w:r>
      <w:r>
        <w:rPr>
          <w:spacing w:val="35"/>
        </w:rPr>
        <w:t> </w:t>
      </w:r>
      <w:r>
        <w:rPr/>
        <w:t>it</w:t>
      </w:r>
      <w:r>
        <w:rPr>
          <w:spacing w:val="35"/>
        </w:rPr>
        <w:t> </w:t>
      </w:r>
      <w:r>
        <w:rPr/>
        <w:t>returns</w:t>
      </w:r>
      <w:r>
        <w:rPr>
          <w:spacing w:val="35"/>
        </w:rPr>
        <w:t> </w:t>
      </w:r>
      <w:r>
        <w:rPr/>
        <w:t>to</w:t>
      </w:r>
      <w:r>
        <w:rPr>
          <w:spacing w:val="36"/>
        </w:rPr>
        <w:t> </w:t>
      </w:r>
      <w:r>
        <w:rPr/>
        <w:t>a</w:t>
      </w:r>
      <w:r>
        <w:rPr>
          <w:spacing w:val="34"/>
        </w:rPr>
        <w:t> </w:t>
      </w:r>
      <w:r>
        <w:rPr/>
        <w:t>state</w:t>
      </w:r>
      <w:r>
        <w:rPr>
          <w:spacing w:val="34"/>
        </w:rPr>
        <w:t> </w:t>
      </w:r>
      <w:r>
        <w:rPr/>
        <w:t>that</w:t>
      </w:r>
      <w:r>
        <w:rPr>
          <w:spacing w:val="35"/>
        </w:rPr>
        <w:t> </w:t>
      </w:r>
      <w:r>
        <w:rPr/>
        <w:t>maximizes</w:t>
      </w:r>
      <w:r>
        <w:rPr>
          <w:spacing w:val="36"/>
        </w:rPr>
        <w:t> </w:t>
      </w:r>
      <w:r>
        <w:rPr>
          <w:spacing w:val="-5"/>
        </w:rPr>
        <w:t>its</w:t>
      </w:r>
    </w:p>
    <w:p>
      <w:pPr>
        <w:spacing w:after="0" w:line="480" w:lineRule="auto"/>
        <w:jc w:val="both"/>
        <w:sectPr>
          <w:pgSz w:w="12240" w:h="15840"/>
          <w:pgMar w:header="0" w:footer="1017" w:top="1360" w:bottom="1200" w:left="1040" w:right="120"/>
        </w:sectPr>
      </w:pPr>
    </w:p>
    <w:p>
      <w:pPr>
        <w:pStyle w:val="BodyText"/>
        <w:spacing w:line="480" w:lineRule="auto" w:before="72"/>
        <w:ind w:left="1480" w:right="1315"/>
      </w:pPr>
      <w:r>
        <w:rPr/>
        <w:t>chances</w:t>
      </w:r>
      <w:r>
        <w:rPr>
          <w:spacing w:val="21"/>
        </w:rPr>
        <w:t> </w:t>
      </w:r>
      <w:r>
        <w:rPr/>
        <w:t>of</w:t>
      </w:r>
      <w:r>
        <w:rPr>
          <w:spacing w:val="20"/>
        </w:rPr>
        <w:t> </w:t>
      </w:r>
      <w:r>
        <w:rPr/>
        <w:t>survival</w:t>
      </w:r>
      <w:r>
        <w:rPr>
          <w:spacing w:val="21"/>
        </w:rPr>
        <w:t> </w:t>
      </w:r>
      <w:r>
        <w:rPr/>
        <w:t>and</w:t>
      </w:r>
      <w:r>
        <w:rPr>
          <w:spacing w:val="21"/>
        </w:rPr>
        <w:t> </w:t>
      </w:r>
      <w:r>
        <w:rPr/>
        <w:t>growth.</w:t>
      </w:r>
      <w:r>
        <w:rPr>
          <w:spacing w:val="21"/>
        </w:rPr>
        <w:t> </w:t>
      </w:r>
      <w:r>
        <w:rPr/>
        <w:t>This</w:t>
      </w:r>
      <w:r>
        <w:rPr>
          <w:spacing w:val="21"/>
        </w:rPr>
        <w:t> </w:t>
      </w:r>
      <w:r>
        <w:rPr/>
        <w:t>state</w:t>
      </w:r>
      <w:r>
        <w:rPr>
          <w:spacing w:val="20"/>
        </w:rPr>
        <w:t> </w:t>
      </w:r>
      <w:r>
        <w:rPr/>
        <w:t>may or</w:t>
      </w:r>
      <w:r>
        <w:rPr>
          <w:spacing w:val="20"/>
        </w:rPr>
        <w:t> </w:t>
      </w:r>
      <w:r>
        <w:rPr/>
        <w:t>may not</w:t>
      </w:r>
      <w:r>
        <w:rPr>
          <w:spacing w:val="21"/>
        </w:rPr>
        <w:t> </w:t>
      </w:r>
      <w:r>
        <w:rPr/>
        <w:t>be</w:t>
      </w:r>
      <w:r>
        <w:rPr>
          <w:spacing w:val="20"/>
        </w:rPr>
        <w:t> </w:t>
      </w:r>
      <w:r>
        <w:rPr/>
        <w:t>the</w:t>
      </w:r>
      <w:r>
        <w:rPr>
          <w:spacing w:val="20"/>
        </w:rPr>
        <w:t> </w:t>
      </w:r>
      <w:r>
        <w:rPr/>
        <w:t>state</w:t>
      </w:r>
      <w:r>
        <w:rPr>
          <w:spacing w:val="20"/>
        </w:rPr>
        <w:t> </w:t>
      </w:r>
      <w:r>
        <w:rPr/>
        <w:t>from</w:t>
      </w:r>
      <w:r>
        <w:rPr>
          <w:spacing w:val="21"/>
        </w:rPr>
        <w:t> </w:t>
      </w:r>
      <w:r>
        <w:rPr/>
        <w:t>which the system initially started.</w:t>
      </w:r>
    </w:p>
    <w:p>
      <w:pPr>
        <w:pStyle w:val="ListParagraph"/>
        <w:numPr>
          <w:ilvl w:val="4"/>
          <w:numId w:val="4"/>
        </w:numPr>
        <w:tabs>
          <w:tab w:pos="1479" w:val="left" w:leader="none"/>
        </w:tabs>
        <w:spacing w:line="240" w:lineRule="auto" w:before="0" w:after="0"/>
        <w:ind w:left="1479" w:right="0" w:hanging="719"/>
        <w:jc w:val="left"/>
        <w:rPr>
          <w:sz w:val="24"/>
        </w:rPr>
      </w:pPr>
      <w:r>
        <w:rPr>
          <w:sz w:val="24"/>
          <w:u w:val="single"/>
        </w:rPr>
        <w:t>Equifinality</w:t>
      </w:r>
      <w:r>
        <w:rPr>
          <w:sz w:val="24"/>
        </w:rPr>
        <w:t>:</w:t>
      </w:r>
      <w:r>
        <w:rPr>
          <w:spacing w:val="47"/>
          <w:sz w:val="24"/>
        </w:rPr>
        <w:t> </w:t>
      </w:r>
      <w:r>
        <w:rPr>
          <w:sz w:val="24"/>
        </w:rPr>
        <w:t>The</w:t>
      </w:r>
      <w:r>
        <w:rPr>
          <w:spacing w:val="47"/>
          <w:sz w:val="24"/>
        </w:rPr>
        <w:t> </w:t>
      </w:r>
      <w:r>
        <w:rPr>
          <w:sz w:val="24"/>
        </w:rPr>
        <w:t>final</w:t>
      </w:r>
      <w:r>
        <w:rPr>
          <w:spacing w:val="48"/>
          <w:sz w:val="24"/>
        </w:rPr>
        <w:t> </w:t>
      </w:r>
      <w:r>
        <w:rPr>
          <w:sz w:val="24"/>
        </w:rPr>
        <w:t>tenet</w:t>
      </w:r>
      <w:r>
        <w:rPr>
          <w:spacing w:val="48"/>
          <w:sz w:val="24"/>
        </w:rPr>
        <w:t> </w:t>
      </w:r>
      <w:r>
        <w:rPr>
          <w:sz w:val="24"/>
        </w:rPr>
        <w:t>is</w:t>
      </w:r>
      <w:r>
        <w:rPr>
          <w:spacing w:val="48"/>
          <w:sz w:val="24"/>
        </w:rPr>
        <w:t> </w:t>
      </w:r>
      <w:r>
        <w:rPr>
          <w:sz w:val="24"/>
        </w:rPr>
        <w:t>the</w:t>
      </w:r>
      <w:r>
        <w:rPr>
          <w:spacing w:val="47"/>
          <w:sz w:val="24"/>
        </w:rPr>
        <w:t> </w:t>
      </w:r>
      <w:r>
        <w:rPr>
          <w:sz w:val="24"/>
        </w:rPr>
        <w:t>concept</w:t>
      </w:r>
      <w:r>
        <w:rPr>
          <w:spacing w:val="48"/>
          <w:sz w:val="24"/>
        </w:rPr>
        <w:t> </w:t>
      </w:r>
      <w:r>
        <w:rPr>
          <w:sz w:val="24"/>
        </w:rPr>
        <w:t>of</w:t>
      </w:r>
      <w:r>
        <w:rPr>
          <w:spacing w:val="47"/>
          <w:sz w:val="24"/>
        </w:rPr>
        <w:t> </w:t>
      </w:r>
      <w:r>
        <w:rPr>
          <w:sz w:val="24"/>
        </w:rPr>
        <w:t>equifinality.</w:t>
      </w:r>
      <w:r>
        <w:rPr>
          <w:spacing w:val="48"/>
          <w:sz w:val="24"/>
        </w:rPr>
        <w:t> </w:t>
      </w:r>
      <w:r>
        <w:rPr>
          <w:sz w:val="24"/>
        </w:rPr>
        <w:t>This</w:t>
      </w:r>
      <w:r>
        <w:rPr>
          <w:spacing w:val="48"/>
          <w:sz w:val="24"/>
        </w:rPr>
        <w:t> </w:t>
      </w:r>
      <w:r>
        <w:rPr>
          <w:sz w:val="24"/>
        </w:rPr>
        <w:t>is</w:t>
      </w:r>
      <w:r>
        <w:rPr>
          <w:spacing w:val="48"/>
          <w:sz w:val="24"/>
        </w:rPr>
        <w:t> </w:t>
      </w:r>
      <w:r>
        <w:rPr>
          <w:sz w:val="24"/>
        </w:rPr>
        <w:t>defined</w:t>
      </w:r>
      <w:r>
        <w:rPr>
          <w:spacing w:val="48"/>
          <w:sz w:val="24"/>
        </w:rPr>
        <w:t> </w:t>
      </w:r>
      <w:r>
        <w:rPr>
          <w:sz w:val="24"/>
        </w:rPr>
        <w:t>as</w:t>
      </w:r>
      <w:r>
        <w:rPr>
          <w:spacing w:val="48"/>
          <w:sz w:val="24"/>
        </w:rPr>
        <w:t> </w:t>
      </w:r>
      <w:r>
        <w:rPr>
          <w:spacing w:val="-5"/>
          <w:sz w:val="24"/>
        </w:rPr>
        <w:t>the</w:t>
      </w:r>
    </w:p>
    <w:p>
      <w:pPr>
        <w:pStyle w:val="BodyText"/>
      </w:pPr>
    </w:p>
    <w:p>
      <w:pPr>
        <w:pStyle w:val="BodyText"/>
        <w:spacing w:line="480" w:lineRule="auto"/>
        <w:ind w:left="1479" w:right="1317"/>
        <w:jc w:val="both"/>
      </w:pPr>
      <w:r>
        <w:rPr/>
        <w:t>ability of a system to attain the same final result from many different initial conditions. That is, systems exhibit a many-one behavior on which the system can find the same end-state from many</w:t>
      </w:r>
      <w:r>
        <w:rPr>
          <w:spacing w:val="-1"/>
        </w:rPr>
        <w:t> </w:t>
      </w:r>
      <w:r>
        <w:rPr/>
        <w:t>different initial starting positions. Equifinality</w:t>
      </w:r>
      <w:r>
        <w:rPr>
          <w:spacing w:val="-1"/>
        </w:rPr>
        <w:t> </w:t>
      </w:r>
      <w:r>
        <w:rPr/>
        <w:t>can be likened to a situation in which many different people shoot at a target from different positions all bullets find the bull’s eye.</w:t>
      </w:r>
    </w:p>
    <w:p>
      <w:pPr>
        <w:pStyle w:val="BodyText"/>
        <w:spacing w:before="50"/>
      </w:pPr>
    </w:p>
    <w:p>
      <w:pPr>
        <w:pStyle w:val="Heading3"/>
        <w:numPr>
          <w:ilvl w:val="3"/>
          <w:numId w:val="4"/>
        </w:numPr>
        <w:tabs>
          <w:tab w:pos="1120" w:val="left" w:leader="none"/>
        </w:tabs>
        <w:spacing w:line="240" w:lineRule="auto" w:before="0" w:after="0"/>
        <w:ind w:left="1120" w:right="0" w:hanging="720"/>
        <w:jc w:val="left"/>
        <w:rPr>
          <w:i w:val="0"/>
        </w:rPr>
      </w:pPr>
      <w:r>
        <w:rPr/>
        <w:t>Implication</w:t>
      </w:r>
      <w:r>
        <w:rPr>
          <w:spacing w:val="-1"/>
        </w:rPr>
        <w:t> </w:t>
      </w:r>
      <w:r>
        <w:rPr/>
        <w:t>to</w:t>
      </w:r>
      <w:r>
        <w:rPr>
          <w:spacing w:val="-4"/>
        </w:rPr>
        <w:t> </w:t>
      </w:r>
      <w:r>
        <w:rPr/>
        <w:t>the</w:t>
      </w:r>
      <w:r>
        <w:rPr>
          <w:spacing w:val="-1"/>
        </w:rPr>
        <w:t> </w:t>
      </w:r>
      <w:r>
        <w:rPr>
          <w:spacing w:val="-2"/>
        </w:rPr>
        <w:t>study</w:t>
      </w:r>
    </w:p>
    <w:p>
      <w:pPr>
        <w:pStyle w:val="BodyText"/>
        <w:spacing w:before="156"/>
        <w:rPr>
          <w:b/>
          <w:i/>
        </w:rPr>
      </w:pPr>
    </w:p>
    <w:p>
      <w:pPr>
        <w:pStyle w:val="BodyText"/>
        <w:spacing w:line="480" w:lineRule="auto"/>
        <w:ind w:left="399" w:right="1316"/>
        <w:jc w:val="both"/>
      </w:pPr>
      <w:r>
        <w:rPr/>
        <w:t>There are several important implications of applying the system theory to small and medium construction firms. First, applying</w:t>
      </w:r>
      <w:r>
        <w:rPr>
          <w:spacing w:val="-1"/>
        </w:rPr>
        <w:t> </w:t>
      </w:r>
      <w:r>
        <w:rPr>
          <w:b/>
        </w:rPr>
        <w:t>Open to environment </w:t>
      </w:r>
      <w:r>
        <w:rPr/>
        <w:t>means that we</w:t>
      </w:r>
      <w:r>
        <w:rPr>
          <w:spacing w:val="-1"/>
        </w:rPr>
        <w:t> </w:t>
      </w:r>
      <w:r>
        <w:rPr/>
        <w:t>view small and medium construction firms much like biological organisms that exist in a constant commerce with their environment. If an organization is an open system in constant commerce with its environment, then it follows that the environment will be very important in determining and explaining its behaviour and controlling its fortunes. The implication is that a study of small and medium construction firms must begin by understanding and characterizing an organization’s environment. Organizational environments can be benign (few threats) or uncertain and dynamic (rapid</w:t>
      </w:r>
      <w:r>
        <w:rPr>
          <w:spacing w:val="-2"/>
        </w:rPr>
        <w:t> </w:t>
      </w:r>
      <w:r>
        <w:rPr/>
        <w:t>change).</w:t>
      </w:r>
      <w:r>
        <w:rPr>
          <w:spacing w:val="-2"/>
        </w:rPr>
        <w:t> </w:t>
      </w:r>
      <w:r>
        <w:rPr/>
        <w:t>Effective</w:t>
      </w:r>
      <w:r>
        <w:rPr>
          <w:spacing w:val="-3"/>
        </w:rPr>
        <w:t> </w:t>
      </w:r>
      <w:r>
        <w:rPr/>
        <w:t>management</w:t>
      </w:r>
      <w:r>
        <w:rPr>
          <w:spacing w:val="-2"/>
        </w:rPr>
        <w:t> </w:t>
      </w:r>
      <w:r>
        <w:rPr/>
        <w:t>control</w:t>
      </w:r>
      <w:r>
        <w:rPr>
          <w:spacing w:val="-2"/>
        </w:rPr>
        <w:t> </w:t>
      </w:r>
      <w:r>
        <w:rPr/>
        <w:t>systems</w:t>
      </w:r>
      <w:r>
        <w:rPr>
          <w:spacing w:val="-2"/>
        </w:rPr>
        <w:t> </w:t>
      </w:r>
      <w:r>
        <w:rPr/>
        <w:t>must</w:t>
      </w:r>
      <w:r>
        <w:rPr>
          <w:spacing w:val="-1"/>
        </w:rPr>
        <w:t> </w:t>
      </w:r>
      <w:r>
        <w:rPr/>
        <w:t>meet</w:t>
      </w:r>
      <w:r>
        <w:rPr>
          <w:spacing w:val="-4"/>
        </w:rPr>
        <w:t> </w:t>
      </w:r>
      <w:r>
        <w:rPr/>
        <w:t>the</w:t>
      </w:r>
      <w:r>
        <w:rPr>
          <w:spacing w:val="-3"/>
        </w:rPr>
        <w:t> </w:t>
      </w:r>
      <w:r>
        <w:rPr/>
        <w:t>needs</w:t>
      </w:r>
      <w:r>
        <w:rPr>
          <w:spacing w:val="-2"/>
        </w:rPr>
        <w:t> </w:t>
      </w:r>
      <w:r>
        <w:rPr/>
        <w:t>of</w:t>
      </w:r>
      <w:r>
        <w:rPr>
          <w:spacing w:val="-3"/>
        </w:rPr>
        <w:t> </w:t>
      </w:r>
      <w:r>
        <w:rPr/>
        <w:t>their</w:t>
      </w:r>
      <w:r>
        <w:rPr>
          <w:spacing w:val="-3"/>
        </w:rPr>
        <w:t> </w:t>
      </w:r>
      <w:r>
        <w:rPr/>
        <w:t>environment. Next is the concept of Teleological, on which the purpose of Management control is to achieve strategic objectives and to avoid unintended consequences. When management control is applied in the firms, they exhibit teleological or purposeful behaviour.</w:t>
      </w:r>
    </w:p>
    <w:p>
      <w:pPr>
        <w:spacing w:after="0" w:line="480" w:lineRule="auto"/>
        <w:jc w:val="both"/>
        <w:sectPr>
          <w:pgSz w:w="12240" w:h="15840"/>
          <w:pgMar w:header="0" w:footer="1017" w:top="1360" w:bottom="1200" w:left="1040" w:right="120"/>
        </w:sectPr>
      </w:pPr>
    </w:p>
    <w:p>
      <w:pPr>
        <w:pStyle w:val="BodyText"/>
        <w:spacing w:line="480" w:lineRule="auto" w:before="72"/>
        <w:ind w:left="399" w:right="1315"/>
        <w:jc w:val="both"/>
      </w:pPr>
      <w:r>
        <w:rPr/>
        <w:t>Interrelated subsystems suggests that we should view small and medium construction firms as comprising of many interrelated components. Some of these may be structural components such as information, authority delegation, and so on. Others may be behavioural or cultural factors such as motivating behaviour or building the right values. These systems are interrelated which means that we must design each one recognizing its impact on the other components. The concept of input-transformation-output and Feedback links the small and medium scale construction</w:t>
      </w:r>
      <w:r>
        <w:rPr>
          <w:spacing w:val="-2"/>
        </w:rPr>
        <w:t> </w:t>
      </w:r>
      <w:r>
        <w:rPr/>
        <w:t>firms</w:t>
      </w:r>
      <w:r>
        <w:rPr>
          <w:spacing w:val="-2"/>
        </w:rPr>
        <w:t> </w:t>
      </w:r>
      <w:r>
        <w:rPr/>
        <w:t>to</w:t>
      </w:r>
      <w:r>
        <w:rPr>
          <w:spacing w:val="-2"/>
        </w:rPr>
        <w:t> </w:t>
      </w:r>
      <w:r>
        <w:rPr/>
        <w:t>the</w:t>
      </w:r>
      <w:r>
        <w:rPr>
          <w:spacing w:val="-4"/>
        </w:rPr>
        <w:t> </w:t>
      </w:r>
      <w:r>
        <w:rPr/>
        <w:t>environment.</w:t>
      </w:r>
      <w:r>
        <w:rPr>
          <w:spacing w:val="-2"/>
        </w:rPr>
        <w:t> </w:t>
      </w:r>
      <w:r>
        <w:rPr/>
        <w:t>The</w:t>
      </w:r>
      <w:r>
        <w:rPr>
          <w:spacing w:val="-2"/>
        </w:rPr>
        <w:t> </w:t>
      </w:r>
      <w:r>
        <w:rPr/>
        <w:t>firms</w:t>
      </w:r>
      <w:r>
        <w:rPr>
          <w:spacing w:val="-2"/>
        </w:rPr>
        <w:t> </w:t>
      </w:r>
      <w:r>
        <w:rPr/>
        <w:t>obtain</w:t>
      </w:r>
      <w:r>
        <w:rPr>
          <w:spacing w:val="-2"/>
        </w:rPr>
        <w:t> </w:t>
      </w:r>
      <w:r>
        <w:rPr/>
        <w:t>inputs</w:t>
      </w:r>
      <w:r>
        <w:rPr>
          <w:spacing w:val="-2"/>
        </w:rPr>
        <w:t> </w:t>
      </w:r>
      <w:r>
        <w:rPr/>
        <w:t>from</w:t>
      </w:r>
      <w:r>
        <w:rPr>
          <w:spacing w:val="-3"/>
        </w:rPr>
        <w:t> </w:t>
      </w:r>
      <w:r>
        <w:rPr/>
        <w:t>their</w:t>
      </w:r>
      <w:r>
        <w:rPr>
          <w:spacing w:val="-2"/>
        </w:rPr>
        <w:t> </w:t>
      </w:r>
      <w:r>
        <w:rPr/>
        <w:t>environment,</w:t>
      </w:r>
      <w:r>
        <w:rPr>
          <w:spacing w:val="-2"/>
        </w:rPr>
        <w:t> </w:t>
      </w:r>
      <w:r>
        <w:rPr/>
        <w:t>transform them into outputs. An organisation receives resources such as equipment, natural resources and the</w:t>
      </w:r>
      <w:r>
        <w:rPr>
          <w:spacing w:val="-4"/>
        </w:rPr>
        <w:t> </w:t>
      </w:r>
      <w:r>
        <w:rPr/>
        <w:t>work</w:t>
      </w:r>
      <w:r>
        <w:rPr>
          <w:spacing w:val="-3"/>
        </w:rPr>
        <w:t> </w:t>
      </w:r>
      <w:r>
        <w:rPr/>
        <w:t>of</w:t>
      </w:r>
      <w:r>
        <w:rPr>
          <w:spacing w:val="-2"/>
        </w:rPr>
        <w:t> </w:t>
      </w:r>
      <w:r>
        <w:rPr/>
        <w:t>employees,</w:t>
      </w:r>
      <w:r>
        <w:rPr>
          <w:spacing w:val="-3"/>
        </w:rPr>
        <w:t> </w:t>
      </w:r>
      <w:r>
        <w:rPr/>
        <w:t>referred</w:t>
      </w:r>
      <w:r>
        <w:rPr>
          <w:spacing w:val="-3"/>
        </w:rPr>
        <w:t> </w:t>
      </w:r>
      <w:r>
        <w:rPr/>
        <w:t>to</w:t>
      </w:r>
      <w:r>
        <w:rPr>
          <w:spacing w:val="-3"/>
        </w:rPr>
        <w:t> </w:t>
      </w:r>
      <w:r>
        <w:rPr/>
        <w:t>as</w:t>
      </w:r>
      <w:r>
        <w:rPr>
          <w:spacing w:val="-3"/>
        </w:rPr>
        <w:t> </w:t>
      </w:r>
      <w:r>
        <w:rPr>
          <w:b/>
        </w:rPr>
        <w:t>inputs</w:t>
      </w:r>
      <w:r>
        <w:rPr/>
        <w:t>.</w:t>
      </w:r>
      <w:r>
        <w:rPr>
          <w:spacing w:val="-3"/>
        </w:rPr>
        <w:t> </w:t>
      </w:r>
      <w:r>
        <w:rPr/>
        <w:t>The</w:t>
      </w:r>
      <w:r>
        <w:rPr>
          <w:spacing w:val="-2"/>
        </w:rPr>
        <w:t> </w:t>
      </w:r>
      <w:r>
        <w:rPr/>
        <w:t>inputs</w:t>
      </w:r>
      <w:r>
        <w:rPr>
          <w:spacing w:val="-3"/>
        </w:rPr>
        <w:t> </w:t>
      </w:r>
      <w:r>
        <w:rPr/>
        <w:t>are</w:t>
      </w:r>
      <w:r>
        <w:rPr>
          <w:spacing w:val="-4"/>
        </w:rPr>
        <w:t> </w:t>
      </w:r>
      <w:r>
        <w:rPr/>
        <w:t>transformed</w:t>
      </w:r>
      <w:r>
        <w:rPr>
          <w:spacing w:val="-3"/>
        </w:rPr>
        <w:t> </w:t>
      </w:r>
      <w:r>
        <w:rPr/>
        <w:t>called</w:t>
      </w:r>
      <w:r>
        <w:rPr>
          <w:spacing w:val="-3"/>
        </w:rPr>
        <w:t> </w:t>
      </w:r>
      <w:r>
        <w:rPr>
          <w:b/>
        </w:rPr>
        <w:t>throughputs</w:t>
      </w:r>
      <w:r>
        <w:rPr>
          <w:b/>
          <w:spacing w:val="-3"/>
        </w:rPr>
        <w:t> </w:t>
      </w:r>
      <w:r>
        <w:rPr/>
        <w:t>and then yield product and services called </w:t>
      </w:r>
      <w:r>
        <w:rPr>
          <w:b/>
        </w:rPr>
        <w:t>outputs</w:t>
      </w:r>
      <w:r>
        <w:rPr/>
        <w:t>. Outputs are realised to the environment.</w:t>
      </w:r>
      <w:r>
        <w:rPr>
          <w:spacing w:val="40"/>
        </w:rPr>
        <w:t> </w:t>
      </w:r>
      <w:r>
        <w:rPr/>
        <w:t>Feedback loops are also an important feature of the open system. They provide information to</w:t>
      </w:r>
      <w:r>
        <w:rPr>
          <w:spacing w:val="40"/>
        </w:rPr>
        <w:t> </w:t>
      </w:r>
      <w:r>
        <w:rPr/>
        <w:t>the organisation by connecting the output to the input. A negative feedback loop indicates that there is a problem that should be corrected. For example the failure of a product design indicated by the need to recall the product. A positive loophole can identify the output that has worked well. For example a successful marketing campaigns that yield high sales.</w:t>
      </w:r>
    </w:p>
    <w:p>
      <w:pPr>
        <w:pStyle w:val="BodyText"/>
        <w:spacing w:line="480" w:lineRule="auto" w:before="159"/>
        <w:ind w:left="399" w:right="1316"/>
        <w:jc w:val="both"/>
      </w:pPr>
      <w:r>
        <w:rPr/>
        <w:t>The </w:t>
      </w:r>
      <w:r>
        <w:rPr>
          <w:b/>
        </w:rPr>
        <w:t>concept of homeostasis </w:t>
      </w:r>
      <w:r>
        <w:rPr/>
        <w:t>in the area of management control means that the system is not looking for a steady equilibrium. Rather it is seeking an improved state. Continuous</w:t>
      </w:r>
      <w:r>
        <w:rPr>
          <w:spacing w:val="40"/>
        </w:rPr>
        <w:t> </w:t>
      </w:r>
      <w:r>
        <w:rPr/>
        <w:t>improvement rather than maintenance of status quo becomes a key issue in the firms. They must continually scan their environment and improve their operations in order to maximize their chances of long run survival and finally, is the concept of equifinality. The usefulness of this concept</w:t>
      </w:r>
      <w:r>
        <w:rPr>
          <w:spacing w:val="-2"/>
        </w:rPr>
        <w:t> </w:t>
      </w:r>
      <w:r>
        <w:rPr/>
        <w:t>of</w:t>
      </w:r>
      <w:r>
        <w:rPr>
          <w:spacing w:val="-3"/>
        </w:rPr>
        <w:t> </w:t>
      </w:r>
      <w:r>
        <w:rPr/>
        <w:t>equifinality</w:t>
      </w:r>
      <w:r>
        <w:rPr>
          <w:spacing w:val="-7"/>
        </w:rPr>
        <w:t> </w:t>
      </w:r>
      <w:r>
        <w:rPr/>
        <w:t>for</w:t>
      </w:r>
      <w:r>
        <w:rPr>
          <w:spacing w:val="-3"/>
        </w:rPr>
        <w:t> </w:t>
      </w:r>
      <w:r>
        <w:rPr/>
        <w:t>small</w:t>
      </w:r>
      <w:r>
        <w:rPr>
          <w:spacing w:val="-2"/>
        </w:rPr>
        <w:t> </w:t>
      </w:r>
      <w:r>
        <w:rPr/>
        <w:t>and</w:t>
      </w:r>
      <w:r>
        <w:rPr>
          <w:spacing w:val="-2"/>
        </w:rPr>
        <w:t> </w:t>
      </w:r>
      <w:r>
        <w:rPr/>
        <w:t>medium construction</w:t>
      </w:r>
      <w:r>
        <w:rPr>
          <w:spacing w:val="-2"/>
        </w:rPr>
        <w:t> </w:t>
      </w:r>
      <w:r>
        <w:rPr/>
        <w:t>firms</w:t>
      </w:r>
      <w:r>
        <w:rPr>
          <w:spacing w:val="-2"/>
        </w:rPr>
        <w:t> </w:t>
      </w:r>
      <w:r>
        <w:rPr/>
        <w:t>is</w:t>
      </w:r>
      <w:r>
        <w:rPr>
          <w:spacing w:val="-2"/>
        </w:rPr>
        <w:t> </w:t>
      </w:r>
      <w:r>
        <w:rPr/>
        <w:t>that</w:t>
      </w:r>
      <w:r>
        <w:rPr>
          <w:spacing w:val="-2"/>
        </w:rPr>
        <w:t> </w:t>
      </w:r>
      <w:r>
        <w:rPr/>
        <w:t>it</w:t>
      </w:r>
      <w:r>
        <w:rPr>
          <w:spacing w:val="-2"/>
        </w:rPr>
        <w:t> </w:t>
      </w:r>
      <w:r>
        <w:rPr/>
        <w:t>keeps</w:t>
      </w:r>
      <w:r>
        <w:rPr>
          <w:spacing w:val="-2"/>
        </w:rPr>
        <w:t> </w:t>
      </w:r>
      <w:r>
        <w:rPr/>
        <w:t>the</w:t>
      </w:r>
      <w:r>
        <w:rPr>
          <w:spacing w:val="-3"/>
        </w:rPr>
        <w:t> </w:t>
      </w:r>
      <w:r>
        <w:rPr/>
        <w:t>designer</w:t>
      </w:r>
      <w:r>
        <w:rPr>
          <w:spacing w:val="-3"/>
        </w:rPr>
        <w:t> </w:t>
      </w:r>
      <w:r>
        <w:rPr/>
        <w:t>from looking</w:t>
      </w:r>
      <w:r>
        <w:rPr>
          <w:spacing w:val="-2"/>
        </w:rPr>
        <w:t> </w:t>
      </w:r>
      <w:r>
        <w:rPr/>
        <w:t>for</w:t>
      </w:r>
      <w:r>
        <w:rPr>
          <w:spacing w:val="-1"/>
        </w:rPr>
        <w:t> </w:t>
      </w:r>
      <w:r>
        <w:rPr/>
        <w:t>a</w:t>
      </w:r>
      <w:r>
        <w:rPr>
          <w:spacing w:val="-1"/>
        </w:rPr>
        <w:t> </w:t>
      </w:r>
      <w:r>
        <w:rPr/>
        <w:t>one</w:t>
      </w:r>
      <w:r>
        <w:rPr>
          <w:spacing w:val="-1"/>
        </w:rPr>
        <w:t> </w:t>
      </w:r>
      <w:r>
        <w:rPr/>
        <w:t>best way</w:t>
      </w:r>
      <w:r>
        <w:rPr>
          <w:spacing w:val="-2"/>
        </w:rPr>
        <w:t> </w:t>
      </w:r>
      <w:r>
        <w:rPr/>
        <w:t>to do things. It recognizes that many</w:t>
      </w:r>
      <w:r>
        <w:rPr>
          <w:spacing w:val="-7"/>
        </w:rPr>
        <w:t> </w:t>
      </w:r>
      <w:r>
        <w:rPr/>
        <w:t>different methods can lead to the same</w:t>
      </w:r>
      <w:r>
        <w:rPr>
          <w:spacing w:val="43"/>
        </w:rPr>
        <w:t> </w:t>
      </w:r>
      <w:r>
        <w:rPr/>
        <w:t>end</w:t>
      </w:r>
      <w:r>
        <w:rPr>
          <w:spacing w:val="47"/>
        </w:rPr>
        <w:t> </w:t>
      </w:r>
      <w:r>
        <w:rPr/>
        <w:t>result.</w:t>
      </w:r>
      <w:r>
        <w:rPr>
          <w:spacing w:val="44"/>
        </w:rPr>
        <w:t> </w:t>
      </w:r>
      <w:r>
        <w:rPr/>
        <w:t>The</w:t>
      </w:r>
      <w:r>
        <w:rPr>
          <w:spacing w:val="46"/>
        </w:rPr>
        <w:t> </w:t>
      </w:r>
      <w:r>
        <w:rPr>
          <w:b/>
        </w:rPr>
        <w:t>concept</w:t>
      </w:r>
      <w:r>
        <w:rPr>
          <w:b/>
          <w:spacing w:val="43"/>
        </w:rPr>
        <w:t> </w:t>
      </w:r>
      <w:r>
        <w:rPr>
          <w:b/>
        </w:rPr>
        <w:t>of</w:t>
      </w:r>
      <w:r>
        <w:rPr>
          <w:b/>
          <w:spacing w:val="46"/>
        </w:rPr>
        <w:t> </w:t>
      </w:r>
      <w:r>
        <w:rPr>
          <w:b/>
        </w:rPr>
        <w:t>equifinality</w:t>
      </w:r>
      <w:r>
        <w:rPr>
          <w:b/>
          <w:spacing w:val="44"/>
        </w:rPr>
        <w:t> </w:t>
      </w:r>
      <w:r>
        <w:rPr/>
        <w:t>sensitizes</w:t>
      </w:r>
      <w:r>
        <w:rPr>
          <w:spacing w:val="44"/>
        </w:rPr>
        <w:t> </w:t>
      </w:r>
      <w:r>
        <w:rPr/>
        <w:t>a</w:t>
      </w:r>
      <w:r>
        <w:rPr>
          <w:spacing w:val="43"/>
        </w:rPr>
        <w:t> </w:t>
      </w:r>
      <w:r>
        <w:rPr/>
        <w:t>designer</w:t>
      </w:r>
      <w:r>
        <w:rPr>
          <w:spacing w:val="43"/>
        </w:rPr>
        <w:t> </w:t>
      </w:r>
      <w:r>
        <w:rPr/>
        <w:t>or</w:t>
      </w:r>
      <w:r>
        <w:rPr>
          <w:spacing w:val="46"/>
        </w:rPr>
        <w:t> </w:t>
      </w:r>
      <w:r>
        <w:rPr/>
        <w:t>contractor</w:t>
      </w:r>
      <w:r>
        <w:rPr>
          <w:spacing w:val="43"/>
        </w:rPr>
        <w:t> </w:t>
      </w:r>
      <w:r>
        <w:rPr/>
        <w:t>to</w:t>
      </w:r>
      <w:r>
        <w:rPr>
          <w:spacing w:val="44"/>
        </w:rPr>
        <w:t> </w:t>
      </w:r>
      <w:r>
        <w:rPr/>
        <w:t>look</w:t>
      </w:r>
      <w:r>
        <w:rPr>
          <w:spacing w:val="48"/>
        </w:rPr>
        <w:t> </w:t>
      </w:r>
      <w:r>
        <w:rPr>
          <w:spacing w:val="-5"/>
        </w:rPr>
        <w:t>for</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solutions anywhere in the system and introduce change where it will be most likely to be effective in attaining the goals of the organization. For example, the productivity of a worker is affected not simply by how a task is designed; it is also affected social environment in which he or she works. Increase in worker productivity, therefore, can be accomplished by</w:t>
      </w:r>
      <w:r>
        <w:rPr>
          <w:spacing w:val="-3"/>
        </w:rPr>
        <w:t> </w:t>
      </w:r>
      <w:r>
        <w:rPr/>
        <w:t>redesigning</w:t>
      </w:r>
      <w:r>
        <w:rPr>
          <w:spacing w:val="-1"/>
        </w:rPr>
        <w:t> </w:t>
      </w:r>
      <w:r>
        <w:rPr/>
        <w:t>the task or by redesigning the social system within the worker is operating.</w:t>
      </w:r>
    </w:p>
    <w:p>
      <w:pPr>
        <w:pStyle w:val="Heading2"/>
        <w:numPr>
          <w:ilvl w:val="2"/>
          <w:numId w:val="4"/>
        </w:numPr>
        <w:tabs>
          <w:tab w:pos="1120" w:val="left" w:leader="none"/>
        </w:tabs>
        <w:spacing w:line="240" w:lineRule="auto" w:before="165" w:after="0"/>
        <w:ind w:left="1120" w:right="0" w:hanging="720"/>
        <w:jc w:val="both"/>
      </w:pPr>
      <w:r>
        <w:rPr/>
        <w:t>TQM</w:t>
      </w:r>
      <w:r>
        <w:rPr>
          <w:spacing w:val="-3"/>
        </w:rPr>
        <w:t> </w:t>
      </w:r>
      <w:r>
        <w:rPr>
          <w:spacing w:val="-2"/>
        </w:rPr>
        <w:t>theories</w:t>
      </w:r>
    </w:p>
    <w:p>
      <w:pPr>
        <w:pStyle w:val="BodyText"/>
        <w:rPr>
          <w:b/>
        </w:rPr>
      </w:pPr>
    </w:p>
    <w:p>
      <w:pPr>
        <w:pStyle w:val="Heading3"/>
        <w:numPr>
          <w:ilvl w:val="3"/>
          <w:numId w:val="4"/>
        </w:numPr>
        <w:tabs>
          <w:tab w:pos="1120" w:val="left" w:leader="none"/>
        </w:tabs>
        <w:spacing w:line="240" w:lineRule="auto" w:before="1" w:after="0"/>
        <w:ind w:left="1120" w:right="0" w:hanging="720"/>
        <w:jc w:val="both"/>
        <w:rPr>
          <w:i w:val="0"/>
        </w:rPr>
      </w:pPr>
      <w:r>
        <w:rPr/>
        <w:t>Walter</w:t>
      </w:r>
      <w:r>
        <w:rPr>
          <w:spacing w:val="-2"/>
        </w:rPr>
        <w:t> </w:t>
      </w:r>
      <w:r>
        <w:rPr/>
        <w:t>A.</w:t>
      </w:r>
      <w:r>
        <w:rPr>
          <w:spacing w:val="-2"/>
        </w:rPr>
        <w:t> </w:t>
      </w:r>
      <w:r>
        <w:rPr/>
        <w:t>Shewhart’s</w:t>
      </w:r>
      <w:r>
        <w:rPr>
          <w:spacing w:val="-1"/>
        </w:rPr>
        <w:t> </w:t>
      </w:r>
      <w:r>
        <w:rPr>
          <w:spacing w:val="-2"/>
        </w:rPr>
        <w:t>philosophy</w:t>
      </w:r>
    </w:p>
    <w:p>
      <w:pPr>
        <w:pStyle w:val="BodyText"/>
        <w:spacing w:line="480" w:lineRule="auto" w:before="271"/>
        <w:ind w:left="400" w:right="1318"/>
        <w:jc w:val="both"/>
      </w:pPr>
      <w:r>
        <w:rPr/>
        <w:t>Walter A. Shewhart (1891-1967) who is regarded as the father of contemporary quality control, identified problems which existed in production and linked them with the rejection of a product by the customer, Shewhart established the cycle for learning and improvement as in Figure (2.2) – the quality management concept and tool. Moreover, the AT&amp;T Company in Chicago is the first company which utilised quality concepts for product improvement.</w:t>
      </w:r>
    </w:p>
    <w:p>
      <w:pPr>
        <w:pStyle w:val="BodyText"/>
        <w:spacing w:line="480" w:lineRule="auto"/>
        <w:ind w:left="400" w:right="1317"/>
        <w:jc w:val="both"/>
      </w:pPr>
      <w:r>
        <w:rPr/>
        <w:t>Walter Shewhart in the USA during the 1920s and with the Bell Laboratories paid attention to</w:t>
      </w:r>
      <w:r>
        <w:rPr>
          <w:spacing w:val="40"/>
        </w:rPr>
        <w:t> </w:t>
      </w:r>
      <w:r>
        <w:rPr/>
        <w:t>the TQM concept through statistical process control (SPC). The design of the plan-do-check-act cycle was the scientific method to improve the work process. In addition to this Shewhart’s concern was to develop a system to measure variables in production. His early work on the statistical control processes and the control chart established a foundation for the quality of management movement.</w:t>
      </w:r>
    </w:p>
    <w:p>
      <w:pPr>
        <w:pStyle w:val="BodyText"/>
        <w:spacing w:line="480" w:lineRule="auto"/>
        <w:ind w:left="400" w:right="1318"/>
        <w:jc w:val="both"/>
      </w:pPr>
      <w:r>
        <w:rPr/>
        <w:t>Shewhart's emphasis on the need for statistical analysis to create an adequate understanding of work processes was clearly seminal for grasping the essence and causes of variation, both controlled and uncontrolled, (Bank, 1992 in Twaissi, 2008).</w:t>
      </w:r>
    </w:p>
    <w:p>
      <w:pPr>
        <w:spacing w:after="0" w:line="480" w:lineRule="auto"/>
        <w:jc w:val="both"/>
        <w:sectPr>
          <w:pgSz w:w="12240" w:h="15840"/>
          <w:pgMar w:header="0" w:footer="1017" w:top="1360" w:bottom="1200" w:left="1040" w:right="120"/>
        </w:sectPr>
      </w:pPr>
    </w:p>
    <w:p>
      <w:pPr>
        <w:tabs>
          <w:tab w:pos="2494" w:val="left" w:leader="none"/>
          <w:tab w:pos="7402" w:val="left" w:leader="none"/>
        </w:tabs>
        <w:spacing w:line="240" w:lineRule="auto"/>
        <w:ind w:left="1651" w:right="0" w:firstLine="0"/>
        <w:jc w:val="left"/>
        <w:rPr>
          <w:sz w:val="20"/>
        </w:rPr>
      </w:pPr>
      <w:r>
        <w:rPr>
          <w:position w:val="61"/>
          <w:sz w:val="20"/>
        </w:rPr>
        <mc:AlternateContent>
          <mc:Choice Requires="wps">
            <w:drawing>
              <wp:inline distT="0" distB="0" distL="0" distR="0">
                <wp:extent cx="341630" cy="1468755"/>
                <wp:effectExtent l="9525" t="0" r="1270" b="7619"/>
                <wp:docPr id="57" name="Group 57"/>
                <wp:cNvGraphicFramePr>
                  <a:graphicFrameLocks/>
                </wp:cNvGraphicFramePr>
                <a:graphic>
                  <a:graphicData uri="http://schemas.microsoft.com/office/word/2010/wordprocessingGroup">
                    <wpg:wgp>
                      <wpg:cNvPr id="57" name="Group 57"/>
                      <wpg:cNvGrpSpPr/>
                      <wpg:grpSpPr>
                        <a:xfrm>
                          <a:off x="0" y="0"/>
                          <a:ext cx="341630" cy="1468755"/>
                          <a:chExt cx="341630" cy="1468755"/>
                        </a:xfrm>
                      </wpg:grpSpPr>
                      <wps:wsp>
                        <wps:cNvPr id="58" name="Graphic 58"/>
                        <wps:cNvSpPr/>
                        <wps:spPr>
                          <a:xfrm>
                            <a:off x="4762" y="4762"/>
                            <a:ext cx="332105" cy="1459230"/>
                          </a:xfrm>
                          <a:custGeom>
                            <a:avLst/>
                            <a:gdLst/>
                            <a:ahLst/>
                            <a:cxnLst/>
                            <a:rect l="l" t="t" r="r" b="b"/>
                            <a:pathLst>
                              <a:path w="332105" h="1459230">
                                <a:moveTo>
                                  <a:pt x="0" y="364807"/>
                                </a:moveTo>
                                <a:lnTo>
                                  <a:pt x="83019" y="364807"/>
                                </a:lnTo>
                                <a:lnTo>
                                  <a:pt x="83019" y="1459230"/>
                                </a:lnTo>
                                <a:lnTo>
                                  <a:pt x="249072" y="1459230"/>
                                </a:lnTo>
                                <a:lnTo>
                                  <a:pt x="249072" y="364807"/>
                                </a:lnTo>
                                <a:lnTo>
                                  <a:pt x="332105" y="364807"/>
                                </a:lnTo>
                                <a:lnTo>
                                  <a:pt x="166052" y="0"/>
                                </a:lnTo>
                                <a:lnTo>
                                  <a:pt x="0" y="36480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9pt;height:115.65pt;mso-position-horizontal-relative:char;mso-position-vertical-relative:line" id="docshapegroup49" coordorigin="0,0" coordsize="538,2313">
                <v:shape style="position:absolute;left:7;top:7;width:523;height:2298" id="docshape50" coordorigin="8,8" coordsize="523,2298" path="m8,582l138,582,138,2306,400,2306,400,582,531,582,269,8,8,582xe" filled="false" stroked="true" strokeweight=".75pt" strokecolor="#000000">
                  <v:path arrowok="t"/>
                  <v:stroke dashstyle="solid"/>
                </v:shape>
              </v:group>
            </w:pict>
          </mc:Fallback>
        </mc:AlternateContent>
      </w:r>
      <w:r>
        <w:rPr>
          <w:position w:val="61"/>
          <w:sz w:val="20"/>
        </w:rPr>
      </w:r>
      <w:r>
        <w:rPr>
          <w:position w:val="61"/>
          <w:sz w:val="20"/>
        </w:rPr>
        <w:tab/>
      </w:r>
      <w:r>
        <w:rPr>
          <w:sz w:val="20"/>
        </w:rPr>
        <mc:AlternateContent>
          <mc:Choice Requires="wps">
            <w:drawing>
              <wp:inline distT="0" distB="0" distL="0" distR="0">
                <wp:extent cx="2766060" cy="2226310"/>
                <wp:effectExtent l="0" t="0" r="0" b="2539"/>
                <wp:docPr id="59" name="Group 59"/>
                <wp:cNvGraphicFramePr>
                  <a:graphicFrameLocks/>
                </wp:cNvGraphicFramePr>
                <a:graphic>
                  <a:graphicData uri="http://schemas.microsoft.com/office/word/2010/wordprocessingGroup">
                    <wpg:wgp>
                      <wpg:cNvPr id="59" name="Group 59"/>
                      <wpg:cNvGrpSpPr/>
                      <wpg:grpSpPr>
                        <a:xfrm>
                          <a:off x="0" y="0"/>
                          <a:ext cx="2766060" cy="2226310"/>
                          <a:chExt cx="2766060" cy="2226310"/>
                        </a:xfrm>
                      </wpg:grpSpPr>
                      <pic:pic>
                        <pic:nvPicPr>
                          <pic:cNvPr id="60" name="Image 60"/>
                          <pic:cNvPicPr/>
                        </pic:nvPicPr>
                        <pic:blipFill>
                          <a:blip r:embed="rId8" cstate="print"/>
                          <a:stretch>
                            <a:fillRect/>
                          </a:stretch>
                        </pic:blipFill>
                        <pic:spPr>
                          <a:xfrm>
                            <a:off x="0" y="0"/>
                            <a:ext cx="2765964" cy="2225700"/>
                          </a:xfrm>
                          <a:prstGeom prst="rect">
                            <a:avLst/>
                          </a:prstGeom>
                        </pic:spPr>
                      </pic:pic>
                      <wps:wsp>
                        <wps:cNvPr id="61" name="Textbox 61"/>
                        <wps:cNvSpPr txBox="1"/>
                        <wps:spPr>
                          <a:xfrm>
                            <a:off x="441198" y="812482"/>
                            <a:ext cx="557530" cy="140335"/>
                          </a:xfrm>
                          <a:prstGeom prst="rect">
                            <a:avLst/>
                          </a:prstGeom>
                        </wps:spPr>
                        <wps:txbx>
                          <w:txbxContent>
                            <w:p>
                              <w:pPr>
                                <w:spacing w:line="221" w:lineRule="exact" w:before="0"/>
                                <w:ind w:left="0" w:right="0" w:firstLine="0"/>
                                <w:jc w:val="left"/>
                                <w:rPr>
                                  <w:rFonts w:ascii="Calibri"/>
                                  <w:sz w:val="22"/>
                                </w:rPr>
                              </w:pPr>
                              <w:r>
                                <w:rPr>
                                  <w:rFonts w:ascii="Calibri"/>
                                  <w:sz w:val="22"/>
                                </w:rPr>
                                <w:t>4</w:t>
                              </w:r>
                              <w:r>
                                <w:rPr>
                                  <w:rFonts w:ascii="Calibri"/>
                                  <w:spacing w:val="-1"/>
                                  <w:sz w:val="22"/>
                                </w:rPr>
                                <w:t> </w:t>
                              </w:r>
                              <w:r>
                                <w:rPr>
                                  <w:rFonts w:ascii="Calibri"/>
                                  <w:sz w:val="22"/>
                                </w:rPr>
                                <w:t>- </w:t>
                              </w:r>
                              <w:r>
                                <w:rPr>
                                  <w:rFonts w:ascii="Calibri"/>
                                  <w:spacing w:val="-2"/>
                                  <w:sz w:val="22"/>
                                </w:rPr>
                                <w:t>Action</w:t>
                              </w:r>
                            </w:p>
                          </w:txbxContent>
                        </wps:txbx>
                        <wps:bodyPr wrap="square" lIns="0" tIns="0" rIns="0" bIns="0" rtlCol="0">
                          <a:noAutofit/>
                        </wps:bodyPr>
                      </wps:wsp>
                      <wps:wsp>
                        <wps:cNvPr id="62" name="Textbox 62"/>
                        <wps:cNvSpPr txBox="1"/>
                        <wps:spPr>
                          <a:xfrm>
                            <a:off x="1605533" y="812482"/>
                            <a:ext cx="405130" cy="140335"/>
                          </a:xfrm>
                          <a:prstGeom prst="rect">
                            <a:avLst/>
                          </a:prstGeom>
                        </wps:spPr>
                        <wps:txbx>
                          <w:txbxContent>
                            <w:p>
                              <w:pPr>
                                <w:spacing w:line="221" w:lineRule="exact" w:before="0"/>
                                <w:ind w:left="0" w:right="0" w:firstLine="0"/>
                                <w:jc w:val="left"/>
                                <w:rPr>
                                  <w:rFonts w:ascii="Calibri"/>
                                  <w:sz w:val="22"/>
                                </w:rPr>
                              </w:pPr>
                              <w:r>
                                <w:rPr>
                                  <w:rFonts w:ascii="Calibri"/>
                                  <w:sz w:val="22"/>
                                </w:rPr>
                                <w:t>1- </w:t>
                              </w:r>
                              <w:r>
                                <w:rPr>
                                  <w:rFonts w:ascii="Calibri"/>
                                  <w:spacing w:val="-4"/>
                                  <w:sz w:val="22"/>
                                </w:rPr>
                                <w:t>Plan</w:t>
                              </w:r>
                            </w:p>
                          </w:txbxContent>
                        </wps:txbx>
                        <wps:bodyPr wrap="square" lIns="0" tIns="0" rIns="0" bIns="0" rtlCol="0">
                          <a:noAutofit/>
                        </wps:bodyPr>
                      </wps:wsp>
                      <wps:wsp>
                        <wps:cNvPr id="63" name="Textbox 63"/>
                        <wps:cNvSpPr txBox="1"/>
                        <wps:spPr>
                          <a:xfrm>
                            <a:off x="505205" y="1681162"/>
                            <a:ext cx="480059" cy="140335"/>
                          </a:xfrm>
                          <a:prstGeom prst="rect">
                            <a:avLst/>
                          </a:prstGeom>
                        </wps:spPr>
                        <wps:txbx>
                          <w:txbxContent>
                            <w:p>
                              <w:pPr>
                                <w:spacing w:line="221" w:lineRule="exact" w:before="0"/>
                                <w:ind w:left="0" w:right="0" w:firstLine="0"/>
                                <w:jc w:val="left"/>
                                <w:rPr>
                                  <w:rFonts w:ascii="Calibri"/>
                                  <w:sz w:val="22"/>
                                </w:rPr>
                              </w:pPr>
                              <w:r>
                                <w:rPr>
                                  <w:rFonts w:ascii="Calibri"/>
                                  <w:sz w:val="22"/>
                                </w:rPr>
                                <w:t>3- </w:t>
                              </w:r>
                              <w:r>
                                <w:rPr>
                                  <w:rFonts w:ascii="Calibri"/>
                                  <w:spacing w:val="-2"/>
                                  <w:sz w:val="22"/>
                                </w:rPr>
                                <w:t>Study</w:t>
                              </w:r>
                            </w:p>
                          </w:txbxContent>
                        </wps:txbx>
                        <wps:bodyPr wrap="square" lIns="0" tIns="0" rIns="0" bIns="0" rtlCol="0">
                          <a:noAutofit/>
                        </wps:bodyPr>
                      </wps:wsp>
                      <wps:wsp>
                        <wps:cNvPr id="64" name="Textbox 64"/>
                        <wps:cNvSpPr txBox="1"/>
                        <wps:spPr>
                          <a:xfrm>
                            <a:off x="1604010" y="1681162"/>
                            <a:ext cx="317500" cy="140335"/>
                          </a:xfrm>
                          <a:prstGeom prst="rect">
                            <a:avLst/>
                          </a:prstGeom>
                        </wps:spPr>
                        <wps:txbx>
                          <w:txbxContent>
                            <w:p>
                              <w:pPr>
                                <w:spacing w:line="221" w:lineRule="exact" w:before="0"/>
                                <w:ind w:left="0" w:right="0" w:firstLine="0"/>
                                <w:jc w:val="left"/>
                                <w:rPr>
                                  <w:rFonts w:ascii="Calibri"/>
                                  <w:sz w:val="22"/>
                                </w:rPr>
                              </w:pPr>
                              <w:r>
                                <w:rPr>
                                  <w:rFonts w:ascii="Calibri"/>
                                  <w:sz w:val="22"/>
                                </w:rPr>
                                <w:t>2- </w:t>
                              </w:r>
                              <w:r>
                                <w:rPr>
                                  <w:rFonts w:ascii="Calibri"/>
                                  <w:spacing w:val="-5"/>
                                  <w:sz w:val="22"/>
                                </w:rPr>
                                <w:t>Do</w:t>
                              </w:r>
                            </w:p>
                          </w:txbxContent>
                        </wps:txbx>
                        <wps:bodyPr wrap="square" lIns="0" tIns="0" rIns="0" bIns="0" rtlCol="0">
                          <a:noAutofit/>
                        </wps:bodyPr>
                      </wps:wsp>
                    </wpg:wgp>
                  </a:graphicData>
                </a:graphic>
              </wp:inline>
            </w:drawing>
          </mc:Choice>
          <mc:Fallback>
            <w:pict>
              <v:group style="width:217.8pt;height:175.3pt;mso-position-horizontal-relative:char;mso-position-vertical-relative:line" id="docshapegroup51" coordorigin="0,0" coordsize="4356,3506">
                <v:shape style="position:absolute;left:0;top:0;width:4356;height:3506" type="#_x0000_t75" id="docshape52" stroked="false">
                  <v:imagedata r:id="rId8" o:title=""/>
                </v:shape>
                <v:shape style="position:absolute;left:694;top:1279;width:878;height:221" type="#_x0000_t202" id="docshape53" filled="false" stroked="false">
                  <v:textbox inset="0,0,0,0">
                    <w:txbxContent>
                      <w:p>
                        <w:pPr>
                          <w:spacing w:line="221" w:lineRule="exact" w:before="0"/>
                          <w:ind w:left="0" w:right="0" w:firstLine="0"/>
                          <w:jc w:val="left"/>
                          <w:rPr>
                            <w:rFonts w:ascii="Calibri"/>
                            <w:sz w:val="22"/>
                          </w:rPr>
                        </w:pPr>
                        <w:r>
                          <w:rPr>
                            <w:rFonts w:ascii="Calibri"/>
                            <w:sz w:val="22"/>
                          </w:rPr>
                          <w:t>4</w:t>
                        </w:r>
                        <w:r>
                          <w:rPr>
                            <w:rFonts w:ascii="Calibri"/>
                            <w:spacing w:val="-1"/>
                            <w:sz w:val="22"/>
                          </w:rPr>
                          <w:t> </w:t>
                        </w:r>
                        <w:r>
                          <w:rPr>
                            <w:rFonts w:ascii="Calibri"/>
                            <w:sz w:val="22"/>
                          </w:rPr>
                          <w:t>- </w:t>
                        </w:r>
                        <w:r>
                          <w:rPr>
                            <w:rFonts w:ascii="Calibri"/>
                            <w:spacing w:val="-2"/>
                            <w:sz w:val="22"/>
                          </w:rPr>
                          <w:t>Action</w:t>
                        </w:r>
                      </w:p>
                    </w:txbxContent>
                  </v:textbox>
                  <w10:wrap type="none"/>
                </v:shape>
                <v:shape style="position:absolute;left:2528;top:1279;width:638;height:221" type="#_x0000_t202" id="docshape54" filled="false" stroked="false">
                  <v:textbox inset="0,0,0,0">
                    <w:txbxContent>
                      <w:p>
                        <w:pPr>
                          <w:spacing w:line="221" w:lineRule="exact" w:before="0"/>
                          <w:ind w:left="0" w:right="0" w:firstLine="0"/>
                          <w:jc w:val="left"/>
                          <w:rPr>
                            <w:rFonts w:ascii="Calibri"/>
                            <w:sz w:val="22"/>
                          </w:rPr>
                        </w:pPr>
                        <w:r>
                          <w:rPr>
                            <w:rFonts w:ascii="Calibri"/>
                            <w:sz w:val="22"/>
                          </w:rPr>
                          <w:t>1- </w:t>
                        </w:r>
                        <w:r>
                          <w:rPr>
                            <w:rFonts w:ascii="Calibri"/>
                            <w:spacing w:val="-4"/>
                            <w:sz w:val="22"/>
                          </w:rPr>
                          <w:t>Plan</w:t>
                        </w:r>
                      </w:p>
                    </w:txbxContent>
                  </v:textbox>
                  <w10:wrap type="none"/>
                </v:shape>
                <v:shape style="position:absolute;left:795;top:2647;width:756;height:221" type="#_x0000_t202" id="docshape55" filled="false" stroked="false">
                  <v:textbox inset="0,0,0,0">
                    <w:txbxContent>
                      <w:p>
                        <w:pPr>
                          <w:spacing w:line="221" w:lineRule="exact" w:before="0"/>
                          <w:ind w:left="0" w:right="0" w:firstLine="0"/>
                          <w:jc w:val="left"/>
                          <w:rPr>
                            <w:rFonts w:ascii="Calibri"/>
                            <w:sz w:val="22"/>
                          </w:rPr>
                        </w:pPr>
                        <w:r>
                          <w:rPr>
                            <w:rFonts w:ascii="Calibri"/>
                            <w:sz w:val="22"/>
                          </w:rPr>
                          <w:t>3- </w:t>
                        </w:r>
                        <w:r>
                          <w:rPr>
                            <w:rFonts w:ascii="Calibri"/>
                            <w:spacing w:val="-2"/>
                            <w:sz w:val="22"/>
                          </w:rPr>
                          <w:t>Study</w:t>
                        </w:r>
                      </w:p>
                    </w:txbxContent>
                  </v:textbox>
                  <w10:wrap type="none"/>
                </v:shape>
                <v:shape style="position:absolute;left:2526;top:2647;width:500;height:221" type="#_x0000_t202" id="docshape56" filled="false" stroked="false">
                  <v:textbox inset="0,0,0,0">
                    <w:txbxContent>
                      <w:p>
                        <w:pPr>
                          <w:spacing w:line="221" w:lineRule="exact" w:before="0"/>
                          <w:ind w:left="0" w:right="0" w:firstLine="0"/>
                          <w:jc w:val="left"/>
                          <w:rPr>
                            <w:rFonts w:ascii="Calibri"/>
                            <w:sz w:val="22"/>
                          </w:rPr>
                        </w:pPr>
                        <w:r>
                          <w:rPr>
                            <w:rFonts w:ascii="Calibri"/>
                            <w:sz w:val="22"/>
                          </w:rPr>
                          <w:t>2- </w:t>
                        </w:r>
                        <w:r>
                          <w:rPr>
                            <w:rFonts w:ascii="Calibri"/>
                            <w:spacing w:val="-5"/>
                            <w:sz w:val="22"/>
                          </w:rPr>
                          <w:t>Do</w:t>
                        </w:r>
                      </w:p>
                    </w:txbxContent>
                  </v:textbox>
                  <w10:wrap type="none"/>
                </v:shape>
              </v:group>
            </w:pict>
          </mc:Fallback>
        </mc:AlternateContent>
      </w:r>
      <w:r>
        <w:rPr>
          <w:sz w:val="20"/>
        </w:rPr>
      </w:r>
      <w:r>
        <w:rPr>
          <w:sz w:val="20"/>
        </w:rPr>
        <w:tab/>
      </w:r>
      <w:r>
        <w:rPr>
          <w:position w:val="76"/>
          <w:sz w:val="20"/>
        </w:rPr>
        <mc:AlternateContent>
          <mc:Choice Requires="wps">
            <w:drawing>
              <wp:inline distT="0" distB="0" distL="0" distR="0">
                <wp:extent cx="341630" cy="1245235"/>
                <wp:effectExtent l="9525" t="0" r="1270" b="12065"/>
                <wp:docPr id="65" name="Group 65"/>
                <wp:cNvGraphicFramePr>
                  <a:graphicFrameLocks/>
                </wp:cNvGraphicFramePr>
                <a:graphic>
                  <a:graphicData uri="http://schemas.microsoft.com/office/word/2010/wordprocessingGroup">
                    <wpg:wgp>
                      <wpg:cNvPr id="65" name="Group 65"/>
                      <wpg:cNvGrpSpPr/>
                      <wpg:grpSpPr>
                        <a:xfrm>
                          <a:off x="0" y="0"/>
                          <a:ext cx="341630" cy="1245235"/>
                          <a:chExt cx="341630" cy="1245235"/>
                        </a:xfrm>
                      </wpg:grpSpPr>
                      <wps:wsp>
                        <wps:cNvPr id="66" name="Graphic 66"/>
                        <wps:cNvSpPr/>
                        <wps:spPr>
                          <a:xfrm>
                            <a:off x="4762" y="4762"/>
                            <a:ext cx="332105" cy="1235710"/>
                          </a:xfrm>
                          <a:custGeom>
                            <a:avLst/>
                            <a:gdLst/>
                            <a:ahLst/>
                            <a:cxnLst/>
                            <a:rect l="l" t="t" r="r" b="b"/>
                            <a:pathLst>
                              <a:path w="332105" h="1235710">
                                <a:moveTo>
                                  <a:pt x="331622" y="918629"/>
                                </a:moveTo>
                                <a:lnTo>
                                  <a:pt x="248716" y="923074"/>
                                </a:lnTo>
                                <a:lnTo>
                                  <a:pt x="199199" y="0"/>
                                </a:lnTo>
                                <a:lnTo>
                                  <a:pt x="33388" y="8889"/>
                                </a:lnTo>
                                <a:lnTo>
                                  <a:pt x="82905" y="931964"/>
                                </a:lnTo>
                                <a:lnTo>
                                  <a:pt x="0" y="936421"/>
                                </a:lnTo>
                                <a:lnTo>
                                  <a:pt x="182308" y="1235214"/>
                                </a:lnTo>
                                <a:lnTo>
                                  <a:pt x="331622" y="9186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9pt;height:98.05pt;mso-position-horizontal-relative:char;mso-position-vertical-relative:line" id="docshapegroup57" coordorigin="0,0" coordsize="538,1961">
                <v:shape style="position:absolute;left:7;top:7;width:523;height:1946" id="docshape58" coordorigin="8,8" coordsize="523,1946" path="m530,1454l399,1461,321,7,60,21,138,1475,8,1482,295,1953,530,1454xe" filled="false" stroked="true" strokeweight=".75pt" strokecolor="#000000">
                  <v:path arrowok="t"/>
                  <v:stroke dashstyle="solid"/>
                </v:shape>
              </v:group>
            </w:pict>
          </mc:Fallback>
        </mc:AlternateContent>
      </w:r>
      <w:r>
        <w:rPr>
          <w:position w:val="76"/>
          <w:sz w:val="20"/>
        </w:rPr>
      </w:r>
    </w:p>
    <w:p>
      <w:pPr>
        <w:pStyle w:val="BodyText"/>
        <w:rPr>
          <w:sz w:val="20"/>
        </w:rPr>
      </w:pPr>
    </w:p>
    <w:p>
      <w:pPr>
        <w:pStyle w:val="BodyText"/>
        <w:spacing w:before="55"/>
        <w:rPr>
          <w:sz w:val="20"/>
        </w:rPr>
      </w:pPr>
      <w:r>
        <w:rPr/>
        <mc:AlternateContent>
          <mc:Choice Requires="wps">
            <w:drawing>
              <wp:anchor distT="0" distB="0" distL="0" distR="0" allowOverlap="1" layoutInCell="1" locked="0" behindDoc="1" simplePos="0" relativeHeight="487594496">
                <wp:simplePos x="0" y="0"/>
                <wp:positionH relativeFrom="page">
                  <wp:posOffset>2997200</wp:posOffset>
                </wp:positionH>
                <wp:positionV relativeFrom="paragraph">
                  <wp:posOffset>196227</wp:posOffset>
                </wp:positionV>
                <wp:extent cx="1459230" cy="33210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459230" cy="332105"/>
                        </a:xfrm>
                        <a:custGeom>
                          <a:avLst/>
                          <a:gdLst/>
                          <a:ahLst/>
                          <a:cxnLst/>
                          <a:rect l="l" t="t" r="r" b="b"/>
                          <a:pathLst>
                            <a:path w="1459230" h="332105">
                              <a:moveTo>
                                <a:pt x="364807" y="332104"/>
                              </a:moveTo>
                              <a:lnTo>
                                <a:pt x="364807" y="249072"/>
                              </a:lnTo>
                              <a:lnTo>
                                <a:pt x="1459230" y="249072"/>
                              </a:lnTo>
                              <a:lnTo>
                                <a:pt x="1459230" y="83032"/>
                              </a:lnTo>
                              <a:lnTo>
                                <a:pt x="364807" y="83032"/>
                              </a:lnTo>
                              <a:lnTo>
                                <a:pt x="364807" y="0"/>
                              </a:lnTo>
                              <a:lnTo>
                                <a:pt x="0" y="166052"/>
                              </a:lnTo>
                              <a:lnTo>
                                <a:pt x="364807" y="33210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6pt;margin-top:15.450976pt;width:114.9pt;height:26.15pt;mso-position-horizontal-relative:page;mso-position-vertical-relative:paragraph;z-index:-15721984;mso-wrap-distance-left:0;mso-wrap-distance-right:0" id="docshape59" coordorigin="4720,309" coordsize="2298,523" path="m5295,832l5295,701,7018,701,7018,440,5295,440,5295,309,4720,571,5295,832xe" filled="false" stroked="true" strokeweight=".75pt" strokecolor="#000000">
                <v:path arrowok="t"/>
                <v:stroke dashstyle="solid"/>
                <w10:wrap type="topAndBottom"/>
              </v:shape>
            </w:pict>
          </mc:Fallback>
        </mc:AlternateContent>
      </w:r>
    </w:p>
    <w:p>
      <w:pPr>
        <w:pStyle w:val="BodyText"/>
        <w:spacing w:before="259"/>
      </w:pPr>
    </w:p>
    <w:p>
      <w:pPr>
        <w:pStyle w:val="Heading2"/>
        <w:spacing w:line="480" w:lineRule="auto"/>
        <w:ind w:right="7260"/>
        <w:jc w:val="left"/>
      </w:pPr>
      <w:r>
        <w:rPr/>
        <w:t>Figure</w:t>
      </w:r>
      <w:r>
        <w:rPr>
          <w:spacing w:val="-10"/>
        </w:rPr>
        <w:t> </w:t>
      </w:r>
      <w:r>
        <w:rPr/>
        <w:t>2.2:</w:t>
      </w:r>
      <w:r>
        <w:rPr>
          <w:spacing w:val="-10"/>
        </w:rPr>
        <w:t> </w:t>
      </w:r>
      <w:r>
        <w:rPr/>
        <w:t>The</w:t>
      </w:r>
      <w:r>
        <w:rPr>
          <w:spacing w:val="-10"/>
        </w:rPr>
        <w:t> </w:t>
      </w:r>
      <w:r>
        <w:rPr/>
        <w:t>PDSA</w:t>
      </w:r>
      <w:r>
        <w:rPr>
          <w:spacing w:val="-10"/>
        </w:rPr>
        <w:t> </w:t>
      </w:r>
      <w:r>
        <w:rPr/>
        <w:t>Cycle Source: Ahmed (2010)</w:t>
      </w:r>
    </w:p>
    <w:p>
      <w:pPr>
        <w:pStyle w:val="BodyText"/>
        <w:rPr>
          <w:b/>
        </w:rPr>
      </w:pPr>
    </w:p>
    <w:p>
      <w:pPr>
        <w:pStyle w:val="BodyText"/>
        <w:rPr>
          <w:b/>
        </w:rPr>
      </w:pPr>
    </w:p>
    <w:p>
      <w:pPr>
        <w:pStyle w:val="Heading3"/>
        <w:numPr>
          <w:ilvl w:val="3"/>
          <w:numId w:val="4"/>
        </w:numPr>
        <w:tabs>
          <w:tab w:pos="1120" w:val="left" w:leader="none"/>
        </w:tabs>
        <w:spacing w:line="240" w:lineRule="auto" w:before="0" w:after="0"/>
        <w:ind w:left="1120" w:right="0" w:hanging="720"/>
        <w:jc w:val="both"/>
        <w:rPr>
          <w:i w:val="0"/>
        </w:rPr>
      </w:pPr>
      <w:r>
        <w:rPr/>
        <w:t>Deming's </w:t>
      </w:r>
      <w:r>
        <w:rPr>
          <w:spacing w:val="-2"/>
        </w:rPr>
        <w:t>philosophy</w:t>
      </w:r>
    </w:p>
    <w:p>
      <w:pPr>
        <w:pStyle w:val="BodyText"/>
        <w:spacing w:line="480" w:lineRule="auto" w:before="272"/>
        <w:ind w:left="400" w:right="1316"/>
        <w:jc w:val="both"/>
      </w:pPr>
      <w:r>
        <w:rPr/>
        <w:t>Dr W. Edwards Deming is the most widely known of all the quality gurus. He gained fame by teaching the Japanese the concepts and techniques of quality that facilitated to rebuild their economy and modified the performance of whole sectors after the Second World War and was awarded Japan's highest Imperial honour, the Second Order of the Sacred Treasure in 1960. In the USA, he is recognised in the annual Deming Prize award.</w:t>
      </w:r>
    </w:p>
    <w:p>
      <w:pPr>
        <w:pStyle w:val="BodyText"/>
        <w:spacing w:line="480" w:lineRule="auto" w:before="199"/>
        <w:ind w:left="400" w:right="1316" w:firstLine="60"/>
        <w:jc w:val="both"/>
      </w:pPr>
      <w:r>
        <w:rPr/>
        <w:t>Deming's major philosophy is quality improvement through statistical control and reduction in variability. He explained that "statistical control does not imply</w:t>
      </w:r>
      <w:r>
        <w:rPr>
          <w:spacing w:val="-6"/>
        </w:rPr>
        <w:t> </w:t>
      </w:r>
      <w:r>
        <w:rPr/>
        <w:t>the absence of defective items. It is a state of random variation in which the limits of variation are predictable". According to Deming, many companies waste time and money looking for causes of chance or random variation</w:t>
      </w:r>
      <w:r>
        <w:rPr>
          <w:spacing w:val="1"/>
        </w:rPr>
        <w:t> </w:t>
      </w:r>
      <w:r>
        <w:rPr/>
        <w:t>in</w:t>
      </w:r>
      <w:r>
        <w:rPr>
          <w:spacing w:val="3"/>
        </w:rPr>
        <w:t> </w:t>
      </w:r>
      <w:r>
        <w:rPr/>
        <w:t>attempting</w:t>
      </w:r>
      <w:r>
        <w:rPr>
          <w:spacing w:val="1"/>
        </w:rPr>
        <w:t> </w:t>
      </w:r>
      <w:r>
        <w:rPr/>
        <w:t>to</w:t>
      </w:r>
      <w:r>
        <w:rPr>
          <w:spacing w:val="6"/>
        </w:rPr>
        <w:t> </w:t>
      </w:r>
      <w:r>
        <w:rPr/>
        <w:t>solve</w:t>
      </w:r>
      <w:r>
        <w:rPr>
          <w:spacing w:val="2"/>
        </w:rPr>
        <w:t> </w:t>
      </w:r>
      <w:r>
        <w:rPr/>
        <w:t>quality problems</w:t>
      </w:r>
      <w:r>
        <w:rPr>
          <w:spacing w:val="6"/>
        </w:rPr>
        <w:t> </w:t>
      </w:r>
      <w:r>
        <w:rPr/>
        <w:t>without</w:t>
      </w:r>
      <w:r>
        <w:rPr>
          <w:spacing w:val="4"/>
        </w:rPr>
        <w:t> </w:t>
      </w:r>
      <w:r>
        <w:rPr/>
        <w:t>using</w:t>
      </w:r>
      <w:r>
        <w:rPr>
          <w:spacing w:val="1"/>
        </w:rPr>
        <w:t> </w:t>
      </w:r>
      <w:r>
        <w:rPr/>
        <w:t>statistical</w:t>
      </w:r>
      <w:r>
        <w:rPr>
          <w:spacing w:val="4"/>
        </w:rPr>
        <w:t> </w:t>
      </w:r>
      <w:r>
        <w:rPr/>
        <w:t>methods.</w:t>
      </w:r>
      <w:r>
        <w:rPr>
          <w:spacing w:val="3"/>
        </w:rPr>
        <w:t> </w:t>
      </w:r>
      <w:r>
        <w:rPr/>
        <w:t>He</w:t>
      </w:r>
      <w:r>
        <w:rPr>
          <w:spacing w:val="3"/>
        </w:rPr>
        <w:t> </w:t>
      </w:r>
      <w:r>
        <w:rPr>
          <w:spacing w:val="-2"/>
        </w:rPr>
        <w:t>advocates</w:t>
      </w:r>
    </w:p>
    <w:p>
      <w:pPr>
        <w:spacing w:after="0" w:line="480" w:lineRule="auto"/>
        <w:jc w:val="both"/>
        <w:sectPr>
          <w:pgSz w:w="12240" w:h="15840"/>
          <w:pgMar w:header="0" w:footer="1017" w:top="1560" w:bottom="1200" w:left="1040" w:right="120"/>
        </w:sectPr>
      </w:pPr>
    </w:p>
    <w:p>
      <w:pPr>
        <w:pStyle w:val="BodyText"/>
        <w:spacing w:line="480" w:lineRule="auto" w:before="72"/>
        <w:ind w:left="400" w:right="1319"/>
        <w:jc w:val="both"/>
      </w:pPr>
      <w:r>
        <w:rPr/>
        <w:t>the use of statistics to measure performance in all areas, not just conformance to product or service specifications. Deming recognised "special" and "common" causes in variability. Special causes are assignable to individual machines or operators, and common causes are those shared by operations and are the responsibility</w:t>
      </w:r>
      <w:r>
        <w:rPr>
          <w:spacing w:val="-1"/>
        </w:rPr>
        <w:t> </w:t>
      </w:r>
      <w:r>
        <w:rPr/>
        <w:t>of management. Statistical Process Control (SPC) charts were the main technique put forward by</w:t>
      </w:r>
      <w:r>
        <w:rPr>
          <w:spacing w:val="-2"/>
        </w:rPr>
        <w:t> </w:t>
      </w:r>
      <w:r>
        <w:rPr/>
        <w:t>Deming to identify</w:t>
      </w:r>
      <w:r>
        <w:rPr>
          <w:spacing w:val="-2"/>
        </w:rPr>
        <w:t> </w:t>
      </w:r>
      <w:r>
        <w:rPr/>
        <w:t>common and special causes. He also formulated a systematic approach to problem solving. The PDCA cycle has four main components: to plan, to do, to check and to carry out action</w:t>
      </w:r>
    </w:p>
    <w:p>
      <w:pPr>
        <w:pStyle w:val="BodyText"/>
        <w:spacing w:line="480" w:lineRule="auto" w:before="199"/>
        <w:ind w:left="400" w:right="1317"/>
        <w:jc w:val="both"/>
      </w:pPr>
      <w:r>
        <w:rPr/>
        <w:t>The theoretical essence of the Deming management method concerns the creation of an organisational system that fosters cooperation and learning and facilitates the implementation of process management practices. This in turn leads not only to continuous improvement of processes, products, services, but also to employee fulfillment, both of which are critical to customer satisfaction and ultimately, to firm survival. (Anderson </w:t>
      </w:r>
      <w:r>
        <w:rPr>
          <w:i/>
        </w:rPr>
        <w:t>et al</w:t>
      </w:r>
      <w:r>
        <w:rPr/>
        <w:t>., 1994 in Lawrence 2000)</w:t>
      </w:r>
    </w:p>
    <w:p>
      <w:pPr>
        <w:pStyle w:val="BodyText"/>
        <w:spacing w:line="480" w:lineRule="auto" w:before="200"/>
        <w:ind w:left="400" w:right="1318"/>
        <w:jc w:val="both"/>
      </w:pPr>
      <w:r>
        <w:rPr/>
        <w:t>Deming stated "Quality should be aimed at the needs of the customer, present and future". According to Deming, the foundation of quality management is reducing the variation in</w:t>
      </w:r>
      <w:r>
        <w:rPr>
          <w:spacing w:val="40"/>
        </w:rPr>
        <w:t> </w:t>
      </w:r>
      <w:r>
        <w:rPr/>
        <w:t>products and then improving</w:t>
      </w:r>
      <w:r>
        <w:rPr>
          <w:spacing w:val="-1"/>
        </w:rPr>
        <w:t> </w:t>
      </w:r>
      <w:r>
        <w:rPr/>
        <w:t>the average. His management philosophy</w:t>
      </w:r>
      <w:r>
        <w:rPr>
          <w:spacing w:val="-3"/>
        </w:rPr>
        <w:t> </w:t>
      </w:r>
      <w:r>
        <w:rPr/>
        <w:t>improved from observing how the Japanese mixed their teachings on quality control with Japanese culture to create a huge economic kingdom.</w:t>
      </w:r>
    </w:p>
    <w:p>
      <w:pPr>
        <w:pStyle w:val="BodyText"/>
        <w:spacing w:line="480" w:lineRule="auto" w:before="201"/>
        <w:ind w:left="400" w:right="1320"/>
        <w:jc w:val="both"/>
      </w:pPr>
      <w:r>
        <w:rPr/>
        <w:t>Deming, (1986) proposed 14 points as the principles of TQM, Rungtusanatham, Jeffrey and Bin Wu (2003), stated that these 14 points should provide a cure for the “seven deadly diseases” and help organisations to overcome the obstacles to producing and delivering high quality products and services.</w:t>
      </w:r>
    </w:p>
    <w:p>
      <w:pPr>
        <w:pStyle w:val="BodyText"/>
        <w:spacing w:before="202"/>
        <w:ind w:left="460"/>
        <w:jc w:val="both"/>
      </w:pPr>
      <w:r>
        <w:rPr/>
        <w:t>Oakland</w:t>
      </w:r>
      <w:r>
        <w:rPr>
          <w:spacing w:val="-2"/>
        </w:rPr>
        <w:t> </w:t>
      </w:r>
      <w:r>
        <w:rPr/>
        <w:t>(1994)</w:t>
      </w:r>
      <w:r>
        <w:rPr>
          <w:spacing w:val="-1"/>
        </w:rPr>
        <w:t> </w:t>
      </w:r>
      <w:r>
        <w:rPr/>
        <w:t>the</w:t>
      </w:r>
      <w:r>
        <w:rPr>
          <w:spacing w:val="-1"/>
        </w:rPr>
        <w:t> </w:t>
      </w:r>
      <w:r>
        <w:rPr/>
        <w:t>14 points </w:t>
      </w:r>
      <w:r>
        <w:rPr>
          <w:spacing w:val="-2"/>
        </w:rPr>
        <w:t>include:</w:t>
      </w:r>
    </w:p>
    <w:p>
      <w:pPr>
        <w:spacing w:after="0"/>
        <w:jc w:val="both"/>
        <w:sectPr>
          <w:pgSz w:w="12240" w:h="15840"/>
          <w:pgMar w:header="0" w:footer="1017" w:top="1360" w:bottom="1200" w:left="1040" w:right="120"/>
        </w:sectPr>
      </w:pPr>
    </w:p>
    <w:p>
      <w:pPr>
        <w:pStyle w:val="ListParagraph"/>
        <w:numPr>
          <w:ilvl w:val="0"/>
          <w:numId w:val="5"/>
        </w:numPr>
        <w:tabs>
          <w:tab w:pos="1571" w:val="left" w:leader="none"/>
        </w:tabs>
        <w:spacing w:line="240" w:lineRule="auto" w:before="74" w:after="0"/>
        <w:ind w:left="1571" w:right="0" w:hanging="1085"/>
        <w:jc w:val="left"/>
        <w:rPr>
          <w:sz w:val="24"/>
        </w:rPr>
      </w:pPr>
      <w:r>
        <w:rPr>
          <w:sz w:val="24"/>
        </w:rPr>
        <w:t>Create</w:t>
      </w:r>
      <w:r>
        <w:rPr>
          <w:spacing w:val="-4"/>
          <w:sz w:val="24"/>
        </w:rPr>
        <w:t> </w:t>
      </w:r>
      <w:r>
        <w:rPr>
          <w:sz w:val="24"/>
        </w:rPr>
        <w:t>constancy</w:t>
      </w:r>
      <w:r>
        <w:rPr>
          <w:spacing w:val="-5"/>
          <w:sz w:val="24"/>
        </w:rPr>
        <w:t> </w:t>
      </w:r>
      <w:r>
        <w:rPr>
          <w:sz w:val="24"/>
        </w:rPr>
        <w:t>of</w:t>
      </w:r>
      <w:r>
        <w:rPr>
          <w:spacing w:val="-2"/>
          <w:sz w:val="24"/>
        </w:rPr>
        <w:t> </w:t>
      </w:r>
      <w:r>
        <w:rPr>
          <w:sz w:val="24"/>
        </w:rPr>
        <w:t>purpose</w:t>
      </w:r>
      <w:r>
        <w:rPr>
          <w:spacing w:val="-1"/>
          <w:sz w:val="24"/>
        </w:rPr>
        <w:t> </w:t>
      </w:r>
      <w:r>
        <w:rPr>
          <w:sz w:val="24"/>
        </w:rPr>
        <w:t>for</w:t>
      </w:r>
      <w:r>
        <w:rPr>
          <w:spacing w:val="-2"/>
          <w:sz w:val="24"/>
        </w:rPr>
        <w:t> </w:t>
      </w:r>
      <w:r>
        <w:rPr>
          <w:sz w:val="24"/>
        </w:rPr>
        <w:t>improvement of</w:t>
      </w:r>
      <w:r>
        <w:rPr>
          <w:spacing w:val="-2"/>
          <w:sz w:val="24"/>
        </w:rPr>
        <w:t> </w:t>
      </w:r>
      <w:r>
        <w:rPr>
          <w:sz w:val="24"/>
        </w:rPr>
        <w:t>product and </w:t>
      </w:r>
      <w:r>
        <w:rPr>
          <w:spacing w:val="-2"/>
          <w:sz w:val="24"/>
        </w:rPr>
        <w:t>service.</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Adopt</w:t>
      </w:r>
      <w:r>
        <w:rPr>
          <w:spacing w:val="-4"/>
          <w:sz w:val="24"/>
        </w:rPr>
        <w:t> </w:t>
      </w:r>
      <w:r>
        <w:rPr>
          <w:sz w:val="24"/>
        </w:rPr>
        <w:t>the</w:t>
      </w:r>
      <w:r>
        <w:rPr>
          <w:spacing w:val="-3"/>
          <w:sz w:val="24"/>
        </w:rPr>
        <w:t> </w:t>
      </w:r>
      <w:r>
        <w:rPr>
          <w:sz w:val="24"/>
        </w:rPr>
        <w:t>new</w:t>
      </w:r>
      <w:r>
        <w:rPr>
          <w:spacing w:val="-2"/>
          <w:sz w:val="24"/>
        </w:rPr>
        <w:t> </w:t>
      </w:r>
      <w:r>
        <w:rPr>
          <w:sz w:val="24"/>
        </w:rPr>
        <w:t>philosophy: Mistakes</w:t>
      </w:r>
      <w:r>
        <w:rPr>
          <w:spacing w:val="-2"/>
          <w:sz w:val="24"/>
        </w:rPr>
        <w:t> </w:t>
      </w:r>
      <w:r>
        <w:rPr>
          <w:sz w:val="24"/>
        </w:rPr>
        <w:t>and</w:t>
      </w:r>
      <w:r>
        <w:rPr>
          <w:spacing w:val="-1"/>
          <w:sz w:val="24"/>
        </w:rPr>
        <w:t> </w:t>
      </w:r>
      <w:r>
        <w:rPr>
          <w:sz w:val="24"/>
        </w:rPr>
        <w:t>negativism</w:t>
      </w:r>
      <w:r>
        <w:rPr>
          <w:spacing w:val="-2"/>
          <w:sz w:val="24"/>
        </w:rPr>
        <w:t> </w:t>
      </w:r>
      <w:r>
        <w:rPr>
          <w:sz w:val="24"/>
        </w:rPr>
        <w:t>are</w:t>
      </w:r>
      <w:r>
        <w:rPr>
          <w:spacing w:val="-2"/>
          <w:sz w:val="24"/>
        </w:rPr>
        <w:t> unacceptable.</w:t>
      </w:r>
    </w:p>
    <w:p>
      <w:pPr>
        <w:pStyle w:val="BodyText"/>
        <w:spacing w:before="202"/>
      </w:pPr>
    </w:p>
    <w:p>
      <w:pPr>
        <w:pStyle w:val="ListParagraph"/>
        <w:numPr>
          <w:ilvl w:val="0"/>
          <w:numId w:val="5"/>
        </w:numPr>
        <w:tabs>
          <w:tab w:pos="1571" w:val="left" w:leader="none"/>
        </w:tabs>
        <w:spacing w:line="240" w:lineRule="auto" w:before="0" w:after="0"/>
        <w:ind w:left="1571" w:right="0" w:hanging="1085"/>
        <w:jc w:val="left"/>
        <w:rPr>
          <w:sz w:val="24"/>
        </w:rPr>
      </w:pPr>
      <w:r>
        <w:rPr>
          <w:sz w:val="24"/>
        </w:rPr>
        <w:t>Cease</w:t>
      </w:r>
      <w:r>
        <w:rPr>
          <w:spacing w:val="-4"/>
          <w:sz w:val="24"/>
        </w:rPr>
        <w:t> </w:t>
      </w:r>
      <w:r>
        <w:rPr>
          <w:sz w:val="24"/>
        </w:rPr>
        <w:t>dependence</w:t>
      </w:r>
      <w:r>
        <w:rPr>
          <w:spacing w:val="-1"/>
          <w:sz w:val="24"/>
        </w:rPr>
        <w:t> </w:t>
      </w:r>
      <w:r>
        <w:rPr>
          <w:sz w:val="24"/>
        </w:rPr>
        <w:t>on mass </w:t>
      </w:r>
      <w:r>
        <w:rPr>
          <w:spacing w:val="-2"/>
          <w:sz w:val="24"/>
        </w:rPr>
        <w:t>inspection.</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End</w:t>
      </w:r>
      <w:r>
        <w:rPr>
          <w:spacing w:val="-1"/>
          <w:sz w:val="24"/>
        </w:rPr>
        <w:t> </w:t>
      </w:r>
      <w:r>
        <w:rPr>
          <w:sz w:val="24"/>
        </w:rPr>
        <w:t>the</w:t>
      </w:r>
      <w:r>
        <w:rPr>
          <w:spacing w:val="-1"/>
          <w:sz w:val="24"/>
        </w:rPr>
        <w:t> </w:t>
      </w:r>
      <w:r>
        <w:rPr>
          <w:sz w:val="24"/>
        </w:rPr>
        <w:t>practice</w:t>
      </w:r>
      <w:r>
        <w:rPr>
          <w:spacing w:val="-1"/>
          <w:sz w:val="24"/>
        </w:rPr>
        <w:t> </w:t>
      </w:r>
      <w:r>
        <w:rPr>
          <w:sz w:val="24"/>
        </w:rPr>
        <w:t>of</w:t>
      </w:r>
      <w:r>
        <w:rPr>
          <w:spacing w:val="-2"/>
          <w:sz w:val="24"/>
        </w:rPr>
        <w:t> </w:t>
      </w:r>
      <w:r>
        <w:rPr>
          <w:sz w:val="24"/>
        </w:rPr>
        <w:t>awarding</w:t>
      </w:r>
      <w:r>
        <w:rPr>
          <w:spacing w:val="-3"/>
          <w:sz w:val="24"/>
        </w:rPr>
        <w:t> </w:t>
      </w:r>
      <w:r>
        <w:rPr>
          <w:sz w:val="24"/>
        </w:rPr>
        <w:t>business on</w:t>
      </w:r>
      <w:r>
        <w:rPr>
          <w:spacing w:val="-1"/>
          <w:sz w:val="24"/>
        </w:rPr>
        <w:t> </w:t>
      </w:r>
      <w:r>
        <w:rPr>
          <w:sz w:val="24"/>
        </w:rPr>
        <w:t>price</w:t>
      </w:r>
      <w:r>
        <w:rPr>
          <w:spacing w:val="-1"/>
          <w:sz w:val="24"/>
        </w:rPr>
        <w:t> </w:t>
      </w:r>
      <w:r>
        <w:rPr>
          <w:sz w:val="24"/>
        </w:rPr>
        <w:t>tag</w:t>
      </w:r>
      <w:r>
        <w:rPr>
          <w:spacing w:val="-3"/>
          <w:sz w:val="24"/>
        </w:rPr>
        <w:t> </w:t>
      </w:r>
      <w:r>
        <w:rPr>
          <w:spacing w:val="-2"/>
          <w:sz w:val="24"/>
        </w:rPr>
        <w:t>alone.</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Improve</w:t>
      </w:r>
      <w:r>
        <w:rPr>
          <w:spacing w:val="-4"/>
          <w:sz w:val="24"/>
        </w:rPr>
        <w:t> </w:t>
      </w:r>
      <w:r>
        <w:rPr>
          <w:sz w:val="24"/>
        </w:rPr>
        <w:t>constantly</w:t>
      </w:r>
      <w:r>
        <w:rPr>
          <w:spacing w:val="-5"/>
          <w:sz w:val="24"/>
        </w:rPr>
        <w:t> </w:t>
      </w:r>
      <w:r>
        <w:rPr>
          <w:sz w:val="24"/>
        </w:rPr>
        <w:t>and</w:t>
      </w:r>
      <w:r>
        <w:rPr>
          <w:spacing w:val="1"/>
          <w:sz w:val="24"/>
        </w:rPr>
        <w:t> </w:t>
      </w:r>
      <w:r>
        <w:rPr>
          <w:sz w:val="24"/>
        </w:rPr>
        <w:t>forever</w:t>
      </w:r>
      <w:r>
        <w:rPr>
          <w:spacing w:val="-1"/>
          <w:sz w:val="24"/>
        </w:rPr>
        <w:t> </w:t>
      </w:r>
      <w:r>
        <w:rPr>
          <w:sz w:val="24"/>
        </w:rPr>
        <w:t>the</w:t>
      </w:r>
      <w:r>
        <w:rPr>
          <w:spacing w:val="-2"/>
          <w:sz w:val="24"/>
        </w:rPr>
        <w:t> </w:t>
      </w:r>
      <w:r>
        <w:rPr>
          <w:sz w:val="24"/>
        </w:rPr>
        <w:t>system of</w:t>
      </w:r>
      <w:r>
        <w:rPr>
          <w:spacing w:val="-2"/>
          <w:sz w:val="24"/>
        </w:rPr>
        <w:t> </w:t>
      </w:r>
      <w:r>
        <w:rPr>
          <w:sz w:val="24"/>
        </w:rPr>
        <w:t>production and </w:t>
      </w:r>
      <w:r>
        <w:rPr>
          <w:spacing w:val="-2"/>
          <w:sz w:val="24"/>
        </w:rPr>
        <w:t>service</w:t>
      </w:r>
    </w:p>
    <w:p>
      <w:pPr>
        <w:pStyle w:val="BodyText"/>
        <w:spacing w:before="202"/>
      </w:pPr>
    </w:p>
    <w:p>
      <w:pPr>
        <w:pStyle w:val="ListParagraph"/>
        <w:numPr>
          <w:ilvl w:val="0"/>
          <w:numId w:val="5"/>
        </w:numPr>
        <w:tabs>
          <w:tab w:pos="1571" w:val="left" w:leader="none"/>
        </w:tabs>
        <w:spacing w:line="240" w:lineRule="auto" w:before="0" w:after="0"/>
        <w:ind w:left="1571" w:right="0" w:hanging="1085"/>
        <w:jc w:val="left"/>
        <w:rPr>
          <w:sz w:val="24"/>
        </w:rPr>
      </w:pPr>
      <w:r>
        <w:rPr>
          <w:sz w:val="24"/>
        </w:rPr>
        <w:t>Institute</w:t>
      </w:r>
      <w:r>
        <w:rPr>
          <w:spacing w:val="-5"/>
          <w:sz w:val="24"/>
        </w:rPr>
        <w:t> </w:t>
      </w:r>
      <w:r>
        <w:rPr>
          <w:sz w:val="24"/>
        </w:rPr>
        <w:t>training.</w:t>
      </w:r>
      <w:r>
        <w:rPr>
          <w:spacing w:val="-2"/>
          <w:sz w:val="24"/>
        </w:rPr>
        <w:t> </w:t>
      </w:r>
      <w:r>
        <w:rPr>
          <w:sz w:val="24"/>
        </w:rPr>
        <w:t>Teach</w:t>
      </w:r>
      <w:r>
        <w:rPr>
          <w:spacing w:val="-1"/>
          <w:sz w:val="24"/>
        </w:rPr>
        <w:t> </w:t>
      </w:r>
      <w:r>
        <w:rPr>
          <w:sz w:val="24"/>
        </w:rPr>
        <w:t>workers</w:t>
      </w:r>
      <w:r>
        <w:rPr>
          <w:spacing w:val="-2"/>
          <w:sz w:val="24"/>
        </w:rPr>
        <w:t> </w:t>
      </w:r>
      <w:r>
        <w:rPr>
          <w:sz w:val="24"/>
        </w:rPr>
        <w:t>to</w:t>
      </w:r>
      <w:r>
        <w:rPr>
          <w:spacing w:val="-2"/>
          <w:sz w:val="24"/>
        </w:rPr>
        <w:t> </w:t>
      </w:r>
      <w:r>
        <w:rPr>
          <w:sz w:val="24"/>
        </w:rPr>
        <w:t>do</w:t>
      </w:r>
      <w:r>
        <w:rPr>
          <w:spacing w:val="-2"/>
          <w:sz w:val="24"/>
        </w:rPr>
        <w:t> </w:t>
      </w:r>
      <w:r>
        <w:rPr>
          <w:sz w:val="24"/>
        </w:rPr>
        <w:t>their</w:t>
      </w:r>
      <w:r>
        <w:rPr>
          <w:spacing w:val="-2"/>
          <w:sz w:val="24"/>
        </w:rPr>
        <w:t> jobs.</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Institute</w:t>
      </w:r>
      <w:r>
        <w:rPr>
          <w:spacing w:val="-5"/>
          <w:sz w:val="24"/>
        </w:rPr>
        <w:t> </w:t>
      </w:r>
      <w:r>
        <w:rPr>
          <w:sz w:val="24"/>
        </w:rPr>
        <w:t>leadership.</w:t>
      </w:r>
      <w:r>
        <w:rPr>
          <w:spacing w:val="-1"/>
          <w:sz w:val="24"/>
        </w:rPr>
        <w:t> </w:t>
      </w:r>
      <w:r>
        <w:rPr>
          <w:sz w:val="24"/>
        </w:rPr>
        <w:t>Help people</w:t>
      </w:r>
      <w:r>
        <w:rPr>
          <w:spacing w:val="-2"/>
          <w:sz w:val="24"/>
        </w:rPr>
        <w:t> </w:t>
      </w:r>
      <w:r>
        <w:rPr>
          <w:sz w:val="24"/>
        </w:rPr>
        <w:t>to</w:t>
      </w:r>
      <w:r>
        <w:rPr>
          <w:spacing w:val="-1"/>
          <w:sz w:val="24"/>
        </w:rPr>
        <w:t> </w:t>
      </w:r>
      <w:r>
        <w:rPr>
          <w:sz w:val="24"/>
        </w:rPr>
        <w:t>do</w:t>
      </w:r>
      <w:r>
        <w:rPr>
          <w:spacing w:val="-2"/>
          <w:sz w:val="24"/>
        </w:rPr>
        <w:t> </w:t>
      </w:r>
      <w:r>
        <w:rPr>
          <w:sz w:val="24"/>
        </w:rPr>
        <w:t>a</w:t>
      </w:r>
      <w:r>
        <w:rPr>
          <w:spacing w:val="-2"/>
          <w:sz w:val="24"/>
        </w:rPr>
        <w:t> </w:t>
      </w:r>
      <w:r>
        <w:rPr>
          <w:sz w:val="24"/>
        </w:rPr>
        <w:t>better</w:t>
      </w:r>
      <w:r>
        <w:rPr>
          <w:spacing w:val="-2"/>
          <w:sz w:val="24"/>
        </w:rPr>
        <w:t> </w:t>
      </w:r>
      <w:r>
        <w:rPr>
          <w:spacing w:val="-4"/>
          <w:sz w:val="24"/>
        </w:rPr>
        <w:t>job.</w:t>
      </w:r>
    </w:p>
    <w:p>
      <w:pPr>
        <w:pStyle w:val="BodyText"/>
        <w:spacing w:before="199"/>
      </w:pPr>
    </w:p>
    <w:p>
      <w:pPr>
        <w:pStyle w:val="ListParagraph"/>
        <w:numPr>
          <w:ilvl w:val="0"/>
          <w:numId w:val="5"/>
        </w:numPr>
        <w:tabs>
          <w:tab w:pos="1571" w:val="left" w:leader="none"/>
        </w:tabs>
        <w:spacing w:line="240" w:lineRule="auto" w:before="1" w:after="0"/>
        <w:ind w:left="1571" w:right="0" w:hanging="1085"/>
        <w:jc w:val="left"/>
        <w:rPr>
          <w:sz w:val="24"/>
        </w:rPr>
      </w:pPr>
      <w:r>
        <w:rPr>
          <w:sz w:val="24"/>
        </w:rPr>
        <w:t>Drive</w:t>
      </w:r>
      <w:r>
        <w:rPr>
          <w:spacing w:val="-2"/>
          <w:sz w:val="24"/>
        </w:rPr>
        <w:t> </w:t>
      </w:r>
      <w:r>
        <w:rPr>
          <w:sz w:val="24"/>
        </w:rPr>
        <w:t>out</w:t>
      </w:r>
      <w:r>
        <w:rPr>
          <w:spacing w:val="-1"/>
          <w:sz w:val="24"/>
        </w:rPr>
        <w:t> </w:t>
      </w:r>
      <w:r>
        <w:rPr>
          <w:spacing w:val="-2"/>
          <w:sz w:val="24"/>
        </w:rPr>
        <w:t>fear.</w:t>
      </w:r>
    </w:p>
    <w:p>
      <w:pPr>
        <w:pStyle w:val="BodyText"/>
        <w:spacing w:before="201"/>
      </w:pPr>
    </w:p>
    <w:p>
      <w:pPr>
        <w:pStyle w:val="ListParagraph"/>
        <w:numPr>
          <w:ilvl w:val="0"/>
          <w:numId w:val="5"/>
        </w:numPr>
        <w:tabs>
          <w:tab w:pos="1571" w:val="left" w:leader="none"/>
        </w:tabs>
        <w:spacing w:line="240" w:lineRule="auto" w:before="0" w:after="0"/>
        <w:ind w:left="1571" w:right="0" w:hanging="1085"/>
        <w:jc w:val="left"/>
        <w:rPr>
          <w:sz w:val="24"/>
        </w:rPr>
      </w:pPr>
      <w:r>
        <w:rPr>
          <w:sz w:val="24"/>
        </w:rPr>
        <w:t>Break</w:t>
      </w:r>
      <w:r>
        <w:rPr>
          <w:spacing w:val="-2"/>
          <w:sz w:val="24"/>
        </w:rPr>
        <w:t> </w:t>
      </w:r>
      <w:r>
        <w:rPr>
          <w:sz w:val="24"/>
        </w:rPr>
        <w:t>down</w:t>
      </w:r>
      <w:r>
        <w:rPr>
          <w:spacing w:val="-1"/>
          <w:sz w:val="24"/>
        </w:rPr>
        <w:t> </w:t>
      </w:r>
      <w:r>
        <w:rPr>
          <w:sz w:val="24"/>
        </w:rPr>
        <w:t>barriers</w:t>
      </w:r>
      <w:r>
        <w:rPr>
          <w:spacing w:val="-2"/>
          <w:sz w:val="24"/>
        </w:rPr>
        <w:t> </w:t>
      </w:r>
      <w:r>
        <w:rPr>
          <w:sz w:val="24"/>
        </w:rPr>
        <w:t>between</w:t>
      </w:r>
      <w:r>
        <w:rPr>
          <w:spacing w:val="-2"/>
          <w:sz w:val="24"/>
        </w:rPr>
        <w:t> </w:t>
      </w:r>
      <w:r>
        <w:rPr>
          <w:sz w:val="24"/>
        </w:rPr>
        <w:t>staff</w:t>
      </w:r>
      <w:r>
        <w:rPr>
          <w:spacing w:val="-2"/>
          <w:sz w:val="24"/>
        </w:rPr>
        <w:t> areas.</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Eliminate</w:t>
      </w:r>
      <w:r>
        <w:rPr>
          <w:spacing w:val="-5"/>
          <w:sz w:val="24"/>
        </w:rPr>
        <w:t> </w:t>
      </w:r>
      <w:r>
        <w:rPr>
          <w:sz w:val="24"/>
        </w:rPr>
        <w:t>slogans,</w:t>
      </w:r>
      <w:r>
        <w:rPr>
          <w:spacing w:val="-2"/>
          <w:sz w:val="24"/>
        </w:rPr>
        <w:t> </w:t>
      </w:r>
      <w:r>
        <w:rPr>
          <w:sz w:val="24"/>
        </w:rPr>
        <w:t>exhortations,</w:t>
      </w:r>
      <w:r>
        <w:rPr>
          <w:spacing w:val="-1"/>
          <w:sz w:val="24"/>
        </w:rPr>
        <w:t> </w:t>
      </w:r>
      <w:r>
        <w:rPr>
          <w:sz w:val="24"/>
        </w:rPr>
        <w:t>and</w:t>
      </w:r>
      <w:r>
        <w:rPr>
          <w:spacing w:val="-2"/>
          <w:sz w:val="24"/>
        </w:rPr>
        <w:t> </w:t>
      </w:r>
      <w:r>
        <w:rPr>
          <w:sz w:val="24"/>
        </w:rPr>
        <w:t>targets</w:t>
      </w:r>
      <w:r>
        <w:rPr>
          <w:spacing w:val="-1"/>
          <w:sz w:val="24"/>
        </w:rPr>
        <w:t> </w:t>
      </w:r>
      <w:r>
        <w:rPr>
          <w:sz w:val="24"/>
        </w:rPr>
        <w:t>for</w:t>
      </w:r>
      <w:r>
        <w:rPr>
          <w:spacing w:val="-3"/>
          <w:sz w:val="24"/>
        </w:rPr>
        <w:t> </w:t>
      </w:r>
      <w:r>
        <w:rPr>
          <w:sz w:val="24"/>
        </w:rPr>
        <w:t>the </w:t>
      </w:r>
      <w:r>
        <w:rPr>
          <w:spacing w:val="-2"/>
          <w:sz w:val="24"/>
        </w:rPr>
        <w:t>workforce.</w:t>
      </w:r>
    </w:p>
    <w:p>
      <w:pPr>
        <w:pStyle w:val="BodyText"/>
        <w:spacing w:before="200"/>
      </w:pPr>
    </w:p>
    <w:p>
      <w:pPr>
        <w:pStyle w:val="ListParagraph"/>
        <w:numPr>
          <w:ilvl w:val="0"/>
          <w:numId w:val="5"/>
        </w:numPr>
        <w:tabs>
          <w:tab w:pos="1571" w:val="left" w:leader="none"/>
        </w:tabs>
        <w:spacing w:line="240" w:lineRule="auto" w:before="0" w:after="0"/>
        <w:ind w:left="1571" w:right="0" w:hanging="1085"/>
        <w:jc w:val="left"/>
        <w:rPr>
          <w:sz w:val="24"/>
        </w:rPr>
      </w:pPr>
      <w:r>
        <w:rPr>
          <w:sz w:val="24"/>
        </w:rPr>
        <w:t>Eliminate</w:t>
      </w:r>
      <w:r>
        <w:rPr>
          <w:spacing w:val="-4"/>
          <w:sz w:val="24"/>
        </w:rPr>
        <w:t> </w:t>
      </w:r>
      <w:r>
        <w:rPr>
          <w:sz w:val="24"/>
        </w:rPr>
        <w:t>numerical</w:t>
      </w:r>
      <w:r>
        <w:rPr>
          <w:spacing w:val="-3"/>
          <w:sz w:val="24"/>
        </w:rPr>
        <w:t> </w:t>
      </w:r>
      <w:r>
        <w:rPr>
          <w:spacing w:val="-2"/>
          <w:sz w:val="24"/>
        </w:rPr>
        <w:t>quotas.</w:t>
      </w:r>
    </w:p>
    <w:p>
      <w:pPr>
        <w:pStyle w:val="BodyText"/>
        <w:spacing w:before="199"/>
      </w:pPr>
    </w:p>
    <w:p>
      <w:pPr>
        <w:pStyle w:val="ListParagraph"/>
        <w:numPr>
          <w:ilvl w:val="0"/>
          <w:numId w:val="5"/>
        </w:numPr>
        <w:tabs>
          <w:tab w:pos="1571" w:val="left" w:leader="none"/>
        </w:tabs>
        <w:spacing w:line="240" w:lineRule="auto" w:before="0" w:after="0"/>
        <w:ind w:left="1571" w:right="0" w:hanging="1085"/>
        <w:jc w:val="left"/>
        <w:rPr>
          <w:sz w:val="24"/>
        </w:rPr>
      </w:pPr>
      <w:r>
        <w:rPr>
          <w:sz w:val="24"/>
        </w:rPr>
        <w:t>Remove</w:t>
      </w:r>
      <w:r>
        <w:rPr>
          <w:spacing w:val="-2"/>
          <w:sz w:val="24"/>
        </w:rPr>
        <w:t> </w:t>
      </w:r>
      <w:r>
        <w:rPr>
          <w:sz w:val="24"/>
        </w:rPr>
        <w:t>barriers</w:t>
      </w:r>
      <w:r>
        <w:rPr>
          <w:spacing w:val="-1"/>
          <w:sz w:val="24"/>
        </w:rPr>
        <w:t> </w:t>
      </w:r>
      <w:r>
        <w:rPr>
          <w:sz w:val="24"/>
        </w:rPr>
        <w:t>to</w:t>
      </w:r>
      <w:r>
        <w:rPr>
          <w:spacing w:val="-1"/>
          <w:sz w:val="24"/>
        </w:rPr>
        <w:t> </w:t>
      </w:r>
      <w:r>
        <w:rPr>
          <w:sz w:val="24"/>
        </w:rPr>
        <w:t>pride</w:t>
      </w:r>
      <w:r>
        <w:rPr>
          <w:spacing w:val="-1"/>
          <w:sz w:val="24"/>
        </w:rPr>
        <w:t> </w:t>
      </w:r>
      <w:r>
        <w:rPr>
          <w:sz w:val="24"/>
        </w:rPr>
        <w:t>of</w:t>
      </w:r>
      <w:r>
        <w:rPr>
          <w:spacing w:val="-1"/>
          <w:sz w:val="24"/>
        </w:rPr>
        <w:t> </w:t>
      </w:r>
      <w:r>
        <w:rPr>
          <w:spacing w:val="-2"/>
          <w:sz w:val="24"/>
        </w:rPr>
        <w:t>workmanship.</w:t>
      </w:r>
    </w:p>
    <w:p>
      <w:pPr>
        <w:pStyle w:val="BodyText"/>
        <w:spacing w:before="199"/>
      </w:pPr>
    </w:p>
    <w:p>
      <w:pPr>
        <w:pStyle w:val="ListParagraph"/>
        <w:numPr>
          <w:ilvl w:val="0"/>
          <w:numId w:val="5"/>
        </w:numPr>
        <w:tabs>
          <w:tab w:pos="1120" w:val="left" w:leader="none"/>
          <w:tab w:pos="1571" w:val="left" w:leader="none"/>
        </w:tabs>
        <w:spacing w:line="482" w:lineRule="auto" w:before="0" w:after="0"/>
        <w:ind w:left="1120" w:right="1318" w:hanging="634"/>
        <w:jc w:val="left"/>
        <w:rPr>
          <w:sz w:val="24"/>
        </w:rPr>
      </w:pPr>
      <w:r>
        <w:rPr>
          <w:sz w:val="24"/>
        </w:rPr>
        <w:tab/>
        <w:t>Institute</w:t>
      </w:r>
      <w:r>
        <w:rPr>
          <w:spacing w:val="40"/>
          <w:sz w:val="24"/>
        </w:rPr>
        <w:t> </w:t>
      </w:r>
      <w:r>
        <w:rPr>
          <w:sz w:val="24"/>
        </w:rPr>
        <w:t>a</w:t>
      </w:r>
      <w:r>
        <w:rPr>
          <w:spacing w:val="40"/>
          <w:sz w:val="24"/>
        </w:rPr>
        <w:t> </w:t>
      </w:r>
      <w:r>
        <w:rPr>
          <w:sz w:val="24"/>
        </w:rPr>
        <w:t>vigorous</w:t>
      </w:r>
      <w:r>
        <w:rPr>
          <w:spacing w:val="40"/>
          <w:sz w:val="24"/>
        </w:rPr>
        <w:t> </w:t>
      </w:r>
      <w:r>
        <w:rPr>
          <w:sz w:val="24"/>
        </w:rPr>
        <w:t>program</w:t>
      </w:r>
      <w:r>
        <w:rPr>
          <w:spacing w:val="40"/>
          <w:sz w:val="24"/>
        </w:rPr>
        <w:t> </w:t>
      </w:r>
      <w:r>
        <w:rPr>
          <w:sz w:val="24"/>
        </w:rPr>
        <w:t>of</w:t>
      </w:r>
      <w:r>
        <w:rPr>
          <w:spacing w:val="40"/>
          <w:sz w:val="24"/>
        </w:rPr>
        <w:t> </w:t>
      </w:r>
      <w:r>
        <w:rPr>
          <w:sz w:val="24"/>
        </w:rPr>
        <w:t>education</w:t>
      </w:r>
      <w:r>
        <w:rPr>
          <w:spacing w:val="40"/>
          <w:sz w:val="24"/>
        </w:rPr>
        <w:t> </w:t>
      </w:r>
      <w:r>
        <w:rPr>
          <w:sz w:val="24"/>
        </w:rPr>
        <w:t>and</w:t>
      </w:r>
      <w:r>
        <w:rPr>
          <w:spacing w:val="40"/>
          <w:sz w:val="24"/>
        </w:rPr>
        <w:t> </w:t>
      </w:r>
      <w:r>
        <w:rPr>
          <w:sz w:val="24"/>
        </w:rPr>
        <w:t>retraining.</w:t>
      </w:r>
      <w:r>
        <w:rPr>
          <w:spacing w:val="40"/>
          <w:sz w:val="24"/>
        </w:rPr>
        <w:t> </w:t>
      </w:r>
      <w:r>
        <w:rPr>
          <w:sz w:val="24"/>
        </w:rPr>
        <w:t>Stress</w:t>
      </w:r>
      <w:r>
        <w:rPr>
          <w:spacing w:val="40"/>
          <w:sz w:val="24"/>
        </w:rPr>
        <w:t> </w:t>
      </w:r>
      <w:r>
        <w:rPr>
          <w:sz w:val="24"/>
        </w:rPr>
        <w:t>teamwork</w:t>
      </w:r>
      <w:r>
        <w:rPr>
          <w:spacing w:val="40"/>
          <w:sz w:val="24"/>
        </w:rPr>
        <w:t> </w:t>
      </w:r>
      <w:r>
        <w:rPr>
          <w:sz w:val="24"/>
        </w:rPr>
        <w:t>and</w:t>
      </w:r>
      <w:r>
        <w:rPr>
          <w:spacing w:val="80"/>
          <w:sz w:val="24"/>
        </w:rPr>
        <w:t> </w:t>
      </w:r>
      <w:r>
        <w:rPr>
          <w:sz w:val="24"/>
        </w:rPr>
        <w:t>statistical technique.</w:t>
      </w:r>
    </w:p>
    <w:p>
      <w:pPr>
        <w:pStyle w:val="ListParagraph"/>
        <w:numPr>
          <w:ilvl w:val="0"/>
          <w:numId w:val="5"/>
        </w:numPr>
        <w:tabs>
          <w:tab w:pos="1571" w:val="left" w:leader="none"/>
        </w:tabs>
        <w:spacing w:line="240" w:lineRule="auto" w:before="196" w:after="0"/>
        <w:ind w:left="1571" w:right="0" w:hanging="1085"/>
        <w:jc w:val="left"/>
        <w:rPr>
          <w:sz w:val="24"/>
        </w:rPr>
      </w:pPr>
      <w:r>
        <w:rPr>
          <w:sz w:val="24"/>
        </w:rPr>
        <w:t>Take</w:t>
      </w:r>
      <w:r>
        <w:rPr>
          <w:spacing w:val="-2"/>
          <w:sz w:val="24"/>
        </w:rPr>
        <w:t> </w:t>
      </w:r>
      <w:r>
        <w:rPr>
          <w:sz w:val="24"/>
        </w:rPr>
        <w:t>action</w:t>
      </w:r>
      <w:r>
        <w:rPr>
          <w:spacing w:val="-1"/>
          <w:sz w:val="24"/>
        </w:rPr>
        <w:t> </w:t>
      </w:r>
      <w:r>
        <w:rPr>
          <w:sz w:val="24"/>
        </w:rPr>
        <w:t>to</w:t>
      </w:r>
      <w:r>
        <w:rPr>
          <w:spacing w:val="-1"/>
          <w:sz w:val="24"/>
        </w:rPr>
        <w:t> </w:t>
      </w:r>
      <w:r>
        <w:rPr>
          <w:sz w:val="24"/>
        </w:rPr>
        <w:t>accomplish</w:t>
      </w:r>
      <w:r>
        <w:rPr>
          <w:spacing w:val="-2"/>
          <w:sz w:val="24"/>
        </w:rPr>
        <w:t> </w:t>
      </w:r>
      <w:r>
        <w:rPr>
          <w:sz w:val="24"/>
        </w:rPr>
        <w:t>the</w:t>
      </w:r>
      <w:r>
        <w:rPr>
          <w:spacing w:val="-1"/>
          <w:sz w:val="24"/>
        </w:rPr>
        <w:t> </w:t>
      </w:r>
      <w:r>
        <w:rPr>
          <w:spacing w:val="-2"/>
          <w:sz w:val="24"/>
        </w:rPr>
        <w:t>transformation.</w:t>
      </w:r>
    </w:p>
    <w:p>
      <w:pPr>
        <w:pStyle w:val="BodyText"/>
        <w:spacing w:before="204"/>
      </w:pPr>
    </w:p>
    <w:p>
      <w:pPr>
        <w:pStyle w:val="Heading3"/>
        <w:numPr>
          <w:ilvl w:val="3"/>
          <w:numId w:val="4"/>
        </w:numPr>
        <w:tabs>
          <w:tab w:pos="1120" w:val="left" w:leader="none"/>
        </w:tabs>
        <w:spacing w:line="240" w:lineRule="auto" w:before="0" w:after="0"/>
        <w:ind w:left="1120" w:right="0" w:hanging="720"/>
        <w:jc w:val="left"/>
        <w:rPr>
          <w:i w:val="0"/>
        </w:rPr>
      </w:pPr>
      <w:r>
        <w:rPr/>
        <w:t>Feigenbaum's</w:t>
      </w:r>
      <w:r>
        <w:rPr>
          <w:spacing w:val="-2"/>
        </w:rPr>
        <w:t> philosophy</w:t>
      </w:r>
    </w:p>
    <w:p>
      <w:pPr>
        <w:pStyle w:val="BodyText"/>
        <w:spacing w:before="195"/>
        <w:rPr>
          <w:b/>
          <w:i/>
        </w:rPr>
      </w:pPr>
    </w:p>
    <w:p>
      <w:pPr>
        <w:pStyle w:val="BodyText"/>
        <w:spacing w:line="480" w:lineRule="auto"/>
        <w:ind w:left="400" w:right="1315"/>
      </w:pPr>
      <w:r>
        <w:rPr/>
        <w:t>Armand</w:t>
      </w:r>
      <w:r>
        <w:rPr>
          <w:spacing w:val="21"/>
        </w:rPr>
        <w:t> </w:t>
      </w:r>
      <w:r>
        <w:rPr/>
        <w:t>V.</w:t>
      </w:r>
      <w:r>
        <w:rPr>
          <w:spacing w:val="23"/>
        </w:rPr>
        <w:t> </w:t>
      </w:r>
      <w:r>
        <w:rPr/>
        <w:t>Feigenbaum</w:t>
      </w:r>
      <w:r>
        <w:rPr>
          <w:spacing w:val="23"/>
        </w:rPr>
        <w:t> </w:t>
      </w:r>
      <w:r>
        <w:rPr/>
        <w:t>was</w:t>
      </w:r>
      <w:r>
        <w:rPr>
          <w:spacing w:val="21"/>
        </w:rPr>
        <w:t> </w:t>
      </w:r>
      <w:r>
        <w:rPr/>
        <w:t>the</w:t>
      </w:r>
      <w:r>
        <w:rPr>
          <w:spacing w:val="22"/>
        </w:rPr>
        <w:t> </w:t>
      </w:r>
      <w:r>
        <w:rPr/>
        <w:t>first</w:t>
      </w:r>
      <w:r>
        <w:rPr>
          <w:spacing w:val="23"/>
        </w:rPr>
        <w:t> </w:t>
      </w:r>
      <w:r>
        <w:rPr/>
        <w:t>who</w:t>
      </w:r>
      <w:r>
        <w:rPr>
          <w:spacing w:val="21"/>
        </w:rPr>
        <w:t> </w:t>
      </w:r>
      <w:r>
        <w:rPr/>
        <w:t>proposed</w:t>
      </w:r>
      <w:r>
        <w:rPr>
          <w:spacing w:val="21"/>
        </w:rPr>
        <w:t> </w:t>
      </w:r>
      <w:r>
        <w:rPr/>
        <w:t>the total</w:t>
      </w:r>
      <w:r>
        <w:rPr>
          <w:spacing w:val="23"/>
        </w:rPr>
        <w:t> </w:t>
      </w:r>
      <w:r>
        <w:rPr/>
        <w:t>approaches</w:t>
      </w:r>
      <w:r>
        <w:rPr>
          <w:spacing w:val="23"/>
        </w:rPr>
        <w:t> </w:t>
      </w:r>
      <w:r>
        <w:rPr/>
        <w:t>to</w:t>
      </w:r>
      <w:r>
        <w:rPr>
          <w:spacing w:val="21"/>
        </w:rPr>
        <w:t> </w:t>
      </w:r>
      <w:r>
        <w:rPr/>
        <w:t>quality issues.</w:t>
      </w:r>
      <w:r>
        <w:rPr>
          <w:spacing w:val="21"/>
        </w:rPr>
        <w:t> </w:t>
      </w:r>
      <w:r>
        <w:rPr/>
        <w:t>His philosophy</w:t>
      </w:r>
      <w:r>
        <w:rPr>
          <w:spacing w:val="1"/>
        </w:rPr>
        <w:t> </w:t>
      </w:r>
      <w:r>
        <w:rPr/>
        <w:t>was</w:t>
      </w:r>
      <w:r>
        <w:rPr>
          <w:spacing w:val="10"/>
        </w:rPr>
        <w:t> </w:t>
      </w:r>
      <w:r>
        <w:rPr/>
        <w:t>that</w:t>
      </w:r>
      <w:r>
        <w:rPr>
          <w:spacing w:val="11"/>
        </w:rPr>
        <w:t> </w:t>
      </w:r>
      <w:r>
        <w:rPr/>
        <w:t>quality</w:t>
      </w:r>
      <w:r>
        <w:rPr>
          <w:spacing w:val="3"/>
        </w:rPr>
        <w:t> </w:t>
      </w:r>
      <w:r>
        <w:rPr/>
        <w:t>is</w:t>
      </w:r>
      <w:r>
        <w:rPr>
          <w:spacing w:val="11"/>
        </w:rPr>
        <w:t> </w:t>
      </w:r>
      <w:r>
        <w:rPr/>
        <w:t>not</w:t>
      </w:r>
      <w:r>
        <w:rPr>
          <w:spacing w:val="11"/>
        </w:rPr>
        <w:t> </w:t>
      </w:r>
      <w:r>
        <w:rPr/>
        <w:t>implemented</w:t>
      </w:r>
      <w:r>
        <w:rPr>
          <w:spacing w:val="11"/>
        </w:rPr>
        <w:t> </w:t>
      </w:r>
      <w:r>
        <w:rPr/>
        <w:t>in</w:t>
      </w:r>
      <w:r>
        <w:rPr>
          <w:spacing w:val="8"/>
        </w:rPr>
        <w:t> </w:t>
      </w:r>
      <w:r>
        <w:rPr/>
        <w:t>a</w:t>
      </w:r>
      <w:r>
        <w:rPr>
          <w:spacing w:val="10"/>
        </w:rPr>
        <w:t> </w:t>
      </w:r>
      <w:r>
        <w:rPr/>
        <w:t>particular</w:t>
      </w:r>
      <w:r>
        <w:rPr>
          <w:spacing w:val="10"/>
        </w:rPr>
        <w:t> </w:t>
      </w:r>
      <w:r>
        <w:rPr/>
        <w:t>area,</w:t>
      </w:r>
      <w:r>
        <w:rPr>
          <w:spacing w:val="11"/>
        </w:rPr>
        <w:t> </w:t>
      </w:r>
      <w:r>
        <w:rPr/>
        <w:t>but</w:t>
      </w:r>
      <w:r>
        <w:rPr>
          <w:spacing w:val="11"/>
        </w:rPr>
        <w:t> </w:t>
      </w:r>
      <w:r>
        <w:rPr/>
        <w:t>must</w:t>
      </w:r>
      <w:r>
        <w:rPr>
          <w:spacing w:val="11"/>
        </w:rPr>
        <w:t> </w:t>
      </w:r>
      <w:r>
        <w:rPr/>
        <w:t>be</w:t>
      </w:r>
      <w:r>
        <w:rPr>
          <w:spacing w:val="10"/>
        </w:rPr>
        <w:t> </w:t>
      </w:r>
      <w:r>
        <w:rPr/>
        <w:t>implemented</w:t>
      </w:r>
      <w:r>
        <w:rPr>
          <w:spacing w:val="11"/>
        </w:rPr>
        <w:t> </w:t>
      </w:r>
      <w:r>
        <w:rPr>
          <w:spacing w:val="-7"/>
        </w:rPr>
        <w:t>in</w:t>
      </w:r>
    </w:p>
    <w:p>
      <w:pPr>
        <w:spacing w:after="0" w:line="480" w:lineRule="auto"/>
        <w:sectPr>
          <w:pgSz w:w="12240" w:h="15840"/>
          <w:pgMar w:header="0" w:footer="1017" w:top="1360" w:bottom="1200" w:left="1040" w:right="120"/>
        </w:sectPr>
      </w:pPr>
    </w:p>
    <w:p>
      <w:pPr>
        <w:pStyle w:val="BodyText"/>
        <w:spacing w:line="480" w:lineRule="auto" w:before="72"/>
        <w:ind w:left="400" w:right="1319"/>
        <w:jc w:val="both"/>
      </w:pPr>
      <w:r>
        <w:rPr/>
        <w:t>totality for all management levels of the organisation. He defined total quality as an effective system to ensure production and service at the most economical levels that allow customer satisfaction. According to Ahmed (2010), Feigenbaum emphasises Total Quality Control, his philosophy being:</w:t>
      </w:r>
    </w:p>
    <w:p>
      <w:pPr>
        <w:pStyle w:val="ListParagraph"/>
        <w:numPr>
          <w:ilvl w:val="0"/>
          <w:numId w:val="6"/>
        </w:numPr>
        <w:tabs>
          <w:tab w:pos="1119" w:val="left" w:leader="none"/>
        </w:tabs>
        <w:spacing w:line="240" w:lineRule="auto" w:before="199" w:after="0"/>
        <w:ind w:left="1119" w:right="0" w:hanging="539"/>
        <w:jc w:val="both"/>
        <w:rPr>
          <w:sz w:val="24"/>
        </w:rPr>
      </w:pPr>
      <w:r>
        <w:rPr>
          <w:sz w:val="24"/>
        </w:rPr>
        <w:t>Set quality</w:t>
      </w:r>
      <w:r>
        <w:rPr>
          <w:spacing w:val="-5"/>
          <w:sz w:val="24"/>
        </w:rPr>
        <w:t> </w:t>
      </w:r>
      <w:r>
        <w:rPr>
          <w:spacing w:val="-2"/>
          <w:sz w:val="24"/>
        </w:rPr>
        <w:t>standards;</w:t>
      </w:r>
    </w:p>
    <w:p>
      <w:pPr>
        <w:pStyle w:val="BodyText"/>
      </w:pPr>
    </w:p>
    <w:p>
      <w:pPr>
        <w:pStyle w:val="ListParagraph"/>
        <w:numPr>
          <w:ilvl w:val="0"/>
          <w:numId w:val="6"/>
        </w:numPr>
        <w:tabs>
          <w:tab w:pos="1119" w:val="left" w:leader="none"/>
        </w:tabs>
        <w:spacing w:line="240" w:lineRule="auto" w:before="0" w:after="0"/>
        <w:ind w:left="1119" w:right="0" w:hanging="539"/>
        <w:jc w:val="both"/>
        <w:rPr>
          <w:sz w:val="24"/>
        </w:rPr>
      </w:pPr>
      <w:r>
        <w:rPr>
          <w:sz w:val="24"/>
        </w:rPr>
        <w:t>Appraise</w:t>
      </w:r>
      <w:r>
        <w:rPr>
          <w:spacing w:val="-3"/>
          <w:sz w:val="24"/>
        </w:rPr>
        <w:t> </w:t>
      </w:r>
      <w:r>
        <w:rPr>
          <w:sz w:val="24"/>
        </w:rPr>
        <w:t>conformance</w:t>
      </w:r>
      <w:r>
        <w:rPr>
          <w:spacing w:val="-2"/>
          <w:sz w:val="24"/>
        </w:rPr>
        <w:t> </w:t>
      </w:r>
      <w:r>
        <w:rPr>
          <w:sz w:val="24"/>
        </w:rPr>
        <w:t>to</w:t>
      </w:r>
      <w:r>
        <w:rPr>
          <w:spacing w:val="1"/>
          <w:sz w:val="24"/>
        </w:rPr>
        <w:t> </w:t>
      </w:r>
      <w:r>
        <w:rPr>
          <w:spacing w:val="-2"/>
          <w:sz w:val="24"/>
        </w:rPr>
        <w:t>standards;</w:t>
      </w:r>
    </w:p>
    <w:p>
      <w:pPr>
        <w:pStyle w:val="BodyText"/>
      </w:pPr>
    </w:p>
    <w:p>
      <w:pPr>
        <w:pStyle w:val="ListParagraph"/>
        <w:numPr>
          <w:ilvl w:val="0"/>
          <w:numId w:val="6"/>
        </w:numPr>
        <w:tabs>
          <w:tab w:pos="1119" w:val="left" w:leader="none"/>
        </w:tabs>
        <w:spacing w:line="240" w:lineRule="auto" w:before="0" w:after="0"/>
        <w:ind w:left="1119" w:right="0" w:hanging="540"/>
        <w:jc w:val="left"/>
        <w:rPr>
          <w:sz w:val="24"/>
        </w:rPr>
      </w:pPr>
      <w:r>
        <w:rPr>
          <w:sz w:val="24"/>
        </w:rPr>
        <w:t>Act</w:t>
      </w:r>
      <w:r>
        <w:rPr>
          <w:spacing w:val="-1"/>
          <w:sz w:val="24"/>
        </w:rPr>
        <w:t> </w:t>
      </w:r>
      <w:r>
        <w:rPr>
          <w:sz w:val="24"/>
        </w:rPr>
        <w:t>when</w:t>
      </w:r>
      <w:r>
        <w:rPr>
          <w:spacing w:val="-1"/>
          <w:sz w:val="24"/>
        </w:rPr>
        <w:t> </w:t>
      </w:r>
      <w:r>
        <w:rPr>
          <w:sz w:val="24"/>
        </w:rPr>
        <w:t>conditions</w:t>
      </w:r>
      <w:r>
        <w:rPr>
          <w:spacing w:val="-1"/>
          <w:sz w:val="24"/>
        </w:rPr>
        <w:t> </w:t>
      </w:r>
      <w:r>
        <w:rPr>
          <w:sz w:val="24"/>
        </w:rPr>
        <w:t>are not</w:t>
      </w:r>
      <w:r>
        <w:rPr>
          <w:spacing w:val="-1"/>
          <w:sz w:val="24"/>
        </w:rPr>
        <w:t> </w:t>
      </w:r>
      <w:r>
        <w:rPr>
          <w:sz w:val="24"/>
        </w:rPr>
        <w:t>met;</w:t>
      </w:r>
      <w:r>
        <w:rPr>
          <w:spacing w:val="-1"/>
          <w:sz w:val="24"/>
        </w:rPr>
        <w:t> </w:t>
      </w:r>
      <w:r>
        <w:rPr>
          <w:spacing w:val="-4"/>
          <w:sz w:val="24"/>
        </w:rPr>
        <w:t>and,</w:t>
      </w:r>
    </w:p>
    <w:p>
      <w:pPr>
        <w:pStyle w:val="BodyText"/>
        <w:spacing w:before="2"/>
      </w:pPr>
    </w:p>
    <w:p>
      <w:pPr>
        <w:pStyle w:val="ListParagraph"/>
        <w:numPr>
          <w:ilvl w:val="0"/>
          <w:numId w:val="6"/>
        </w:numPr>
        <w:tabs>
          <w:tab w:pos="1119" w:val="left" w:leader="none"/>
        </w:tabs>
        <w:spacing w:line="240" w:lineRule="auto" w:before="1" w:after="0"/>
        <w:ind w:left="1119" w:right="0" w:hanging="540"/>
        <w:jc w:val="left"/>
        <w:rPr>
          <w:sz w:val="24"/>
        </w:rPr>
      </w:pPr>
      <w:r>
        <w:rPr>
          <w:sz w:val="24"/>
        </w:rPr>
        <w:t>Plan</w:t>
      </w:r>
      <w:r>
        <w:rPr>
          <w:spacing w:val="-1"/>
          <w:sz w:val="24"/>
        </w:rPr>
        <w:t> </w:t>
      </w:r>
      <w:r>
        <w:rPr>
          <w:sz w:val="24"/>
        </w:rPr>
        <w:t>to</w:t>
      </w:r>
      <w:r>
        <w:rPr>
          <w:spacing w:val="-1"/>
          <w:sz w:val="24"/>
        </w:rPr>
        <w:t> </w:t>
      </w:r>
      <w:r>
        <w:rPr>
          <w:sz w:val="24"/>
        </w:rPr>
        <w:t>make</w:t>
      </w:r>
      <w:r>
        <w:rPr>
          <w:spacing w:val="-1"/>
          <w:sz w:val="24"/>
        </w:rPr>
        <w:t> </w:t>
      </w:r>
      <w:r>
        <w:rPr>
          <w:spacing w:val="-2"/>
          <w:sz w:val="24"/>
        </w:rPr>
        <w:t>improvements</w:t>
      </w:r>
    </w:p>
    <w:p>
      <w:pPr>
        <w:pStyle w:val="BodyText"/>
        <w:spacing w:before="199"/>
      </w:pPr>
    </w:p>
    <w:p>
      <w:pPr>
        <w:pStyle w:val="BodyText"/>
        <w:spacing w:line="480" w:lineRule="auto"/>
        <w:ind w:left="399" w:right="1318"/>
        <w:jc w:val="both"/>
      </w:pPr>
      <w:r>
        <w:rPr/>
        <w:t>This control process is more suitable for TQM, as it includes the improvement dimension. However, it does not incorporate the TQM culture, nor does it stress customer satisfaction and management responsibility.</w:t>
      </w:r>
    </w:p>
    <w:p>
      <w:pPr>
        <w:pStyle w:val="BodyText"/>
        <w:spacing w:before="2"/>
      </w:pPr>
    </w:p>
    <w:p>
      <w:pPr>
        <w:pStyle w:val="Heading3"/>
        <w:numPr>
          <w:ilvl w:val="3"/>
          <w:numId w:val="4"/>
        </w:numPr>
        <w:tabs>
          <w:tab w:pos="1899" w:val="left" w:leader="none"/>
        </w:tabs>
        <w:spacing w:line="240" w:lineRule="auto" w:before="0" w:after="0"/>
        <w:ind w:left="1899" w:right="0" w:hanging="1499"/>
        <w:jc w:val="both"/>
        <w:rPr>
          <w:i w:val="0"/>
        </w:rPr>
      </w:pPr>
      <w:r>
        <w:rPr/>
        <w:t>Juran's </w:t>
      </w:r>
      <w:r>
        <w:rPr>
          <w:spacing w:val="-2"/>
        </w:rPr>
        <w:t>philosophy</w:t>
      </w:r>
    </w:p>
    <w:p>
      <w:pPr>
        <w:pStyle w:val="BodyText"/>
        <w:spacing w:line="480" w:lineRule="auto" w:before="272"/>
        <w:ind w:left="400" w:right="1316"/>
        <w:jc w:val="both"/>
      </w:pPr>
      <w:r>
        <w:rPr/>
        <w:t>J.M.</w:t>
      </w:r>
      <w:r>
        <w:rPr>
          <w:spacing w:val="40"/>
        </w:rPr>
        <w:t> </w:t>
      </w:r>
      <w:r>
        <w:rPr/>
        <w:t>Juran's definition of quality is "fitness for use" which attained widespread although not universal acceptance. Together with Deming, he pioneered the bulk of the quality initiatives in Japan. However, unlike Deming, Juran focused on the role of top and middle management in achieving quality. He concluded that the bulk of quality problems are the responsibility of management and hence they are responsible for the success of quality management.</w:t>
      </w:r>
    </w:p>
    <w:p>
      <w:pPr>
        <w:pStyle w:val="BodyText"/>
        <w:spacing w:line="480" w:lineRule="auto" w:before="201"/>
        <w:ind w:left="400" w:right="1316"/>
        <w:jc w:val="both"/>
      </w:pPr>
      <w:r>
        <w:rPr/>
        <w:t>He developed the Quality Trilogy comprising Quality Planning, Quality Control and Quality Improvement. The Quality Trilogy is best understood from the Juran Trilogy shown in Figure </w:t>
      </w:r>
      <w:r>
        <w:rPr>
          <w:spacing w:val="-4"/>
        </w:rPr>
        <w:t>2.3:</w:t>
      </w:r>
    </w:p>
    <w:p>
      <w:pPr>
        <w:spacing w:after="0" w:line="480" w:lineRule="auto"/>
        <w:jc w:val="both"/>
        <w:sectPr>
          <w:pgSz w:w="12240" w:h="15840"/>
          <w:pgMar w:header="0" w:footer="1017" w:top="1360" w:bottom="1200" w:left="1040" w:right="120"/>
        </w:sectPr>
      </w:pPr>
    </w:p>
    <w:p>
      <w:pPr>
        <w:pStyle w:val="BodyText"/>
        <w:ind w:left="517"/>
        <w:rPr>
          <w:sz w:val="20"/>
        </w:rPr>
      </w:pPr>
      <w:r>
        <w:rPr>
          <w:sz w:val="20"/>
        </w:rPr>
        <w:drawing>
          <wp:inline distT="0" distB="0" distL="0" distR="0">
            <wp:extent cx="5526327" cy="3248405"/>
            <wp:effectExtent l="0" t="0" r="0" b="0"/>
            <wp:docPr id="68" name="Image 68" descr="tril1.jpg"/>
            <wp:cNvGraphicFramePr>
              <a:graphicFrameLocks/>
            </wp:cNvGraphicFramePr>
            <a:graphic>
              <a:graphicData uri="http://schemas.openxmlformats.org/drawingml/2006/picture">
                <pic:pic>
                  <pic:nvPicPr>
                    <pic:cNvPr id="68" name="Image 68" descr="tril1.jpg"/>
                    <pic:cNvPicPr/>
                  </pic:nvPicPr>
                  <pic:blipFill>
                    <a:blip r:embed="rId9" cstate="print"/>
                    <a:stretch>
                      <a:fillRect/>
                    </a:stretch>
                  </pic:blipFill>
                  <pic:spPr>
                    <a:xfrm>
                      <a:off x="0" y="0"/>
                      <a:ext cx="5526327" cy="3248405"/>
                    </a:xfrm>
                    <a:prstGeom prst="rect">
                      <a:avLst/>
                    </a:prstGeom>
                  </pic:spPr>
                </pic:pic>
              </a:graphicData>
            </a:graphic>
          </wp:inline>
        </w:drawing>
      </w:r>
      <w:r>
        <w:rPr>
          <w:sz w:val="20"/>
        </w:rPr>
      </w:r>
    </w:p>
    <w:p>
      <w:pPr>
        <w:pStyle w:val="BodyText"/>
        <w:spacing w:before="88"/>
      </w:pPr>
    </w:p>
    <w:p>
      <w:pPr>
        <w:pStyle w:val="Heading2"/>
        <w:spacing w:line="276" w:lineRule="auto"/>
        <w:ind w:left="1840" w:right="6112"/>
        <w:jc w:val="left"/>
      </w:pPr>
      <w:r>
        <w:rPr/>
        <w:t>Figure</w:t>
      </w:r>
      <w:r>
        <w:rPr>
          <w:spacing w:val="-10"/>
        </w:rPr>
        <w:t> </w:t>
      </w:r>
      <w:r>
        <w:rPr/>
        <w:t>2.3:</w:t>
      </w:r>
      <w:r>
        <w:rPr>
          <w:spacing w:val="-10"/>
        </w:rPr>
        <w:t> </w:t>
      </w:r>
      <w:r>
        <w:rPr/>
        <w:t>The</w:t>
      </w:r>
      <w:r>
        <w:rPr>
          <w:spacing w:val="-10"/>
        </w:rPr>
        <w:t> </w:t>
      </w:r>
      <w:r>
        <w:rPr/>
        <w:t>Juran</w:t>
      </w:r>
      <w:r>
        <w:rPr>
          <w:spacing w:val="-9"/>
        </w:rPr>
        <w:t> </w:t>
      </w:r>
      <w:r>
        <w:rPr/>
        <w:t>Trilogy Source: Juran (1988)</w:t>
      </w:r>
    </w:p>
    <w:p>
      <w:pPr>
        <w:pStyle w:val="BodyText"/>
        <w:spacing w:before="268"/>
        <w:rPr>
          <w:b/>
        </w:rPr>
      </w:pPr>
    </w:p>
    <w:p>
      <w:pPr>
        <w:pStyle w:val="BodyText"/>
        <w:spacing w:line="482" w:lineRule="auto"/>
        <w:ind w:left="400" w:right="1315"/>
      </w:pPr>
      <w:r>
        <w:rPr/>
        <w:t>According</w:t>
      </w:r>
      <w:r>
        <w:rPr>
          <w:spacing w:val="40"/>
        </w:rPr>
        <w:t> </w:t>
      </w:r>
      <w:r>
        <w:rPr/>
        <w:t>to</w:t>
      </w:r>
      <w:r>
        <w:rPr>
          <w:spacing w:val="40"/>
        </w:rPr>
        <w:t> </w:t>
      </w:r>
      <w:r>
        <w:rPr/>
        <w:t>Juran</w:t>
      </w:r>
      <w:r>
        <w:rPr>
          <w:spacing w:val="40"/>
        </w:rPr>
        <w:t> </w:t>
      </w:r>
      <w:r>
        <w:rPr/>
        <w:t>(1988),</w:t>
      </w:r>
      <w:r>
        <w:rPr>
          <w:spacing w:val="40"/>
        </w:rPr>
        <w:t> </w:t>
      </w:r>
      <w:r>
        <w:rPr/>
        <w:t>the</w:t>
      </w:r>
      <w:r>
        <w:rPr>
          <w:spacing w:val="40"/>
        </w:rPr>
        <w:t> </w:t>
      </w:r>
      <w:r>
        <w:rPr/>
        <w:t>quality</w:t>
      </w:r>
      <w:r>
        <w:rPr>
          <w:spacing w:val="40"/>
        </w:rPr>
        <w:t> </w:t>
      </w:r>
      <w:r>
        <w:rPr/>
        <w:t>trilogy</w:t>
      </w:r>
      <w:r>
        <w:rPr>
          <w:spacing w:val="40"/>
        </w:rPr>
        <w:t> </w:t>
      </w:r>
      <w:r>
        <w:rPr/>
        <w:t>consists</w:t>
      </w:r>
      <w:r>
        <w:rPr>
          <w:spacing w:val="40"/>
        </w:rPr>
        <w:t> </w:t>
      </w:r>
      <w:r>
        <w:rPr/>
        <w:t>of</w:t>
      </w:r>
      <w:r>
        <w:rPr>
          <w:spacing w:val="40"/>
        </w:rPr>
        <w:t> </w:t>
      </w:r>
      <w:r>
        <w:rPr/>
        <w:t>three</w:t>
      </w:r>
      <w:r>
        <w:rPr>
          <w:spacing w:val="40"/>
        </w:rPr>
        <w:t> </w:t>
      </w:r>
      <w:r>
        <w:rPr/>
        <w:t>basic</w:t>
      </w:r>
      <w:r>
        <w:rPr>
          <w:spacing w:val="40"/>
        </w:rPr>
        <w:t> </w:t>
      </w:r>
      <w:r>
        <w:rPr/>
        <w:t>managerial</w:t>
      </w:r>
      <w:r>
        <w:rPr>
          <w:spacing w:val="40"/>
        </w:rPr>
        <w:t> </w:t>
      </w:r>
      <w:r>
        <w:rPr/>
        <w:t>processes through which the management of an organisation can achieve quality:</w:t>
      </w:r>
    </w:p>
    <w:p>
      <w:pPr>
        <w:pStyle w:val="ListParagraph"/>
        <w:numPr>
          <w:ilvl w:val="0"/>
          <w:numId w:val="7"/>
        </w:numPr>
        <w:tabs>
          <w:tab w:pos="1120" w:val="left" w:leader="none"/>
        </w:tabs>
        <w:spacing w:line="482" w:lineRule="auto" w:before="196" w:after="0"/>
        <w:ind w:left="1120" w:right="1318" w:hanging="360"/>
        <w:jc w:val="left"/>
        <w:rPr>
          <w:sz w:val="24"/>
        </w:rPr>
      </w:pPr>
      <w:r>
        <w:rPr>
          <w:sz w:val="24"/>
        </w:rPr>
        <w:t>Quality</w:t>
      </w:r>
      <w:r>
        <w:rPr>
          <w:spacing w:val="-2"/>
          <w:sz w:val="24"/>
        </w:rPr>
        <w:t> </w:t>
      </w:r>
      <w:r>
        <w:rPr>
          <w:sz w:val="24"/>
        </w:rPr>
        <w:t>planning provides the operating forces with the means of producing products that meet consumer needs;</w:t>
      </w:r>
    </w:p>
    <w:p>
      <w:pPr>
        <w:pStyle w:val="ListParagraph"/>
        <w:numPr>
          <w:ilvl w:val="0"/>
          <w:numId w:val="7"/>
        </w:numPr>
        <w:tabs>
          <w:tab w:pos="1120" w:val="left" w:leader="none"/>
        </w:tabs>
        <w:spacing w:line="482" w:lineRule="auto" w:before="194" w:after="0"/>
        <w:ind w:left="1120" w:right="1319" w:hanging="360"/>
        <w:jc w:val="left"/>
        <w:rPr>
          <w:sz w:val="24"/>
        </w:rPr>
      </w:pPr>
      <w:r>
        <w:rPr>
          <w:sz w:val="24"/>
        </w:rPr>
        <w:t>Quality</w:t>
      </w:r>
      <w:r>
        <w:rPr>
          <w:spacing w:val="36"/>
          <w:sz w:val="24"/>
        </w:rPr>
        <w:t> </w:t>
      </w:r>
      <w:r>
        <w:rPr>
          <w:sz w:val="24"/>
        </w:rPr>
        <w:t>improvement</w:t>
      </w:r>
      <w:r>
        <w:rPr>
          <w:spacing w:val="40"/>
          <w:sz w:val="24"/>
        </w:rPr>
        <w:t> </w:t>
      </w:r>
      <w:r>
        <w:rPr>
          <w:sz w:val="24"/>
        </w:rPr>
        <w:t>is</w:t>
      </w:r>
      <w:r>
        <w:rPr>
          <w:spacing w:val="40"/>
          <w:sz w:val="24"/>
        </w:rPr>
        <w:t> </w:t>
      </w:r>
      <w:r>
        <w:rPr>
          <w:sz w:val="24"/>
        </w:rPr>
        <w:t>based</w:t>
      </w:r>
      <w:r>
        <w:rPr>
          <w:spacing w:val="40"/>
          <w:sz w:val="24"/>
        </w:rPr>
        <w:t> </w:t>
      </w:r>
      <w:r>
        <w:rPr>
          <w:sz w:val="24"/>
        </w:rPr>
        <w:t>on</w:t>
      </w:r>
      <w:r>
        <w:rPr>
          <w:spacing w:val="40"/>
          <w:sz w:val="24"/>
        </w:rPr>
        <w:t> </w:t>
      </w:r>
      <w:r>
        <w:rPr>
          <w:sz w:val="24"/>
        </w:rPr>
        <w:t>looking</w:t>
      </w:r>
      <w:r>
        <w:rPr>
          <w:spacing w:val="40"/>
          <w:sz w:val="24"/>
        </w:rPr>
        <w:t> </w:t>
      </w:r>
      <w:r>
        <w:rPr>
          <w:sz w:val="24"/>
        </w:rPr>
        <w:t>for</w:t>
      </w:r>
      <w:r>
        <w:rPr>
          <w:spacing w:val="40"/>
          <w:sz w:val="24"/>
        </w:rPr>
        <w:t> </w:t>
      </w:r>
      <w:r>
        <w:rPr>
          <w:sz w:val="24"/>
        </w:rPr>
        <w:t>opportunities</w:t>
      </w:r>
      <w:r>
        <w:rPr>
          <w:spacing w:val="40"/>
          <w:sz w:val="24"/>
        </w:rPr>
        <w:t> </w:t>
      </w:r>
      <w:r>
        <w:rPr>
          <w:sz w:val="24"/>
        </w:rPr>
        <w:t>to</w:t>
      </w:r>
      <w:r>
        <w:rPr>
          <w:spacing w:val="40"/>
          <w:sz w:val="24"/>
        </w:rPr>
        <w:t> </w:t>
      </w:r>
      <w:r>
        <w:rPr>
          <w:sz w:val="24"/>
        </w:rPr>
        <w:t>improve</w:t>
      </w:r>
      <w:r>
        <w:rPr>
          <w:spacing w:val="40"/>
          <w:sz w:val="24"/>
        </w:rPr>
        <w:t> </w:t>
      </w:r>
      <w:r>
        <w:rPr>
          <w:sz w:val="24"/>
        </w:rPr>
        <w:t>quality</w:t>
      </w:r>
      <w:r>
        <w:rPr>
          <w:spacing w:val="36"/>
          <w:sz w:val="24"/>
        </w:rPr>
        <w:t> </w:t>
      </w:r>
      <w:r>
        <w:rPr>
          <w:sz w:val="24"/>
        </w:rPr>
        <w:t>before problems arise; and,</w:t>
      </w:r>
    </w:p>
    <w:p>
      <w:pPr>
        <w:pStyle w:val="ListParagraph"/>
        <w:numPr>
          <w:ilvl w:val="0"/>
          <w:numId w:val="7"/>
        </w:numPr>
        <w:tabs>
          <w:tab w:pos="1119" w:val="left" w:leader="none"/>
        </w:tabs>
        <w:spacing w:line="482" w:lineRule="auto" w:before="194" w:after="0"/>
        <w:ind w:left="1119" w:right="1317" w:hanging="360"/>
        <w:jc w:val="left"/>
        <w:rPr>
          <w:sz w:val="24"/>
        </w:rPr>
      </w:pPr>
      <w:r>
        <w:rPr>
          <w:sz w:val="24"/>
        </w:rPr>
        <w:t>Quality</w:t>
      </w:r>
      <w:r>
        <w:rPr>
          <w:spacing w:val="40"/>
          <w:sz w:val="24"/>
        </w:rPr>
        <w:t> </w:t>
      </w:r>
      <w:r>
        <w:rPr>
          <w:sz w:val="24"/>
        </w:rPr>
        <w:t>control</w:t>
      </w:r>
      <w:r>
        <w:rPr>
          <w:spacing w:val="40"/>
          <w:sz w:val="24"/>
        </w:rPr>
        <w:t> </w:t>
      </w:r>
      <w:r>
        <w:rPr>
          <w:sz w:val="24"/>
        </w:rPr>
        <w:t>emphasises</w:t>
      </w:r>
      <w:r>
        <w:rPr>
          <w:spacing w:val="40"/>
          <w:sz w:val="24"/>
        </w:rPr>
        <w:t> </w:t>
      </w:r>
      <w:r>
        <w:rPr>
          <w:sz w:val="24"/>
        </w:rPr>
        <w:t>the</w:t>
      </w:r>
      <w:r>
        <w:rPr>
          <w:spacing w:val="40"/>
          <w:sz w:val="24"/>
        </w:rPr>
        <w:t> </w:t>
      </w:r>
      <w:r>
        <w:rPr>
          <w:sz w:val="24"/>
        </w:rPr>
        <w:t>prevention</w:t>
      </w:r>
      <w:r>
        <w:rPr>
          <w:spacing w:val="40"/>
          <w:sz w:val="24"/>
        </w:rPr>
        <w:t> </w:t>
      </w:r>
      <w:r>
        <w:rPr>
          <w:sz w:val="24"/>
        </w:rPr>
        <w:t>of</w:t>
      </w:r>
      <w:r>
        <w:rPr>
          <w:spacing w:val="40"/>
          <w:sz w:val="24"/>
        </w:rPr>
        <w:t> </w:t>
      </w:r>
      <w:r>
        <w:rPr>
          <w:sz w:val="24"/>
        </w:rPr>
        <w:t>quality</w:t>
      </w:r>
      <w:r>
        <w:rPr>
          <w:spacing w:val="40"/>
          <w:sz w:val="24"/>
        </w:rPr>
        <w:t> </w:t>
      </w:r>
      <w:r>
        <w:rPr>
          <w:sz w:val="24"/>
        </w:rPr>
        <w:t>problems</w:t>
      </w:r>
      <w:r>
        <w:rPr>
          <w:spacing w:val="40"/>
          <w:sz w:val="24"/>
        </w:rPr>
        <w:t> </w:t>
      </w:r>
      <w:r>
        <w:rPr>
          <w:sz w:val="24"/>
        </w:rPr>
        <w:t>and</w:t>
      </w:r>
      <w:r>
        <w:rPr>
          <w:spacing w:val="40"/>
          <w:sz w:val="24"/>
        </w:rPr>
        <w:t> </w:t>
      </w:r>
      <w:r>
        <w:rPr>
          <w:sz w:val="24"/>
        </w:rPr>
        <w:t>the</w:t>
      </w:r>
      <w:r>
        <w:rPr>
          <w:spacing w:val="40"/>
          <w:sz w:val="24"/>
        </w:rPr>
        <w:t> </w:t>
      </w:r>
      <w:r>
        <w:rPr>
          <w:sz w:val="24"/>
        </w:rPr>
        <w:t>correction</w:t>
      </w:r>
      <w:r>
        <w:rPr>
          <w:spacing w:val="40"/>
          <w:sz w:val="24"/>
        </w:rPr>
        <w:t> </w:t>
      </w:r>
      <w:r>
        <w:rPr>
          <w:sz w:val="24"/>
        </w:rPr>
        <w:t>of defects to create a product that is free from deficiencies.</w:t>
      </w:r>
    </w:p>
    <w:p>
      <w:pPr>
        <w:spacing w:after="0" w:line="482" w:lineRule="auto"/>
        <w:jc w:val="left"/>
        <w:rPr>
          <w:sz w:val="24"/>
        </w:rPr>
        <w:sectPr>
          <w:pgSz w:w="12240" w:h="15840"/>
          <w:pgMar w:header="0" w:footer="1017" w:top="1440" w:bottom="1200" w:left="1040" w:right="120"/>
        </w:sectPr>
      </w:pPr>
    </w:p>
    <w:p>
      <w:pPr>
        <w:pStyle w:val="Heading3"/>
        <w:numPr>
          <w:ilvl w:val="3"/>
          <w:numId w:val="4"/>
        </w:numPr>
        <w:tabs>
          <w:tab w:pos="1899" w:val="left" w:leader="none"/>
        </w:tabs>
        <w:spacing w:line="240" w:lineRule="auto" w:before="79" w:after="0"/>
        <w:ind w:left="1899" w:right="0" w:hanging="1499"/>
        <w:jc w:val="both"/>
        <w:rPr>
          <w:i w:val="0"/>
        </w:rPr>
      </w:pPr>
      <w:r>
        <w:rPr/>
        <w:t>Crosby's</w:t>
      </w:r>
      <w:r>
        <w:rPr>
          <w:spacing w:val="-1"/>
        </w:rPr>
        <w:t> </w:t>
      </w:r>
      <w:r>
        <w:rPr>
          <w:spacing w:val="-2"/>
        </w:rPr>
        <w:t>philosophy</w:t>
      </w:r>
    </w:p>
    <w:p>
      <w:pPr>
        <w:pStyle w:val="BodyText"/>
        <w:spacing w:before="192"/>
        <w:rPr>
          <w:b/>
          <w:i/>
        </w:rPr>
      </w:pPr>
    </w:p>
    <w:p>
      <w:pPr>
        <w:pStyle w:val="BodyText"/>
        <w:spacing w:line="480" w:lineRule="auto"/>
        <w:ind w:left="400" w:right="1314"/>
        <w:jc w:val="both"/>
      </w:pPr>
      <w:r>
        <w:rPr/>
        <w:t>Philip B. Crosby an American consultant is best known for his concept of Zero Defects. This is the attitude of defect prevention and involves doing the "right job right the first time". He is commonly criticised for his statement "Quality is free" by people who are not aware of the second part of the statement, which in its totality reads as: "Quality is free but it is not a gift” (Crosby, 1980).</w:t>
      </w:r>
    </w:p>
    <w:p>
      <w:pPr>
        <w:pStyle w:val="BodyText"/>
        <w:spacing w:before="204"/>
        <w:ind w:left="400"/>
        <w:jc w:val="both"/>
      </w:pPr>
      <w:r>
        <w:rPr/>
        <w:t>Crosby's</w:t>
      </w:r>
      <w:r>
        <w:rPr>
          <w:spacing w:val="-3"/>
        </w:rPr>
        <w:t> </w:t>
      </w:r>
      <w:r>
        <w:rPr/>
        <w:t>TQM</w:t>
      </w:r>
      <w:r>
        <w:rPr>
          <w:spacing w:val="-1"/>
        </w:rPr>
        <w:t> </w:t>
      </w:r>
      <w:r>
        <w:rPr/>
        <w:t>philosophy</w:t>
      </w:r>
      <w:r>
        <w:rPr>
          <w:spacing w:val="-4"/>
        </w:rPr>
        <w:t> </w:t>
      </w:r>
      <w:r>
        <w:rPr/>
        <w:t>is</w:t>
      </w:r>
      <w:r>
        <w:rPr>
          <w:spacing w:val="-1"/>
        </w:rPr>
        <w:t> </w:t>
      </w:r>
      <w:r>
        <w:rPr/>
        <w:t>contained</w:t>
      </w:r>
      <w:r>
        <w:rPr>
          <w:spacing w:val="-1"/>
        </w:rPr>
        <w:t> </w:t>
      </w:r>
      <w:r>
        <w:rPr/>
        <w:t>in</w:t>
      </w:r>
      <w:r>
        <w:rPr>
          <w:spacing w:val="-1"/>
        </w:rPr>
        <w:t> </w:t>
      </w:r>
      <w:r>
        <w:rPr/>
        <w:t>his</w:t>
      </w:r>
      <w:r>
        <w:rPr>
          <w:spacing w:val="-1"/>
        </w:rPr>
        <w:t> </w:t>
      </w:r>
      <w:r>
        <w:rPr/>
        <w:t>4 </w:t>
      </w:r>
      <w:r>
        <w:rPr>
          <w:spacing w:val="-2"/>
        </w:rPr>
        <w:t>absolutes:</w:t>
      </w:r>
    </w:p>
    <w:p>
      <w:pPr>
        <w:pStyle w:val="BodyText"/>
        <w:spacing w:before="197"/>
      </w:pPr>
    </w:p>
    <w:p>
      <w:pPr>
        <w:pStyle w:val="ListParagraph"/>
        <w:numPr>
          <w:ilvl w:val="0"/>
          <w:numId w:val="8"/>
        </w:numPr>
        <w:tabs>
          <w:tab w:pos="1119" w:val="left" w:leader="none"/>
        </w:tabs>
        <w:spacing w:line="240" w:lineRule="auto" w:before="0" w:after="0"/>
        <w:ind w:left="1119" w:right="0" w:hanging="719"/>
        <w:jc w:val="both"/>
        <w:rPr>
          <w:sz w:val="24"/>
        </w:rPr>
      </w:pPr>
      <w:r>
        <w:rPr>
          <w:sz w:val="24"/>
        </w:rPr>
        <w:t>The</w:t>
      </w:r>
      <w:r>
        <w:rPr>
          <w:spacing w:val="-4"/>
          <w:sz w:val="24"/>
        </w:rPr>
        <w:t> </w:t>
      </w:r>
      <w:r>
        <w:rPr>
          <w:sz w:val="24"/>
        </w:rPr>
        <w:t>definition</w:t>
      </w:r>
      <w:r>
        <w:rPr>
          <w:spacing w:val="-1"/>
          <w:sz w:val="24"/>
        </w:rPr>
        <w:t> </w:t>
      </w:r>
      <w:r>
        <w:rPr>
          <w:sz w:val="24"/>
        </w:rPr>
        <w:t>of</w:t>
      </w:r>
      <w:r>
        <w:rPr>
          <w:spacing w:val="-2"/>
          <w:sz w:val="24"/>
        </w:rPr>
        <w:t> </w:t>
      </w:r>
      <w:r>
        <w:rPr>
          <w:sz w:val="24"/>
        </w:rPr>
        <w:t>quality</w:t>
      </w:r>
      <w:r>
        <w:rPr>
          <w:spacing w:val="-4"/>
          <w:sz w:val="24"/>
        </w:rPr>
        <w:t> </w:t>
      </w:r>
      <w:r>
        <w:rPr>
          <w:sz w:val="24"/>
        </w:rPr>
        <w:t>is</w:t>
      </w:r>
      <w:r>
        <w:rPr>
          <w:spacing w:val="-1"/>
          <w:sz w:val="24"/>
        </w:rPr>
        <w:t> </w:t>
      </w:r>
      <w:r>
        <w:rPr>
          <w:sz w:val="24"/>
        </w:rPr>
        <w:t>conformance</w:t>
      </w:r>
      <w:r>
        <w:rPr>
          <w:spacing w:val="-1"/>
          <w:sz w:val="24"/>
        </w:rPr>
        <w:t> </w:t>
      </w:r>
      <w:r>
        <w:rPr>
          <w:sz w:val="24"/>
        </w:rPr>
        <w:t>to</w:t>
      </w:r>
      <w:r>
        <w:rPr>
          <w:spacing w:val="-1"/>
          <w:sz w:val="24"/>
        </w:rPr>
        <w:t> </w:t>
      </w:r>
      <w:r>
        <w:rPr>
          <w:sz w:val="24"/>
        </w:rPr>
        <w:t>requirements (not</w:t>
      </w:r>
      <w:r>
        <w:rPr>
          <w:spacing w:val="-1"/>
          <w:sz w:val="24"/>
        </w:rPr>
        <w:t> </w:t>
      </w:r>
      <w:r>
        <w:rPr>
          <w:sz w:val="24"/>
        </w:rPr>
        <w:t>"goodness"</w:t>
      </w:r>
      <w:r>
        <w:rPr>
          <w:spacing w:val="-3"/>
          <w:sz w:val="24"/>
        </w:rPr>
        <w:t> </w:t>
      </w:r>
      <w:r>
        <w:rPr>
          <w:sz w:val="24"/>
        </w:rPr>
        <w:t>or</w:t>
      </w:r>
      <w:r>
        <w:rPr>
          <w:spacing w:val="-1"/>
          <w:sz w:val="24"/>
        </w:rPr>
        <w:t> </w:t>
      </w:r>
      <w:r>
        <w:rPr>
          <w:spacing w:val="-2"/>
          <w:sz w:val="24"/>
        </w:rPr>
        <w:t>"elegance");</w:t>
      </w:r>
    </w:p>
    <w:p>
      <w:pPr>
        <w:pStyle w:val="BodyText"/>
      </w:pPr>
    </w:p>
    <w:p>
      <w:pPr>
        <w:pStyle w:val="ListParagraph"/>
        <w:numPr>
          <w:ilvl w:val="0"/>
          <w:numId w:val="8"/>
        </w:numPr>
        <w:tabs>
          <w:tab w:pos="1118" w:val="left" w:leader="none"/>
        </w:tabs>
        <w:spacing w:line="240" w:lineRule="auto" w:before="0" w:after="0"/>
        <w:ind w:left="1118" w:right="0" w:hanging="719"/>
        <w:jc w:val="both"/>
        <w:rPr>
          <w:sz w:val="24"/>
        </w:rPr>
      </w:pPr>
      <w:r>
        <w:rPr>
          <w:sz w:val="24"/>
        </w:rPr>
        <w:t>The</w:t>
      </w:r>
      <w:r>
        <w:rPr>
          <w:spacing w:val="-2"/>
          <w:sz w:val="24"/>
        </w:rPr>
        <w:t> </w:t>
      </w:r>
      <w:r>
        <w:rPr>
          <w:sz w:val="24"/>
        </w:rPr>
        <w:t>system</w:t>
      </w:r>
      <w:r>
        <w:rPr>
          <w:spacing w:val="-1"/>
          <w:sz w:val="24"/>
        </w:rPr>
        <w:t> </w:t>
      </w:r>
      <w:r>
        <w:rPr>
          <w:sz w:val="24"/>
        </w:rPr>
        <w:t>of</w:t>
      </w:r>
      <w:r>
        <w:rPr>
          <w:spacing w:val="-2"/>
          <w:sz w:val="24"/>
        </w:rPr>
        <w:t> </w:t>
      </w:r>
      <w:r>
        <w:rPr>
          <w:sz w:val="24"/>
        </w:rPr>
        <w:t>quality</w:t>
      </w:r>
      <w:r>
        <w:rPr>
          <w:spacing w:val="-5"/>
          <w:sz w:val="24"/>
        </w:rPr>
        <w:t> </w:t>
      </w:r>
      <w:r>
        <w:rPr>
          <w:sz w:val="24"/>
        </w:rPr>
        <w:t>is</w:t>
      </w:r>
      <w:r>
        <w:rPr>
          <w:spacing w:val="1"/>
          <w:sz w:val="24"/>
        </w:rPr>
        <w:t> </w:t>
      </w:r>
      <w:r>
        <w:rPr>
          <w:sz w:val="24"/>
        </w:rPr>
        <w:t>prevention</w:t>
      </w:r>
      <w:r>
        <w:rPr>
          <w:spacing w:val="-1"/>
          <w:sz w:val="24"/>
        </w:rPr>
        <w:t> </w:t>
      </w:r>
      <w:r>
        <w:rPr>
          <w:sz w:val="24"/>
        </w:rPr>
        <w:t>(not </w:t>
      </w:r>
      <w:r>
        <w:rPr>
          <w:spacing w:val="-2"/>
          <w:sz w:val="24"/>
        </w:rPr>
        <w:t>appraisal);</w:t>
      </w:r>
    </w:p>
    <w:p>
      <w:pPr>
        <w:pStyle w:val="BodyText"/>
      </w:pPr>
    </w:p>
    <w:p>
      <w:pPr>
        <w:pStyle w:val="ListParagraph"/>
        <w:numPr>
          <w:ilvl w:val="0"/>
          <w:numId w:val="8"/>
        </w:numPr>
        <w:tabs>
          <w:tab w:pos="1118" w:val="left" w:leader="none"/>
        </w:tabs>
        <w:spacing w:line="240" w:lineRule="auto" w:before="0" w:after="0"/>
        <w:ind w:left="1118" w:right="0" w:hanging="719"/>
        <w:jc w:val="both"/>
        <w:rPr>
          <w:sz w:val="24"/>
        </w:rPr>
      </w:pPr>
      <w:r>
        <w:rPr>
          <w:sz w:val="24"/>
        </w:rPr>
        <w:t>The</w:t>
      </w:r>
      <w:r>
        <w:rPr>
          <w:spacing w:val="-3"/>
          <w:sz w:val="24"/>
        </w:rPr>
        <w:t> </w:t>
      </w:r>
      <w:r>
        <w:rPr>
          <w:sz w:val="24"/>
        </w:rPr>
        <w:t>only</w:t>
      </w:r>
      <w:r>
        <w:rPr>
          <w:spacing w:val="-6"/>
          <w:sz w:val="24"/>
        </w:rPr>
        <w:t> </w:t>
      </w:r>
      <w:r>
        <w:rPr>
          <w:sz w:val="24"/>
        </w:rPr>
        <w:t>performance</w:t>
      </w:r>
      <w:r>
        <w:rPr>
          <w:spacing w:val="-2"/>
          <w:sz w:val="24"/>
        </w:rPr>
        <w:t> </w:t>
      </w:r>
      <w:r>
        <w:rPr>
          <w:sz w:val="24"/>
        </w:rPr>
        <w:t>standard</w:t>
      </w:r>
      <w:r>
        <w:rPr>
          <w:spacing w:val="-1"/>
          <w:sz w:val="24"/>
        </w:rPr>
        <w:t> </w:t>
      </w:r>
      <w:r>
        <w:rPr>
          <w:sz w:val="24"/>
        </w:rPr>
        <w:t>is</w:t>
      </w:r>
      <w:r>
        <w:rPr>
          <w:spacing w:val="1"/>
          <w:sz w:val="24"/>
        </w:rPr>
        <w:t> </w:t>
      </w:r>
      <w:r>
        <w:rPr>
          <w:sz w:val="24"/>
        </w:rPr>
        <w:t>Zero</w:t>
      </w:r>
      <w:r>
        <w:rPr>
          <w:spacing w:val="-2"/>
          <w:sz w:val="24"/>
        </w:rPr>
        <w:t> </w:t>
      </w:r>
      <w:r>
        <w:rPr>
          <w:sz w:val="24"/>
        </w:rPr>
        <w:t>Defects</w:t>
      </w:r>
      <w:r>
        <w:rPr>
          <w:spacing w:val="-1"/>
          <w:sz w:val="24"/>
        </w:rPr>
        <w:t> </w:t>
      </w:r>
      <w:r>
        <w:rPr>
          <w:sz w:val="24"/>
        </w:rPr>
        <w:t>(not</w:t>
      </w:r>
      <w:r>
        <w:rPr>
          <w:spacing w:val="-1"/>
          <w:sz w:val="24"/>
        </w:rPr>
        <w:t> </w:t>
      </w:r>
      <w:r>
        <w:rPr>
          <w:sz w:val="24"/>
        </w:rPr>
        <w:t>"that's</w:t>
      </w:r>
      <w:r>
        <w:rPr>
          <w:spacing w:val="-1"/>
          <w:sz w:val="24"/>
        </w:rPr>
        <w:t> </w:t>
      </w:r>
      <w:r>
        <w:rPr>
          <w:sz w:val="24"/>
        </w:rPr>
        <w:t>close</w:t>
      </w:r>
      <w:r>
        <w:rPr>
          <w:spacing w:val="-2"/>
          <w:sz w:val="24"/>
        </w:rPr>
        <w:t> </w:t>
      </w:r>
      <w:r>
        <w:rPr>
          <w:sz w:val="24"/>
        </w:rPr>
        <w:t>enough");</w:t>
      </w:r>
      <w:r>
        <w:rPr>
          <w:spacing w:val="-1"/>
          <w:sz w:val="24"/>
        </w:rPr>
        <w:t> </w:t>
      </w:r>
      <w:r>
        <w:rPr>
          <w:spacing w:val="-4"/>
          <w:sz w:val="24"/>
        </w:rPr>
        <w:t>and,</w:t>
      </w:r>
    </w:p>
    <w:p>
      <w:pPr>
        <w:pStyle w:val="BodyText"/>
        <w:spacing w:before="2"/>
      </w:pPr>
    </w:p>
    <w:p>
      <w:pPr>
        <w:pStyle w:val="ListParagraph"/>
        <w:numPr>
          <w:ilvl w:val="0"/>
          <w:numId w:val="8"/>
        </w:numPr>
        <w:tabs>
          <w:tab w:pos="1118" w:val="left" w:leader="none"/>
        </w:tabs>
        <w:spacing w:line="240" w:lineRule="auto" w:before="1" w:after="0"/>
        <w:ind w:left="1118" w:right="0" w:hanging="719"/>
        <w:jc w:val="both"/>
        <w:rPr>
          <w:sz w:val="24"/>
        </w:rPr>
      </w:pPr>
      <w:r>
        <w:rPr>
          <w:sz w:val="24"/>
        </w:rPr>
        <w:t>The</w:t>
      </w:r>
      <w:r>
        <w:rPr>
          <w:spacing w:val="-4"/>
          <w:sz w:val="24"/>
        </w:rPr>
        <w:t> </w:t>
      </w:r>
      <w:r>
        <w:rPr>
          <w:sz w:val="24"/>
        </w:rPr>
        <w:t>measure</w:t>
      </w:r>
      <w:r>
        <w:rPr>
          <w:spacing w:val="-1"/>
          <w:sz w:val="24"/>
        </w:rPr>
        <w:t> </w:t>
      </w:r>
      <w:r>
        <w:rPr>
          <w:sz w:val="24"/>
        </w:rPr>
        <w:t>of</w:t>
      </w:r>
      <w:r>
        <w:rPr>
          <w:spacing w:val="-1"/>
          <w:sz w:val="24"/>
        </w:rPr>
        <w:t> </w:t>
      </w:r>
      <w:r>
        <w:rPr>
          <w:sz w:val="24"/>
        </w:rPr>
        <w:t>quality</w:t>
      </w:r>
      <w:r>
        <w:rPr>
          <w:spacing w:val="-5"/>
          <w:sz w:val="24"/>
        </w:rPr>
        <w:t> </w:t>
      </w:r>
      <w:r>
        <w:rPr>
          <w:sz w:val="24"/>
        </w:rPr>
        <w:t>is the</w:t>
      </w:r>
      <w:r>
        <w:rPr>
          <w:spacing w:val="-1"/>
          <w:sz w:val="24"/>
        </w:rPr>
        <w:t> </w:t>
      </w:r>
      <w:r>
        <w:rPr>
          <w:sz w:val="24"/>
        </w:rPr>
        <w:t>price</w:t>
      </w:r>
      <w:r>
        <w:rPr>
          <w:spacing w:val="-1"/>
          <w:sz w:val="24"/>
        </w:rPr>
        <w:t> </w:t>
      </w:r>
      <w:r>
        <w:rPr>
          <w:sz w:val="24"/>
        </w:rPr>
        <w:t>of</w:t>
      </w:r>
      <w:r>
        <w:rPr>
          <w:spacing w:val="-1"/>
          <w:sz w:val="24"/>
        </w:rPr>
        <w:t> </w:t>
      </w:r>
      <w:r>
        <w:rPr>
          <w:sz w:val="24"/>
        </w:rPr>
        <w:t>non-conformance</w:t>
      </w:r>
      <w:r>
        <w:rPr>
          <w:spacing w:val="-1"/>
          <w:sz w:val="24"/>
        </w:rPr>
        <w:t> </w:t>
      </w:r>
      <w:r>
        <w:rPr>
          <w:sz w:val="24"/>
        </w:rPr>
        <w:t>(not </w:t>
      </w:r>
      <w:r>
        <w:rPr>
          <w:spacing w:val="-2"/>
          <w:sz w:val="24"/>
        </w:rPr>
        <w:t>indices).</w:t>
      </w:r>
    </w:p>
    <w:p>
      <w:pPr>
        <w:pStyle w:val="BodyText"/>
        <w:spacing w:before="196"/>
      </w:pPr>
    </w:p>
    <w:p>
      <w:pPr>
        <w:pStyle w:val="BodyText"/>
        <w:spacing w:line="480" w:lineRule="auto"/>
        <w:ind w:left="399" w:right="1318"/>
        <w:jc w:val="both"/>
      </w:pPr>
      <w:r>
        <w:rPr/>
        <w:t>The</w:t>
      </w:r>
      <w:r>
        <w:rPr>
          <w:spacing w:val="-1"/>
        </w:rPr>
        <w:t> </w:t>
      </w:r>
      <w:r>
        <w:rPr/>
        <w:t>Crosby's approach described the</w:t>
      </w:r>
      <w:r>
        <w:rPr>
          <w:spacing w:val="-1"/>
        </w:rPr>
        <w:t> </w:t>
      </w:r>
      <w:r>
        <w:rPr/>
        <w:t>measurement of</w:t>
      </w:r>
      <w:r>
        <w:rPr>
          <w:spacing w:val="-1"/>
        </w:rPr>
        <w:t> </w:t>
      </w:r>
      <w:r>
        <w:rPr/>
        <w:t>the</w:t>
      </w:r>
      <w:r>
        <w:rPr>
          <w:spacing w:val="-1"/>
        </w:rPr>
        <w:t> </w:t>
      </w:r>
      <w:r>
        <w:rPr/>
        <w:t>Cost of</w:t>
      </w:r>
      <w:r>
        <w:rPr>
          <w:spacing w:val="-1"/>
        </w:rPr>
        <w:t> </w:t>
      </w:r>
      <w:r>
        <w:rPr/>
        <w:t>Quality</w:t>
      </w:r>
      <w:r>
        <w:rPr>
          <w:spacing w:val="-3"/>
        </w:rPr>
        <w:t> </w:t>
      </w:r>
      <w:r>
        <w:rPr/>
        <w:t>(COQ), which includes any costs that are attributable to achieving quality and focuses on the price of both conformance and non-conformance. According to Crosby, price of conformance represents about 3-4 percent of sales in well-run companies, and on the other hand, the price of non-conformance represents between 20-35 percent.</w:t>
      </w:r>
    </w:p>
    <w:p>
      <w:pPr>
        <w:pStyle w:val="Heading3"/>
        <w:numPr>
          <w:ilvl w:val="3"/>
          <w:numId w:val="4"/>
        </w:numPr>
        <w:tabs>
          <w:tab w:pos="1239" w:val="left" w:leader="none"/>
        </w:tabs>
        <w:spacing w:line="240" w:lineRule="auto" w:before="207" w:after="0"/>
        <w:ind w:left="1239" w:right="0" w:hanging="840"/>
        <w:jc w:val="both"/>
        <w:rPr>
          <w:i w:val="0"/>
        </w:rPr>
      </w:pPr>
      <w:r>
        <w:rPr/>
        <w:t>Ishikawa's </w:t>
      </w:r>
      <w:r>
        <w:rPr>
          <w:spacing w:val="-2"/>
        </w:rPr>
        <w:t>philosophy</w:t>
      </w:r>
    </w:p>
    <w:p>
      <w:pPr>
        <w:pStyle w:val="BodyText"/>
        <w:spacing w:before="194"/>
        <w:rPr>
          <w:b/>
          <w:i/>
        </w:rPr>
      </w:pPr>
    </w:p>
    <w:p>
      <w:pPr>
        <w:pStyle w:val="BodyText"/>
        <w:spacing w:line="480" w:lineRule="auto"/>
        <w:ind w:left="399" w:right="1316"/>
        <w:jc w:val="both"/>
      </w:pPr>
      <w:r>
        <w:rPr/>
        <w:t>Ishikawa is the best known of the Japanese contributors to quality management. The main focus of his work was the use of statistical techniques to improve quality in Japanese industry and his greatest achievement was the successful introduction of Quality Control Circles (QCCs) into Japan.</w:t>
      </w:r>
      <w:r>
        <w:rPr>
          <w:spacing w:val="21"/>
        </w:rPr>
        <w:t> </w:t>
      </w:r>
      <w:r>
        <w:rPr/>
        <w:t>QCCs</w:t>
      </w:r>
      <w:r>
        <w:rPr>
          <w:spacing w:val="23"/>
        </w:rPr>
        <w:t> </w:t>
      </w:r>
      <w:r>
        <w:rPr/>
        <w:t>usually</w:t>
      </w:r>
      <w:r>
        <w:rPr>
          <w:spacing w:val="19"/>
        </w:rPr>
        <w:t> </w:t>
      </w:r>
      <w:r>
        <w:rPr/>
        <w:t>consist</w:t>
      </w:r>
      <w:r>
        <w:rPr>
          <w:spacing w:val="23"/>
        </w:rPr>
        <w:t> </w:t>
      </w:r>
      <w:r>
        <w:rPr/>
        <w:t>of</w:t>
      </w:r>
      <w:r>
        <w:rPr>
          <w:spacing w:val="23"/>
        </w:rPr>
        <w:t> </w:t>
      </w:r>
      <w:r>
        <w:rPr/>
        <w:t>a</w:t>
      </w:r>
      <w:r>
        <w:rPr>
          <w:spacing w:val="22"/>
        </w:rPr>
        <w:t> </w:t>
      </w:r>
      <w:r>
        <w:rPr/>
        <w:t>small</w:t>
      </w:r>
      <w:r>
        <w:rPr>
          <w:spacing w:val="21"/>
        </w:rPr>
        <w:t> </w:t>
      </w:r>
      <w:r>
        <w:rPr/>
        <w:t>number</w:t>
      </w:r>
      <w:r>
        <w:rPr>
          <w:spacing w:val="23"/>
        </w:rPr>
        <w:t> </w:t>
      </w:r>
      <w:r>
        <w:rPr/>
        <w:t>of</w:t>
      </w:r>
      <w:r>
        <w:rPr>
          <w:spacing w:val="22"/>
        </w:rPr>
        <w:t> </w:t>
      </w:r>
      <w:r>
        <w:rPr/>
        <w:t>volunteers</w:t>
      </w:r>
      <w:r>
        <w:rPr>
          <w:spacing w:val="24"/>
        </w:rPr>
        <w:t> </w:t>
      </w:r>
      <w:r>
        <w:rPr/>
        <w:t>from</w:t>
      </w:r>
      <w:r>
        <w:rPr>
          <w:spacing w:val="23"/>
        </w:rPr>
        <w:t> </w:t>
      </w:r>
      <w:r>
        <w:rPr/>
        <w:t>one</w:t>
      </w:r>
      <w:r>
        <w:rPr>
          <w:spacing w:val="22"/>
        </w:rPr>
        <w:t> </w:t>
      </w:r>
      <w:r>
        <w:rPr/>
        <w:t>unit</w:t>
      </w:r>
      <w:r>
        <w:rPr>
          <w:spacing w:val="24"/>
        </w:rPr>
        <w:t> </w:t>
      </w:r>
      <w:r>
        <w:rPr/>
        <w:t>of</w:t>
      </w:r>
      <w:r>
        <w:rPr>
          <w:spacing w:val="22"/>
        </w:rPr>
        <w:t> </w:t>
      </w:r>
      <w:r>
        <w:rPr/>
        <w:t>an</w:t>
      </w:r>
      <w:r>
        <w:rPr>
          <w:spacing w:val="24"/>
        </w:rPr>
        <w:t> </w:t>
      </w:r>
      <w:r>
        <w:rPr>
          <w:spacing w:val="-2"/>
        </w:rPr>
        <w:t>organisation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who investigate problems, collect data to identify their cause, and implement solutions to eliminate them and improve quality. The circle can be led by any person, whether supervisor or worker. Regular meetings are held to discuss how their task can be done more effectively and efficiently, and difficulties and issues are raised and change proposals suggested. Where</w:t>
      </w:r>
      <w:r>
        <w:rPr>
          <w:spacing w:val="40"/>
        </w:rPr>
        <w:t> </w:t>
      </w:r>
      <w:r>
        <w:rPr/>
        <w:t>possible, the circles proceed to implement their own ideas. Management is approached only</w:t>
      </w:r>
      <w:r>
        <w:rPr>
          <w:spacing w:val="40"/>
        </w:rPr>
        <w:t> </w:t>
      </w:r>
      <w:r>
        <w:rPr/>
        <w:t>when they unable to proceed because of a lack of resources or authority.</w:t>
      </w:r>
    </w:p>
    <w:p>
      <w:pPr>
        <w:pStyle w:val="BodyText"/>
        <w:spacing w:line="480" w:lineRule="auto" w:before="199"/>
        <w:ind w:left="400" w:right="1318"/>
        <w:jc w:val="both"/>
      </w:pPr>
      <w:r>
        <w:rPr/>
        <w:t>He paid attention to statistical tools, used in organisations, describing these tools as "indispensable for quality control" (Bank, 1992), and consisting of:</w:t>
      </w:r>
      <w:r>
        <w:rPr>
          <w:spacing w:val="80"/>
        </w:rPr>
        <w:t> </w:t>
      </w:r>
      <w:r>
        <w:rPr/>
        <w:t>Pareto chart, Cause and effect</w:t>
      </w:r>
      <w:r>
        <w:rPr>
          <w:spacing w:val="53"/>
        </w:rPr>
        <w:t> </w:t>
      </w:r>
      <w:r>
        <w:rPr/>
        <w:t>diagram</w:t>
      </w:r>
      <w:r>
        <w:rPr>
          <w:spacing w:val="56"/>
        </w:rPr>
        <w:t> </w:t>
      </w:r>
      <w:r>
        <w:rPr/>
        <w:t>(Ishikawa</w:t>
      </w:r>
      <w:r>
        <w:rPr>
          <w:spacing w:val="54"/>
        </w:rPr>
        <w:t> </w:t>
      </w:r>
      <w:r>
        <w:rPr/>
        <w:t>diagram),</w:t>
      </w:r>
      <w:r>
        <w:rPr>
          <w:spacing w:val="54"/>
        </w:rPr>
        <w:t> </w:t>
      </w:r>
      <w:r>
        <w:rPr/>
        <w:t>Scatter</w:t>
      </w:r>
      <w:r>
        <w:rPr>
          <w:spacing w:val="54"/>
        </w:rPr>
        <w:t> </w:t>
      </w:r>
      <w:r>
        <w:rPr/>
        <w:t>diagram</w:t>
      </w:r>
      <w:r>
        <w:rPr>
          <w:spacing w:val="56"/>
        </w:rPr>
        <w:t> </w:t>
      </w:r>
      <w:r>
        <w:rPr/>
        <w:t>‘Histogram,</w:t>
      </w:r>
      <w:r>
        <w:rPr>
          <w:spacing w:val="54"/>
        </w:rPr>
        <w:t> </w:t>
      </w:r>
      <w:r>
        <w:rPr/>
        <w:t>Check</w:t>
      </w:r>
      <w:r>
        <w:rPr>
          <w:spacing w:val="55"/>
        </w:rPr>
        <w:t> </w:t>
      </w:r>
      <w:r>
        <w:rPr/>
        <w:t>sheet,</w:t>
      </w:r>
      <w:r>
        <w:rPr>
          <w:spacing w:val="55"/>
        </w:rPr>
        <w:t> </w:t>
      </w:r>
      <w:r>
        <w:rPr/>
        <w:t>Control</w:t>
      </w:r>
      <w:r>
        <w:rPr>
          <w:spacing w:val="56"/>
        </w:rPr>
        <w:t> </w:t>
      </w:r>
      <w:r>
        <w:rPr>
          <w:spacing w:val="-2"/>
        </w:rPr>
        <w:t>chart</w:t>
      </w:r>
    </w:p>
    <w:p>
      <w:pPr>
        <w:pStyle w:val="BodyText"/>
        <w:spacing w:before="3"/>
        <w:ind w:left="400"/>
        <w:jc w:val="both"/>
      </w:pPr>
      <w:r>
        <w:rPr/>
        <w:t>,Stratification.</w:t>
      </w:r>
      <w:r>
        <w:rPr>
          <w:spacing w:val="-4"/>
        </w:rPr>
        <w:t> </w:t>
      </w:r>
      <w:r>
        <w:rPr/>
        <w:t>This</w:t>
      </w:r>
      <w:r>
        <w:rPr>
          <w:spacing w:val="-2"/>
        </w:rPr>
        <w:t> </w:t>
      </w:r>
      <w:r>
        <w:rPr/>
        <w:t>is</w:t>
      </w:r>
      <w:r>
        <w:rPr>
          <w:spacing w:val="-1"/>
        </w:rPr>
        <w:t> </w:t>
      </w:r>
      <w:r>
        <w:rPr/>
        <w:t>known</w:t>
      </w:r>
      <w:r>
        <w:rPr>
          <w:spacing w:val="-2"/>
        </w:rPr>
        <w:t> </w:t>
      </w:r>
      <w:r>
        <w:rPr/>
        <w:t>as</w:t>
      </w:r>
      <w:r>
        <w:rPr>
          <w:spacing w:val="-2"/>
        </w:rPr>
        <w:t> </w:t>
      </w:r>
      <w:r>
        <w:rPr/>
        <w:t>the Ishikawa’s</w:t>
      </w:r>
      <w:r>
        <w:rPr>
          <w:spacing w:val="-2"/>
        </w:rPr>
        <w:t> </w:t>
      </w:r>
      <w:r>
        <w:rPr/>
        <w:t>7</w:t>
      </w:r>
      <w:r>
        <w:rPr>
          <w:spacing w:val="-1"/>
        </w:rPr>
        <w:t> </w:t>
      </w:r>
      <w:r>
        <w:rPr>
          <w:spacing w:val="-2"/>
        </w:rPr>
        <w:t>tools.</w:t>
      </w:r>
    </w:p>
    <w:p>
      <w:pPr>
        <w:pStyle w:val="BodyText"/>
        <w:spacing w:before="196"/>
      </w:pPr>
    </w:p>
    <w:p>
      <w:pPr>
        <w:pStyle w:val="BodyText"/>
        <w:spacing w:line="480" w:lineRule="auto" w:before="1"/>
        <w:ind w:left="400" w:right="1316"/>
        <w:jc w:val="both"/>
      </w:pPr>
      <w:r>
        <w:rPr/>
        <w:t>He developed the Ishikawa Cause and Effect Diagram, also known as the "Fishbone Diagram". This technique is used for analysing the likely causes of a known effect. The diagram identifies, sorts and documents the potential causes of a problem so that relationships between the causes can be analysed. To construct a Fishbone Diagram, one must begin by placing the problem on</w:t>
      </w:r>
      <w:r>
        <w:rPr>
          <w:spacing w:val="40"/>
        </w:rPr>
        <w:t> </w:t>
      </w:r>
      <w:r>
        <w:rPr/>
        <w:t>the</w:t>
      </w:r>
      <w:r>
        <w:rPr>
          <w:spacing w:val="-3"/>
        </w:rPr>
        <w:t> </w:t>
      </w:r>
      <w:r>
        <w:rPr/>
        <w:t>right</w:t>
      </w:r>
      <w:r>
        <w:rPr>
          <w:spacing w:val="-2"/>
        </w:rPr>
        <w:t> </w:t>
      </w:r>
      <w:r>
        <w:rPr/>
        <w:t>hand</w:t>
      </w:r>
      <w:r>
        <w:rPr>
          <w:spacing w:val="-2"/>
        </w:rPr>
        <w:t> </w:t>
      </w:r>
      <w:r>
        <w:rPr/>
        <w:t>side</w:t>
      </w:r>
      <w:r>
        <w:rPr>
          <w:spacing w:val="-3"/>
        </w:rPr>
        <w:t> </w:t>
      </w:r>
      <w:r>
        <w:rPr/>
        <w:t>toward</w:t>
      </w:r>
      <w:r>
        <w:rPr>
          <w:spacing w:val="-2"/>
        </w:rPr>
        <w:t> </w:t>
      </w:r>
      <w:r>
        <w:rPr/>
        <w:t>the</w:t>
      </w:r>
      <w:r>
        <w:rPr>
          <w:spacing w:val="-3"/>
        </w:rPr>
        <w:t> </w:t>
      </w:r>
      <w:r>
        <w:rPr/>
        <w:t>head</w:t>
      </w:r>
      <w:r>
        <w:rPr>
          <w:spacing w:val="-2"/>
        </w:rPr>
        <w:t> </w:t>
      </w:r>
      <w:r>
        <w:rPr/>
        <w:t>of</w:t>
      </w:r>
      <w:r>
        <w:rPr>
          <w:spacing w:val="-1"/>
        </w:rPr>
        <w:t> </w:t>
      </w:r>
      <w:r>
        <w:rPr/>
        <w:t>the</w:t>
      </w:r>
      <w:r>
        <w:rPr>
          <w:spacing w:val="-3"/>
        </w:rPr>
        <w:t> </w:t>
      </w:r>
      <w:r>
        <w:rPr/>
        <w:t>fish.</w:t>
      </w:r>
      <w:r>
        <w:rPr>
          <w:spacing w:val="40"/>
        </w:rPr>
        <w:t> </w:t>
      </w:r>
      <w:r>
        <w:rPr/>
        <w:t>Then</w:t>
      </w:r>
      <w:r>
        <w:rPr>
          <w:spacing w:val="-2"/>
        </w:rPr>
        <w:t> </w:t>
      </w:r>
      <w:r>
        <w:rPr/>
        <w:t>place</w:t>
      </w:r>
      <w:r>
        <w:rPr>
          <w:spacing w:val="-3"/>
        </w:rPr>
        <w:t> </w:t>
      </w:r>
      <w:r>
        <w:rPr/>
        <w:t>the</w:t>
      </w:r>
      <w:r>
        <w:rPr>
          <w:spacing w:val="-3"/>
        </w:rPr>
        <w:t> </w:t>
      </w:r>
      <w:r>
        <w:rPr/>
        <w:t>potential</w:t>
      </w:r>
      <w:r>
        <w:rPr>
          <w:spacing w:val="-2"/>
        </w:rPr>
        <w:t> </w:t>
      </w:r>
      <w:r>
        <w:rPr/>
        <w:t>causes</w:t>
      </w:r>
      <w:r>
        <w:rPr>
          <w:spacing w:val="-2"/>
        </w:rPr>
        <w:t> </w:t>
      </w:r>
      <w:r>
        <w:rPr/>
        <w:t>of</w:t>
      </w:r>
      <w:r>
        <w:rPr>
          <w:spacing w:val="-3"/>
        </w:rPr>
        <w:t> </w:t>
      </w:r>
      <w:r>
        <w:rPr/>
        <w:t>the</w:t>
      </w:r>
      <w:r>
        <w:rPr>
          <w:spacing w:val="-3"/>
        </w:rPr>
        <w:t> </w:t>
      </w:r>
      <w:r>
        <w:rPr/>
        <w:t>problem</w:t>
      </w:r>
      <w:r>
        <w:rPr>
          <w:spacing w:val="-2"/>
        </w:rPr>
        <w:t> </w:t>
      </w:r>
      <w:r>
        <w:rPr/>
        <w:t>on the “bones” that stem off of the spine of the fish. .</w:t>
      </w:r>
      <w:r>
        <w:rPr>
          <w:spacing w:val="-7"/>
        </w:rPr>
        <w:t> </w:t>
      </w:r>
      <w:r>
        <w:rPr/>
        <w:t>Ishikawa felt that the ‘Fishbone’ diagram was a key tool to be used by workers for problem solving in Quality Control (QC) circles. Ishikawa felt strongly about the proper use of problem solving tools in the improvement of quality. His concept</w:t>
      </w:r>
      <w:r>
        <w:rPr>
          <w:spacing w:val="-1"/>
        </w:rPr>
        <w:t> </w:t>
      </w:r>
      <w:r>
        <w:rPr/>
        <w:t>of</w:t>
      </w:r>
      <w:r>
        <w:rPr>
          <w:spacing w:val="-2"/>
        </w:rPr>
        <w:t> </w:t>
      </w:r>
      <w:r>
        <w:rPr/>
        <w:t>the</w:t>
      </w:r>
      <w:r>
        <w:rPr>
          <w:spacing w:val="-2"/>
        </w:rPr>
        <w:t> </w:t>
      </w:r>
      <w:r>
        <w:rPr/>
        <w:t>Quality</w:t>
      </w:r>
      <w:r>
        <w:rPr>
          <w:spacing w:val="-7"/>
        </w:rPr>
        <w:t> </w:t>
      </w:r>
      <w:r>
        <w:rPr/>
        <w:t>Control</w:t>
      </w:r>
      <w:r>
        <w:rPr>
          <w:spacing w:val="-1"/>
        </w:rPr>
        <w:t> </w:t>
      </w:r>
      <w:r>
        <w:rPr/>
        <w:t>(QC)</w:t>
      </w:r>
      <w:r>
        <w:rPr>
          <w:spacing w:val="-2"/>
        </w:rPr>
        <w:t> </w:t>
      </w:r>
      <w:r>
        <w:rPr/>
        <w:t>circle</w:t>
      </w:r>
      <w:r>
        <w:rPr>
          <w:spacing w:val="-2"/>
        </w:rPr>
        <w:t> </w:t>
      </w:r>
      <w:r>
        <w:rPr/>
        <w:t>was</w:t>
      </w:r>
      <w:r>
        <w:rPr>
          <w:spacing w:val="-1"/>
        </w:rPr>
        <w:t> </w:t>
      </w:r>
      <w:r>
        <w:rPr/>
        <w:t>to bring</w:t>
      </w:r>
      <w:r>
        <w:rPr>
          <w:spacing w:val="-3"/>
        </w:rPr>
        <w:t> </w:t>
      </w:r>
      <w:r>
        <w:rPr/>
        <w:t>production</w:t>
      </w:r>
      <w:r>
        <w:rPr>
          <w:spacing w:val="-1"/>
        </w:rPr>
        <w:t> </w:t>
      </w:r>
      <w:r>
        <w:rPr/>
        <w:t>workers,</w:t>
      </w:r>
      <w:r>
        <w:rPr>
          <w:spacing w:val="-1"/>
        </w:rPr>
        <w:t> </w:t>
      </w:r>
      <w:r>
        <w:rPr/>
        <w:t>maintenance,</w:t>
      </w:r>
      <w:r>
        <w:rPr>
          <w:spacing w:val="-1"/>
        </w:rPr>
        <w:t> </w:t>
      </w:r>
      <w:r>
        <w:rPr/>
        <w:t>design engineers and managers together in organized meetings to solve problems. The quality control circles were critical in the complete root-cause analysis of any problem.</w:t>
      </w:r>
    </w:p>
    <w:p>
      <w:pPr>
        <w:spacing w:after="0" w:line="480" w:lineRule="auto"/>
        <w:jc w:val="both"/>
        <w:sectPr>
          <w:pgSz w:w="12240" w:h="15840"/>
          <w:pgMar w:header="0" w:footer="1017" w:top="1360" w:bottom="1200" w:left="1040" w:right="120"/>
        </w:sectPr>
      </w:pPr>
    </w:p>
    <w:p>
      <w:pPr>
        <w:pStyle w:val="BodyText"/>
        <w:spacing w:line="480" w:lineRule="auto" w:before="72"/>
        <w:ind w:left="399" w:right="1317" w:firstLine="60"/>
        <w:jc w:val="both"/>
      </w:pPr>
      <w:r>
        <w:rPr/>
        <mc:AlternateContent>
          <mc:Choice Requires="wps">
            <w:drawing>
              <wp:anchor distT="0" distB="0" distL="0" distR="0" allowOverlap="1" layoutInCell="1" locked="0" behindDoc="1" simplePos="0" relativeHeight="481941504">
                <wp:simplePos x="0" y="0"/>
                <wp:positionH relativeFrom="page">
                  <wp:posOffset>1155382</wp:posOffset>
                </wp:positionH>
                <wp:positionV relativeFrom="paragraph">
                  <wp:posOffset>2179637</wp:posOffset>
                </wp:positionV>
                <wp:extent cx="5521960" cy="384302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5521960" cy="3843020"/>
                          <a:chExt cx="5521960" cy="3843020"/>
                        </a:xfrm>
                      </wpg:grpSpPr>
                      <wps:wsp>
                        <wps:cNvPr id="70" name="Graphic 70"/>
                        <wps:cNvSpPr/>
                        <wps:spPr>
                          <a:xfrm>
                            <a:off x="1480502" y="2312517"/>
                            <a:ext cx="934719" cy="1214120"/>
                          </a:xfrm>
                          <a:custGeom>
                            <a:avLst/>
                            <a:gdLst/>
                            <a:ahLst/>
                            <a:cxnLst/>
                            <a:rect l="l" t="t" r="r" b="b"/>
                            <a:pathLst>
                              <a:path w="934719" h="1214120">
                                <a:moveTo>
                                  <a:pt x="0" y="1213954"/>
                                </a:moveTo>
                                <a:lnTo>
                                  <a:pt x="934097" y="0"/>
                                </a:lnTo>
                              </a:path>
                            </a:pathLst>
                          </a:custGeom>
                          <a:ln w="12700">
                            <a:solidFill>
                              <a:srgbClr val="000000"/>
                            </a:solidFill>
                            <a:prstDash val="solid"/>
                          </a:ln>
                        </wps:spPr>
                        <wps:bodyPr wrap="square" lIns="0" tIns="0" rIns="0" bIns="0" rtlCol="0">
                          <a:prstTxWarp prst="textNoShape">
                            <a:avLst/>
                          </a:prstTxWarp>
                          <a:noAutofit/>
                        </wps:bodyPr>
                      </wps:wsp>
                      <wps:wsp>
                        <wps:cNvPr id="71" name="Graphic 71"/>
                        <wps:cNvSpPr/>
                        <wps:spPr>
                          <a:xfrm>
                            <a:off x="2376656" y="2262192"/>
                            <a:ext cx="76835" cy="83820"/>
                          </a:xfrm>
                          <a:custGeom>
                            <a:avLst/>
                            <a:gdLst/>
                            <a:ahLst/>
                            <a:cxnLst/>
                            <a:rect l="l" t="t" r="r" b="b"/>
                            <a:pathLst>
                              <a:path w="76835" h="83820">
                                <a:moveTo>
                                  <a:pt x="76669" y="0"/>
                                </a:moveTo>
                                <a:lnTo>
                                  <a:pt x="0" y="37147"/>
                                </a:lnTo>
                                <a:lnTo>
                                  <a:pt x="60388" y="83616"/>
                                </a:lnTo>
                                <a:lnTo>
                                  <a:pt x="76669"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840422" y="220027"/>
                            <a:ext cx="1157605" cy="1844675"/>
                          </a:xfrm>
                          <a:custGeom>
                            <a:avLst/>
                            <a:gdLst/>
                            <a:ahLst/>
                            <a:cxnLst/>
                            <a:rect l="l" t="t" r="r" b="b"/>
                            <a:pathLst>
                              <a:path w="1157605" h="1844675">
                                <a:moveTo>
                                  <a:pt x="0" y="0"/>
                                </a:moveTo>
                                <a:lnTo>
                                  <a:pt x="1157503" y="1844230"/>
                                </a:lnTo>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1958907" y="2033247"/>
                            <a:ext cx="73025" cy="85090"/>
                          </a:xfrm>
                          <a:custGeom>
                            <a:avLst/>
                            <a:gdLst/>
                            <a:ahLst/>
                            <a:cxnLst/>
                            <a:rect l="l" t="t" r="r" b="b"/>
                            <a:pathLst>
                              <a:path w="73025" h="85090">
                                <a:moveTo>
                                  <a:pt x="64541" y="0"/>
                                </a:moveTo>
                                <a:lnTo>
                                  <a:pt x="0" y="40500"/>
                                </a:lnTo>
                                <a:lnTo>
                                  <a:pt x="72770" y="84797"/>
                                </a:lnTo>
                                <a:lnTo>
                                  <a:pt x="64541"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799782" y="2196033"/>
                            <a:ext cx="3633470" cy="66675"/>
                          </a:xfrm>
                          <a:custGeom>
                            <a:avLst/>
                            <a:gdLst/>
                            <a:ahLst/>
                            <a:cxnLst/>
                            <a:rect l="l" t="t" r="r" b="b"/>
                            <a:pathLst>
                              <a:path w="3633470" h="66675">
                                <a:moveTo>
                                  <a:pt x="0" y="66154"/>
                                </a:moveTo>
                                <a:lnTo>
                                  <a:pt x="3632847" y="0"/>
                                </a:lnTo>
                              </a:path>
                            </a:pathLst>
                          </a:custGeom>
                          <a:ln w="12699">
                            <a:solidFill>
                              <a:srgbClr val="000000"/>
                            </a:solidFill>
                            <a:prstDash val="solid"/>
                          </a:ln>
                        </wps:spPr>
                        <wps:bodyPr wrap="square" lIns="0" tIns="0" rIns="0" bIns="0" rtlCol="0">
                          <a:prstTxWarp prst="textNoShape">
                            <a:avLst/>
                          </a:prstTxWarp>
                          <a:noAutofit/>
                        </wps:bodyPr>
                      </wps:wsp>
                      <wps:wsp>
                        <wps:cNvPr id="75" name="Graphic 75"/>
                        <wps:cNvSpPr/>
                        <wps:spPr>
                          <a:xfrm>
                            <a:off x="4419238" y="2158166"/>
                            <a:ext cx="77470" cy="76200"/>
                          </a:xfrm>
                          <a:custGeom>
                            <a:avLst/>
                            <a:gdLst/>
                            <a:ahLst/>
                            <a:cxnLst/>
                            <a:rect l="l" t="t" r="r" b="b"/>
                            <a:pathLst>
                              <a:path w="77470" h="76200">
                                <a:moveTo>
                                  <a:pt x="0" y="0"/>
                                </a:moveTo>
                                <a:lnTo>
                                  <a:pt x="1384" y="76187"/>
                                </a:lnTo>
                                <a:lnTo>
                                  <a:pt x="76873" y="36715"/>
                                </a:lnTo>
                                <a:lnTo>
                                  <a:pt x="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2653347" y="272732"/>
                            <a:ext cx="1154430" cy="1791970"/>
                          </a:xfrm>
                          <a:custGeom>
                            <a:avLst/>
                            <a:gdLst/>
                            <a:ahLst/>
                            <a:cxnLst/>
                            <a:rect l="l" t="t" r="r" b="b"/>
                            <a:pathLst>
                              <a:path w="1154430" h="1791970">
                                <a:moveTo>
                                  <a:pt x="0" y="0"/>
                                </a:moveTo>
                                <a:lnTo>
                                  <a:pt x="1154328" y="1791931"/>
                                </a:lnTo>
                              </a:path>
                            </a:pathLst>
                          </a:custGeom>
                          <a:ln w="12700">
                            <a:solidFill>
                              <a:srgbClr val="000000"/>
                            </a:solidFill>
                            <a:prstDash val="solid"/>
                          </a:ln>
                        </wps:spPr>
                        <wps:bodyPr wrap="square" lIns="0" tIns="0" rIns="0" bIns="0" rtlCol="0">
                          <a:prstTxWarp prst="textNoShape">
                            <a:avLst/>
                          </a:prstTxWarp>
                          <a:noAutofit/>
                        </wps:bodyPr>
                      </wps:wsp>
                      <wps:wsp>
                        <wps:cNvPr id="77" name="Graphic 77"/>
                        <wps:cNvSpPr/>
                        <wps:spPr>
                          <a:xfrm>
                            <a:off x="3768775" y="2033349"/>
                            <a:ext cx="73660" cy="85090"/>
                          </a:xfrm>
                          <a:custGeom>
                            <a:avLst/>
                            <a:gdLst/>
                            <a:ahLst/>
                            <a:cxnLst/>
                            <a:rect l="l" t="t" r="r" b="b"/>
                            <a:pathLst>
                              <a:path w="73660" h="85090">
                                <a:moveTo>
                                  <a:pt x="64058" y="0"/>
                                </a:moveTo>
                                <a:lnTo>
                                  <a:pt x="0" y="41262"/>
                                </a:lnTo>
                                <a:lnTo>
                                  <a:pt x="73291" y="84696"/>
                                </a:lnTo>
                                <a:lnTo>
                                  <a:pt x="64058"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3299142" y="2312517"/>
                            <a:ext cx="934719" cy="1214120"/>
                          </a:xfrm>
                          <a:custGeom>
                            <a:avLst/>
                            <a:gdLst/>
                            <a:ahLst/>
                            <a:cxnLst/>
                            <a:rect l="l" t="t" r="r" b="b"/>
                            <a:pathLst>
                              <a:path w="934719" h="1214120">
                                <a:moveTo>
                                  <a:pt x="0" y="1213954"/>
                                </a:moveTo>
                                <a:lnTo>
                                  <a:pt x="934097" y="0"/>
                                </a:lnTo>
                              </a:path>
                            </a:pathLst>
                          </a:custGeom>
                          <a:ln w="12700">
                            <a:solidFill>
                              <a:srgbClr val="000000"/>
                            </a:solidFill>
                            <a:prstDash val="solid"/>
                          </a:ln>
                        </wps:spPr>
                        <wps:bodyPr wrap="square" lIns="0" tIns="0" rIns="0" bIns="0" rtlCol="0">
                          <a:prstTxWarp prst="textNoShape">
                            <a:avLst/>
                          </a:prstTxWarp>
                          <a:noAutofit/>
                        </wps:bodyPr>
                      </wps:wsp>
                      <wps:wsp>
                        <wps:cNvPr id="79" name="Graphic 79"/>
                        <wps:cNvSpPr/>
                        <wps:spPr>
                          <a:xfrm>
                            <a:off x="4195296" y="2262192"/>
                            <a:ext cx="76835" cy="83820"/>
                          </a:xfrm>
                          <a:custGeom>
                            <a:avLst/>
                            <a:gdLst/>
                            <a:ahLst/>
                            <a:cxnLst/>
                            <a:rect l="l" t="t" r="r" b="b"/>
                            <a:pathLst>
                              <a:path w="76835" h="83820">
                                <a:moveTo>
                                  <a:pt x="76669" y="0"/>
                                </a:moveTo>
                                <a:lnTo>
                                  <a:pt x="0" y="37147"/>
                                </a:lnTo>
                                <a:lnTo>
                                  <a:pt x="60388" y="83616"/>
                                </a:lnTo>
                                <a:lnTo>
                                  <a:pt x="76669"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493327" y="663892"/>
                            <a:ext cx="366395" cy="1270"/>
                          </a:xfrm>
                          <a:custGeom>
                            <a:avLst/>
                            <a:gdLst/>
                            <a:ahLst/>
                            <a:cxnLst/>
                            <a:rect l="l" t="t" r="r" b="b"/>
                            <a:pathLst>
                              <a:path w="366395" h="0">
                                <a:moveTo>
                                  <a:pt x="0" y="0"/>
                                </a:moveTo>
                                <a:lnTo>
                                  <a:pt x="366395" y="0"/>
                                </a:lnTo>
                              </a:path>
                            </a:pathLst>
                          </a:custGeom>
                          <a:ln w="12700">
                            <a:solidFill>
                              <a:srgbClr val="000000"/>
                            </a:solidFill>
                            <a:prstDash val="solid"/>
                          </a:ln>
                        </wps:spPr>
                        <wps:bodyPr wrap="square" lIns="0" tIns="0" rIns="0" bIns="0" rtlCol="0">
                          <a:prstTxWarp prst="textNoShape">
                            <a:avLst/>
                          </a:prstTxWarp>
                          <a:noAutofit/>
                        </wps:bodyPr>
                      </wps:wsp>
                      <wps:wsp>
                        <wps:cNvPr id="81" name="Graphic 81"/>
                        <wps:cNvSpPr/>
                        <wps:spPr>
                          <a:xfrm>
                            <a:off x="2847023" y="625788"/>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551112" y="1455102"/>
                            <a:ext cx="737870" cy="1270"/>
                          </a:xfrm>
                          <a:custGeom>
                            <a:avLst/>
                            <a:gdLst/>
                            <a:ahLst/>
                            <a:cxnLst/>
                            <a:rect l="l" t="t" r="r" b="b"/>
                            <a:pathLst>
                              <a:path w="737870" h="635">
                                <a:moveTo>
                                  <a:pt x="0" y="0"/>
                                </a:moveTo>
                                <a:lnTo>
                                  <a:pt x="737870" y="584"/>
                                </a:lnTo>
                              </a:path>
                            </a:pathLst>
                          </a:custGeom>
                          <a:ln w="12699">
                            <a:solidFill>
                              <a:srgbClr val="000000"/>
                            </a:solidFill>
                            <a:prstDash val="solid"/>
                          </a:ln>
                        </wps:spPr>
                        <wps:bodyPr wrap="square" lIns="0" tIns="0" rIns="0" bIns="0" rtlCol="0">
                          <a:prstTxWarp prst="textNoShape">
                            <a:avLst/>
                          </a:prstTxWarp>
                          <a:noAutofit/>
                        </wps:bodyPr>
                      </wps:wsp>
                      <wps:wsp>
                        <wps:cNvPr id="83" name="Graphic 83"/>
                        <wps:cNvSpPr/>
                        <wps:spPr>
                          <a:xfrm>
                            <a:off x="3276250" y="1417574"/>
                            <a:ext cx="76835" cy="76200"/>
                          </a:xfrm>
                          <a:custGeom>
                            <a:avLst/>
                            <a:gdLst/>
                            <a:ahLst/>
                            <a:cxnLst/>
                            <a:rect l="l" t="t" r="r" b="b"/>
                            <a:pathLst>
                              <a:path w="76835" h="76200">
                                <a:moveTo>
                                  <a:pt x="63" y="0"/>
                                </a:moveTo>
                                <a:lnTo>
                                  <a:pt x="0" y="76200"/>
                                </a:lnTo>
                                <a:lnTo>
                                  <a:pt x="76225" y="38163"/>
                                </a:lnTo>
                                <a:lnTo>
                                  <a:pt x="63"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396557" y="772477"/>
                            <a:ext cx="666115" cy="1270"/>
                          </a:xfrm>
                          <a:custGeom>
                            <a:avLst/>
                            <a:gdLst/>
                            <a:ahLst/>
                            <a:cxnLst/>
                            <a:rect l="l" t="t" r="r" b="b"/>
                            <a:pathLst>
                              <a:path w="666115" h="0">
                                <a:moveTo>
                                  <a:pt x="0" y="0"/>
                                </a:moveTo>
                                <a:lnTo>
                                  <a:pt x="666115" y="0"/>
                                </a:lnTo>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1049973" y="734373"/>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799782" y="1509077"/>
                            <a:ext cx="805815" cy="1270"/>
                          </a:xfrm>
                          <a:custGeom>
                            <a:avLst/>
                            <a:gdLst/>
                            <a:ahLst/>
                            <a:cxnLst/>
                            <a:rect l="l" t="t" r="r" b="b"/>
                            <a:pathLst>
                              <a:path w="805815" h="635">
                                <a:moveTo>
                                  <a:pt x="0" y="0"/>
                                </a:moveTo>
                                <a:lnTo>
                                  <a:pt x="805815" y="584"/>
                                </a:lnTo>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1592863" y="1471552"/>
                            <a:ext cx="76835" cy="76200"/>
                          </a:xfrm>
                          <a:custGeom>
                            <a:avLst/>
                            <a:gdLst/>
                            <a:ahLst/>
                            <a:cxnLst/>
                            <a:rect l="l" t="t" r="r" b="b"/>
                            <a:pathLst>
                              <a:path w="76835" h="76200">
                                <a:moveTo>
                                  <a:pt x="63" y="0"/>
                                </a:moveTo>
                                <a:lnTo>
                                  <a:pt x="0" y="76200"/>
                                </a:lnTo>
                                <a:lnTo>
                                  <a:pt x="76238" y="38163"/>
                                </a:lnTo>
                                <a:lnTo>
                                  <a:pt x="63"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3299142" y="2566352"/>
                            <a:ext cx="737870" cy="1270"/>
                          </a:xfrm>
                          <a:custGeom>
                            <a:avLst/>
                            <a:gdLst/>
                            <a:ahLst/>
                            <a:cxnLst/>
                            <a:rect l="l" t="t" r="r" b="b"/>
                            <a:pathLst>
                              <a:path w="737870" h="635">
                                <a:moveTo>
                                  <a:pt x="0" y="0"/>
                                </a:moveTo>
                                <a:lnTo>
                                  <a:pt x="737870" y="584"/>
                                </a:lnTo>
                              </a:path>
                            </a:pathLst>
                          </a:custGeom>
                          <a:ln w="12699">
                            <a:solidFill>
                              <a:srgbClr val="000000"/>
                            </a:solidFill>
                            <a:prstDash val="solid"/>
                          </a:ln>
                        </wps:spPr>
                        <wps:bodyPr wrap="square" lIns="0" tIns="0" rIns="0" bIns="0" rtlCol="0">
                          <a:prstTxWarp prst="textNoShape">
                            <a:avLst/>
                          </a:prstTxWarp>
                          <a:noAutofit/>
                        </wps:bodyPr>
                      </wps:wsp>
                      <wps:wsp>
                        <wps:cNvPr id="89" name="Graphic 89"/>
                        <wps:cNvSpPr/>
                        <wps:spPr>
                          <a:xfrm>
                            <a:off x="4024280" y="2528823"/>
                            <a:ext cx="76835" cy="76200"/>
                          </a:xfrm>
                          <a:custGeom>
                            <a:avLst/>
                            <a:gdLst/>
                            <a:ahLst/>
                            <a:cxnLst/>
                            <a:rect l="l" t="t" r="r" b="b"/>
                            <a:pathLst>
                              <a:path w="76835" h="76200">
                                <a:moveTo>
                                  <a:pt x="63" y="0"/>
                                </a:moveTo>
                                <a:lnTo>
                                  <a:pt x="0" y="76200"/>
                                </a:lnTo>
                                <a:lnTo>
                                  <a:pt x="76225" y="38163"/>
                                </a:lnTo>
                                <a:lnTo>
                                  <a:pt x="63"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2981007" y="3033077"/>
                            <a:ext cx="737870" cy="1270"/>
                          </a:xfrm>
                          <a:custGeom>
                            <a:avLst/>
                            <a:gdLst/>
                            <a:ahLst/>
                            <a:cxnLst/>
                            <a:rect l="l" t="t" r="r" b="b"/>
                            <a:pathLst>
                              <a:path w="737870" h="635">
                                <a:moveTo>
                                  <a:pt x="0" y="0"/>
                                </a:moveTo>
                                <a:lnTo>
                                  <a:pt x="737870" y="584"/>
                                </a:lnTo>
                              </a:path>
                            </a:pathLst>
                          </a:custGeom>
                          <a:ln w="12699">
                            <a:solidFill>
                              <a:srgbClr val="000000"/>
                            </a:solidFill>
                            <a:prstDash val="solid"/>
                          </a:ln>
                        </wps:spPr>
                        <wps:bodyPr wrap="square" lIns="0" tIns="0" rIns="0" bIns="0" rtlCol="0">
                          <a:prstTxWarp prst="textNoShape">
                            <a:avLst/>
                          </a:prstTxWarp>
                          <a:noAutofit/>
                        </wps:bodyPr>
                      </wps:wsp>
                      <wps:wsp>
                        <wps:cNvPr id="91" name="Graphic 91"/>
                        <wps:cNvSpPr/>
                        <wps:spPr>
                          <a:xfrm>
                            <a:off x="3706145" y="2995548"/>
                            <a:ext cx="76835" cy="76200"/>
                          </a:xfrm>
                          <a:custGeom>
                            <a:avLst/>
                            <a:gdLst/>
                            <a:ahLst/>
                            <a:cxnLst/>
                            <a:rect l="l" t="t" r="r" b="b"/>
                            <a:pathLst>
                              <a:path w="76835" h="76200">
                                <a:moveTo>
                                  <a:pt x="63" y="0"/>
                                </a:moveTo>
                                <a:lnTo>
                                  <a:pt x="0" y="76200"/>
                                </a:lnTo>
                                <a:lnTo>
                                  <a:pt x="76225" y="38163"/>
                                </a:lnTo>
                                <a:lnTo>
                                  <a:pt x="63"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664652" y="2506662"/>
                            <a:ext cx="519430" cy="1270"/>
                          </a:xfrm>
                          <a:custGeom>
                            <a:avLst/>
                            <a:gdLst/>
                            <a:ahLst/>
                            <a:cxnLst/>
                            <a:rect l="l" t="t" r="r" b="b"/>
                            <a:pathLst>
                              <a:path w="519430" h="0">
                                <a:moveTo>
                                  <a:pt x="0" y="0"/>
                                </a:moveTo>
                                <a:lnTo>
                                  <a:pt x="519430" y="0"/>
                                </a:lnTo>
                              </a:path>
                            </a:pathLst>
                          </a:custGeom>
                          <a:ln w="12700">
                            <a:solidFill>
                              <a:srgbClr val="000000"/>
                            </a:solidFill>
                            <a:prstDash val="solid"/>
                          </a:ln>
                        </wps:spPr>
                        <wps:bodyPr wrap="square" lIns="0" tIns="0" rIns="0" bIns="0" rtlCol="0">
                          <a:prstTxWarp prst="textNoShape">
                            <a:avLst/>
                          </a:prstTxWarp>
                          <a:noAutofit/>
                        </wps:bodyPr>
                      </wps:wsp>
                      <wps:wsp>
                        <wps:cNvPr id="93" name="Graphic 93"/>
                        <wps:cNvSpPr/>
                        <wps:spPr>
                          <a:xfrm>
                            <a:off x="2171383" y="2468558"/>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1480502" y="2935287"/>
                            <a:ext cx="456565" cy="1270"/>
                          </a:xfrm>
                          <a:custGeom>
                            <a:avLst/>
                            <a:gdLst/>
                            <a:ahLst/>
                            <a:cxnLst/>
                            <a:rect l="l" t="t" r="r" b="b"/>
                            <a:pathLst>
                              <a:path w="456565" h="0">
                                <a:moveTo>
                                  <a:pt x="0" y="0"/>
                                </a:moveTo>
                                <a:lnTo>
                                  <a:pt x="456565" y="0"/>
                                </a:lnTo>
                              </a:path>
                            </a:pathLst>
                          </a:custGeom>
                          <a:ln w="12700">
                            <a:solidFill>
                              <a:srgbClr val="000000"/>
                            </a:solidFill>
                            <a:prstDash val="solid"/>
                          </a:ln>
                        </wps:spPr>
                        <wps:bodyPr wrap="square" lIns="0" tIns="0" rIns="0" bIns="0" rtlCol="0">
                          <a:prstTxWarp prst="textNoShape">
                            <a:avLst/>
                          </a:prstTxWarp>
                          <a:noAutofit/>
                        </wps:bodyPr>
                      </wps:wsp>
                      <wps:wsp>
                        <wps:cNvPr id="95" name="Graphic 95"/>
                        <wps:cNvSpPr/>
                        <wps:spPr>
                          <a:xfrm>
                            <a:off x="1924370" y="2897183"/>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314767" y="3219418"/>
                            <a:ext cx="422275" cy="1270"/>
                          </a:xfrm>
                          <a:custGeom>
                            <a:avLst/>
                            <a:gdLst/>
                            <a:ahLst/>
                            <a:cxnLst/>
                            <a:rect l="l" t="t" r="r" b="b"/>
                            <a:pathLst>
                              <a:path w="422275" h="0">
                                <a:moveTo>
                                  <a:pt x="0" y="0"/>
                                </a:moveTo>
                                <a:lnTo>
                                  <a:pt x="422275" y="0"/>
                                </a:lnTo>
                              </a:path>
                            </a:pathLst>
                          </a:custGeom>
                          <a:ln w="13271">
                            <a:solidFill>
                              <a:srgbClr val="000000"/>
                            </a:solidFill>
                            <a:prstDash val="solid"/>
                          </a:ln>
                        </wps:spPr>
                        <wps:bodyPr wrap="square" lIns="0" tIns="0" rIns="0" bIns="0" rtlCol="0">
                          <a:prstTxWarp prst="textNoShape">
                            <a:avLst/>
                          </a:prstTxWarp>
                          <a:noAutofit/>
                        </wps:bodyPr>
                      </wps:wsp>
                      <wps:wsp>
                        <wps:cNvPr id="97" name="Graphic 97"/>
                        <wps:cNvSpPr/>
                        <wps:spPr>
                          <a:xfrm>
                            <a:off x="1717953" y="3181592"/>
                            <a:ext cx="76835" cy="76200"/>
                          </a:xfrm>
                          <a:custGeom>
                            <a:avLst/>
                            <a:gdLst/>
                            <a:ahLst/>
                            <a:cxnLst/>
                            <a:rect l="l" t="t" r="r" b="b"/>
                            <a:pathLst>
                              <a:path w="76835" h="76200">
                                <a:moveTo>
                                  <a:pt x="76" y="0"/>
                                </a:moveTo>
                                <a:lnTo>
                                  <a:pt x="0" y="76200"/>
                                </a:lnTo>
                                <a:lnTo>
                                  <a:pt x="76238" y="38176"/>
                                </a:lnTo>
                                <a:lnTo>
                                  <a:pt x="76"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96557" y="1975535"/>
                            <a:ext cx="196850" cy="190500"/>
                          </a:xfrm>
                          <a:custGeom>
                            <a:avLst/>
                            <a:gdLst/>
                            <a:ahLst/>
                            <a:cxnLst/>
                            <a:rect l="l" t="t" r="r" b="b"/>
                            <a:pathLst>
                              <a:path w="196850" h="190500">
                                <a:moveTo>
                                  <a:pt x="0" y="190131"/>
                                </a:moveTo>
                                <a:lnTo>
                                  <a:pt x="196316" y="0"/>
                                </a:lnTo>
                              </a:path>
                            </a:pathLst>
                          </a:custGeom>
                          <a:ln w="12700">
                            <a:solidFill>
                              <a:srgbClr val="000000"/>
                            </a:solidFill>
                            <a:prstDash val="solid"/>
                          </a:ln>
                        </wps:spPr>
                        <wps:bodyPr wrap="square" lIns="0" tIns="0" rIns="0" bIns="0" rtlCol="0">
                          <a:prstTxWarp prst="textNoShape">
                            <a:avLst/>
                          </a:prstTxWarp>
                          <a:noAutofit/>
                        </wps:bodyPr>
                      </wps:wsp>
                      <wps:wsp>
                        <wps:cNvPr id="99" name="Graphic 99"/>
                        <wps:cNvSpPr/>
                        <wps:spPr>
                          <a:xfrm>
                            <a:off x="557248" y="1931352"/>
                            <a:ext cx="81280" cy="80645"/>
                          </a:xfrm>
                          <a:custGeom>
                            <a:avLst/>
                            <a:gdLst/>
                            <a:ahLst/>
                            <a:cxnLst/>
                            <a:rect l="l" t="t" r="r" b="b"/>
                            <a:pathLst>
                              <a:path w="81280" h="80645">
                                <a:moveTo>
                                  <a:pt x="81241" y="0"/>
                                </a:moveTo>
                                <a:lnTo>
                                  <a:pt x="0" y="25641"/>
                                </a:lnTo>
                                <a:lnTo>
                                  <a:pt x="53009" y="80378"/>
                                </a:lnTo>
                                <a:lnTo>
                                  <a:pt x="81241"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437197" y="2566987"/>
                            <a:ext cx="160655" cy="192405"/>
                          </a:xfrm>
                          <a:custGeom>
                            <a:avLst/>
                            <a:gdLst/>
                            <a:ahLst/>
                            <a:cxnLst/>
                            <a:rect l="l" t="t" r="r" b="b"/>
                            <a:pathLst>
                              <a:path w="160655" h="192405">
                                <a:moveTo>
                                  <a:pt x="0" y="0"/>
                                </a:moveTo>
                                <a:lnTo>
                                  <a:pt x="160553" y="191960"/>
                                </a:lnTo>
                              </a:path>
                            </a:pathLst>
                          </a:custGeom>
                          <a:ln w="12700">
                            <a:solidFill>
                              <a:srgbClr val="000000"/>
                            </a:solidFill>
                            <a:prstDash val="solid"/>
                          </a:ln>
                        </wps:spPr>
                        <wps:bodyPr wrap="square" lIns="0" tIns="0" rIns="0" bIns="0" rtlCol="0">
                          <a:prstTxWarp prst="textNoShape">
                            <a:avLst/>
                          </a:prstTxWarp>
                          <a:noAutofit/>
                        </wps:bodyPr>
                      </wps:wsp>
                      <wps:wsp>
                        <wps:cNvPr id="101" name="Graphic 101"/>
                        <wps:cNvSpPr/>
                        <wps:spPr>
                          <a:xfrm>
                            <a:off x="560374" y="2724758"/>
                            <a:ext cx="78740" cy="83185"/>
                          </a:xfrm>
                          <a:custGeom>
                            <a:avLst/>
                            <a:gdLst/>
                            <a:ahLst/>
                            <a:cxnLst/>
                            <a:rect l="l" t="t" r="r" b="b"/>
                            <a:pathLst>
                              <a:path w="78740" h="83185">
                                <a:moveTo>
                                  <a:pt x="58458" y="0"/>
                                </a:moveTo>
                                <a:lnTo>
                                  <a:pt x="0" y="48882"/>
                                </a:lnTo>
                                <a:lnTo>
                                  <a:pt x="78117" y="82892"/>
                                </a:lnTo>
                                <a:lnTo>
                                  <a:pt x="58458"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1794192" y="541972"/>
                            <a:ext cx="1124585" cy="814069"/>
                          </a:xfrm>
                          <a:custGeom>
                            <a:avLst/>
                            <a:gdLst/>
                            <a:ahLst/>
                            <a:cxnLst/>
                            <a:rect l="l" t="t" r="r" b="b"/>
                            <a:pathLst>
                              <a:path w="1124585" h="814069">
                                <a:moveTo>
                                  <a:pt x="699135" y="0"/>
                                </a:moveTo>
                                <a:lnTo>
                                  <a:pt x="0" y="0"/>
                                </a:lnTo>
                                <a:lnTo>
                                  <a:pt x="0" y="215265"/>
                                </a:lnTo>
                                <a:lnTo>
                                  <a:pt x="699135" y="215265"/>
                                </a:lnTo>
                                <a:lnTo>
                                  <a:pt x="699135" y="0"/>
                                </a:lnTo>
                                <a:close/>
                              </a:path>
                              <a:path w="1124585" h="814069">
                                <a:moveTo>
                                  <a:pt x="1124585" y="598805"/>
                                </a:moveTo>
                                <a:lnTo>
                                  <a:pt x="335915" y="598805"/>
                                </a:lnTo>
                                <a:lnTo>
                                  <a:pt x="335915" y="814070"/>
                                </a:lnTo>
                                <a:lnTo>
                                  <a:pt x="1124585" y="814070"/>
                                </a:lnTo>
                                <a:lnTo>
                                  <a:pt x="1124585" y="598805"/>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0007" y="541972"/>
                            <a:ext cx="699135" cy="215265"/>
                          </a:xfrm>
                          <a:custGeom>
                            <a:avLst/>
                            <a:gdLst/>
                            <a:ahLst/>
                            <a:cxnLst/>
                            <a:rect l="l" t="t" r="r" b="b"/>
                            <a:pathLst>
                              <a:path w="699135" h="215265">
                                <a:moveTo>
                                  <a:pt x="0" y="215264"/>
                                </a:moveTo>
                                <a:lnTo>
                                  <a:pt x="699135" y="215264"/>
                                </a:lnTo>
                                <a:lnTo>
                                  <a:pt x="699135" y="0"/>
                                </a:lnTo>
                                <a:lnTo>
                                  <a:pt x="0" y="0"/>
                                </a:lnTo>
                                <a:lnTo>
                                  <a:pt x="0" y="215264"/>
                                </a:lnTo>
                                <a:close/>
                              </a:path>
                            </a:pathLst>
                          </a:custGeom>
                          <a:ln w="9525">
                            <a:solidFill>
                              <a:srgbClr val="000000"/>
                            </a:solidFill>
                            <a:prstDash val="solid"/>
                          </a:ln>
                        </wps:spPr>
                        <wps:bodyPr wrap="square" lIns="0" tIns="0" rIns="0" bIns="0" rtlCol="0">
                          <a:prstTxWarp prst="textNoShape">
                            <a:avLst/>
                          </a:prstTxWarp>
                          <a:noAutofit/>
                        </wps:bodyPr>
                      </wps:wsp>
                      <wps:wsp>
                        <wps:cNvPr id="104" name="Graphic 104"/>
                        <wps:cNvSpPr/>
                        <wps:spPr>
                          <a:xfrm>
                            <a:off x="263207" y="1157287"/>
                            <a:ext cx="3578860" cy="1841500"/>
                          </a:xfrm>
                          <a:custGeom>
                            <a:avLst/>
                            <a:gdLst/>
                            <a:ahLst/>
                            <a:cxnLst/>
                            <a:rect l="l" t="t" r="r" b="b"/>
                            <a:pathLst>
                              <a:path w="3578860" h="1841500">
                                <a:moveTo>
                                  <a:pt x="617855" y="0"/>
                                </a:moveTo>
                                <a:lnTo>
                                  <a:pt x="0" y="0"/>
                                </a:lnTo>
                                <a:lnTo>
                                  <a:pt x="0" y="269240"/>
                                </a:lnTo>
                                <a:lnTo>
                                  <a:pt x="617855" y="269240"/>
                                </a:lnTo>
                                <a:lnTo>
                                  <a:pt x="617855" y="0"/>
                                </a:lnTo>
                                <a:close/>
                              </a:path>
                              <a:path w="3578860" h="1841500">
                                <a:moveTo>
                                  <a:pt x="1303655" y="1243342"/>
                                </a:moveTo>
                                <a:lnTo>
                                  <a:pt x="604520" y="1243342"/>
                                </a:lnTo>
                                <a:lnTo>
                                  <a:pt x="604520" y="1458595"/>
                                </a:lnTo>
                                <a:lnTo>
                                  <a:pt x="1303655" y="1458595"/>
                                </a:lnTo>
                                <a:lnTo>
                                  <a:pt x="1303655" y="1243342"/>
                                </a:lnTo>
                                <a:close/>
                              </a:path>
                              <a:path w="3578860" h="1841500">
                                <a:moveTo>
                                  <a:pt x="3089275" y="1579245"/>
                                </a:moveTo>
                                <a:lnTo>
                                  <a:pt x="2390140" y="1579245"/>
                                </a:lnTo>
                                <a:lnTo>
                                  <a:pt x="2390140" y="1841500"/>
                                </a:lnTo>
                                <a:lnTo>
                                  <a:pt x="3089275" y="1841500"/>
                                </a:lnTo>
                                <a:lnTo>
                                  <a:pt x="3089275" y="1579245"/>
                                </a:lnTo>
                                <a:close/>
                              </a:path>
                              <a:path w="3578860" h="1841500">
                                <a:moveTo>
                                  <a:pt x="3578860" y="1105535"/>
                                </a:moveTo>
                                <a:lnTo>
                                  <a:pt x="2655570" y="1105535"/>
                                </a:lnTo>
                                <a:lnTo>
                                  <a:pt x="2655570" y="1320800"/>
                                </a:lnTo>
                                <a:lnTo>
                                  <a:pt x="3578860" y="1320800"/>
                                </a:lnTo>
                                <a:lnTo>
                                  <a:pt x="3578860" y="1105535"/>
                                </a:lnTo>
                                <a:close/>
                              </a:path>
                            </a:pathLst>
                          </a:custGeom>
                          <a:solidFill>
                            <a:srgbClr val="FFFFFF"/>
                          </a:solidFill>
                        </wps:spPr>
                        <wps:bodyPr wrap="square" lIns="0" tIns="0" rIns="0" bIns="0" rtlCol="0">
                          <a:prstTxWarp prst="textNoShape">
                            <a:avLst/>
                          </a:prstTxWarp>
                          <a:noAutofit/>
                        </wps:bodyPr>
                      </wps:wsp>
                      <wps:wsp>
                        <wps:cNvPr id="105" name="Textbox 105"/>
                        <wps:cNvSpPr txBox="1"/>
                        <wps:spPr>
                          <a:xfrm>
                            <a:off x="156781" y="612457"/>
                            <a:ext cx="222885" cy="102235"/>
                          </a:xfrm>
                          <a:prstGeom prst="rect">
                            <a:avLst/>
                          </a:prstGeom>
                        </wps:spPr>
                        <wps:txbx>
                          <w:txbxContent>
                            <w:p>
                              <w:pPr>
                                <w:spacing w:line="161" w:lineRule="exact" w:before="0"/>
                                <w:ind w:left="0" w:right="0" w:firstLine="0"/>
                                <w:jc w:val="left"/>
                                <w:rPr>
                                  <w:rFonts w:ascii="Calibri"/>
                                  <w:b/>
                                  <w:sz w:val="16"/>
                                </w:rPr>
                              </w:pPr>
                              <w:r>
                                <w:rPr>
                                  <w:rFonts w:ascii="Calibri"/>
                                  <w:b/>
                                  <w:spacing w:val="-4"/>
                                  <w:sz w:val="16"/>
                                </w:rPr>
                                <w:t>Price</w:t>
                              </w:r>
                            </w:p>
                          </w:txbxContent>
                        </wps:txbx>
                        <wps:bodyPr wrap="square" lIns="0" tIns="0" rIns="0" bIns="0" rtlCol="0">
                          <a:noAutofit/>
                        </wps:bodyPr>
                      </wps:wsp>
                      <wps:wsp>
                        <wps:cNvPr id="106" name="Textbox 106"/>
                        <wps:cNvSpPr txBox="1"/>
                        <wps:spPr>
                          <a:xfrm>
                            <a:off x="2918777" y="3540442"/>
                            <a:ext cx="923290" cy="297815"/>
                          </a:xfrm>
                          <a:prstGeom prst="rect">
                            <a:avLst/>
                          </a:prstGeom>
                          <a:ln w="9525">
                            <a:solidFill>
                              <a:srgbClr val="000000"/>
                            </a:solidFill>
                            <a:prstDash val="solid"/>
                          </a:ln>
                        </wps:spPr>
                        <wps:txbx>
                          <w:txbxContent>
                            <w:p>
                              <w:pPr>
                                <w:spacing w:before="73"/>
                                <w:ind w:left="145" w:right="0" w:firstLine="0"/>
                                <w:jc w:val="left"/>
                                <w:rPr>
                                  <w:rFonts w:ascii="Calibri"/>
                                  <w:b/>
                                  <w:sz w:val="20"/>
                                </w:rPr>
                              </w:pPr>
                              <w:r>
                                <w:rPr>
                                  <w:rFonts w:ascii="Calibri"/>
                                  <w:b/>
                                  <w:spacing w:val="-2"/>
                                  <w:sz w:val="20"/>
                                </w:rPr>
                                <w:t>Method</w:t>
                              </w:r>
                            </w:p>
                          </w:txbxContent>
                        </wps:txbx>
                        <wps:bodyPr wrap="square" lIns="0" tIns="0" rIns="0" bIns="0" rtlCol="0">
                          <a:noAutofit/>
                        </wps:bodyPr>
                      </wps:wsp>
                      <wps:wsp>
                        <wps:cNvPr id="107" name="Textbox 107"/>
                        <wps:cNvSpPr txBox="1"/>
                        <wps:spPr>
                          <a:xfrm>
                            <a:off x="396557" y="3129597"/>
                            <a:ext cx="918210" cy="306070"/>
                          </a:xfrm>
                          <a:prstGeom prst="rect">
                            <a:avLst/>
                          </a:prstGeom>
                          <a:ln w="9525">
                            <a:solidFill>
                              <a:srgbClr val="000000"/>
                            </a:solidFill>
                            <a:prstDash val="solid"/>
                          </a:ln>
                        </wps:spPr>
                        <wps:txbx>
                          <w:txbxContent>
                            <w:p>
                              <w:pPr>
                                <w:spacing w:before="72"/>
                                <w:ind w:left="145" w:right="0" w:firstLine="0"/>
                                <w:jc w:val="left"/>
                                <w:rPr>
                                  <w:rFonts w:ascii="Calibri"/>
                                  <w:b/>
                                  <w:sz w:val="16"/>
                                </w:rPr>
                              </w:pPr>
                              <w:r>
                                <w:rPr>
                                  <w:rFonts w:ascii="Calibri"/>
                                  <w:b/>
                                  <w:spacing w:val="-2"/>
                                  <w:sz w:val="16"/>
                                </w:rPr>
                                <w:t>Conditioning</w:t>
                              </w:r>
                            </w:p>
                          </w:txbxContent>
                        </wps:txbx>
                        <wps:bodyPr wrap="square" lIns="0" tIns="0" rIns="0" bIns="0" rtlCol="0">
                          <a:noAutofit/>
                        </wps:bodyPr>
                      </wps:wsp>
                      <wps:wsp>
                        <wps:cNvPr id="108" name="Textbox 108"/>
                        <wps:cNvSpPr txBox="1"/>
                        <wps:spPr>
                          <a:xfrm>
                            <a:off x="2653347" y="2736532"/>
                            <a:ext cx="699135" cy="262255"/>
                          </a:xfrm>
                          <a:prstGeom prst="rect">
                            <a:avLst/>
                          </a:prstGeom>
                          <a:ln w="9525">
                            <a:solidFill>
                              <a:srgbClr val="000000"/>
                            </a:solidFill>
                            <a:prstDash val="solid"/>
                          </a:ln>
                        </wps:spPr>
                        <wps:txbx>
                          <w:txbxContent>
                            <w:p>
                              <w:pPr>
                                <w:spacing w:before="71"/>
                                <w:ind w:left="145" w:right="0" w:firstLine="0"/>
                                <w:jc w:val="left"/>
                                <w:rPr>
                                  <w:rFonts w:ascii="Calibri"/>
                                  <w:b/>
                                  <w:sz w:val="16"/>
                                </w:rPr>
                              </w:pPr>
                              <w:r>
                                <w:rPr>
                                  <w:rFonts w:ascii="Calibri"/>
                                  <w:b/>
                                  <w:spacing w:val="-2"/>
                                  <w:sz w:val="16"/>
                                </w:rPr>
                                <w:t>Safety</w:t>
                              </w:r>
                            </w:p>
                          </w:txbxContent>
                        </wps:txbx>
                        <wps:bodyPr wrap="square" lIns="0" tIns="0" rIns="0" bIns="0" rtlCol="0">
                          <a:noAutofit/>
                        </wps:bodyPr>
                      </wps:wsp>
                      <wps:wsp>
                        <wps:cNvPr id="109" name="Textbox 109"/>
                        <wps:cNvSpPr txBox="1"/>
                        <wps:spPr>
                          <a:xfrm>
                            <a:off x="781367" y="2736532"/>
                            <a:ext cx="623570" cy="267970"/>
                          </a:xfrm>
                          <a:prstGeom prst="rect">
                            <a:avLst/>
                          </a:prstGeom>
                          <a:ln w="9525">
                            <a:solidFill>
                              <a:srgbClr val="000000"/>
                            </a:solidFill>
                            <a:prstDash val="solid"/>
                          </a:ln>
                        </wps:spPr>
                        <wps:txbx>
                          <w:txbxContent>
                            <w:p>
                              <w:pPr>
                                <w:spacing w:before="71"/>
                                <w:ind w:left="144" w:right="0" w:firstLine="0"/>
                                <w:jc w:val="left"/>
                                <w:rPr>
                                  <w:rFonts w:ascii="Calibri"/>
                                  <w:b/>
                                  <w:sz w:val="16"/>
                                </w:rPr>
                              </w:pPr>
                              <w:r>
                                <w:rPr>
                                  <w:rFonts w:ascii="Calibri"/>
                                  <w:b/>
                                  <w:spacing w:val="-5"/>
                                  <w:sz w:val="16"/>
                                </w:rPr>
                                <w:t>Age</w:t>
                              </w:r>
                            </w:p>
                          </w:txbxContent>
                        </wps:txbx>
                        <wps:bodyPr wrap="square" lIns="0" tIns="0" rIns="0" bIns="0" rtlCol="0">
                          <a:noAutofit/>
                        </wps:bodyPr>
                      </wps:wsp>
                      <wps:wsp>
                        <wps:cNvPr id="110" name="Textbox 110"/>
                        <wps:cNvSpPr txBox="1"/>
                        <wps:spPr>
                          <a:xfrm>
                            <a:off x="867727" y="2400617"/>
                            <a:ext cx="699135" cy="215265"/>
                          </a:xfrm>
                          <a:prstGeom prst="rect">
                            <a:avLst/>
                          </a:prstGeom>
                          <a:ln w="9525">
                            <a:solidFill>
                              <a:srgbClr val="000000"/>
                            </a:solidFill>
                            <a:prstDash val="solid"/>
                          </a:ln>
                        </wps:spPr>
                        <wps:txbx>
                          <w:txbxContent>
                            <w:p>
                              <w:pPr>
                                <w:spacing w:before="70"/>
                                <w:ind w:left="144" w:right="0" w:firstLine="0"/>
                                <w:jc w:val="left"/>
                                <w:rPr>
                                  <w:rFonts w:ascii="Calibri"/>
                                  <w:b/>
                                  <w:sz w:val="16"/>
                                </w:rPr>
                              </w:pPr>
                              <w:r>
                                <w:rPr>
                                  <w:rFonts w:ascii="Calibri"/>
                                  <w:b/>
                                  <w:spacing w:val="-2"/>
                                  <w:sz w:val="16"/>
                                </w:rPr>
                                <w:t>Reliability</w:t>
                              </w:r>
                            </w:p>
                          </w:txbxContent>
                        </wps:txbx>
                        <wps:bodyPr wrap="square" lIns="0" tIns="0" rIns="0" bIns="0" rtlCol="0">
                          <a:noAutofit/>
                        </wps:bodyPr>
                      </wps:wsp>
                      <wps:wsp>
                        <wps:cNvPr id="111" name="Textbox 111"/>
                        <wps:cNvSpPr txBox="1"/>
                        <wps:spPr>
                          <a:xfrm>
                            <a:off x="2918777" y="2262822"/>
                            <a:ext cx="923290" cy="215265"/>
                          </a:xfrm>
                          <a:prstGeom prst="rect">
                            <a:avLst/>
                          </a:prstGeom>
                          <a:ln w="9525">
                            <a:solidFill>
                              <a:srgbClr val="000000"/>
                            </a:solidFill>
                            <a:prstDash val="solid"/>
                          </a:ln>
                        </wps:spPr>
                        <wps:txbx>
                          <w:txbxContent>
                            <w:p>
                              <w:pPr>
                                <w:spacing w:before="71"/>
                                <w:ind w:left="145" w:right="0" w:firstLine="0"/>
                                <w:jc w:val="left"/>
                                <w:rPr>
                                  <w:rFonts w:ascii="Calibri"/>
                                  <w:b/>
                                  <w:sz w:val="16"/>
                                </w:rPr>
                              </w:pPr>
                              <w:r>
                                <w:rPr>
                                  <w:rFonts w:ascii="Calibri"/>
                                  <w:b/>
                                  <w:sz w:val="16"/>
                                </w:rPr>
                                <w:t>Work</w:t>
                              </w:r>
                              <w:r>
                                <w:rPr>
                                  <w:rFonts w:ascii="Calibri"/>
                                  <w:b/>
                                  <w:spacing w:val="-4"/>
                                  <w:sz w:val="16"/>
                                </w:rPr>
                                <w:t> </w:t>
                              </w:r>
                              <w:r>
                                <w:rPr>
                                  <w:rFonts w:ascii="Calibri"/>
                                  <w:b/>
                                  <w:spacing w:val="-2"/>
                                  <w:sz w:val="16"/>
                                </w:rPr>
                                <w:t>practices</w:t>
                              </w:r>
                            </w:p>
                          </w:txbxContent>
                        </wps:txbx>
                        <wps:bodyPr wrap="square" lIns="0" tIns="0" rIns="0" bIns="0" rtlCol="0">
                          <a:noAutofit/>
                        </wps:bodyPr>
                      </wps:wsp>
                      <wps:wsp>
                        <wps:cNvPr id="112" name="Textbox 112"/>
                        <wps:cNvSpPr txBox="1"/>
                        <wps:spPr>
                          <a:xfrm>
                            <a:off x="4762" y="2262187"/>
                            <a:ext cx="633730" cy="215265"/>
                          </a:xfrm>
                          <a:prstGeom prst="rect">
                            <a:avLst/>
                          </a:prstGeom>
                          <a:ln w="9525">
                            <a:solidFill>
                              <a:srgbClr val="000000"/>
                            </a:solidFill>
                            <a:prstDash val="solid"/>
                          </a:ln>
                        </wps:spPr>
                        <wps:txbx>
                          <w:txbxContent>
                            <w:p>
                              <w:pPr>
                                <w:spacing w:before="72"/>
                                <w:ind w:left="145" w:right="0" w:firstLine="0"/>
                                <w:jc w:val="left"/>
                                <w:rPr>
                                  <w:rFonts w:ascii="Calibri"/>
                                  <w:b/>
                                  <w:sz w:val="16"/>
                                </w:rPr>
                              </w:pPr>
                              <w:r>
                                <w:rPr>
                                  <w:rFonts w:ascii="Calibri"/>
                                  <w:b/>
                                  <w:spacing w:val="-2"/>
                                  <w:sz w:val="16"/>
                                </w:rPr>
                                <w:t>Causes</w:t>
                              </w:r>
                            </w:p>
                          </w:txbxContent>
                        </wps:txbx>
                        <wps:bodyPr wrap="square" lIns="0" tIns="0" rIns="0" bIns="0" rtlCol="0">
                          <a:noAutofit/>
                        </wps:bodyPr>
                      </wps:wsp>
                      <wps:wsp>
                        <wps:cNvPr id="113" name="Textbox 113"/>
                        <wps:cNvSpPr txBox="1"/>
                        <wps:spPr>
                          <a:xfrm>
                            <a:off x="4496117" y="1930082"/>
                            <a:ext cx="1021080" cy="607060"/>
                          </a:xfrm>
                          <a:prstGeom prst="rect">
                            <a:avLst/>
                          </a:prstGeom>
                          <a:ln w="9525">
                            <a:solidFill>
                              <a:srgbClr val="000000"/>
                            </a:solidFill>
                            <a:prstDash val="solid"/>
                          </a:ln>
                        </wps:spPr>
                        <wps:txbx>
                          <w:txbxContent>
                            <w:p>
                              <w:pPr>
                                <w:spacing w:before="75"/>
                                <w:ind w:left="145" w:right="0" w:firstLine="0"/>
                                <w:jc w:val="left"/>
                                <w:rPr>
                                  <w:rFonts w:ascii="Calibri"/>
                                  <w:b/>
                                  <w:sz w:val="20"/>
                                </w:rPr>
                              </w:pPr>
                              <w:r>
                                <w:rPr>
                                  <w:rFonts w:ascii="Calibri"/>
                                  <w:b/>
                                  <w:spacing w:val="-2"/>
                                  <w:sz w:val="20"/>
                                </w:rPr>
                                <w:t>Effect</w:t>
                              </w:r>
                            </w:p>
                            <w:p>
                              <w:pPr>
                                <w:spacing w:before="233"/>
                                <w:ind w:left="145" w:right="0" w:firstLine="0"/>
                                <w:jc w:val="left"/>
                                <w:rPr>
                                  <w:rFonts w:ascii="Calibri"/>
                                  <w:b/>
                                  <w:sz w:val="16"/>
                                </w:rPr>
                              </w:pPr>
                              <w:r>
                                <w:rPr>
                                  <w:rFonts w:ascii="Calibri"/>
                                  <w:b/>
                                  <w:sz w:val="16"/>
                                </w:rPr>
                                <w:t>Eg</w:t>
                              </w:r>
                              <w:r>
                                <w:rPr>
                                  <w:rFonts w:ascii="Calibri"/>
                                  <w:b/>
                                  <w:spacing w:val="-4"/>
                                  <w:sz w:val="16"/>
                                </w:rPr>
                                <w:t> </w:t>
                              </w:r>
                              <w:r>
                                <w:rPr>
                                  <w:rFonts w:ascii="Calibri"/>
                                  <w:b/>
                                  <w:sz w:val="16"/>
                                </w:rPr>
                                <w:t>poor</w:t>
                              </w:r>
                              <w:r>
                                <w:rPr>
                                  <w:rFonts w:ascii="Calibri"/>
                                  <w:b/>
                                  <w:spacing w:val="-2"/>
                                  <w:sz w:val="16"/>
                                </w:rPr>
                                <w:t> quality</w:t>
                              </w:r>
                            </w:p>
                          </w:txbxContent>
                        </wps:txbx>
                        <wps:bodyPr wrap="square" lIns="0" tIns="0" rIns="0" bIns="0" rtlCol="0">
                          <a:noAutofit/>
                        </wps:bodyPr>
                      </wps:wsp>
                      <wps:wsp>
                        <wps:cNvPr id="114" name="Textbox 114"/>
                        <wps:cNvSpPr txBox="1"/>
                        <wps:spPr>
                          <a:xfrm>
                            <a:off x="2130107" y="1140777"/>
                            <a:ext cx="788670" cy="215265"/>
                          </a:xfrm>
                          <a:prstGeom prst="rect">
                            <a:avLst/>
                          </a:prstGeom>
                          <a:ln w="9525">
                            <a:solidFill>
                              <a:srgbClr val="000000"/>
                            </a:solidFill>
                            <a:prstDash val="solid"/>
                          </a:ln>
                        </wps:spPr>
                        <wps:txbx>
                          <w:txbxContent>
                            <w:p>
                              <w:pPr>
                                <w:spacing w:before="72"/>
                                <w:ind w:left="144" w:right="0" w:firstLine="0"/>
                                <w:jc w:val="left"/>
                                <w:rPr>
                                  <w:rFonts w:ascii="Calibri"/>
                                  <w:b/>
                                  <w:sz w:val="16"/>
                                </w:rPr>
                              </w:pPr>
                              <w:r>
                                <w:rPr>
                                  <w:rFonts w:ascii="Calibri"/>
                                  <w:b/>
                                  <w:spacing w:val="-2"/>
                                  <w:sz w:val="16"/>
                                </w:rPr>
                                <w:t>Absenteeism</w:t>
                              </w:r>
                            </w:p>
                          </w:txbxContent>
                        </wps:txbx>
                        <wps:bodyPr wrap="square" lIns="0" tIns="0" rIns="0" bIns="0" rtlCol="0">
                          <a:noAutofit/>
                        </wps:bodyPr>
                      </wps:wsp>
                      <wps:wsp>
                        <wps:cNvPr id="115" name="Textbox 115"/>
                        <wps:cNvSpPr txBox="1"/>
                        <wps:spPr>
                          <a:xfrm>
                            <a:off x="263207" y="1157287"/>
                            <a:ext cx="617855" cy="269240"/>
                          </a:xfrm>
                          <a:prstGeom prst="rect">
                            <a:avLst/>
                          </a:prstGeom>
                          <a:ln w="9525">
                            <a:solidFill>
                              <a:srgbClr val="000000"/>
                            </a:solidFill>
                            <a:prstDash val="solid"/>
                          </a:ln>
                        </wps:spPr>
                        <wps:txbx>
                          <w:txbxContent>
                            <w:p>
                              <w:pPr>
                                <w:spacing w:before="72"/>
                                <w:ind w:left="144" w:right="0" w:firstLine="0"/>
                                <w:jc w:val="left"/>
                                <w:rPr>
                                  <w:rFonts w:ascii="Calibri"/>
                                  <w:b/>
                                  <w:sz w:val="16"/>
                                </w:rPr>
                              </w:pPr>
                              <w:r>
                                <w:rPr>
                                  <w:rFonts w:ascii="Calibri"/>
                                  <w:b/>
                                  <w:spacing w:val="-2"/>
                                  <w:sz w:val="16"/>
                                </w:rPr>
                                <w:t>Delivery</w:t>
                              </w:r>
                            </w:p>
                          </w:txbxContent>
                        </wps:txbx>
                        <wps:bodyPr wrap="square" lIns="0" tIns="0" rIns="0" bIns="0" rtlCol="0">
                          <a:noAutofit/>
                        </wps:bodyPr>
                      </wps:wsp>
                      <wps:wsp>
                        <wps:cNvPr id="116" name="Textbox 116"/>
                        <wps:cNvSpPr txBox="1"/>
                        <wps:spPr>
                          <a:xfrm>
                            <a:off x="1794192" y="541972"/>
                            <a:ext cx="699135" cy="215265"/>
                          </a:xfrm>
                          <a:prstGeom prst="rect">
                            <a:avLst/>
                          </a:prstGeom>
                          <a:ln w="9525">
                            <a:solidFill>
                              <a:srgbClr val="000000"/>
                            </a:solidFill>
                            <a:prstDash val="solid"/>
                          </a:ln>
                        </wps:spPr>
                        <wps:txbx>
                          <w:txbxContent>
                            <w:p>
                              <w:pPr>
                                <w:spacing w:before="71"/>
                                <w:ind w:left="145" w:right="0" w:firstLine="0"/>
                                <w:jc w:val="left"/>
                                <w:rPr>
                                  <w:rFonts w:ascii="Calibri"/>
                                  <w:b/>
                                  <w:sz w:val="16"/>
                                </w:rPr>
                              </w:pPr>
                              <w:r>
                                <w:rPr>
                                  <w:rFonts w:ascii="Calibri"/>
                                  <w:b/>
                                  <w:spacing w:val="-2"/>
                                  <w:sz w:val="16"/>
                                </w:rPr>
                                <w:t>Training</w:t>
                              </w:r>
                            </w:p>
                          </w:txbxContent>
                        </wps:txbx>
                        <wps:bodyPr wrap="square" lIns="0" tIns="0" rIns="0" bIns="0" rtlCol="0">
                          <a:noAutofit/>
                        </wps:bodyPr>
                      </wps:wsp>
                      <wps:wsp>
                        <wps:cNvPr id="117" name="Textbox 117"/>
                        <wps:cNvSpPr txBox="1"/>
                        <wps:spPr>
                          <a:xfrm>
                            <a:off x="2241232" y="4762"/>
                            <a:ext cx="699135" cy="267970"/>
                          </a:xfrm>
                          <a:prstGeom prst="rect">
                            <a:avLst/>
                          </a:prstGeom>
                          <a:ln w="9525">
                            <a:solidFill>
                              <a:srgbClr val="000000"/>
                            </a:solidFill>
                            <a:prstDash val="solid"/>
                          </a:ln>
                        </wps:spPr>
                        <wps:txbx>
                          <w:txbxContent>
                            <w:p>
                              <w:pPr>
                                <w:spacing w:before="73"/>
                                <w:ind w:left="144" w:right="0" w:firstLine="0"/>
                                <w:jc w:val="left"/>
                                <w:rPr>
                                  <w:rFonts w:ascii="Calibri"/>
                                  <w:b/>
                                  <w:sz w:val="20"/>
                                </w:rPr>
                              </w:pPr>
                              <w:r>
                                <w:rPr>
                                  <w:rFonts w:ascii="Calibri"/>
                                  <w:b/>
                                  <w:spacing w:val="-2"/>
                                  <w:sz w:val="20"/>
                                </w:rPr>
                                <w:t>People</w:t>
                              </w:r>
                            </w:p>
                          </w:txbxContent>
                        </wps:txbx>
                        <wps:bodyPr wrap="square" lIns="0" tIns="0" rIns="0" bIns="0" rtlCol="0">
                          <a:noAutofit/>
                        </wps:bodyPr>
                      </wps:wsp>
                      <wps:wsp>
                        <wps:cNvPr id="118" name="Textbox 118"/>
                        <wps:cNvSpPr txBox="1"/>
                        <wps:spPr>
                          <a:xfrm>
                            <a:off x="521652" y="4762"/>
                            <a:ext cx="699135" cy="215265"/>
                          </a:xfrm>
                          <a:prstGeom prst="rect">
                            <a:avLst/>
                          </a:prstGeom>
                          <a:ln w="9525">
                            <a:solidFill>
                              <a:srgbClr val="000000"/>
                            </a:solidFill>
                            <a:prstDash val="solid"/>
                          </a:ln>
                        </wps:spPr>
                        <wps:txbx>
                          <w:txbxContent>
                            <w:p>
                              <w:pPr>
                                <w:spacing w:before="73"/>
                                <w:ind w:left="145" w:right="0" w:firstLine="0"/>
                                <w:jc w:val="left"/>
                                <w:rPr>
                                  <w:rFonts w:ascii="Calibri"/>
                                  <w:b/>
                                  <w:sz w:val="20"/>
                                </w:rPr>
                              </w:pPr>
                              <w:r>
                                <w:rPr>
                                  <w:rFonts w:ascii="Calibri"/>
                                  <w:b/>
                                  <w:spacing w:val="-2"/>
                                  <w:sz w:val="20"/>
                                </w:rPr>
                                <w:t>Materials</w:t>
                              </w:r>
                            </w:p>
                          </w:txbxContent>
                        </wps:txbx>
                        <wps:bodyPr wrap="square" lIns="0" tIns="0" rIns="0" bIns="0" rtlCol="0">
                          <a:noAutofit/>
                        </wps:bodyPr>
                      </wps:wsp>
                    </wpg:wgp>
                  </a:graphicData>
                </a:graphic>
              </wp:anchor>
            </w:drawing>
          </mc:Choice>
          <mc:Fallback>
            <w:pict>
              <v:group style="position:absolute;margin-left:90.974998pt;margin-top:171.625pt;width:434.8pt;height:302.6pt;mso-position-horizontal-relative:page;mso-position-vertical-relative:paragraph;z-index:-21374976" id="docshapegroup60" coordorigin="1819,3433" coordsize="8696,6052">
                <v:line style="position:absolute" from="4151,8986" to="5622,7074" stroked="true" strokeweight="1pt" strokecolor="#000000">
                  <v:stroke dashstyle="solid"/>
                </v:line>
                <v:shape style="position:absolute;left:5562;top:6995;width:121;height:132" id="docshape61" coordorigin="5562,6995" coordsize="121,132" path="m5683,6995l5562,7054,5657,7127,5683,6995xe" filled="true" fillcolor="#000000" stroked="false">
                  <v:path arrowok="t"/>
                  <v:fill type="solid"/>
                </v:shape>
                <v:line style="position:absolute" from="3143,3779" to="4966,6683" stroked="true" strokeweight="1pt" strokecolor="#000000">
                  <v:stroke dashstyle="solid"/>
                </v:line>
                <v:shape style="position:absolute;left:4904;top:6634;width:115;height:134" id="docshape62" coordorigin="4904,6634" coordsize="115,134" path="m5006,6634l4904,6698,5019,6768,5006,6634xe" filled="true" fillcolor="#000000" stroked="false">
                  <v:path arrowok="t"/>
                  <v:fill type="solid"/>
                </v:shape>
                <v:line style="position:absolute" from="3079,6995" to="8800,6891" stroked="true" strokeweight="1.0pt" strokecolor="#000000">
                  <v:stroke dashstyle="solid"/>
                </v:line>
                <v:shape style="position:absolute;left:8778;top:6831;width:122;height:120" id="docshape63" coordorigin="8779,6831" coordsize="122,120" path="m8779,6831l8781,6951,8900,6889,8779,6831xe" filled="true" fillcolor="#000000" stroked="false">
                  <v:path arrowok="t"/>
                  <v:fill type="solid"/>
                </v:shape>
                <v:line style="position:absolute" from="5998,3862" to="7816,6684" stroked="true" strokeweight="1pt" strokecolor="#000000">
                  <v:stroke dashstyle="solid"/>
                </v:line>
                <v:shape style="position:absolute;left:7754;top:6634;width:116;height:134" id="docshape64" coordorigin="7755,6635" coordsize="116,134" path="m7855,6635l7755,6700,7870,6768,7855,6635xe" filled="true" fillcolor="#000000" stroked="false">
                  <v:path arrowok="t"/>
                  <v:fill type="solid"/>
                </v:shape>
                <v:line style="position:absolute" from="7015,8986" to="8486,7074" stroked="true" strokeweight="1pt" strokecolor="#000000">
                  <v:stroke dashstyle="solid"/>
                </v:line>
                <v:shape style="position:absolute;left:8426;top:6995;width:121;height:132" id="docshape65" coordorigin="8426,6995" coordsize="121,132" path="m8547,6995l8426,7054,8521,7127,8547,6995xe" filled="true" fillcolor="#000000" stroked="false">
                  <v:path arrowok="t"/>
                  <v:fill type="solid"/>
                </v:shape>
                <v:line style="position:absolute" from="5746,4478" to="6323,4478" stroked="true" strokeweight="1pt" strokecolor="#000000">
                  <v:stroke dashstyle="solid"/>
                </v:line>
                <v:shape style="position:absolute;left:6303;top:4418;width:120;height:120" id="docshape66" coordorigin="6303,4418" coordsize="120,120" path="m6303,4418l6303,4538,6423,4478,6303,4418xe" filled="true" fillcolor="#000000" stroked="false">
                  <v:path arrowok="t"/>
                  <v:fill type="solid"/>
                </v:shape>
                <v:line style="position:absolute" from="5837,5724" to="6999,5725" stroked="true" strokeweight="1.0pt" strokecolor="#000000">
                  <v:stroke dashstyle="solid"/>
                </v:line>
                <v:shape style="position:absolute;left:6978;top:5664;width:121;height:120" id="docshape67" coordorigin="6979,5665" coordsize="121,120" path="m6979,5665l6979,5785,7099,5725,6979,5665xe" filled="true" fillcolor="#000000" stroked="false">
                  <v:path arrowok="t"/>
                  <v:fill type="solid"/>
                </v:shape>
                <v:line style="position:absolute" from="2444,4649" to="3493,4649" stroked="true" strokeweight="1pt" strokecolor="#000000">
                  <v:stroke dashstyle="solid"/>
                </v:line>
                <v:shape style="position:absolute;left:3473;top:4589;width:120;height:120" id="docshape68" coordorigin="3473,4589" coordsize="120,120" path="m3473,4589l3473,4709,3593,4649,3473,4589xe" filled="true" fillcolor="#000000" stroked="false">
                  <v:path arrowok="t"/>
                  <v:fill type="solid"/>
                </v:shape>
                <v:line style="position:absolute" from="3079,5809" to="4348,5810" stroked="true" strokeweight="1pt" strokecolor="#000000">
                  <v:stroke dashstyle="solid"/>
                </v:line>
                <v:shape style="position:absolute;left:4327;top:5749;width:121;height:120" id="docshape69" coordorigin="4328,5750" coordsize="121,120" path="m4328,5750l4328,5870,4448,5810,4328,5750xe" filled="true" fillcolor="#000000" stroked="false">
                  <v:path arrowok="t"/>
                  <v:fill type="solid"/>
                </v:shape>
                <v:line style="position:absolute" from="7015,7474" to="8177,7475" stroked="true" strokeweight="1.0pt" strokecolor="#000000">
                  <v:stroke dashstyle="solid"/>
                </v:line>
                <v:shape style="position:absolute;left:8156;top:7414;width:121;height:120" id="docshape70" coordorigin="8157,7415" coordsize="121,120" path="m8157,7415l8157,7535,8277,7475,8157,7415xe" filled="true" fillcolor="#000000" stroked="false">
                  <v:path arrowok="t"/>
                  <v:fill type="solid"/>
                </v:shape>
                <v:line style="position:absolute" from="6514,8209" to="7676,8210" stroked="true" strokeweight="1.0pt" strokecolor="#000000">
                  <v:stroke dashstyle="solid"/>
                </v:line>
                <v:shape style="position:absolute;left:7655;top:8149;width:121;height:120" id="docshape71" coordorigin="7656,8150" coordsize="121,120" path="m7656,8150l7656,8270,7776,8210,7656,8150xe" filled="true" fillcolor="#000000" stroked="false">
                  <v:path arrowok="t"/>
                  <v:fill type="solid"/>
                </v:shape>
                <v:line style="position:absolute" from="4441,7380" to="5259,7380" stroked="true" strokeweight="1pt" strokecolor="#000000">
                  <v:stroke dashstyle="solid"/>
                </v:line>
                <v:shape style="position:absolute;left:5239;top:7320;width:120;height:120" id="docshape72" coordorigin="5239,7320" coordsize="120,120" path="m5239,7320l5239,7440,5359,7380,5239,7320xe" filled="true" fillcolor="#000000" stroked="false">
                  <v:path arrowok="t"/>
                  <v:fill type="solid"/>
                </v:shape>
                <v:line style="position:absolute" from="4151,8055" to="4870,8055" stroked="true" strokeweight="1pt" strokecolor="#000000">
                  <v:stroke dashstyle="solid"/>
                </v:line>
                <v:shape style="position:absolute;left:4850;top:7995;width:120;height:120" id="docshape73" coordorigin="4850,7995" coordsize="120,120" path="m4850,7995l4850,8115,4970,8055,4850,7995xe" filled="true" fillcolor="#000000" stroked="false">
                  <v:path arrowok="t"/>
                  <v:fill type="solid"/>
                </v:shape>
                <v:line style="position:absolute" from="3890,8502" to="4555,8502" stroked="true" strokeweight="1.045pt" strokecolor="#000000">
                  <v:stroke dashstyle="solid"/>
                </v:line>
                <v:shape style="position:absolute;left:4524;top:8442;width:121;height:120" id="docshape74" coordorigin="4525,8443" coordsize="121,120" path="m4525,8443l4525,8563,4645,8503,4525,8443xe" filled="true" fillcolor="#000000" stroked="false">
                  <v:path arrowok="t"/>
                  <v:fill type="solid"/>
                </v:shape>
                <v:line style="position:absolute" from="2444,6843" to="2753,6544" stroked="true" strokeweight="1pt" strokecolor="#000000">
                  <v:stroke dashstyle="solid"/>
                </v:line>
                <v:shape style="position:absolute;left:2697;top:6474;width:128;height:127" id="docshape75" coordorigin="2697,6474" coordsize="128,127" path="m2825,6474l2697,6514,2781,6601,2825,6474xe" filled="true" fillcolor="#000000" stroked="false">
                  <v:path arrowok="t"/>
                  <v:fill type="solid"/>
                </v:shape>
                <v:line style="position:absolute" from="2508,7475" to="2761,7777" stroked="true" strokeweight="1pt" strokecolor="#000000">
                  <v:stroke dashstyle="solid"/>
                </v:line>
                <v:shape style="position:absolute;left:2701;top:7723;width:124;height:131" id="docshape76" coordorigin="2702,7723" coordsize="124,131" path="m2794,7723l2702,7800,2825,7854,2794,7723xe" filled="true" fillcolor="#000000" stroked="false">
                  <v:path arrowok="t"/>
                  <v:fill type="solid"/>
                </v:shape>
                <v:shape style="position:absolute;left:4645;top:4286;width:1771;height:1282" id="docshape77" coordorigin="4645,4286" coordsize="1771,1282" path="m5746,4286l4645,4286,4645,4625,5746,4625,5746,4286xm6416,5229l5174,5229,5174,5568,6416,5568,6416,5229xe" filled="true" fillcolor="#ffffff" stroked="false">
                  <v:path arrowok="t"/>
                  <v:fill type="solid"/>
                </v:shape>
                <v:rect style="position:absolute;left:1914;top:4286;width:1101;height:339" id="docshape78" filled="false" stroked="true" strokeweight=".75pt" strokecolor="#000000">
                  <v:stroke dashstyle="solid"/>
                </v:rect>
                <v:shape style="position:absolute;left:2234;top:5255;width:5636;height:2900" id="docshape79" coordorigin="2234,5255" coordsize="5636,2900" path="m3207,5255l2234,5255,2234,5679,3207,5679,3207,5255xm4287,7213l3186,7213,3186,7552,4287,7552,4287,7213xm7099,7742l5998,7742,5998,8155,7099,8155,7099,7742xm7870,6996l6416,6996,6416,7335,7870,7335,7870,6996xe" filled="true" fillcolor="#ffffff" stroked="false">
                  <v:path arrowok="t"/>
                  <v:fill type="solid"/>
                </v:shape>
                <v:shape style="position:absolute;left:2066;top:4397;width:351;height:161" type="#_x0000_t202" id="docshape80" filled="false" stroked="false">
                  <v:textbox inset="0,0,0,0">
                    <w:txbxContent>
                      <w:p>
                        <w:pPr>
                          <w:spacing w:line="161" w:lineRule="exact" w:before="0"/>
                          <w:ind w:left="0" w:right="0" w:firstLine="0"/>
                          <w:jc w:val="left"/>
                          <w:rPr>
                            <w:rFonts w:ascii="Calibri"/>
                            <w:b/>
                            <w:sz w:val="16"/>
                          </w:rPr>
                        </w:pPr>
                        <w:r>
                          <w:rPr>
                            <w:rFonts w:ascii="Calibri"/>
                            <w:b/>
                            <w:spacing w:val="-4"/>
                            <w:sz w:val="16"/>
                          </w:rPr>
                          <w:t>Price</w:t>
                        </w:r>
                      </w:p>
                    </w:txbxContent>
                  </v:textbox>
                  <w10:wrap type="none"/>
                </v:shape>
                <v:shape style="position:absolute;left:6416;top:9008;width:1454;height:469" type="#_x0000_t202" id="docshape81" filled="false" stroked="true" strokeweight=".75pt" strokecolor="#000000">
                  <v:textbox inset="0,0,0,0">
                    <w:txbxContent>
                      <w:p>
                        <w:pPr>
                          <w:spacing w:before="73"/>
                          <w:ind w:left="145" w:right="0" w:firstLine="0"/>
                          <w:jc w:val="left"/>
                          <w:rPr>
                            <w:rFonts w:ascii="Calibri"/>
                            <w:b/>
                            <w:sz w:val="20"/>
                          </w:rPr>
                        </w:pPr>
                        <w:r>
                          <w:rPr>
                            <w:rFonts w:ascii="Calibri"/>
                            <w:b/>
                            <w:spacing w:val="-2"/>
                            <w:sz w:val="20"/>
                          </w:rPr>
                          <w:t>Method</w:t>
                        </w:r>
                      </w:p>
                    </w:txbxContent>
                  </v:textbox>
                  <v:stroke dashstyle="solid"/>
                  <w10:wrap type="none"/>
                </v:shape>
                <v:shape style="position:absolute;left:2444;top:8361;width:1446;height:482" type="#_x0000_t202" id="docshape82" filled="false" stroked="true" strokeweight=".75pt" strokecolor="#000000">
                  <v:textbox inset="0,0,0,0">
                    <w:txbxContent>
                      <w:p>
                        <w:pPr>
                          <w:spacing w:before="72"/>
                          <w:ind w:left="145" w:right="0" w:firstLine="0"/>
                          <w:jc w:val="left"/>
                          <w:rPr>
                            <w:rFonts w:ascii="Calibri"/>
                            <w:b/>
                            <w:sz w:val="16"/>
                          </w:rPr>
                        </w:pPr>
                        <w:r>
                          <w:rPr>
                            <w:rFonts w:ascii="Calibri"/>
                            <w:b/>
                            <w:spacing w:val="-2"/>
                            <w:sz w:val="16"/>
                          </w:rPr>
                          <w:t>Conditioning</w:t>
                        </w:r>
                      </w:p>
                    </w:txbxContent>
                  </v:textbox>
                  <v:stroke dashstyle="solid"/>
                  <w10:wrap type="none"/>
                </v:shape>
                <v:shape style="position:absolute;left:5998;top:7742;width:1101;height:413" type="#_x0000_t202" id="docshape83" filled="false" stroked="true" strokeweight=".75pt" strokecolor="#000000">
                  <v:textbox inset="0,0,0,0">
                    <w:txbxContent>
                      <w:p>
                        <w:pPr>
                          <w:spacing w:before="71"/>
                          <w:ind w:left="145" w:right="0" w:firstLine="0"/>
                          <w:jc w:val="left"/>
                          <w:rPr>
                            <w:rFonts w:ascii="Calibri"/>
                            <w:b/>
                            <w:sz w:val="16"/>
                          </w:rPr>
                        </w:pPr>
                        <w:r>
                          <w:rPr>
                            <w:rFonts w:ascii="Calibri"/>
                            <w:b/>
                            <w:spacing w:val="-2"/>
                            <w:sz w:val="16"/>
                          </w:rPr>
                          <w:t>Safety</w:t>
                        </w:r>
                      </w:p>
                    </w:txbxContent>
                  </v:textbox>
                  <v:stroke dashstyle="solid"/>
                  <w10:wrap type="none"/>
                </v:shape>
                <v:shape style="position:absolute;left:3050;top:7742;width:982;height:422" type="#_x0000_t202" id="docshape84" filled="false" stroked="true" strokeweight=".75pt" strokecolor="#000000">
                  <v:textbox inset="0,0,0,0">
                    <w:txbxContent>
                      <w:p>
                        <w:pPr>
                          <w:spacing w:before="71"/>
                          <w:ind w:left="144" w:right="0" w:firstLine="0"/>
                          <w:jc w:val="left"/>
                          <w:rPr>
                            <w:rFonts w:ascii="Calibri"/>
                            <w:b/>
                            <w:sz w:val="16"/>
                          </w:rPr>
                        </w:pPr>
                        <w:r>
                          <w:rPr>
                            <w:rFonts w:ascii="Calibri"/>
                            <w:b/>
                            <w:spacing w:val="-5"/>
                            <w:sz w:val="16"/>
                          </w:rPr>
                          <w:t>Age</w:t>
                        </w:r>
                      </w:p>
                    </w:txbxContent>
                  </v:textbox>
                  <v:stroke dashstyle="solid"/>
                  <w10:wrap type="none"/>
                </v:shape>
                <v:shape style="position:absolute;left:3186;top:7213;width:1101;height:339" type="#_x0000_t202" id="docshape85" filled="false" stroked="true" strokeweight=".75pt" strokecolor="#000000">
                  <v:textbox inset="0,0,0,0">
                    <w:txbxContent>
                      <w:p>
                        <w:pPr>
                          <w:spacing w:before="70"/>
                          <w:ind w:left="144" w:right="0" w:firstLine="0"/>
                          <w:jc w:val="left"/>
                          <w:rPr>
                            <w:rFonts w:ascii="Calibri"/>
                            <w:b/>
                            <w:sz w:val="16"/>
                          </w:rPr>
                        </w:pPr>
                        <w:r>
                          <w:rPr>
                            <w:rFonts w:ascii="Calibri"/>
                            <w:b/>
                            <w:spacing w:val="-2"/>
                            <w:sz w:val="16"/>
                          </w:rPr>
                          <w:t>Reliability</w:t>
                        </w:r>
                      </w:p>
                    </w:txbxContent>
                  </v:textbox>
                  <v:stroke dashstyle="solid"/>
                  <w10:wrap type="none"/>
                </v:shape>
                <v:shape style="position:absolute;left:6416;top:6996;width:1454;height:339" type="#_x0000_t202" id="docshape86" filled="false" stroked="true" strokeweight=".75pt" strokecolor="#000000">
                  <v:textbox inset="0,0,0,0">
                    <w:txbxContent>
                      <w:p>
                        <w:pPr>
                          <w:spacing w:before="71"/>
                          <w:ind w:left="145" w:right="0" w:firstLine="0"/>
                          <w:jc w:val="left"/>
                          <w:rPr>
                            <w:rFonts w:ascii="Calibri"/>
                            <w:b/>
                            <w:sz w:val="16"/>
                          </w:rPr>
                        </w:pPr>
                        <w:r>
                          <w:rPr>
                            <w:rFonts w:ascii="Calibri"/>
                            <w:b/>
                            <w:sz w:val="16"/>
                          </w:rPr>
                          <w:t>Work</w:t>
                        </w:r>
                        <w:r>
                          <w:rPr>
                            <w:rFonts w:ascii="Calibri"/>
                            <w:b/>
                            <w:spacing w:val="-4"/>
                            <w:sz w:val="16"/>
                          </w:rPr>
                          <w:t> </w:t>
                        </w:r>
                        <w:r>
                          <w:rPr>
                            <w:rFonts w:ascii="Calibri"/>
                            <w:b/>
                            <w:spacing w:val="-2"/>
                            <w:sz w:val="16"/>
                          </w:rPr>
                          <w:t>practices</w:t>
                        </w:r>
                      </w:p>
                    </w:txbxContent>
                  </v:textbox>
                  <v:stroke dashstyle="solid"/>
                  <w10:wrap type="none"/>
                </v:shape>
                <v:shape style="position:absolute;left:1827;top:6995;width:998;height:339" type="#_x0000_t202" id="docshape87" filled="false" stroked="true" strokeweight=".75pt" strokecolor="#000000">
                  <v:textbox inset="0,0,0,0">
                    <w:txbxContent>
                      <w:p>
                        <w:pPr>
                          <w:spacing w:before="72"/>
                          <w:ind w:left="145" w:right="0" w:firstLine="0"/>
                          <w:jc w:val="left"/>
                          <w:rPr>
                            <w:rFonts w:ascii="Calibri"/>
                            <w:b/>
                            <w:sz w:val="16"/>
                          </w:rPr>
                        </w:pPr>
                        <w:r>
                          <w:rPr>
                            <w:rFonts w:ascii="Calibri"/>
                            <w:b/>
                            <w:spacing w:val="-2"/>
                            <w:sz w:val="16"/>
                          </w:rPr>
                          <w:t>Causes</w:t>
                        </w:r>
                      </w:p>
                    </w:txbxContent>
                  </v:textbox>
                  <v:stroke dashstyle="solid"/>
                  <w10:wrap type="none"/>
                </v:shape>
                <v:shape style="position:absolute;left:8900;top:6472;width:1608;height:956" type="#_x0000_t202" id="docshape88" filled="false" stroked="true" strokeweight=".75pt" strokecolor="#000000">
                  <v:textbox inset="0,0,0,0">
                    <w:txbxContent>
                      <w:p>
                        <w:pPr>
                          <w:spacing w:before="75"/>
                          <w:ind w:left="145" w:right="0" w:firstLine="0"/>
                          <w:jc w:val="left"/>
                          <w:rPr>
                            <w:rFonts w:ascii="Calibri"/>
                            <w:b/>
                            <w:sz w:val="20"/>
                          </w:rPr>
                        </w:pPr>
                        <w:r>
                          <w:rPr>
                            <w:rFonts w:ascii="Calibri"/>
                            <w:b/>
                            <w:spacing w:val="-2"/>
                            <w:sz w:val="20"/>
                          </w:rPr>
                          <w:t>Effect</w:t>
                        </w:r>
                      </w:p>
                      <w:p>
                        <w:pPr>
                          <w:spacing w:before="233"/>
                          <w:ind w:left="145" w:right="0" w:firstLine="0"/>
                          <w:jc w:val="left"/>
                          <w:rPr>
                            <w:rFonts w:ascii="Calibri"/>
                            <w:b/>
                            <w:sz w:val="16"/>
                          </w:rPr>
                        </w:pPr>
                        <w:r>
                          <w:rPr>
                            <w:rFonts w:ascii="Calibri"/>
                            <w:b/>
                            <w:sz w:val="16"/>
                          </w:rPr>
                          <w:t>Eg</w:t>
                        </w:r>
                        <w:r>
                          <w:rPr>
                            <w:rFonts w:ascii="Calibri"/>
                            <w:b/>
                            <w:spacing w:val="-4"/>
                            <w:sz w:val="16"/>
                          </w:rPr>
                          <w:t> </w:t>
                        </w:r>
                        <w:r>
                          <w:rPr>
                            <w:rFonts w:ascii="Calibri"/>
                            <w:b/>
                            <w:sz w:val="16"/>
                          </w:rPr>
                          <w:t>poor</w:t>
                        </w:r>
                        <w:r>
                          <w:rPr>
                            <w:rFonts w:ascii="Calibri"/>
                            <w:b/>
                            <w:spacing w:val="-2"/>
                            <w:sz w:val="16"/>
                          </w:rPr>
                          <w:t> quality</w:t>
                        </w:r>
                      </w:p>
                    </w:txbxContent>
                  </v:textbox>
                  <v:stroke dashstyle="solid"/>
                  <w10:wrap type="none"/>
                </v:shape>
                <v:shape style="position:absolute;left:5174;top:5229;width:1242;height:339" type="#_x0000_t202" id="docshape89" filled="false" stroked="true" strokeweight=".75pt" strokecolor="#000000">
                  <v:textbox inset="0,0,0,0">
                    <w:txbxContent>
                      <w:p>
                        <w:pPr>
                          <w:spacing w:before="72"/>
                          <w:ind w:left="144" w:right="0" w:firstLine="0"/>
                          <w:jc w:val="left"/>
                          <w:rPr>
                            <w:rFonts w:ascii="Calibri"/>
                            <w:b/>
                            <w:sz w:val="16"/>
                          </w:rPr>
                        </w:pPr>
                        <w:r>
                          <w:rPr>
                            <w:rFonts w:ascii="Calibri"/>
                            <w:b/>
                            <w:spacing w:val="-2"/>
                            <w:sz w:val="16"/>
                          </w:rPr>
                          <w:t>Absenteeism</w:t>
                        </w:r>
                      </w:p>
                    </w:txbxContent>
                  </v:textbox>
                  <v:stroke dashstyle="solid"/>
                  <w10:wrap type="none"/>
                </v:shape>
                <v:shape style="position:absolute;left:2234;top:5255;width:973;height:424" type="#_x0000_t202" id="docshape90" filled="false" stroked="true" strokeweight=".75pt" strokecolor="#000000">
                  <v:textbox inset="0,0,0,0">
                    <w:txbxContent>
                      <w:p>
                        <w:pPr>
                          <w:spacing w:before="72"/>
                          <w:ind w:left="144" w:right="0" w:firstLine="0"/>
                          <w:jc w:val="left"/>
                          <w:rPr>
                            <w:rFonts w:ascii="Calibri"/>
                            <w:b/>
                            <w:sz w:val="16"/>
                          </w:rPr>
                        </w:pPr>
                        <w:r>
                          <w:rPr>
                            <w:rFonts w:ascii="Calibri"/>
                            <w:b/>
                            <w:spacing w:val="-2"/>
                            <w:sz w:val="16"/>
                          </w:rPr>
                          <w:t>Delivery</w:t>
                        </w:r>
                      </w:p>
                    </w:txbxContent>
                  </v:textbox>
                  <v:stroke dashstyle="solid"/>
                  <w10:wrap type="none"/>
                </v:shape>
                <v:shape style="position:absolute;left:4645;top:4286;width:1101;height:339" type="#_x0000_t202" id="docshape91" filled="false" stroked="true" strokeweight=".75pt" strokecolor="#000000">
                  <v:textbox inset="0,0,0,0">
                    <w:txbxContent>
                      <w:p>
                        <w:pPr>
                          <w:spacing w:before="71"/>
                          <w:ind w:left="145" w:right="0" w:firstLine="0"/>
                          <w:jc w:val="left"/>
                          <w:rPr>
                            <w:rFonts w:ascii="Calibri"/>
                            <w:b/>
                            <w:sz w:val="16"/>
                          </w:rPr>
                        </w:pPr>
                        <w:r>
                          <w:rPr>
                            <w:rFonts w:ascii="Calibri"/>
                            <w:b/>
                            <w:spacing w:val="-2"/>
                            <w:sz w:val="16"/>
                          </w:rPr>
                          <w:t>Training</w:t>
                        </w:r>
                      </w:p>
                    </w:txbxContent>
                  </v:textbox>
                  <v:stroke dashstyle="solid"/>
                  <w10:wrap type="none"/>
                </v:shape>
                <v:shape style="position:absolute;left:5349;top:3440;width:1101;height:422" type="#_x0000_t202" id="docshape92" filled="false" stroked="true" strokeweight=".75pt" strokecolor="#000000">
                  <v:textbox inset="0,0,0,0">
                    <w:txbxContent>
                      <w:p>
                        <w:pPr>
                          <w:spacing w:before="73"/>
                          <w:ind w:left="144" w:right="0" w:firstLine="0"/>
                          <w:jc w:val="left"/>
                          <w:rPr>
                            <w:rFonts w:ascii="Calibri"/>
                            <w:b/>
                            <w:sz w:val="20"/>
                          </w:rPr>
                        </w:pPr>
                        <w:r>
                          <w:rPr>
                            <w:rFonts w:ascii="Calibri"/>
                            <w:b/>
                            <w:spacing w:val="-2"/>
                            <w:sz w:val="20"/>
                          </w:rPr>
                          <w:t>People</w:t>
                        </w:r>
                      </w:p>
                    </w:txbxContent>
                  </v:textbox>
                  <v:stroke dashstyle="solid"/>
                  <w10:wrap type="none"/>
                </v:shape>
                <v:shape style="position:absolute;left:2641;top:3440;width:1101;height:339" type="#_x0000_t202" id="docshape93" filled="false" stroked="true" strokeweight=".75pt" strokecolor="#000000">
                  <v:textbox inset="0,0,0,0">
                    <w:txbxContent>
                      <w:p>
                        <w:pPr>
                          <w:spacing w:before="73"/>
                          <w:ind w:left="145" w:right="0" w:firstLine="0"/>
                          <w:jc w:val="left"/>
                          <w:rPr>
                            <w:rFonts w:ascii="Calibri"/>
                            <w:b/>
                            <w:sz w:val="20"/>
                          </w:rPr>
                        </w:pPr>
                        <w:r>
                          <w:rPr>
                            <w:rFonts w:ascii="Calibri"/>
                            <w:b/>
                            <w:spacing w:val="-2"/>
                            <w:sz w:val="20"/>
                          </w:rPr>
                          <w:t>Materials</w:t>
                        </w:r>
                      </w:p>
                    </w:txbxContent>
                  </v:textbox>
                  <v:stroke dashstyle="solid"/>
                  <w10:wrap type="none"/>
                </v:shape>
                <w10:wrap type="none"/>
              </v:group>
            </w:pict>
          </mc:Fallback>
        </mc:AlternateContent>
      </w:r>
      <w:r>
        <w:rPr/>
        <w:t>A basic cause and effect diagram is shown in Figure 2.4, illustrating how the technique should help to pinpoint (in this case) the cause of the effect, which is poor quality. According to Peter (2001) Dale believes that cause and effect diagrams are best suited to situations where there is one problem and the possible causes are hierarchical in nature. The benefits of cause and effect diagrams are their usefulness in ordering</w:t>
      </w:r>
      <w:r>
        <w:rPr>
          <w:spacing w:val="-1"/>
        </w:rPr>
        <w:t> </w:t>
      </w:r>
      <w:r>
        <w:rPr/>
        <w:t>possible causes under generic headings and for patterns or trends to be identified.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r>
        <w:rPr/>
        <mc:AlternateContent>
          <mc:Choice Requires="wps">
            <w:drawing>
              <wp:anchor distT="0" distB="0" distL="0" distR="0" allowOverlap="1" layoutInCell="1" locked="0" behindDoc="1" simplePos="0" relativeHeight="487595008">
                <wp:simplePos x="0" y="0"/>
                <wp:positionH relativeFrom="page">
                  <wp:posOffset>2111375</wp:posOffset>
                </wp:positionH>
                <wp:positionV relativeFrom="paragraph">
                  <wp:posOffset>284943</wp:posOffset>
                </wp:positionV>
                <wp:extent cx="1371600" cy="283845"/>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1371600" cy="283845"/>
                        </a:xfrm>
                        <a:prstGeom prst="rect">
                          <a:avLst/>
                        </a:prstGeom>
                        <a:ln w="9525">
                          <a:solidFill>
                            <a:srgbClr val="000000"/>
                          </a:solidFill>
                          <a:prstDash val="solid"/>
                        </a:ln>
                      </wps:spPr>
                      <wps:txbx>
                        <w:txbxContent>
                          <w:p>
                            <w:pPr>
                              <w:spacing w:before="74"/>
                              <w:ind w:left="145" w:right="0" w:firstLine="0"/>
                              <w:jc w:val="left"/>
                              <w:rPr>
                                <w:rFonts w:ascii="Calibri"/>
                                <w:b/>
                                <w:sz w:val="20"/>
                              </w:rPr>
                            </w:pPr>
                            <w:r>
                              <w:rPr>
                                <w:rFonts w:ascii="Calibri"/>
                                <w:b/>
                                <w:spacing w:val="-2"/>
                                <w:sz w:val="20"/>
                              </w:rPr>
                              <w:t>Equipment</w:t>
                            </w:r>
                          </w:p>
                        </w:txbxContent>
                      </wps:txbx>
                      <wps:bodyPr wrap="square" lIns="0" tIns="0" rIns="0" bIns="0" rtlCol="0">
                        <a:noAutofit/>
                      </wps:bodyPr>
                    </wps:wsp>
                  </a:graphicData>
                </a:graphic>
              </wp:anchor>
            </w:drawing>
          </mc:Choice>
          <mc:Fallback>
            <w:pict>
              <v:shape style="position:absolute;margin-left:166.25pt;margin-top:22.436523pt;width:108pt;height:22.35pt;mso-position-horizontal-relative:page;mso-position-vertical-relative:paragraph;z-index:-15721472;mso-wrap-distance-left:0;mso-wrap-distance-right:0" type="#_x0000_t202" id="docshape94" filled="false" stroked="true" strokeweight=".75pt" strokecolor="#000000">
                <v:textbox inset="0,0,0,0">
                  <w:txbxContent>
                    <w:p>
                      <w:pPr>
                        <w:spacing w:before="74"/>
                        <w:ind w:left="145" w:right="0" w:firstLine="0"/>
                        <w:jc w:val="left"/>
                        <w:rPr>
                          <w:rFonts w:ascii="Calibri"/>
                          <w:b/>
                          <w:sz w:val="20"/>
                        </w:rPr>
                      </w:pPr>
                      <w:r>
                        <w:rPr>
                          <w:rFonts w:ascii="Calibri"/>
                          <w:b/>
                          <w:spacing w:val="-2"/>
                          <w:sz w:val="20"/>
                        </w:rPr>
                        <w:t>Equipment</w:t>
                      </w:r>
                    </w:p>
                  </w:txbxContent>
                </v:textbox>
                <v:stroke dashstyle="solid"/>
                <w10:wrap type="topAndBottom"/>
              </v:shape>
            </w:pict>
          </mc:Fallback>
        </mc:AlternateContent>
      </w:r>
    </w:p>
    <w:p>
      <w:pPr>
        <w:pStyle w:val="Heading2"/>
        <w:tabs>
          <w:tab w:pos="1839" w:val="left" w:leader="none"/>
        </w:tabs>
        <w:spacing w:line="360" w:lineRule="auto" w:before="38"/>
        <w:ind w:left="399" w:right="5277"/>
        <w:jc w:val="left"/>
      </w:pPr>
      <w:r>
        <w:rPr/>
        <w:t>Figure 2.4:</w:t>
        <w:tab/>
        <w:t>Example</w:t>
      </w:r>
      <w:r>
        <w:rPr>
          <w:spacing w:val="-7"/>
        </w:rPr>
        <w:t> </w:t>
      </w:r>
      <w:r>
        <w:rPr/>
        <w:t>of</w:t>
      </w:r>
      <w:r>
        <w:rPr>
          <w:spacing w:val="-5"/>
        </w:rPr>
        <w:t> </w:t>
      </w:r>
      <w:r>
        <w:rPr/>
        <w:t>a</w:t>
      </w:r>
      <w:r>
        <w:rPr>
          <w:spacing w:val="-6"/>
        </w:rPr>
        <w:t> </w:t>
      </w:r>
      <w:r>
        <w:rPr/>
        <w:t>cause</w:t>
      </w:r>
      <w:r>
        <w:rPr>
          <w:spacing w:val="-7"/>
        </w:rPr>
        <w:t> </w:t>
      </w:r>
      <w:r>
        <w:rPr/>
        <w:t>and</w:t>
      </w:r>
      <w:r>
        <w:rPr>
          <w:spacing w:val="-6"/>
        </w:rPr>
        <w:t> </w:t>
      </w:r>
      <w:r>
        <w:rPr/>
        <w:t>effect</w:t>
      </w:r>
      <w:r>
        <w:rPr>
          <w:spacing w:val="-7"/>
        </w:rPr>
        <w:t> </w:t>
      </w:r>
      <w:r>
        <w:rPr/>
        <w:t>diagram Source: Peter (2001)</w:t>
      </w:r>
    </w:p>
    <w:p>
      <w:pPr>
        <w:pStyle w:val="BodyText"/>
        <w:spacing w:before="62"/>
        <w:rPr>
          <w:b/>
        </w:rPr>
      </w:pPr>
    </w:p>
    <w:p>
      <w:pPr>
        <w:pStyle w:val="Heading3"/>
        <w:numPr>
          <w:ilvl w:val="3"/>
          <w:numId w:val="4"/>
        </w:numPr>
        <w:tabs>
          <w:tab w:pos="1839" w:val="left" w:leader="none"/>
        </w:tabs>
        <w:spacing w:line="240" w:lineRule="auto" w:before="0" w:after="0"/>
        <w:ind w:left="1839" w:right="0" w:hanging="1439"/>
        <w:jc w:val="left"/>
        <w:rPr>
          <w:i w:val="0"/>
        </w:rPr>
      </w:pPr>
      <w:r>
        <w:rPr/>
        <w:t>Summary</w:t>
      </w:r>
      <w:r>
        <w:rPr>
          <w:spacing w:val="-2"/>
        </w:rPr>
        <w:t> </w:t>
      </w:r>
      <w:r>
        <w:rPr/>
        <w:t>of</w:t>
      </w:r>
      <w:r>
        <w:rPr>
          <w:spacing w:val="-1"/>
        </w:rPr>
        <w:t> </w:t>
      </w:r>
      <w:r>
        <w:rPr/>
        <w:t>the</w:t>
      </w:r>
      <w:r>
        <w:rPr>
          <w:spacing w:val="-1"/>
        </w:rPr>
        <w:t> </w:t>
      </w:r>
      <w:r>
        <w:rPr/>
        <w:t>ideas of</w:t>
      </w:r>
      <w:r>
        <w:rPr>
          <w:spacing w:val="-1"/>
        </w:rPr>
        <w:t> </w:t>
      </w:r>
      <w:r>
        <w:rPr/>
        <w:t>the</w:t>
      </w:r>
      <w:r>
        <w:rPr>
          <w:spacing w:val="-1"/>
        </w:rPr>
        <w:t> </w:t>
      </w:r>
      <w:r>
        <w:rPr>
          <w:spacing w:val="-2"/>
        </w:rPr>
        <w:t>gurus</w:t>
      </w:r>
    </w:p>
    <w:p>
      <w:pPr>
        <w:pStyle w:val="BodyText"/>
        <w:spacing w:before="192"/>
        <w:rPr>
          <w:b/>
          <w:i/>
        </w:rPr>
      </w:pPr>
    </w:p>
    <w:p>
      <w:pPr>
        <w:pStyle w:val="BodyText"/>
        <w:spacing w:line="480" w:lineRule="auto"/>
        <w:ind w:left="400" w:right="1316"/>
        <w:jc w:val="both"/>
      </w:pPr>
      <w:r>
        <w:rPr/>
        <w:t>The works of six quality gurus, namely, Walter, Deming, Juran, Crosby, Feigenbaum and Ishikawa show that each has his own definition of quality and approach regarding how a company</w:t>
      </w:r>
      <w:r>
        <w:rPr>
          <w:spacing w:val="16"/>
        </w:rPr>
        <w:t> </w:t>
      </w:r>
      <w:r>
        <w:rPr/>
        <w:t>is</w:t>
      </w:r>
      <w:r>
        <w:rPr>
          <w:spacing w:val="25"/>
        </w:rPr>
        <w:t> </w:t>
      </w:r>
      <w:r>
        <w:rPr/>
        <w:t>to</w:t>
      </w:r>
      <w:r>
        <w:rPr>
          <w:spacing w:val="25"/>
        </w:rPr>
        <w:t> </w:t>
      </w:r>
      <w:r>
        <w:rPr/>
        <w:t>achieve</w:t>
      </w:r>
      <w:r>
        <w:rPr>
          <w:spacing w:val="24"/>
        </w:rPr>
        <w:t> </w:t>
      </w:r>
      <w:r>
        <w:rPr/>
        <w:t>TQM.</w:t>
      </w:r>
      <w:r>
        <w:rPr>
          <w:spacing w:val="25"/>
        </w:rPr>
        <w:t> </w:t>
      </w:r>
      <w:r>
        <w:rPr/>
        <w:t>These</w:t>
      </w:r>
      <w:r>
        <w:rPr>
          <w:spacing w:val="24"/>
        </w:rPr>
        <w:t> </w:t>
      </w:r>
      <w:r>
        <w:rPr/>
        <w:t>are</w:t>
      </w:r>
      <w:r>
        <w:rPr>
          <w:spacing w:val="24"/>
        </w:rPr>
        <w:t> </w:t>
      </w:r>
      <w:r>
        <w:rPr/>
        <w:t>based</w:t>
      </w:r>
      <w:r>
        <w:rPr>
          <w:spacing w:val="25"/>
        </w:rPr>
        <w:t> </w:t>
      </w:r>
      <w:r>
        <w:rPr/>
        <w:t>on</w:t>
      </w:r>
      <w:r>
        <w:rPr>
          <w:spacing w:val="27"/>
        </w:rPr>
        <w:t> </w:t>
      </w:r>
      <w:r>
        <w:rPr/>
        <w:t>their</w:t>
      </w:r>
      <w:r>
        <w:rPr>
          <w:spacing w:val="24"/>
        </w:rPr>
        <w:t> </w:t>
      </w:r>
      <w:r>
        <w:rPr/>
        <w:t>professional</w:t>
      </w:r>
      <w:r>
        <w:rPr>
          <w:spacing w:val="25"/>
        </w:rPr>
        <w:t> </w:t>
      </w:r>
      <w:r>
        <w:rPr/>
        <w:t>backgrounds</w:t>
      </w:r>
      <w:r>
        <w:rPr>
          <w:spacing w:val="25"/>
        </w:rPr>
        <w:t> </w:t>
      </w:r>
      <w:r>
        <w:rPr/>
        <w:t>and</w:t>
      </w:r>
      <w:r>
        <w:rPr>
          <w:spacing w:val="25"/>
        </w:rPr>
        <w:t> </w:t>
      </w:r>
      <w:r>
        <w:rPr>
          <w:spacing w:val="-2"/>
        </w:rPr>
        <w:t>interests.</w:t>
      </w:r>
    </w:p>
    <w:p>
      <w:pPr>
        <w:spacing w:after="0" w:line="480" w:lineRule="auto"/>
        <w:jc w:val="both"/>
        <w:sectPr>
          <w:pgSz w:w="12240" w:h="15840"/>
          <w:pgMar w:header="0" w:footer="1017" w:top="1360" w:bottom="1200" w:left="1040" w:right="120"/>
        </w:sectPr>
      </w:pPr>
    </w:p>
    <w:p>
      <w:pPr>
        <w:pStyle w:val="BodyText"/>
        <w:spacing w:line="480" w:lineRule="auto" w:before="72"/>
        <w:ind w:left="399" w:right="1316"/>
        <w:jc w:val="both"/>
      </w:pPr>
      <w:r>
        <w:rPr/>
        <w:t>Although their personal perspectives and approaches read differently, they share a common emphasis. This emphasis is the continuous improvement of work processes, systems, and management to meet customer requirements (Tenner and Toro, 1992).</w:t>
      </w:r>
      <w:r>
        <w:rPr>
          <w:spacing w:val="40"/>
        </w:rPr>
        <w:t> </w:t>
      </w:r>
      <w:r>
        <w:rPr/>
        <w:t>Ghobadian and Speller (1994) identified these common emphases as:</w:t>
      </w:r>
    </w:p>
    <w:p>
      <w:pPr>
        <w:pStyle w:val="ListParagraph"/>
        <w:numPr>
          <w:ilvl w:val="0"/>
          <w:numId w:val="9"/>
        </w:numPr>
        <w:tabs>
          <w:tab w:pos="1118" w:val="left" w:leader="none"/>
        </w:tabs>
        <w:spacing w:line="240" w:lineRule="auto" w:before="199" w:after="0"/>
        <w:ind w:left="1118" w:right="0" w:hanging="486"/>
        <w:jc w:val="both"/>
        <w:rPr>
          <w:sz w:val="24"/>
        </w:rPr>
      </w:pPr>
      <w:r>
        <w:rPr>
          <w:sz w:val="24"/>
        </w:rPr>
        <w:t>The</w:t>
      </w:r>
      <w:r>
        <w:rPr>
          <w:spacing w:val="-4"/>
          <w:sz w:val="24"/>
        </w:rPr>
        <w:t> </w:t>
      </w:r>
      <w:r>
        <w:rPr>
          <w:sz w:val="24"/>
        </w:rPr>
        <w:t>importance</w:t>
      </w:r>
      <w:r>
        <w:rPr>
          <w:spacing w:val="-1"/>
          <w:sz w:val="24"/>
        </w:rPr>
        <w:t> </w:t>
      </w:r>
      <w:r>
        <w:rPr>
          <w:sz w:val="24"/>
        </w:rPr>
        <w:t>of</w:t>
      </w:r>
      <w:r>
        <w:rPr>
          <w:spacing w:val="-2"/>
          <w:sz w:val="24"/>
        </w:rPr>
        <w:t> </w:t>
      </w:r>
      <w:r>
        <w:rPr>
          <w:sz w:val="24"/>
        </w:rPr>
        <w:t>controlling</w:t>
      </w:r>
      <w:r>
        <w:rPr>
          <w:spacing w:val="-3"/>
          <w:sz w:val="24"/>
        </w:rPr>
        <w:t> </w:t>
      </w:r>
      <w:r>
        <w:rPr>
          <w:sz w:val="24"/>
        </w:rPr>
        <w:t>the</w:t>
      </w:r>
      <w:r>
        <w:rPr>
          <w:spacing w:val="-2"/>
          <w:sz w:val="24"/>
        </w:rPr>
        <w:t> </w:t>
      </w:r>
      <w:r>
        <w:rPr>
          <w:sz w:val="24"/>
        </w:rPr>
        <w:t>process and</w:t>
      </w:r>
      <w:r>
        <w:rPr>
          <w:spacing w:val="-1"/>
          <w:sz w:val="24"/>
        </w:rPr>
        <w:t> </w:t>
      </w:r>
      <w:r>
        <w:rPr>
          <w:sz w:val="24"/>
        </w:rPr>
        <w:t>not</w:t>
      </w:r>
      <w:r>
        <w:rPr>
          <w:spacing w:val="2"/>
          <w:sz w:val="24"/>
        </w:rPr>
        <w:t> </w:t>
      </w:r>
      <w:r>
        <w:rPr>
          <w:sz w:val="24"/>
        </w:rPr>
        <w:t>the</w:t>
      </w:r>
      <w:r>
        <w:rPr>
          <w:spacing w:val="-1"/>
          <w:sz w:val="24"/>
        </w:rPr>
        <w:t> </w:t>
      </w:r>
      <w:r>
        <w:rPr>
          <w:spacing w:val="-2"/>
          <w:sz w:val="24"/>
        </w:rPr>
        <w:t>products;</w:t>
      </w:r>
    </w:p>
    <w:p>
      <w:pPr>
        <w:pStyle w:val="BodyText"/>
      </w:pPr>
    </w:p>
    <w:p>
      <w:pPr>
        <w:pStyle w:val="ListParagraph"/>
        <w:numPr>
          <w:ilvl w:val="0"/>
          <w:numId w:val="9"/>
        </w:numPr>
        <w:tabs>
          <w:tab w:pos="1119" w:val="left" w:leader="none"/>
        </w:tabs>
        <w:spacing w:line="480" w:lineRule="auto" w:before="0" w:after="0"/>
        <w:ind w:left="1119" w:right="1320" w:hanging="555"/>
        <w:jc w:val="left"/>
        <w:rPr>
          <w:sz w:val="24"/>
        </w:rPr>
      </w:pPr>
      <w:r>
        <w:rPr>
          <w:sz w:val="24"/>
        </w:rPr>
        <w:t>The</w:t>
      </w:r>
      <w:r>
        <w:rPr>
          <w:spacing w:val="37"/>
          <w:sz w:val="24"/>
        </w:rPr>
        <w:t> </w:t>
      </w:r>
      <w:r>
        <w:rPr>
          <w:sz w:val="24"/>
        </w:rPr>
        <w:t>controlling</w:t>
      </w:r>
      <w:r>
        <w:rPr>
          <w:spacing w:val="36"/>
          <w:sz w:val="24"/>
        </w:rPr>
        <w:t> </w:t>
      </w:r>
      <w:r>
        <w:rPr>
          <w:sz w:val="24"/>
        </w:rPr>
        <w:t>of</w:t>
      </w:r>
      <w:r>
        <w:rPr>
          <w:spacing w:val="38"/>
          <w:sz w:val="24"/>
        </w:rPr>
        <w:t> </w:t>
      </w:r>
      <w:r>
        <w:rPr>
          <w:sz w:val="24"/>
        </w:rPr>
        <w:t>the</w:t>
      </w:r>
      <w:r>
        <w:rPr>
          <w:spacing w:val="37"/>
          <w:sz w:val="24"/>
        </w:rPr>
        <w:t> </w:t>
      </w:r>
      <w:r>
        <w:rPr>
          <w:sz w:val="24"/>
        </w:rPr>
        <w:t>human</w:t>
      </w:r>
      <w:r>
        <w:rPr>
          <w:spacing w:val="38"/>
          <w:sz w:val="24"/>
        </w:rPr>
        <w:t> </w:t>
      </w:r>
      <w:r>
        <w:rPr>
          <w:sz w:val="24"/>
        </w:rPr>
        <w:t>process</w:t>
      </w:r>
      <w:r>
        <w:rPr>
          <w:spacing w:val="39"/>
          <w:sz w:val="24"/>
        </w:rPr>
        <w:t> </w:t>
      </w:r>
      <w:r>
        <w:rPr>
          <w:sz w:val="24"/>
        </w:rPr>
        <w:t>is</w:t>
      </w:r>
      <w:r>
        <w:rPr>
          <w:spacing w:val="39"/>
          <w:sz w:val="24"/>
        </w:rPr>
        <w:t> </w:t>
      </w:r>
      <w:r>
        <w:rPr>
          <w:sz w:val="24"/>
        </w:rPr>
        <w:t>as</w:t>
      </w:r>
      <w:r>
        <w:rPr>
          <w:spacing w:val="39"/>
          <w:sz w:val="24"/>
        </w:rPr>
        <w:t> </w:t>
      </w:r>
      <w:r>
        <w:rPr>
          <w:sz w:val="24"/>
        </w:rPr>
        <w:t>vital,</w:t>
      </w:r>
      <w:r>
        <w:rPr>
          <w:spacing w:val="38"/>
          <w:sz w:val="24"/>
        </w:rPr>
        <w:t> </w:t>
      </w:r>
      <w:r>
        <w:rPr>
          <w:sz w:val="24"/>
        </w:rPr>
        <w:t>if</w:t>
      </w:r>
      <w:r>
        <w:rPr>
          <w:spacing w:val="38"/>
          <w:sz w:val="24"/>
        </w:rPr>
        <w:t> </w:t>
      </w:r>
      <w:r>
        <w:rPr>
          <w:sz w:val="24"/>
        </w:rPr>
        <w:t>not</w:t>
      </w:r>
      <w:r>
        <w:rPr>
          <w:spacing w:val="39"/>
          <w:sz w:val="24"/>
        </w:rPr>
        <w:t> </w:t>
      </w:r>
      <w:r>
        <w:rPr>
          <w:sz w:val="24"/>
        </w:rPr>
        <w:t>more</w:t>
      </w:r>
      <w:r>
        <w:rPr>
          <w:spacing w:val="37"/>
          <w:sz w:val="24"/>
        </w:rPr>
        <w:t> </w:t>
      </w:r>
      <w:r>
        <w:rPr>
          <w:sz w:val="24"/>
        </w:rPr>
        <w:t>so,</w:t>
      </w:r>
      <w:r>
        <w:rPr>
          <w:spacing w:val="40"/>
          <w:sz w:val="24"/>
        </w:rPr>
        <w:t> </w:t>
      </w:r>
      <w:r>
        <w:rPr>
          <w:sz w:val="24"/>
        </w:rPr>
        <w:t>than</w:t>
      </w:r>
      <w:r>
        <w:rPr>
          <w:spacing w:val="38"/>
          <w:sz w:val="24"/>
        </w:rPr>
        <w:t> </w:t>
      </w:r>
      <w:r>
        <w:rPr>
          <w:sz w:val="24"/>
        </w:rPr>
        <w:t>controlling</w:t>
      </w:r>
      <w:r>
        <w:rPr>
          <w:spacing w:val="36"/>
          <w:sz w:val="24"/>
        </w:rPr>
        <w:t> </w:t>
      </w:r>
      <w:r>
        <w:rPr>
          <w:sz w:val="24"/>
        </w:rPr>
        <w:t>the technical process;</w:t>
      </w:r>
    </w:p>
    <w:p>
      <w:pPr>
        <w:pStyle w:val="ListParagraph"/>
        <w:numPr>
          <w:ilvl w:val="0"/>
          <w:numId w:val="9"/>
        </w:numPr>
        <w:tabs>
          <w:tab w:pos="1117" w:val="left" w:leader="none"/>
        </w:tabs>
        <w:spacing w:line="240" w:lineRule="auto" w:before="0" w:after="0"/>
        <w:ind w:left="1117" w:right="0" w:hanging="617"/>
        <w:jc w:val="both"/>
        <w:rPr>
          <w:sz w:val="24"/>
        </w:rPr>
      </w:pPr>
      <w:r>
        <w:rPr>
          <w:sz w:val="24"/>
        </w:rPr>
        <w:t>Quality</w:t>
      </w:r>
      <w:r>
        <w:rPr>
          <w:spacing w:val="-5"/>
          <w:sz w:val="24"/>
        </w:rPr>
        <w:t> </w:t>
      </w:r>
      <w:r>
        <w:rPr>
          <w:sz w:val="24"/>
        </w:rPr>
        <w:t>is the responsibility</w:t>
      </w:r>
      <w:r>
        <w:rPr>
          <w:spacing w:val="-5"/>
          <w:sz w:val="24"/>
        </w:rPr>
        <w:t> </w:t>
      </w:r>
      <w:r>
        <w:rPr>
          <w:sz w:val="24"/>
        </w:rPr>
        <w:t>of</w:t>
      </w:r>
      <w:r>
        <w:rPr>
          <w:spacing w:val="-1"/>
          <w:sz w:val="24"/>
        </w:rPr>
        <w:t> </w:t>
      </w:r>
      <w:r>
        <w:rPr>
          <w:sz w:val="24"/>
        </w:rPr>
        <w:t>top</w:t>
      </w:r>
      <w:r>
        <w:rPr>
          <w:spacing w:val="1"/>
          <w:sz w:val="24"/>
        </w:rPr>
        <w:t> </w:t>
      </w:r>
      <w:r>
        <w:rPr>
          <w:spacing w:val="-2"/>
          <w:sz w:val="24"/>
        </w:rPr>
        <w:t>management;</w:t>
      </w:r>
    </w:p>
    <w:p>
      <w:pPr>
        <w:pStyle w:val="BodyText"/>
      </w:pPr>
    </w:p>
    <w:p>
      <w:pPr>
        <w:pStyle w:val="ListParagraph"/>
        <w:numPr>
          <w:ilvl w:val="0"/>
          <w:numId w:val="9"/>
        </w:numPr>
        <w:tabs>
          <w:tab w:pos="1119" w:val="left" w:leader="none"/>
        </w:tabs>
        <w:spacing w:line="240" w:lineRule="auto" w:before="0" w:after="0"/>
        <w:ind w:left="1119" w:right="0" w:hanging="607"/>
        <w:jc w:val="left"/>
        <w:rPr>
          <w:sz w:val="24"/>
        </w:rPr>
      </w:pPr>
      <w:r>
        <w:rPr>
          <w:sz w:val="24"/>
        </w:rPr>
        <w:t>Management</w:t>
      </w:r>
      <w:r>
        <w:rPr>
          <w:spacing w:val="-1"/>
          <w:sz w:val="24"/>
        </w:rPr>
        <w:t> </w:t>
      </w:r>
      <w:r>
        <w:rPr>
          <w:sz w:val="24"/>
        </w:rPr>
        <w:t>must</w:t>
      </w:r>
      <w:r>
        <w:rPr>
          <w:spacing w:val="-1"/>
          <w:sz w:val="24"/>
        </w:rPr>
        <w:t> </w:t>
      </w:r>
      <w:r>
        <w:rPr>
          <w:sz w:val="24"/>
        </w:rPr>
        <w:t>foster the</w:t>
      </w:r>
      <w:r>
        <w:rPr>
          <w:spacing w:val="-1"/>
          <w:sz w:val="24"/>
        </w:rPr>
        <w:t> </w:t>
      </w:r>
      <w:r>
        <w:rPr>
          <w:sz w:val="24"/>
        </w:rPr>
        <w:t>participation</w:t>
      </w:r>
      <w:r>
        <w:rPr>
          <w:spacing w:val="-1"/>
          <w:sz w:val="24"/>
        </w:rPr>
        <w:t> </w:t>
      </w:r>
      <w:r>
        <w:rPr>
          <w:sz w:val="24"/>
        </w:rPr>
        <w:t>of</w:t>
      </w:r>
      <w:r>
        <w:rPr>
          <w:spacing w:val="-2"/>
          <w:sz w:val="24"/>
        </w:rPr>
        <w:t> </w:t>
      </w:r>
      <w:r>
        <w:rPr>
          <w:sz w:val="24"/>
        </w:rPr>
        <w:t>the</w:t>
      </w:r>
      <w:r>
        <w:rPr>
          <w:spacing w:val="-1"/>
          <w:sz w:val="24"/>
        </w:rPr>
        <w:t> </w:t>
      </w:r>
      <w:r>
        <w:rPr>
          <w:sz w:val="24"/>
        </w:rPr>
        <w:t>workforce</w:t>
      </w:r>
      <w:r>
        <w:rPr>
          <w:spacing w:val="-2"/>
          <w:sz w:val="24"/>
        </w:rPr>
        <w:t> </w:t>
      </w:r>
      <w:r>
        <w:rPr>
          <w:sz w:val="24"/>
        </w:rPr>
        <w:t>to</w:t>
      </w:r>
      <w:r>
        <w:rPr>
          <w:spacing w:val="-1"/>
          <w:sz w:val="24"/>
        </w:rPr>
        <w:t> </w:t>
      </w:r>
      <w:r>
        <w:rPr>
          <w:sz w:val="24"/>
        </w:rPr>
        <w:t>develop a</w:t>
      </w:r>
      <w:r>
        <w:rPr>
          <w:spacing w:val="-2"/>
          <w:sz w:val="24"/>
        </w:rPr>
        <w:t> </w:t>
      </w:r>
      <w:r>
        <w:rPr>
          <w:sz w:val="24"/>
        </w:rPr>
        <w:t>quality</w:t>
      </w:r>
      <w:r>
        <w:rPr>
          <w:spacing w:val="-5"/>
          <w:sz w:val="24"/>
        </w:rPr>
        <w:t> </w:t>
      </w:r>
      <w:r>
        <w:rPr>
          <w:spacing w:val="-2"/>
          <w:sz w:val="24"/>
        </w:rPr>
        <w:t>culture;</w:t>
      </w:r>
    </w:p>
    <w:p>
      <w:pPr>
        <w:pStyle w:val="BodyText"/>
      </w:pPr>
    </w:p>
    <w:p>
      <w:pPr>
        <w:pStyle w:val="ListParagraph"/>
        <w:numPr>
          <w:ilvl w:val="0"/>
          <w:numId w:val="9"/>
        </w:numPr>
        <w:tabs>
          <w:tab w:pos="1119" w:val="left" w:leader="none"/>
        </w:tabs>
        <w:spacing w:line="480" w:lineRule="auto" w:before="0" w:after="0"/>
        <w:ind w:left="1119" w:right="1318" w:hanging="540"/>
        <w:jc w:val="left"/>
        <w:rPr>
          <w:sz w:val="24"/>
        </w:rPr>
      </w:pPr>
      <w:r>
        <w:rPr>
          <w:sz w:val="24"/>
        </w:rPr>
        <w:t>The</w:t>
      </w:r>
      <w:r>
        <w:rPr>
          <w:spacing w:val="80"/>
          <w:sz w:val="24"/>
        </w:rPr>
        <w:t> </w:t>
      </w:r>
      <w:r>
        <w:rPr>
          <w:sz w:val="24"/>
        </w:rPr>
        <w:t>importance</w:t>
      </w:r>
      <w:r>
        <w:rPr>
          <w:spacing w:val="80"/>
          <w:sz w:val="24"/>
        </w:rPr>
        <w:t> </w:t>
      </w:r>
      <w:r>
        <w:rPr>
          <w:sz w:val="24"/>
        </w:rPr>
        <w:t>of</w:t>
      </w:r>
      <w:r>
        <w:rPr>
          <w:spacing w:val="80"/>
          <w:sz w:val="24"/>
        </w:rPr>
        <w:t> </w:t>
      </w:r>
      <w:r>
        <w:rPr>
          <w:sz w:val="24"/>
        </w:rPr>
        <w:t>education</w:t>
      </w:r>
      <w:r>
        <w:rPr>
          <w:spacing w:val="80"/>
          <w:sz w:val="24"/>
        </w:rPr>
        <w:t> </w:t>
      </w:r>
      <w:r>
        <w:rPr>
          <w:sz w:val="24"/>
        </w:rPr>
        <w:t>and</w:t>
      </w:r>
      <w:r>
        <w:rPr>
          <w:spacing w:val="80"/>
          <w:sz w:val="24"/>
        </w:rPr>
        <w:t> </w:t>
      </w:r>
      <w:r>
        <w:rPr>
          <w:sz w:val="24"/>
        </w:rPr>
        <w:t>training</w:t>
      </w:r>
      <w:r>
        <w:rPr>
          <w:spacing w:val="80"/>
          <w:sz w:val="24"/>
        </w:rPr>
        <w:t> </w:t>
      </w:r>
      <w:r>
        <w:rPr>
          <w:sz w:val="24"/>
        </w:rPr>
        <w:t>for</w:t>
      </w:r>
      <w:r>
        <w:rPr>
          <w:spacing w:val="80"/>
          <w:sz w:val="24"/>
        </w:rPr>
        <w:t> </w:t>
      </w:r>
      <w:r>
        <w:rPr>
          <w:sz w:val="24"/>
        </w:rPr>
        <w:t>changing</w:t>
      </w:r>
      <w:r>
        <w:rPr>
          <w:spacing w:val="80"/>
          <w:sz w:val="24"/>
        </w:rPr>
        <w:t> </w:t>
      </w:r>
      <w:r>
        <w:rPr>
          <w:sz w:val="24"/>
        </w:rPr>
        <w:t>attitudes</w:t>
      </w:r>
      <w:r>
        <w:rPr>
          <w:spacing w:val="80"/>
          <w:sz w:val="24"/>
        </w:rPr>
        <w:t> </w:t>
      </w:r>
      <w:r>
        <w:rPr>
          <w:sz w:val="24"/>
        </w:rPr>
        <w:t>and</w:t>
      </w:r>
      <w:r>
        <w:rPr>
          <w:spacing w:val="80"/>
          <w:sz w:val="24"/>
        </w:rPr>
        <w:t> </w:t>
      </w:r>
      <w:r>
        <w:rPr>
          <w:sz w:val="24"/>
        </w:rPr>
        <w:t>enhancing</w:t>
      </w:r>
      <w:r>
        <w:rPr>
          <w:spacing w:val="40"/>
          <w:sz w:val="24"/>
        </w:rPr>
        <w:t> </w:t>
      </w:r>
      <w:r>
        <w:rPr>
          <w:spacing w:val="-2"/>
          <w:sz w:val="24"/>
        </w:rPr>
        <w:t>competence;</w:t>
      </w:r>
    </w:p>
    <w:p>
      <w:pPr>
        <w:pStyle w:val="ListParagraph"/>
        <w:numPr>
          <w:ilvl w:val="0"/>
          <w:numId w:val="9"/>
        </w:numPr>
        <w:tabs>
          <w:tab w:pos="1119" w:val="left" w:leader="none"/>
        </w:tabs>
        <w:spacing w:line="240" w:lineRule="auto" w:before="0" w:after="0"/>
        <w:ind w:left="1119" w:right="0" w:hanging="607"/>
        <w:jc w:val="left"/>
        <w:rPr>
          <w:sz w:val="24"/>
        </w:rPr>
      </w:pPr>
      <w:r>
        <w:rPr>
          <w:sz w:val="24"/>
        </w:rPr>
        <w:t>The</w:t>
      </w:r>
      <w:r>
        <w:rPr>
          <w:spacing w:val="-4"/>
          <w:sz w:val="24"/>
        </w:rPr>
        <w:t> </w:t>
      </w:r>
      <w:r>
        <w:rPr>
          <w:sz w:val="24"/>
        </w:rPr>
        <w:t>need for</w:t>
      </w:r>
      <w:r>
        <w:rPr>
          <w:spacing w:val="-1"/>
          <w:sz w:val="24"/>
        </w:rPr>
        <w:t> </w:t>
      </w:r>
      <w:r>
        <w:rPr>
          <w:sz w:val="24"/>
        </w:rPr>
        <w:t>an emphasis</w:t>
      </w:r>
      <w:r>
        <w:rPr>
          <w:spacing w:val="-1"/>
          <w:sz w:val="24"/>
        </w:rPr>
        <w:t> </w:t>
      </w:r>
      <w:r>
        <w:rPr>
          <w:sz w:val="24"/>
        </w:rPr>
        <w:t>on</w:t>
      </w:r>
      <w:r>
        <w:rPr>
          <w:spacing w:val="-1"/>
          <w:sz w:val="24"/>
        </w:rPr>
        <w:t> </w:t>
      </w:r>
      <w:r>
        <w:rPr>
          <w:sz w:val="24"/>
        </w:rPr>
        <w:t>prevention</w:t>
      </w:r>
      <w:r>
        <w:rPr>
          <w:spacing w:val="-1"/>
          <w:sz w:val="24"/>
        </w:rPr>
        <w:t> </w:t>
      </w:r>
      <w:r>
        <w:rPr>
          <w:sz w:val="24"/>
        </w:rPr>
        <w:t>of</w:t>
      </w:r>
      <w:r>
        <w:rPr>
          <w:spacing w:val="-1"/>
          <w:sz w:val="24"/>
        </w:rPr>
        <w:t> </w:t>
      </w:r>
      <w:r>
        <w:rPr>
          <w:sz w:val="24"/>
        </w:rPr>
        <w:t>defects,</w:t>
      </w:r>
      <w:r>
        <w:rPr>
          <w:spacing w:val="-1"/>
          <w:sz w:val="24"/>
        </w:rPr>
        <w:t> </w:t>
      </w:r>
      <w:r>
        <w:rPr>
          <w:sz w:val="24"/>
        </w:rPr>
        <w:t>not</w:t>
      </w:r>
      <w:r>
        <w:rPr>
          <w:spacing w:val="-1"/>
          <w:sz w:val="24"/>
        </w:rPr>
        <w:t> </w:t>
      </w:r>
      <w:r>
        <w:rPr>
          <w:sz w:val="24"/>
        </w:rPr>
        <w:t>inspection</w:t>
      </w:r>
      <w:r>
        <w:rPr>
          <w:spacing w:val="-1"/>
          <w:sz w:val="24"/>
        </w:rPr>
        <w:t> </w:t>
      </w:r>
      <w:r>
        <w:rPr>
          <w:sz w:val="24"/>
        </w:rPr>
        <w:t>after</w:t>
      </w:r>
      <w:r>
        <w:rPr>
          <w:spacing w:val="-2"/>
          <w:sz w:val="24"/>
        </w:rPr>
        <w:t> </w:t>
      </w:r>
      <w:r>
        <w:rPr>
          <w:sz w:val="24"/>
        </w:rPr>
        <w:t>the </w:t>
      </w:r>
      <w:r>
        <w:rPr>
          <w:spacing w:val="-2"/>
          <w:sz w:val="24"/>
        </w:rPr>
        <w:t>event;</w:t>
      </w:r>
    </w:p>
    <w:p>
      <w:pPr>
        <w:pStyle w:val="BodyText"/>
      </w:pPr>
    </w:p>
    <w:p>
      <w:pPr>
        <w:pStyle w:val="ListParagraph"/>
        <w:numPr>
          <w:ilvl w:val="0"/>
          <w:numId w:val="9"/>
        </w:numPr>
        <w:tabs>
          <w:tab w:pos="1119" w:val="left" w:leader="none"/>
        </w:tabs>
        <w:spacing w:line="240" w:lineRule="auto" w:before="0" w:after="0"/>
        <w:ind w:left="1119" w:right="0" w:hanging="674"/>
        <w:jc w:val="left"/>
        <w:rPr>
          <w:sz w:val="24"/>
        </w:rPr>
      </w:pPr>
      <w:r>
        <w:rPr>
          <w:sz w:val="24"/>
        </w:rPr>
        <w:t>Quality</w:t>
      </w:r>
      <w:r>
        <w:rPr>
          <w:spacing w:val="-8"/>
          <w:sz w:val="24"/>
        </w:rPr>
        <w:t> </w:t>
      </w:r>
      <w:r>
        <w:rPr>
          <w:sz w:val="24"/>
        </w:rPr>
        <w:t>improvement</w:t>
      </w:r>
      <w:r>
        <w:rPr>
          <w:spacing w:val="-1"/>
          <w:sz w:val="24"/>
        </w:rPr>
        <w:t> </w:t>
      </w:r>
      <w:r>
        <w:rPr>
          <w:sz w:val="24"/>
        </w:rPr>
        <w:t>is</w:t>
      </w:r>
      <w:r>
        <w:rPr>
          <w:spacing w:val="-1"/>
          <w:sz w:val="24"/>
        </w:rPr>
        <w:t> </w:t>
      </w:r>
      <w:r>
        <w:rPr>
          <w:sz w:val="24"/>
        </w:rPr>
        <w:t>a process built</w:t>
      </w:r>
      <w:r>
        <w:rPr>
          <w:spacing w:val="-1"/>
          <w:sz w:val="24"/>
        </w:rPr>
        <w:t> </w:t>
      </w:r>
      <w:r>
        <w:rPr>
          <w:sz w:val="24"/>
        </w:rPr>
        <w:t>up</w:t>
      </w:r>
      <w:r>
        <w:rPr>
          <w:spacing w:val="-1"/>
          <w:sz w:val="24"/>
        </w:rPr>
        <w:t> </w:t>
      </w:r>
      <w:r>
        <w:rPr>
          <w:sz w:val="24"/>
        </w:rPr>
        <w:t>over</w:t>
      </w:r>
      <w:r>
        <w:rPr>
          <w:spacing w:val="-2"/>
          <w:sz w:val="24"/>
        </w:rPr>
        <w:t> </w:t>
      </w:r>
      <w:r>
        <w:rPr>
          <w:sz w:val="24"/>
        </w:rPr>
        <w:t>time</w:t>
      </w:r>
      <w:r>
        <w:rPr>
          <w:spacing w:val="-1"/>
          <w:sz w:val="24"/>
        </w:rPr>
        <w:t> </w:t>
      </w:r>
      <w:r>
        <w:rPr>
          <w:sz w:val="24"/>
        </w:rPr>
        <w:t>and</w:t>
      </w:r>
      <w:r>
        <w:rPr>
          <w:spacing w:val="-1"/>
          <w:sz w:val="24"/>
        </w:rPr>
        <w:t> </w:t>
      </w:r>
      <w:r>
        <w:rPr>
          <w:sz w:val="24"/>
        </w:rPr>
        <w:t>not</w:t>
      </w:r>
      <w:r>
        <w:rPr>
          <w:spacing w:val="-1"/>
          <w:sz w:val="24"/>
        </w:rPr>
        <w:t> </w:t>
      </w:r>
      <w:r>
        <w:rPr>
          <w:sz w:val="24"/>
        </w:rPr>
        <w:t>an</w:t>
      </w:r>
      <w:r>
        <w:rPr>
          <w:spacing w:val="-1"/>
          <w:sz w:val="24"/>
        </w:rPr>
        <w:t> </w:t>
      </w:r>
      <w:r>
        <w:rPr>
          <w:sz w:val="24"/>
        </w:rPr>
        <w:t>instant </w:t>
      </w:r>
      <w:r>
        <w:rPr>
          <w:spacing w:val="-2"/>
          <w:sz w:val="24"/>
        </w:rPr>
        <w:t>cure;</w:t>
      </w:r>
    </w:p>
    <w:p>
      <w:pPr>
        <w:pStyle w:val="BodyText"/>
      </w:pPr>
    </w:p>
    <w:p>
      <w:pPr>
        <w:pStyle w:val="ListParagraph"/>
        <w:numPr>
          <w:ilvl w:val="0"/>
          <w:numId w:val="9"/>
        </w:numPr>
        <w:tabs>
          <w:tab w:pos="1119" w:val="left" w:leader="none"/>
        </w:tabs>
        <w:spacing w:line="240" w:lineRule="auto" w:before="0" w:after="0"/>
        <w:ind w:left="1119" w:right="0" w:hanging="739"/>
        <w:jc w:val="left"/>
        <w:rPr>
          <w:sz w:val="24"/>
        </w:rPr>
      </w:pPr>
      <w:r>
        <w:rPr>
          <w:sz w:val="24"/>
        </w:rPr>
        <w:t>Functional</w:t>
      </w:r>
      <w:r>
        <w:rPr>
          <w:spacing w:val="-4"/>
          <w:sz w:val="24"/>
        </w:rPr>
        <w:t> </w:t>
      </w:r>
      <w:r>
        <w:rPr>
          <w:sz w:val="24"/>
        </w:rPr>
        <w:t>integration</w:t>
      </w:r>
      <w:r>
        <w:rPr>
          <w:spacing w:val="-2"/>
          <w:sz w:val="24"/>
        </w:rPr>
        <w:t> </w:t>
      </w:r>
      <w:r>
        <w:rPr>
          <w:sz w:val="24"/>
        </w:rPr>
        <w:t>is an</w:t>
      </w:r>
      <w:r>
        <w:rPr>
          <w:spacing w:val="-1"/>
          <w:sz w:val="24"/>
        </w:rPr>
        <w:t> </w:t>
      </w:r>
      <w:r>
        <w:rPr>
          <w:sz w:val="24"/>
        </w:rPr>
        <w:t>important</w:t>
      </w:r>
      <w:r>
        <w:rPr>
          <w:spacing w:val="-2"/>
          <w:sz w:val="24"/>
        </w:rPr>
        <w:t> </w:t>
      </w:r>
      <w:r>
        <w:rPr>
          <w:sz w:val="24"/>
        </w:rPr>
        <w:t>ingredient</w:t>
      </w:r>
      <w:r>
        <w:rPr>
          <w:spacing w:val="-2"/>
          <w:sz w:val="24"/>
        </w:rPr>
        <w:t> </w:t>
      </w:r>
      <w:r>
        <w:rPr>
          <w:sz w:val="24"/>
        </w:rPr>
        <w:t>of</w:t>
      </w:r>
      <w:r>
        <w:rPr>
          <w:spacing w:val="-2"/>
          <w:sz w:val="24"/>
        </w:rPr>
        <w:t> </w:t>
      </w:r>
      <w:r>
        <w:rPr>
          <w:sz w:val="24"/>
        </w:rPr>
        <w:t>TQM;</w:t>
      </w:r>
      <w:r>
        <w:rPr>
          <w:spacing w:val="57"/>
          <w:sz w:val="24"/>
        </w:rPr>
        <w:t> </w:t>
      </w:r>
      <w:r>
        <w:rPr>
          <w:spacing w:val="-4"/>
          <w:sz w:val="24"/>
        </w:rPr>
        <w:t>and,</w:t>
      </w:r>
    </w:p>
    <w:p>
      <w:pPr>
        <w:pStyle w:val="BodyText"/>
        <w:spacing w:before="3"/>
      </w:pPr>
    </w:p>
    <w:p>
      <w:pPr>
        <w:pStyle w:val="ListParagraph"/>
        <w:numPr>
          <w:ilvl w:val="0"/>
          <w:numId w:val="9"/>
        </w:numPr>
        <w:tabs>
          <w:tab w:pos="1119" w:val="left" w:leader="none"/>
        </w:tabs>
        <w:spacing w:line="240" w:lineRule="auto" w:before="0" w:after="0"/>
        <w:ind w:left="1119" w:right="0" w:hanging="607"/>
        <w:jc w:val="left"/>
        <w:rPr>
          <w:sz w:val="24"/>
        </w:rPr>
      </w:pPr>
      <w:r>
        <w:rPr>
          <w:sz w:val="24"/>
        </w:rPr>
        <w:t>Quality</w:t>
      </w:r>
      <w:r>
        <w:rPr>
          <w:spacing w:val="-6"/>
          <w:sz w:val="24"/>
        </w:rPr>
        <w:t> </w:t>
      </w:r>
      <w:r>
        <w:rPr>
          <w:sz w:val="24"/>
        </w:rPr>
        <w:t>is a</w:t>
      </w:r>
      <w:r>
        <w:rPr>
          <w:spacing w:val="-1"/>
          <w:sz w:val="24"/>
        </w:rPr>
        <w:t> </w:t>
      </w:r>
      <w:r>
        <w:rPr>
          <w:sz w:val="24"/>
        </w:rPr>
        <w:t>company-wide</w:t>
      </w:r>
      <w:r>
        <w:rPr>
          <w:spacing w:val="-1"/>
          <w:sz w:val="24"/>
        </w:rPr>
        <w:t> </w:t>
      </w:r>
      <w:r>
        <w:rPr>
          <w:spacing w:val="-2"/>
          <w:sz w:val="24"/>
        </w:rPr>
        <w:t>activity.</w:t>
      </w:r>
    </w:p>
    <w:p>
      <w:pPr>
        <w:pStyle w:val="BodyText"/>
        <w:spacing w:before="197"/>
      </w:pPr>
    </w:p>
    <w:p>
      <w:pPr>
        <w:pStyle w:val="BodyText"/>
        <w:spacing w:line="480" w:lineRule="auto"/>
        <w:ind w:left="400" w:right="1317"/>
        <w:jc w:val="both"/>
      </w:pPr>
      <w:r>
        <w:rPr/>
        <w:t>The term “quality” for Deming means "Continuous improvement" and the target is Zero defect. Juran argues that for quality to improve, short term "sporadic" or long term "chronic" problems must be resolved, and the cost of quality includes both conformance and non-conformance. Crosby, on the other hand, believes that the cost of quality includes only the non-conformance costs, and conformance costs of prevention and appraisal are not really the cost of quality, but more the cost of doing business. Table (2.1) shows a comparison of the experts:</w:t>
      </w:r>
    </w:p>
    <w:p>
      <w:pPr>
        <w:spacing w:after="0" w:line="480" w:lineRule="auto"/>
        <w:jc w:val="both"/>
        <w:sectPr>
          <w:pgSz w:w="12240" w:h="15840"/>
          <w:pgMar w:header="0" w:footer="1017" w:top="1360" w:bottom="1200" w:left="1040" w:right="120"/>
        </w:sectPr>
      </w:pPr>
    </w:p>
    <w:p>
      <w:pPr>
        <w:pStyle w:val="Heading2"/>
        <w:spacing w:before="79"/>
        <w:jc w:val="left"/>
      </w:pPr>
      <w:r>
        <w:rPr/>
        <w:t>Table</w:t>
      </w:r>
      <w:r>
        <w:rPr>
          <w:spacing w:val="-5"/>
        </w:rPr>
        <w:t> </w:t>
      </w:r>
      <w:r>
        <w:rPr/>
        <w:t>2.1:</w:t>
      </w:r>
      <w:r>
        <w:rPr>
          <w:spacing w:val="-2"/>
        </w:rPr>
        <w:t> </w:t>
      </w:r>
      <w:r>
        <w:rPr/>
        <w:t>Comparison</w:t>
      </w:r>
      <w:r>
        <w:rPr>
          <w:spacing w:val="1"/>
        </w:rPr>
        <w:t> </w:t>
      </w:r>
      <w:r>
        <w:rPr/>
        <w:t>of the</w:t>
      </w:r>
      <w:r>
        <w:rPr>
          <w:spacing w:val="-2"/>
        </w:rPr>
        <w:t> Experts</w:t>
      </w:r>
    </w:p>
    <w:p>
      <w:pPr>
        <w:pStyle w:val="BodyText"/>
        <w:spacing w:before="113" w:after="1"/>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904"/>
        <w:gridCol w:w="2528"/>
        <w:gridCol w:w="2388"/>
        <w:gridCol w:w="1464"/>
        <w:gridCol w:w="778"/>
      </w:tblGrid>
      <w:tr>
        <w:trPr>
          <w:trHeight w:val="312" w:hRule="atLeast"/>
        </w:trPr>
        <w:tc>
          <w:tcPr>
            <w:tcW w:w="2073" w:type="dxa"/>
            <w:gridSpan w:val="2"/>
          </w:tcPr>
          <w:p>
            <w:pPr>
              <w:pStyle w:val="TableParagraph"/>
              <w:rPr>
                <w:sz w:val="22"/>
              </w:rPr>
            </w:pPr>
          </w:p>
        </w:tc>
        <w:tc>
          <w:tcPr>
            <w:tcW w:w="2528" w:type="dxa"/>
          </w:tcPr>
          <w:p>
            <w:pPr>
              <w:pStyle w:val="TableParagraph"/>
              <w:spacing w:line="266" w:lineRule="exact"/>
              <w:ind w:left="108"/>
              <w:rPr>
                <w:sz w:val="24"/>
              </w:rPr>
            </w:pPr>
            <w:r>
              <w:rPr>
                <w:spacing w:val="-2"/>
                <w:sz w:val="24"/>
              </w:rPr>
              <w:t>Deming</w:t>
            </w:r>
          </w:p>
        </w:tc>
        <w:tc>
          <w:tcPr>
            <w:tcW w:w="2388" w:type="dxa"/>
          </w:tcPr>
          <w:p>
            <w:pPr>
              <w:pStyle w:val="TableParagraph"/>
              <w:spacing w:line="266" w:lineRule="exact"/>
              <w:ind w:left="107"/>
              <w:rPr>
                <w:sz w:val="24"/>
              </w:rPr>
            </w:pPr>
            <w:r>
              <w:rPr>
                <w:spacing w:val="-2"/>
                <w:sz w:val="24"/>
              </w:rPr>
              <w:t>Juran</w:t>
            </w:r>
          </w:p>
        </w:tc>
        <w:tc>
          <w:tcPr>
            <w:tcW w:w="2242" w:type="dxa"/>
            <w:gridSpan w:val="2"/>
          </w:tcPr>
          <w:p>
            <w:pPr>
              <w:pStyle w:val="TableParagraph"/>
              <w:spacing w:line="266" w:lineRule="exact"/>
              <w:ind w:left="105"/>
              <w:rPr>
                <w:sz w:val="24"/>
              </w:rPr>
            </w:pPr>
            <w:r>
              <w:rPr>
                <w:spacing w:val="-2"/>
                <w:sz w:val="24"/>
              </w:rPr>
              <w:t>Crosby</w:t>
            </w:r>
          </w:p>
        </w:tc>
      </w:tr>
      <w:tr>
        <w:trPr>
          <w:trHeight w:val="635" w:hRule="atLeast"/>
        </w:trPr>
        <w:tc>
          <w:tcPr>
            <w:tcW w:w="1169" w:type="dxa"/>
            <w:shd w:val="clear" w:color="auto" w:fill="EEECE1"/>
          </w:tcPr>
          <w:p>
            <w:pPr>
              <w:pStyle w:val="TableParagraph"/>
              <w:spacing w:line="270" w:lineRule="exact"/>
              <w:ind w:left="108"/>
              <w:rPr>
                <w:sz w:val="24"/>
              </w:rPr>
            </w:pPr>
            <w:r>
              <w:rPr>
                <w:spacing w:val="-2"/>
                <w:sz w:val="24"/>
              </w:rPr>
              <w:t>Definition</w:t>
            </w:r>
          </w:p>
          <w:p>
            <w:pPr>
              <w:pStyle w:val="TableParagraph"/>
              <w:spacing w:before="41"/>
              <w:ind w:left="108"/>
              <w:rPr>
                <w:sz w:val="24"/>
              </w:rPr>
            </w:pPr>
            <w:r>
              <w:rPr>
                <w:spacing w:val="-2"/>
                <w:sz w:val="24"/>
              </w:rPr>
              <w:t>Quality</w:t>
            </w:r>
          </w:p>
        </w:tc>
        <w:tc>
          <w:tcPr>
            <w:tcW w:w="904" w:type="dxa"/>
            <w:shd w:val="clear" w:color="auto" w:fill="EEECE1"/>
          </w:tcPr>
          <w:p>
            <w:pPr>
              <w:pStyle w:val="TableParagraph"/>
              <w:spacing w:line="270" w:lineRule="exact"/>
              <w:ind w:right="107"/>
              <w:jc w:val="right"/>
              <w:rPr>
                <w:sz w:val="24"/>
              </w:rPr>
            </w:pPr>
            <w:r>
              <w:rPr>
                <w:spacing w:val="-5"/>
                <w:sz w:val="24"/>
              </w:rPr>
              <w:t>of</w:t>
            </w:r>
          </w:p>
        </w:tc>
        <w:tc>
          <w:tcPr>
            <w:tcW w:w="2528" w:type="dxa"/>
            <w:shd w:val="clear" w:color="auto" w:fill="EEECE1"/>
          </w:tcPr>
          <w:p>
            <w:pPr>
              <w:pStyle w:val="TableParagraph"/>
              <w:spacing w:line="270" w:lineRule="exact"/>
              <w:ind w:left="108"/>
              <w:rPr>
                <w:sz w:val="24"/>
              </w:rPr>
            </w:pPr>
            <w:r>
              <w:rPr>
                <w:spacing w:val="-2"/>
                <w:sz w:val="24"/>
              </w:rPr>
              <w:t>Continuous</w:t>
            </w:r>
          </w:p>
          <w:p>
            <w:pPr>
              <w:pStyle w:val="TableParagraph"/>
              <w:spacing w:before="41"/>
              <w:ind w:left="108"/>
              <w:rPr>
                <w:sz w:val="24"/>
              </w:rPr>
            </w:pPr>
            <w:r>
              <w:rPr>
                <w:spacing w:val="-2"/>
                <w:sz w:val="24"/>
              </w:rPr>
              <w:t>improvement</w:t>
            </w:r>
          </w:p>
        </w:tc>
        <w:tc>
          <w:tcPr>
            <w:tcW w:w="2388" w:type="dxa"/>
            <w:shd w:val="clear" w:color="auto" w:fill="EEECE1"/>
          </w:tcPr>
          <w:p>
            <w:pPr>
              <w:pStyle w:val="TableParagraph"/>
              <w:spacing w:line="270" w:lineRule="exact"/>
              <w:ind w:left="107"/>
              <w:rPr>
                <w:sz w:val="24"/>
              </w:rPr>
            </w:pPr>
            <w:r>
              <w:rPr>
                <w:sz w:val="24"/>
              </w:rPr>
              <w:t>Fitness</w:t>
            </w:r>
            <w:r>
              <w:rPr>
                <w:spacing w:val="-3"/>
                <w:sz w:val="24"/>
              </w:rPr>
              <w:t> </w:t>
            </w:r>
            <w:r>
              <w:rPr>
                <w:sz w:val="24"/>
              </w:rPr>
              <w:t>for</w:t>
            </w:r>
            <w:r>
              <w:rPr>
                <w:spacing w:val="-2"/>
                <w:sz w:val="24"/>
              </w:rPr>
              <w:t> </w:t>
            </w:r>
            <w:r>
              <w:rPr>
                <w:spacing w:val="-5"/>
                <w:sz w:val="24"/>
              </w:rPr>
              <w:t>use</w:t>
            </w:r>
          </w:p>
        </w:tc>
        <w:tc>
          <w:tcPr>
            <w:tcW w:w="1464" w:type="dxa"/>
            <w:shd w:val="clear" w:color="auto" w:fill="EEECE1"/>
          </w:tcPr>
          <w:p>
            <w:pPr>
              <w:pStyle w:val="TableParagraph"/>
              <w:spacing w:line="270" w:lineRule="exact"/>
              <w:ind w:left="105"/>
              <w:rPr>
                <w:sz w:val="24"/>
              </w:rPr>
            </w:pPr>
            <w:r>
              <w:rPr>
                <w:spacing w:val="-2"/>
                <w:sz w:val="24"/>
              </w:rPr>
              <w:t>Conformance</w:t>
            </w:r>
          </w:p>
          <w:p>
            <w:pPr>
              <w:pStyle w:val="TableParagraph"/>
              <w:spacing w:before="41"/>
              <w:ind w:left="105"/>
              <w:rPr>
                <w:sz w:val="24"/>
              </w:rPr>
            </w:pPr>
            <w:r>
              <w:rPr>
                <w:spacing w:val="-2"/>
                <w:sz w:val="24"/>
              </w:rPr>
              <w:t>requirement</w:t>
            </w:r>
          </w:p>
        </w:tc>
        <w:tc>
          <w:tcPr>
            <w:tcW w:w="778" w:type="dxa"/>
            <w:shd w:val="clear" w:color="auto" w:fill="EEECE1"/>
          </w:tcPr>
          <w:p>
            <w:pPr>
              <w:pStyle w:val="TableParagraph"/>
              <w:spacing w:line="270" w:lineRule="exact"/>
              <w:ind w:right="106"/>
              <w:jc w:val="right"/>
              <w:rPr>
                <w:sz w:val="24"/>
              </w:rPr>
            </w:pPr>
            <w:r>
              <w:rPr>
                <w:spacing w:val="-5"/>
                <w:sz w:val="24"/>
              </w:rPr>
              <w:t>to</w:t>
            </w:r>
          </w:p>
        </w:tc>
      </w:tr>
      <w:tr>
        <w:trPr>
          <w:trHeight w:val="633" w:hRule="atLeast"/>
        </w:trPr>
        <w:tc>
          <w:tcPr>
            <w:tcW w:w="2073" w:type="dxa"/>
            <w:gridSpan w:val="2"/>
          </w:tcPr>
          <w:p>
            <w:pPr>
              <w:pStyle w:val="TableParagraph"/>
              <w:spacing w:line="270" w:lineRule="exact"/>
              <w:ind w:left="108"/>
              <w:rPr>
                <w:sz w:val="24"/>
              </w:rPr>
            </w:pPr>
            <w:r>
              <w:rPr>
                <w:spacing w:val="-2"/>
                <w:sz w:val="24"/>
              </w:rPr>
              <w:t>Application</w:t>
            </w:r>
          </w:p>
        </w:tc>
        <w:tc>
          <w:tcPr>
            <w:tcW w:w="2528" w:type="dxa"/>
          </w:tcPr>
          <w:p>
            <w:pPr>
              <w:pStyle w:val="TableParagraph"/>
              <w:tabs>
                <w:tab w:pos="1805" w:val="left" w:leader="none"/>
              </w:tabs>
              <w:spacing w:line="270" w:lineRule="exact"/>
              <w:ind w:left="108"/>
              <w:rPr>
                <w:sz w:val="24"/>
              </w:rPr>
            </w:pPr>
            <w:r>
              <w:rPr>
                <w:spacing w:val="-2"/>
                <w:sz w:val="24"/>
              </w:rPr>
              <w:t>Manufacturing</w:t>
            </w:r>
            <w:r>
              <w:rPr>
                <w:sz w:val="24"/>
              </w:rPr>
              <w:tab/>
            </w:r>
            <w:r>
              <w:rPr>
                <w:spacing w:val="-2"/>
                <w:sz w:val="24"/>
              </w:rPr>
              <w:t>driven</w:t>
            </w:r>
          </w:p>
          <w:p>
            <w:pPr>
              <w:pStyle w:val="TableParagraph"/>
              <w:spacing w:before="41"/>
              <w:ind w:left="108"/>
              <w:rPr>
                <w:sz w:val="24"/>
              </w:rPr>
            </w:pPr>
            <w:r>
              <w:rPr>
                <w:spacing w:val="-2"/>
                <w:sz w:val="24"/>
              </w:rPr>
              <w:t>companies</w:t>
            </w:r>
          </w:p>
        </w:tc>
        <w:tc>
          <w:tcPr>
            <w:tcW w:w="2388" w:type="dxa"/>
          </w:tcPr>
          <w:p>
            <w:pPr>
              <w:pStyle w:val="TableParagraph"/>
              <w:tabs>
                <w:tab w:pos="1662" w:val="left" w:leader="none"/>
              </w:tabs>
              <w:spacing w:line="270" w:lineRule="exact"/>
              <w:ind w:left="107"/>
              <w:rPr>
                <w:sz w:val="24"/>
              </w:rPr>
            </w:pPr>
            <w:r>
              <w:rPr>
                <w:spacing w:val="-2"/>
                <w:sz w:val="24"/>
              </w:rPr>
              <w:t>Technology</w:t>
            </w:r>
            <w:r>
              <w:rPr>
                <w:sz w:val="24"/>
              </w:rPr>
              <w:tab/>
            </w:r>
            <w:r>
              <w:rPr>
                <w:spacing w:val="-2"/>
                <w:sz w:val="24"/>
              </w:rPr>
              <w:t>driven</w:t>
            </w:r>
          </w:p>
          <w:p>
            <w:pPr>
              <w:pStyle w:val="TableParagraph"/>
              <w:spacing w:before="41"/>
              <w:ind w:left="107"/>
              <w:rPr>
                <w:sz w:val="24"/>
              </w:rPr>
            </w:pPr>
            <w:r>
              <w:rPr>
                <w:spacing w:val="-2"/>
                <w:sz w:val="24"/>
              </w:rPr>
              <w:t>companies</w:t>
            </w:r>
          </w:p>
        </w:tc>
        <w:tc>
          <w:tcPr>
            <w:tcW w:w="1464" w:type="dxa"/>
          </w:tcPr>
          <w:p>
            <w:pPr>
              <w:pStyle w:val="TableParagraph"/>
              <w:spacing w:line="270" w:lineRule="exact"/>
              <w:ind w:left="105"/>
              <w:rPr>
                <w:sz w:val="24"/>
              </w:rPr>
            </w:pPr>
            <w:r>
              <w:rPr>
                <w:spacing w:val="-2"/>
                <w:sz w:val="24"/>
              </w:rPr>
              <w:t>People</w:t>
            </w:r>
          </w:p>
          <w:p>
            <w:pPr>
              <w:pStyle w:val="TableParagraph"/>
              <w:spacing w:before="41"/>
              <w:ind w:left="105"/>
              <w:rPr>
                <w:sz w:val="24"/>
              </w:rPr>
            </w:pPr>
            <w:r>
              <w:rPr>
                <w:spacing w:val="-2"/>
                <w:sz w:val="24"/>
              </w:rPr>
              <w:t>companies</w:t>
            </w:r>
          </w:p>
        </w:tc>
        <w:tc>
          <w:tcPr>
            <w:tcW w:w="778" w:type="dxa"/>
          </w:tcPr>
          <w:p>
            <w:pPr>
              <w:pStyle w:val="TableParagraph"/>
              <w:spacing w:line="270" w:lineRule="exact"/>
              <w:ind w:right="106"/>
              <w:jc w:val="right"/>
              <w:rPr>
                <w:sz w:val="24"/>
              </w:rPr>
            </w:pPr>
            <w:r>
              <w:rPr>
                <w:spacing w:val="-2"/>
                <w:sz w:val="24"/>
              </w:rPr>
              <w:t>driven</w:t>
            </w:r>
          </w:p>
        </w:tc>
      </w:tr>
      <w:tr>
        <w:trPr>
          <w:trHeight w:val="316" w:hRule="atLeast"/>
        </w:trPr>
        <w:tc>
          <w:tcPr>
            <w:tcW w:w="2073" w:type="dxa"/>
            <w:gridSpan w:val="2"/>
            <w:shd w:val="clear" w:color="auto" w:fill="EEECE1"/>
          </w:tcPr>
          <w:p>
            <w:pPr>
              <w:pStyle w:val="TableParagraph"/>
              <w:spacing w:line="270" w:lineRule="exact"/>
              <w:ind w:left="108"/>
              <w:rPr>
                <w:sz w:val="24"/>
              </w:rPr>
            </w:pPr>
            <w:r>
              <w:rPr>
                <w:sz w:val="24"/>
              </w:rPr>
              <w:t>Target</w:t>
            </w:r>
            <w:r>
              <w:rPr>
                <w:spacing w:val="-5"/>
                <w:sz w:val="24"/>
              </w:rPr>
              <w:t> </w:t>
            </w:r>
            <w:r>
              <w:rPr>
                <w:spacing w:val="-2"/>
                <w:sz w:val="24"/>
              </w:rPr>
              <w:t>audience</w:t>
            </w:r>
          </w:p>
        </w:tc>
        <w:tc>
          <w:tcPr>
            <w:tcW w:w="2528" w:type="dxa"/>
            <w:shd w:val="clear" w:color="auto" w:fill="EEECE1"/>
          </w:tcPr>
          <w:p>
            <w:pPr>
              <w:pStyle w:val="TableParagraph"/>
              <w:spacing w:line="270" w:lineRule="exact"/>
              <w:ind w:left="108"/>
              <w:rPr>
                <w:sz w:val="24"/>
              </w:rPr>
            </w:pPr>
            <w:r>
              <w:rPr>
                <w:spacing w:val="-2"/>
                <w:sz w:val="24"/>
              </w:rPr>
              <w:t>Worker</w:t>
            </w:r>
          </w:p>
        </w:tc>
        <w:tc>
          <w:tcPr>
            <w:tcW w:w="2388" w:type="dxa"/>
            <w:shd w:val="clear" w:color="auto" w:fill="EEECE1"/>
          </w:tcPr>
          <w:p>
            <w:pPr>
              <w:pStyle w:val="TableParagraph"/>
              <w:spacing w:line="270" w:lineRule="exact"/>
              <w:ind w:left="107"/>
              <w:rPr>
                <w:sz w:val="24"/>
              </w:rPr>
            </w:pPr>
            <w:r>
              <w:rPr>
                <w:spacing w:val="-2"/>
                <w:sz w:val="24"/>
              </w:rPr>
              <w:t>Management</w:t>
            </w:r>
          </w:p>
        </w:tc>
        <w:tc>
          <w:tcPr>
            <w:tcW w:w="2242" w:type="dxa"/>
            <w:gridSpan w:val="2"/>
            <w:shd w:val="clear" w:color="auto" w:fill="EEECE1"/>
          </w:tcPr>
          <w:p>
            <w:pPr>
              <w:pStyle w:val="TableParagraph"/>
              <w:spacing w:line="270" w:lineRule="exact"/>
              <w:ind w:left="105"/>
              <w:rPr>
                <w:sz w:val="24"/>
              </w:rPr>
            </w:pPr>
            <w:r>
              <w:rPr>
                <w:spacing w:val="-2"/>
                <w:sz w:val="24"/>
              </w:rPr>
              <w:t>Worker</w:t>
            </w:r>
          </w:p>
        </w:tc>
      </w:tr>
      <w:tr>
        <w:trPr>
          <w:trHeight w:val="952" w:hRule="atLeast"/>
        </w:trPr>
        <w:tc>
          <w:tcPr>
            <w:tcW w:w="2073" w:type="dxa"/>
            <w:gridSpan w:val="2"/>
          </w:tcPr>
          <w:p>
            <w:pPr>
              <w:pStyle w:val="TableParagraph"/>
              <w:spacing w:line="276" w:lineRule="auto"/>
              <w:ind w:left="108" w:right="738"/>
              <w:rPr>
                <w:sz w:val="24"/>
              </w:rPr>
            </w:pPr>
            <w:r>
              <w:rPr>
                <w:spacing w:val="-2"/>
                <w:sz w:val="24"/>
              </w:rPr>
              <w:t>Senior management</w:t>
            </w:r>
          </w:p>
          <w:p>
            <w:pPr>
              <w:pStyle w:val="TableParagraph"/>
              <w:ind w:left="108"/>
              <w:rPr>
                <w:sz w:val="24"/>
              </w:rPr>
            </w:pPr>
            <w:r>
              <w:rPr>
                <w:spacing w:val="-2"/>
                <w:sz w:val="24"/>
              </w:rPr>
              <w:t>responsibility</w:t>
            </w:r>
          </w:p>
        </w:tc>
        <w:tc>
          <w:tcPr>
            <w:tcW w:w="2528" w:type="dxa"/>
          </w:tcPr>
          <w:p>
            <w:pPr>
              <w:pStyle w:val="TableParagraph"/>
              <w:spacing w:line="276" w:lineRule="auto"/>
              <w:ind w:left="108"/>
              <w:rPr>
                <w:sz w:val="24"/>
              </w:rPr>
            </w:pPr>
            <w:r>
              <w:rPr>
                <w:sz w:val="24"/>
              </w:rPr>
              <w:t>Responsible</w:t>
            </w:r>
            <w:r>
              <w:rPr>
                <w:spacing w:val="40"/>
                <w:sz w:val="24"/>
              </w:rPr>
              <w:t> </w:t>
            </w:r>
            <w:r>
              <w:rPr>
                <w:sz w:val="24"/>
              </w:rPr>
              <w:t>for</w:t>
            </w:r>
            <w:r>
              <w:rPr>
                <w:spacing w:val="40"/>
                <w:sz w:val="24"/>
              </w:rPr>
              <w:t> </w:t>
            </w:r>
            <w:r>
              <w:rPr>
                <w:sz w:val="24"/>
              </w:rPr>
              <w:t>94</w:t>
            </w:r>
            <w:r>
              <w:rPr>
                <w:spacing w:val="40"/>
                <w:sz w:val="24"/>
              </w:rPr>
              <w:t> </w:t>
            </w:r>
            <w:r>
              <w:rPr>
                <w:sz w:val="24"/>
              </w:rPr>
              <w:t>% quality problems</w:t>
            </w:r>
          </w:p>
        </w:tc>
        <w:tc>
          <w:tcPr>
            <w:tcW w:w="2388" w:type="dxa"/>
          </w:tcPr>
          <w:p>
            <w:pPr>
              <w:pStyle w:val="TableParagraph"/>
              <w:spacing w:line="276" w:lineRule="auto"/>
              <w:ind w:left="107"/>
              <w:rPr>
                <w:sz w:val="24"/>
              </w:rPr>
            </w:pPr>
            <w:r>
              <w:rPr>
                <w:sz w:val="24"/>
              </w:rPr>
              <w:t>of</w:t>
            </w:r>
            <w:r>
              <w:rPr>
                <w:spacing w:val="29"/>
                <w:sz w:val="24"/>
              </w:rPr>
              <w:t> </w:t>
            </w:r>
            <w:r>
              <w:rPr>
                <w:sz w:val="24"/>
              </w:rPr>
              <w:t>Less</w:t>
            </w:r>
            <w:r>
              <w:rPr>
                <w:spacing w:val="28"/>
                <w:sz w:val="24"/>
              </w:rPr>
              <w:t> </w:t>
            </w:r>
            <w:r>
              <w:rPr>
                <w:sz w:val="24"/>
              </w:rPr>
              <w:t>than</w:t>
            </w:r>
            <w:r>
              <w:rPr>
                <w:spacing w:val="28"/>
                <w:sz w:val="24"/>
              </w:rPr>
              <w:t> </w:t>
            </w:r>
            <w:r>
              <w:rPr>
                <w:sz w:val="24"/>
              </w:rPr>
              <w:t>20</w:t>
            </w:r>
            <w:r>
              <w:rPr>
                <w:spacing w:val="28"/>
                <w:sz w:val="24"/>
              </w:rPr>
              <w:t> </w:t>
            </w:r>
            <w:r>
              <w:rPr>
                <w:sz w:val="24"/>
              </w:rPr>
              <w:t>%</w:t>
            </w:r>
            <w:r>
              <w:rPr>
                <w:spacing w:val="27"/>
                <w:sz w:val="24"/>
              </w:rPr>
              <w:t> </w:t>
            </w:r>
            <w:r>
              <w:rPr>
                <w:sz w:val="24"/>
              </w:rPr>
              <w:t>of quality</w:t>
            </w:r>
            <w:r>
              <w:rPr>
                <w:spacing w:val="63"/>
                <w:w w:val="150"/>
                <w:sz w:val="24"/>
              </w:rPr>
              <w:t> </w:t>
            </w:r>
            <w:r>
              <w:rPr>
                <w:sz w:val="24"/>
              </w:rPr>
              <w:t>problems</w:t>
            </w:r>
            <w:r>
              <w:rPr>
                <w:spacing w:val="69"/>
                <w:w w:val="150"/>
                <w:sz w:val="24"/>
              </w:rPr>
              <w:t> </w:t>
            </w:r>
            <w:r>
              <w:rPr>
                <w:spacing w:val="-5"/>
                <w:sz w:val="24"/>
              </w:rPr>
              <w:t>are</w:t>
            </w:r>
          </w:p>
          <w:p>
            <w:pPr>
              <w:pStyle w:val="TableParagraph"/>
              <w:ind w:left="107"/>
              <w:rPr>
                <w:sz w:val="24"/>
              </w:rPr>
            </w:pPr>
            <w:r>
              <w:rPr>
                <w:sz w:val="24"/>
              </w:rPr>
              <w:t>due</w:t>
            </w:r>
            <w:r>
              <w:rPr>
                <w:spacing w:val="-1"/>
                <w:sz w:val="24"/>
              </w:rPr>
              <w:t> </w:t>
            </w:r>
            <w:r>
              <w:rPr>
                <w:sz w:val="24"/>
              </w:rPr>
              <w:t>to </w:t>
            </w:r>
            <w:r>
              <w:rPr>
                <w:spacing w:val="-2"/>
                <w:sz w:val="24"/>
              </w:rPr>
              <w:t>workers</w:t>
            </w:r>
          </w:p>
        </w:tc>
        <w:tc>
          <w:tcPr>
            <w:tcW w:w="1464" w:type="dxa"/>
          </w:tcPr>
          <w:p>
            <w:pPr>
              <w:pStyle w:val="TableParagraph"/>
              <w:spacing w:line="276" w:lineRule="auto"/>
              <w:ind w:left="105"/>
              <w:rPr>
                <w:sz w:val="24"/>
              </w:rPr>
            </w:pPr>
            <w:r>
              <w:rPr>
                <w:spacing w:val="-2"/>
                <w:sz w:val="24"/>
              </w:rPr>
              <w:t>Responsible quality</w:t>
            </w:r>
          </w:p>
        </w:tc>
        <w:tc>
          <w:tcPr>
            <w:tcW w:w="778" w:type="dxa"/>
          </w:tcPr>
          <w:p>
            <w:pPr>
              <w:pStyle w:val="TableParagraph"/>
              <w:spacing w:line="270" w:lineRule="exact"/>
              <w:ind w:right="105"/>
              <w:jc w:val="right"/>
              <w:rPr>
                <w:sz w:val="24"/>
              </w:rPr>
            </w:pPr>
            <w:r>
              <w:rPr>
                <w:spacing w:val="-5"/>
                <w:sz w:val="24"/>
              </w:rPr>
              <w:t>for</w:t>
            </w:r>
          </w:p>
        </w:tc>
      </w:tr>
      <w:tr>
        <w:trPr>
          <w:trHeight w:val="633" w:hRule="atLeast"/>
        </w:trPr>
        <w:tc>
          <w:tcPr>
            <w:tcW w:w="1169" w:type="dxa"/>
            <w:shd w:val="clear" w:color="auto" w:fill="EEECE1"/>
          </w:tcPr>
          <w:p>
            <w:pPr>
              <w:pStyle w:val="TableParagraph"/>
              <w:spacing w:line="270" w:lineRule="exact"/>
              <w:ind w:left="108"/>
              <w:rPr>
                <w:sz w:val="24"/>
              </w:rPr>
            </w:pPr>
            <w:r>
              <w:rPr>
                <w:spacing w:val="-2"/>
                <w:sz w:val="24"/>
              </w:rPr>
              <w:t>Quality</w:t>
            </w:r>
          </w:p>
          <w:p>
            <w:pPr>
              <w:pStyle w:val="TableParagraph"/>
              <w:spacing w:before="41"/>
              <w:ind w:left="108"/>
              <w:rPr>
                <w:sz w:val="24"/>
              </w:rPr>
            </w:pPr>
            <w:r>
              <w:rPr>
                <w:spacing w:val="-2"/>
                <w:sz w:val="24"/>
              </w:rPr>
              <w:t>structure</w:t>
            </w:r>
          </w:p>
        </w:tc>
        <w:tc>
          <w:tcPr>
            <w:tcW w:w="904" w:type="dxa"/>
            <w:shd w:val="clear" w:color="auto" w:fill="EEECE1"/>
          </w:tcPr>
          <w:p>
            <w:pPr>
              <w:pStyle w:val="TableParagraph"/>
              <w:spacing w:line="270" w:lineRule="exact"/>
              <w:ind w:right="108"/>
              <w:jc w:val="right"/>
              <w:rPr>
                <w:sz w:val="24"/>
              </w:rPr>
            </w:pPr>
            <w:r>
              <w:rPr>
                <w:spacing w:val="-2"/>
                <w:sz w:val="24"/>
              </w:rPr>
              <w:t>process</w:t>
            </w:r>
          </w:p>
        </w:tc>
        <w:tc>
          <w:tcPr>
            <w:tcW w:w="2528" w:type="dxa"/>
            <w:shd w:val="clear" w:color="auto" w:fill="EEECE1"/>
          </w:tcPr>
          <w:p>
            <w:pPr>
              <w:pStyle w:val="TableParagraph"/>
              <w:tabs>
                <w:tab w:pos="1255" w:val="left" w:leader="none"/>
                <w:tab w:pos="2138" w:val="left" w:leader="none"/>
              </w:tabs>
              <w:spacing w:line="270" w:lineRule="exact"/>
              <w:ind w:left="108"/>
              <w:rPr>
                <w:sz w:val="24"/>
              </w:rPr>
            </w:pPr>
            <w:r>
              <w:rPr>
                <w:spacing w:val="-2"/>
                <w:sz w:val="24"/>
              </w:rPr>
              <w:t>Fourteen</w:t>
            </w:r>
            <w:r>
              <w:rPr>
                <w:sz w:val="24"/>
              </w:rPr>
              <w:tab/>
            </w:r>
            <w:r>
              <w:rPr>
                <w:spacing w:val="-2"/>
                <w:sz w:val="24"/>
              </w:rPr>
              <w:t>points</w:t>
            </w:r>
            <w:r>
              <w:rPr>
                <w:sz w:val="24"/>
              </w:rPr>
              <w:tab/>
            </w:r>
            <w:r>
              <w:rPr>
                <w:spacing w:val="-5"/>
                <w:sz w:val="24"/>
              </w:rPr>
              <w:t>for</w:t>
            </w:r>
          </w:p>
          <w:p>
            <w:pPr>
              <w:pStyle w:val="TableParagraph"/>
              <w:spacing w:before="41"/>
              <w:ind w:left="108"/>
              <w:rPr>
                <w:sz w:val="24"/>
              </w:rPr>
            </w:pPr>
            <w:r>
              <w:rPr>
                <w:spacing w:val="-2"/>
                <w:sz w:val="24"/>
              </w:rPr>
              <w:t>management</w:t>
            </w:r>
          </w:p>
        </w:tc>
        <w:tc>
          <w:tcPr>
            <w:tcW w:w="2388" w:type="dxa"/>
            <w:shd w:val="clear" w:color="auto" w:fill="EEECE1"/>
          </w:tcPr>
          <w:p>
            <w:pPr>
              <w:pStyle w:val="TableParagraph"/>
              <w:spacing w:line="270" w:lineRule="exact"/>
              <w:ind w:left="107"/>
              <w:rPr>
                <w:sz w:val="24"/>
              </w:rPr>
            </w:pPr>
            <w:r>
              <w:rPr>
                <w:sz w:val="24"/>
              </w:rPr>
              <w:t>Ten</w:t>
            </w:r>
            <w:r>
              <w:rPr>
                <w:spacing w:val="65"/>
                <w:w w:val="150"/>
                <w:sz w:val="24"/>
              </w:rPr>
              <w:t> </w:t>
            </w:r>
            <w:r>
              <w:rPr>
                <w:sz w:val="24"/>
              </w:rPr>
              <w:t>steps</w:t>
            </w:r>
            <w:r>
              <w:rPr>
                <w:spacing w:val="65"/>
                <w:w w:val="150"/>
                <w:sz w:val="24"/>
              </w:rPr>
              <w:t> </w:t>
            </w:r>
            <w:r>
              <w:rPr>
                <w:sz w:val="24"/>
              </w:rPr>
              <w:t>to</w:t>
            </w:r>
            <w:r>
              <w:rPr>
                <w:spacing w:val="65"/>
                <w:w w:val="150"/>
                <w:sz w:val="24"/>
              </w:rPr>
              <w:t> </w:t>
            </w:r>
            <w:r>
              <w:rPr>
                <w:spacing w:val="-2"/>
                <w:sz w:val="24"/>
              </w:rPr>
              <w:t>quality</w:t>
            </w:r>
          </w:p>
          <w:p>
            <w:pPr>
              <w:pStyle w:val="TableParagraph"/>
              <w:spacing w:before="41"/>
              <w:ind w:left="107"/>
              <w:rPr>
                <w:sz w:val="24"/>
              </w:rPr>
            </w:pPr>
            <w:r>
              <w:rPr>
                <w:spacing w:val="-2"/>
                <w:sz w:val="24"/>
              </w:rPr>
              <w:t>improvement</w:t>
            </w:r>
          </w:p>
        </w:tc>
        <w:tc>
          <w:tcPr>
            <w:tcW w:w="2242" w:type="dxa"/>
            <w:gridSpan w:val="2"/>
            <w:shd w:val="clear" w:color="auto" w:fill="EEECE1"/>
          </w:tcPr>
          <w:p>
            <w:pPr>
              <w:pStyle w:val="TableParagraph"/>
              <w:tabs>
                <w:tab w:pos="1211" w:val="left" w:leader="none"/>
                <w:tab w:pos="1946" w:val="left" w:leader="none"/>
              </w:tabs>
              <w:spacing w:line="270" w:lineRule="exact"/>
              <w:ind w:left="105"/>
              <w:rPr>
                <w:sz w:val="24"/>
              </w:rPr>
            </w:pPr>
            <w:r>
              <w:rPr>
                <w:spacing w:val="-2"/>
                <w:sz w:val="24"/>
              </w:rPr>
              <w:t>Fourteen</w:t>
            </w:r>
            <w:r>
              <w:rPr>
                <w:sz w:val="24"/>
              </w:rPr>
              <w:tab/>
            </w:r>
            <w:r>
              <w:rPr>
                <w:spacing w:val="-2"/>
                <w:sz w:val="24"/>
              </w:rPr>
              <w:t>steps</w:t>
            </w:r>
            <w:r>
              <w:rPr>
                <w:sz w:val="24"/>
              </w:rPr>
              <w:tab/>
            </w:r>
            <w:r>
              <w:rPr>
                <w:spacing w:val="-5"/>
                <w:sz w:val="24"/>
              </w:rPr>
              <w:t>to</w:t>
            </w:r>
          </w:p>
          <w:p>
            <w:pPr>
              <w:pStyle w:val="TableParagraph"/>
              <w:spacing w:before="41"/>
              <w:ind w:left="105"/>
              <w:rPr>
                <w:sz w:val="24"/>
              </w:rPr>
            </w:pPr>
            <w:r>
              <w:rPr>
                <w:sz w:val="24"/>
              </w:rPr>
              <w:t>quality</w:t>
            </w:r>
            <w:r>
              <w:rPr>
                <w:spacing w:val="-4"/>
                <w:sz w:val="24"/>
              </w:rPr>
              <w:t> </w:t>
            </w:r>
            <w:r>
              <w:rPr>
                <w:spacing w:val="-2"/>
                <w:sz w:val="24"/>
              </w:rPr>
              <w:t>improvement</w:t>
            </w:r>
          </w:p>
        </w:tc>
      </w:tr>
      <w:tr>
        <w:trPr>
          <w:trHeight w:val="319" w:hRule="atLeast"/>
        </w:trPr>
        <w:tc>
          <w:tcPr>
            <w:tcW w:w="2073" w:type="dxa"/>
            <w:gridSpan w:val="2"/>
          </w:tcPr>
          <w:p>
            <w:pPr>
              <w:pStyle w:val="TableParagraph"/>
              <w:spacing w:line="270" w:lineRule="exact"/>
              <w:ind w:left="108"/>
              <w:rPr>
                <w:sz w:val="24"/>
              </w:rPr>
            </w:pPr>
            <w:r>
              <w:rPr>
                <w:sz w:val="24"/>
              </w:rPr>
              <w:t>Emphasis</w:t>
            </w:r>
            <w:r>
              <w:rPr>
                <w:spacing w:val="-2"/>
                <w:sz w:val="24"/>
              </w:rPr>
              <w:t> </w:t>
            </w:r>
            <w:r>
              <w:rPr>
                <w:spacing w:val="-5"/>
                <w:sz w:val="24"/>
              </w:rPr>
              <w:t>on</w:t>
            </w:r>
          </w:p>
        </w:tc>
        <w:tc>
          <w:tcPr>
            <w:tcW w:w="2528" w:type="dxa"/>
          </w:tcPr>
          <w:p>
            <w:pPr>
              <w:pStyle w:val="TableParagraph"/>
              <w:spacing w:line="270" w:lineRule="exact"/>
              <w:ind w:left="108"/>
              <w:rPr>
                <w:sz w:val="24"/>
              </w:rPr>
            </w:pPr>
            <w:r>
              <w:rPr>
                <w:spacing w:val="-2"/>
                <w:sz w:val="24"/>
              </w:rPr>
              <w:t>Tools/system</w:t>
            </w:r>
          </w:p>
        </w:tc>
        <w:tc>
          <w:tcPr>
            <w:tcW w:w="2388" w:type="dxa"/>
          </w:tcPr>
          <w:p>
            <w:pPr>
              <w:pStyle w:val="TableParagraph"/>
              <w:spacing w:line="270" w:lineRule="exact"/>
              <w:ind w:left="107"/>
              <w:rPr>
                <w:sz w:val="24"/>
              </w:rPr>
            </w:pPr>
            <w:r>
              <w:rPr>
                <w:spacing w:val="-2"/>
                <w:sz w:val="24"/>
              </w:rPr>
              <w:t>Measurement</w:t>
            </w:r>
          </w:p>
        </w:tc>
        <w:tc>
          <w:tcPr>
            <w:tcW w:w="2242" w:type="dxa"/>
            <w:gridSpan w:val="2"/>
          </w:tcPr>
          <w:p>
            <w:pPr>
              <w:pStyle w:val="TableParagraph"/>
              <w:spacing w:line="270" w:lineRule="exact"/>
              <w:ind w:left="105"/>
              <w:rPr>
                <w:sz w:val="24"/>
              </w:rPr>
            </w:pPr>
            <w:r>
              <w:rPr>
                <w:spacing w:val="-2"/>
                <w:sz w:val="24"/>
              </w:rPr>
              <w:t>Motivational</w:t>
            </w:r>
          </w:p>
        </w:tc>
      </w:tr>
      <w:tr>
        <w:trPr>
          <w:trHeight w:val="950" w:hRule="atLeast"/>
        </w:trPr>
        <w:tc>
          <w:tcPr>
            <w:tcW w:w="2073" w:type="dxa"/>
            <w:gridSpan w:val="2"/>
            <w:shd w:val="clear" w:color="auto" w:fill="EEECE1"/>
          </w:tcPr>
          <w:p>
            <w:pPr>
              <w:pStyle w:val="TableParagraph"/>
              <w:spacing w:line="270" w:lineRule="exact"/>
              <w:ind w:left="108"/>
              <w:rPr>
                <w:sz w:val="24"/>
              </w:rPr>
            </w:pPr>
            <w:r>
              <w:rPr>
                <w:sz w:val="24"/>
              </w:rPr>
              <w:t>Types</w:t>
            </w:r>
            <w:r>
              <w:rPr>
                <w:spacing w:val="-1"/>
                <w:sz w:val="24"/>
              </w:rPr>
              <w:t> </w:t>
            </w:r>
            <w:r>
              <w:rPr>
                <w:sz w:val="24"/>
              </w:rPr>
              <w:t>of</w:t>
            </w:r>
            <w:r>
              <w:rPr>
                <w:spacing w:val="-2"/>
                <w:sz w:val="24"/>
              </w:rPr>
              <w:t> tools</w:t>
            </w:r>
          </w:p>
        </w:tc>
        <w:tc>
          <w:tcPr>
            <w:tcW w:w="2528" w:type="dxa"/>
            <w:shd w:val="clear" w:color="auto" w:fill="EEECE1"/>
          </w:tcPr>
          <w:p>
            <w:pPr>
              <w:pStyle w:val="TableParagraph"/>
              <w:spacing w:line="270" w:lineRule="exact"/>
              <w:ind w:left="108"/>
              <w:rPr>
                <w:sz w:val="24"/>
              </w:rPr>
            </w:pPr>
            <w:r>
              <w:rPr>
                <w:spacing w:val="-5"/>
                <w:sz w:val="24"/>
              </w:rPr>
              <w:t>SPC</w:t>
            </w:r>
          </w:p>
        </w:tc>
        <w:tc>
          <w:tcPr>
            <w:tcW w:w="2388" w:type="dxa"/>
            <w:shd w:val="clear" w:color="auto" w:fill="EEECE1"/>
          </w:tcPr>
          <w:p>
            <w:pPr>
              <w:pStyle w:val="TableParagraph"/>
              <w:tabs>
                <w:tab w:pos="1477" w:val="left" w:leader="none"/>
              </w:tabs>
              <w:spacing w:line="270" w:lineRule="exact"/>
              <w:ind w:left="107"/>
              <w:rPr>
                <w:sz w:val="24"/>
              </w:rPr>
            </w:pPr>
            <w:r>
              <w:rPr>
                <w:spacing w:val="-2"/>
                <w:sz w:val="24"/>
              </w:rPr>
              <w:t>Analytical,</w:t>
            </w:r>
            <w:r>
              <w:rPr>
                <w:sz w:val="24"/>
              </w:rPr>
              <w:tab/>
            </w:r>
            <w:r>
              <w:rPr>
                <w:spacing w:val="-2"/>
                <w:sz w:val="24"/>
              </w:rPr>
              <w:t>decision</w:t>
            </w:r>
          </w:p>
          <w:p>
            <w:pPr>
              <w:pStyle w:val="TableParagraph"/>
              <w:spacing w:line="310" w:lineRule="atLeast" w:before="7"/>
              <w:ind w:left="107"/>
              <w:rPr>
                <w:sz w:val="24"/>
              </w:rPr>
            </w:pPr>
            <w:r>
              <w:rPr>
                <w:sz w:val="24"/>
              </w:rPr>
              <w:t>making</w:t>
            </w:r>
            <w:r>
              <w:rPr>
                <w:spacing w:val="80"/>
                <w:sz w:val="24"/>
              </w:rPr>
              <w:t> </w:t>
            </w:r>
            <w:r>
              <w:rPr>
                <w:sz w:val="24"/>
              </w:rPr>
              <w:t>and</w:t>
            </w:r>
            <w:r>
              <w:rPr>
                <w:spacing w:val="80"/>
                <w:sz w:val="24"/>
              </w:rPr>
              <w:t> </w:t>
            </w:r>
            <w:r>
              <w:rPr>
                <w:sz w:val="24"/>
              </w:rPr>
              <w:t>cost</w:t>
            </w:r>
            <w:r>
              <w:rPr>
                <w:spacing w:val="80"/>
                <w:sz w:val="24"/>
              </w:rPr>
              <w:t> </w:t>
            </w:r>
            <w:r>
              <w:rPr>
                <w:sz w:val="24"/>
              </w:rPr>
              <w:t>of </w:t>
            </w:r>
            <w:r>
              <w:rPr>
                <w:spacing w:val="-2"/>
                <w:sz w:val="24"/>
              </w:rPr>
              <w:t>quality</w:t>
            </w:r>
          </w:p>
        </w:tc>
        <w:tc>
          <w:tcPr>
            <w:tcW w:w="2242" w:type="dxa"/>
            <w:gridSpan w:val="2"/>
            <w:shd w:val="clear" w:color="auto" w:fill="EEECE1"/>
          </w:tcPr>
          <w:p>
            <w:pPr>
              <w:pStyle w:val="TableParagraph"/>
              <w:spacing w:line="270" w:lineRule="exact"/>
              <w:ind w:left="105"/>
              <w:rPr>
                <w:sz w:val="24"/>
              </w:rPr>
            </w:pPr>
            <w:r>
              <w:rPr>
                <w:sz w:val="24"/>
              </w:rPr>
              <w:t>Minimal</w:t>
            </w:r>
            <w:r>
              <w:rPr>
                <w:spacing w:val="-1"/>
                <w:sz w:val="24"/>
              </w:rPr>
              <w:t> </w:t>
            </w:r>
            <w:r>
              <w:rPr>
                <w:spacing w:val="-5"/>
                <w:sz w:val="24"/>
              </w:rPr>
              <w:t>use</w:t>
            </w:r>
          </w:p>
        </w:tc>
      </w:tr>
      <w:tr>
        <w:trPr>
          <w:trHeight w:val="636" w:hRule="atLeast"/>
        </w:trPr>
        <w:tc>
          <w:tcPr>
            <w:tcW w:w="2073" w:type="dxa"/>
            <w:gridSpan w:val="2"/>
          </w:tcPr>
          <w:p>
            <w:pPr>
              <w:pStyle w:val="TableParagraph"/>
              <w:spacing w:line="270" w:lineRule="exact"/>
              <w:ind w:left="108"/>
              <w:rPr>
                <w:sz w:val="24"/>
              </w:rPr>
            </w:pPr>
            <w:r>
              <w:rPr>
                <w:sz w:val="24"/>
              </w:rPr>
              <w:t>Use</w:t>
            </w:r>
            <w:r>
              <w:rPr>
                <w:spacing w:val="52"/>
                <w:w w:val="150"/>
                <w:sz w:val="24"/>
              </w:rPr>
              <w:t> </w:t>
            </w:r>
            <w:r>
              <w:rPr>
                <w:sz w:val="24"/>
              </w:rPr>
              <w:t>of</w:t>
            </w:r>
            <w:r>
              <w:rPr>
                <w:spacing w:val="52"/>
                <w:w w:val="150"/>
                <w:sz w:val="24"/>
              </w:rPr>
              <w:t> </w:t>
            </w:r>
            <w:r>
              <w:rPr>
                <w:sz w:val="24"/>
              </w:rPr>
              <w:t>goals</w:t>
            </w:r>
            <w:r>
              <w:rPr>
                <w:spacing w:val="53"/>
                <w:w w:val="150"/>
                <w:sz w:val="24"/>
              </w:rPr>
              <w:t> </w:t>
            </w:r>
            <w:r>
              <w:rPr>
                <w:spacing w:val="-5"/>
                <w:sz w:val="24"/>
              </w:rPr>
              <w:t>and</w:t>
            </w:r>
          </w:p>
          <w:p>
            <w:pPr>
              <w:pStyle w:val="TableParagraph"/>
              <w:spacing w:before="43"/>
              <w:ind w:left="108"/>
              <w:rPr>
                <w:sz w:val="24"/>
              </w:rPr>
            </w:pPr>
            <w:r>
              <w:rPr>
                <w:spacing w:val="-2"/>
                <w:sz w:val="24"/>
              </w:rPr>
              <w:t>targets</w:t>
            </w:r>
          </w:p>
        </w:tc>
        <w:tc>
          <w:tcPr>
            <w:tcW w:w="2528" w:type="dxa"/>
          </w:tcPr>
          <w:p>
            <w:pPr>
              <w:pStyle w:val="TableParagraph"/>
              <w:spacing w:line="270" w:lineRule="exact"/>
              <w:ind w:left="108"/>
              <w:rPr>
                <w:sz w:val="24"/>
              </w:rPr>
            </w:pPr>
            <w:r>
              <w:rPr>
                <w:sz w:val="24"/>
              </w:rPr>
              <w:t>Not</w:t>
            </w:r>
            <w:r>
              <w:rPr>
                <w:spacing w:val="-3"/>
                <w:sz w:val="24"/>
              </w:rPr>
              <w:t> </w:t>
            </w:r>
            <w:r>
              <w:rPr>
                <w:spacing w:val="-4"/>
                <w:sz w:val="24"/>
              </w:rPr>
              <w:t>used</w:t>
            </w:r>
          </w:p>
        </w:tc>
        <w:tc>
          <w:tcPr>
            <w:tcW w:w="2388" w:type="dxa"/>
          </w:tcPr>
          <w:p>
            <w:pPr>
              <w:pStyle w:val="TableParagraph"/>
              <w:spacing w:line="270" w:lineRule="exact"/>
              <w:ind w:left="107"/>
              <w:rPr>
                <w:sz w:val="24"/>
              </w:rPr>
            </w:pPr>
            <w:r>
              <w:rPr>
                <w:sz w:val="24"/>
              </w:rPr>
              <w:t>Breakthrough</w:t>
            </w:r>
            <w:r>
              <w:rPr>
                <w:spacing w:val="-5"/>
                <w:sz w:val="24"/>
              </w:rPr>
              <w:t> </w:t>
            </w:r>
            <w:r>
              <w:rPr>
                <w:spacing w:val="-2"/>
                <w:sz w:val="24"/>
              </w:rPr>
              <w:t>projects</w:t>
            </w:r>
          </w:p>
        </w:tc>
        <w:tc>
          <w:tcPr>
            <w:tcW w:w="2242" w:type="dxa"/>
            <w:gridSpan w:val="2"/>
          </w:tcPr>
          <w:p>
            <w:pPr>
              <w:pStyle w:val="TableParagraph"/>
              <w:tabs>
                <w:tab w:pos="1048" w:val="left" w:leader="none"/>
                <w:tab w:pos="1854" w:val="left" w:leader="none"/>
              </w:tabs>
              <w:spacing w:line="270" w:lineRule="exact"/>
              <w:ind w:left="105"/>
              <w:rPr>
                <w:sz w:val="24"/>
              </w:rPr>
            </w:pPr>
            <w:r>
              <w:rPr>
                <w:spacing w:val="-2"/>
                <w:sz w:val="24"/>
              </w:rPr>
              <w:t>Posted</w:t>
            </w:r>
            <w:r>
              <w:rPr>
                <w:sz w:val="24"/>
              </w:rPr>
              <w:tab/>
            </w:r>
            <w:r>
              <w:rPr>
                <w:spacing w:val="-2"/>
                <w:sz w:val="24"/>
              </w:rPr>
              <w:t>goals</w:t>
            </w:r>
            <w:r>
              <w:rPr>
                <w:sz w:val="24"/>
              </w:rPr>
              <w:tab/>
            </w:r>
            <w:r>
              <w:rPr>
                <w:spacing w:val="-5"/>
                <w:sz w:val="24"/>
              </w:rPr>
              <w:t>for</w:t>
            </w:r>
          </w:p>
          <w:p>
            <w:pPr>
              <w:pStyle w:val="TableParagraph"/>
              <w:spacing w:before="43"/>
              <w:ind w:left="105"/>
              <w:rPr>
                <w:sz w:val="24"/>
              </w:rPr>
            </w:pPr>
            <w:r>
              <w:rPr>
                <w:spacing w:val="-2"/>
                <w:sz w:val="24"/>
              </w:rPr>
              <w:t>workers</w:t>
            </w:r>
          </w:p>
        </w:tc>
      </w:tr>
      <w:tr>
        <w:trPr>
          <w:trHeight w:val="952" w:hRule="atLeast"/>
        </w:trPr>
        <w:tc>
          <w:tcPr>
            <w:tcW w:w="2073" w:type="dxa"/>
            <w:gridSpan w:val="2"/>
            <w:shd w:val="clear" w:color="auto" w:fill="EEECE1"/>
          </w:tcPr>
          <w:p>
            <w:pPr>
              <w:pStyle w:val="TableParagraph"/>
              <w:spacing w:line="270" w:lineRule="exact"/>
              <w:ind w:left="108"/>
              <w:rPr>
                <w:sz w:val="24"/>
              </w:rPr>
            </w:pPr>
            <w:r>
              <w:rPr>
                <w:sz w:val="24"/>
              </w:rPr>
              <w:t>Improvement</w:t>
            </w:r>
            <w:r>
              <w:rPr>
                <w:spacing w:val="-5"/>
                <w:sz w:val="24"/>
              </w:rPr>
              <w:t> </w:t>
            </w:r>
            <w:r>
              <w:rPr>
                <w:spacing w:val="-4"/>
                <w:sz w:val="24"/>
              </w:rPr>
              <w:t>basis</w:t>
            </w:r>
          </w:p>
        </w:tc>
        <w:tc>
          <w:tcPr>
            <w:tcW w:w="2528" w:type="dxa"/>
            <w:shd w:val="clear" w:color="auto" w:fill="EEECE1"/>
          </w:tcPr>
          <w:p>
            <w:pPr>
              <w:pStyle w:val="TableParagraph"/>
              <w:spacing w:line="276" w:lineRule="auto"/>
              <w:ind w:left="108"/>
              <w:rPr>
                <w:sz w:val="24"/>
              </w:rPr>
            </w:pPr>
            <w:r>
              <w:rPr>
                <w:sz w:val="24"/>
              </w:rPr>
              <w:t>Continuous</w:t>
            </w:r>
            <w:r>
              <w:rPr>
                <w:spacing w:val="80"/>
                <w:sz w:val="24"/>
              </w:rPr>
              <w:t> </w:t>
            </w:r>
            <w:r>
              <w:rPr>
                <w:sz w:val="24"/>
              </w:rPr>
              <w:t>to</w:t>
            </w:r>
            <w:r>
              <w:rPr>
                <w:spacing w:val="80"/>
                <w:sz w:val="24"/>
              </w:rPr>
              <w:t> </w:t>
            </w:r>
            <w:r>
              <w:rPr>
                <w:sz w:val="24"/>
              </w:rPr>
              <w:t>reduce </w:t>
            </w:r>
            <w:r>
              <w:rPr>
                <w:spacing w:val="-2"/>
                <w:sz w:val="24"/>
              </w:rPr>
              <w:t>variation</w:t>
            </w:r>
          </w:p>
        </w:tc>
        <w:tc>
          <w:tcPr>
            <w:tcW w:w="2388" w:type="dxa"/>
            <w:shd w:val="clear" w:color="auto" w:fill="EEECE1"/>
          </w:tcPr>
          <w:p>
            <w:pPr>
              <w:pStyle w:val="TableParagraph"/>
              <w:spacing w:line="276" w:lineRule="auto"/>
              <w:ind w:left="107"/>
              <w:rPr>
                <w:sz w:val="24"/>
              </w:rPr>
            </w:pPr>
            <w:r>
              <w:rPr>
                <w:sz w:val="24"/>
              </w:rPr>
              <w:t>Project</w:t>
            </w:r>
            <w:r>
              <w:rPr>
                <w:spacing w:val="-8"/>
                <w:sz w:val="24"/>
              </w:rPr>
              <w:t> </w:t>
            </w:r>
            <w:r>
              <w:rPr>
                <w:sz w:val="24"/>
              </w:rPr>
              <w:t>team</w:t>
            </w:r>
            <w:r>
              <w:rPr>
                <w:spacing w:val="-7"/>
                <w:sz w:val="24"/>
              </w:rPr>
              <w:t> </w:t>
            </w:r>
            <w:r>
              <w:rPr>
                <w:sz w:val="24"/>
              </w:rPr>
              <w:t>approach set goals</w:t>
            </w:r>
          </w:p>
        </w:tc>
        <w:tc>
          <w:tcPr>
            <w:tcW w:w="2242" w:type="dxa"/>
            <w:gridSpan w:val="2"/>
            <w:shd w:val="clear" w:color="auto" w:fill="EEECE1"/>
          </w:tcPr>
          <w:p>
            <w:pPr>
              <w:pStyle w:val="TableParagraph"/>
              <w:spacing w:line="276" w:lineRule="auto"/>
              <w:ind w:left="105"/>
              <w:rPr>
                <w:sz w:val="24"/>
              </w:rPr>
            </w:pPr>
            <w:r>
              <w:rPr>
                <w:sz w:val="24"/>
              </w:rPr>
              <w:t>A</w:t>
            </w:r>
            <w:r>
              <w:rPr>
                <w:spacing w:val="40"/>
                <w:sz w:val="24"/>
              </w:rPr>
              <w:t> </w:t>
            </w:r>
            <w:r>
              <w:rPr>
                <w:sz w:val="24"/>
              </w:rPr>
              <w:t>“process</w:t>
            </w:r>
            <w:r>
              <w:rPr>
                <w:spacing w:val="40"/>
                <w:sz w:val="24"/>
              </w:rPr>
              <w:t> </w:t>
            </w:r>
            <w:r>
              <w:rPr>
                <w:sz w:val="24"/>
              </w:rPr>
              <w:t>‘,</w:t>
            </w:r>
            <w:r>
              <w:rPr>
                <w:spacing w:val="40"/>
                <w:sz w:val="24"/>
              </w:rPr>
              <w:t> </w:t>
            </w:r>
            <w:r>
              <w:rPr>
                <w:sz w:val="24"/>
              </w:rPr>
              <w:t>not</w:t>
            </w:r>
            <w:r>
              <w:rPr>
                <w:spacing w:val="40"/>
                <w:sz w:val="24"/>
              </w:rPr>
              <w:t> </w:t>
            </w:r>
            <w:r>
              <w:rPr>
                <w:sz w:val="24"/>
              </w:rPr>
              <w:t>a </w:t>
            </w:r>
            <w:r>
              <w:rPr>
                <w:spacing w:val="-2"/>
                <w:sz w:val="24"/>
              </w:rPr>
              <w:t>programme,</w:t>
            </w:r>
          </w:p>
          <w:p>
            <w:pPr>
              <w:pStyle w:val="TableParagraph"/>
              <w:spacing w:line="275" w:lineRule="exact"/>
              <w:ind w:left="105"/>
              <w:rPr>
                <w:sz w:val="24"/>
              </w:rPr>
            </w:pPr>
            <w:r>
              <w:rPr>
                <w:sz w:val="24"/>
              </w:rPr>
              <w:t>improvement</w:t>
            </w:r>
            <w:r>
              <w:rPr>
                <w:spacing w:val="-3"/>
                <w:sz w:val="24"/>
              </w:rPr>
              <w:t> </w:t>
            </w:r>
            <w:r>
              <w:rPr>
                <w:spacing w:val="-4"/>
                <w:sz w:val="24"/>
              </w:rPr>
              <w:t>goals</w:t>
            </w:r>
          </w:p>
        </w:tc>
      </w:tr>
      <w:tr>
        <w:trPr>
          <w:trHeight w:val="1220" w:hRule="atLeast"/>
        </w:trPr>
        <w:tc>
          <w:tcPr>
            <w:tcW w:w="2073" w:type="dxa"/>
            <w:gridSpan w:val="2"/>
          </w:tcPr>
          <w:p>
            <w:pPr>
              <w:pStyle w:val="TableParagraph"/>
              <w:spacing w:line="270" w:lineRule="exact"/>
              <w:ind w:left="108"/>
              <w:rPr>
                <w:sz w:val="24"/>
              </w:rPr>
            </w:pPr>
            <w:r>
              <w:rPr>
                <w:spacing w:val="-2"/>
                <w:sz w:val="24"/>
              </w:rPr>
              <w:t>Teamwork</w:t>
            </w:r>
          </w:p>
        </w:tc>
        <w:tc>
          <w:tcPr>
            <w:tcW w:w="2528" w:type="dxa"/>
          </w:tcPr>
          <w:p>
            <w:pPr>
              <w:pStyle w:val="TableParagraph"/>
              <w:spacing w:line="276" w:lineRule="auto"/>
              <w:ind w:left="108" w:right="108"/>
              <w:jc w:val="both"/>
              <w:rPr>
                <w:sz w:val="24"/>
              </w:rPr>
            </w:pPr>
            <w:r>
              <w:rPr>
                <w:sz w:val="24"/>
              </w:rPr>
              <w:t>Employee </w:t>
            </w:r>
            <w:r>
              <w:rPr>
                <w:sz w:val="24"/>
              </w:rPr>
              <w:t>participation in decision- making; break</w:t>
            </w:r>
            <w:r>
              <w:rPr>
                <w:spacing w:val="78"/>
                <w:w w:val="150"/>
                <w:sz w:val="24"/>
              </w:rPr>
              <w:t> </w:t>
            </w:r>
            <w:r>
              <w:rPr>
                <w:sz w:val="24"/>
              </w:rPr>
              <w:t>down</w:t>
            </w:r>
            <w:r>
              <w:rPr>
                <w:spacing w:val="53"/>
                <w:sz w:val="24"/>
              </w:rPr>
              <w:t>   </w:t>
            </w:r>
            <w:r>
              <w:rPr>
                <w:spacing w:val="-2"/>
                <w:sz w:val="24"/>
              </w:rPr>
              <w:t>barriers</w:t>
            </w:r>
          </w:p>
          <w:p>
            <w:pPr>
              <w:pStyle w:val="TableParagraph"/>
              <w:spacing w:line="254" w:lineRule="exact"/>
              <w:ind w:left="108"/>
              <w:jc w:val="both"/>
              <w:rPr>
                <w:sz w:val="24"/>
              </w:rPr>
            </w:pPr>
            <w:r>
              <w:rPr>
                <w:sz w:val="24"/>
              </w:rPr>
              <w:t>between</w:t>
            </w:r>
            <w:r>
              <w:rPr>
                <w:spacing w:val="-4"/>
                <w:sz w:val="24"/>
              </w:rPr>
              <w:t> </w:t>
            </w:r>
            <w:r>
              <w:rPr>
                <w:spacing w:val="-2"/>
                <w:sz w:val="24"/>
              </w:rPr>
              <w:t>departments</w:t>
            </w:r>
          </w:p>
        </w:tc>
        <w:tc>
          <w:tcPr>
            <w:tcW w:w="2388" w:type="dxa"/>
          </w:tcPr>
          <w:p>
            <w:pPr>
              <w:pStyle w:val="TableParagraph"/>
              <w:tabs>
                <w:tab w:pos="957" w:val="left" w:leader="none"/>
                <w:tab w:pos="1609" w:val="left" w:leader="none"/>
              </w:tabs>
              <w:spacing w:line="276" w:lineRule="auto"/>
              <w:ind w:left="107" w:right="104"/>
              <w:rPr>
                <w:sz w:val="24"/>
              </w:rPr>
            </w:pPr>
            <w:r>
              <w:rPr>
                <w:spacing w:val="-4"/>
                <w:sz w:val="24"/>
              </w:rPr>
              <w:t>Team</w:t>
            </w:r>
            <w:r>
              <w:rPr>
                <w:sz w:val="24"/>
              </w:rPr>
              <w:tab/>
            </w:r>
            <w:r>
              <w:rPr>
                <w:spacing w:val="-4"/>
                <w:sz w:val="24"/>
              </w:rPr>
              <w:t>and</w:t>
            </w:r>
            <w:r>
              <w:rPr>
                <w:sz w:val="24"/>
              </w:rPr>
              <w:tab/>
            </w:r>
            <w:r>
              <w:rPr>
                <w:spacing w:val="-2"/>
                <w:sz w:val="24"/>
              </w:rPr>
              <w:t>quality </w:t>
            </w:r>
            <w:r>
              <w:rPr>
                <w:sz w:val="24"/>
              </w:rPr>
              <w:t>circle approach</w:t>
            </w:r>
          </w:p>
        </w:tc>
        <w:tc>
          <w:tcPr>
            <w:tcW w:w="2242" w:type="dxa"/>
            <w:gridSpan w:val="2"/>
          </w:tcPr>
          <w:p>
            <w:pPr>
              <w:pStyle w:val="TableParagraph"/>
              <w:spacing w:line="276" w:lineRule="auto"/>
              <w:ind w:left="105" w:right="105"/>
              <w:rPr>
                <w:sz w:val="24"/>
              </w:rPr>
            </w:pPr>
            <w:r>
              <w:rPr>
                <w:spacing w:val="-2"/>
                <w:sz w:val="24"/>
              </w:rPr>
              <w:t>Quality</w:t>
            </w:r>
            <w:r>
              <w:rPr>
                <w:spacing w:val="40"/>
                <w:sz w:val="24"/>
              </w:rPr>
              <w:t> </w:t>
            </w:r>
            <w:r>
              <w:rPr>
                <w:sz w:val="24"/>
              </w:rPr>
              <w:t>improvement</w:t>
            </w:r>
            <w:r>
              <w:rPr>
                <w:spacing w:val="25"/>
                <w:sz w:val="24"/>
              </w:rPr>
              <w:t> </w:t>
            </w:r>
            <w:r>
              <w:rPr>
                <w:sz w:val="24"/>
              </w:rPr>
              <w:t>teams; quality councils</w:t>
            </w:r>
          </w:p>
        </w:tc>
      </w:tr>
    </w:tbl>
    <w:p>
      <w:pPr>
        <w:pStyle w:val="BodyText"/>
        <w:spacing w:before="20"/>
        <w:rPr>
          <w:b/>
        </w:rPr>
      </w:pPr>
    </w:p>
    <w:p>
      <w:pPr>
        <w:spacing w:before="0"/>
        <w:ind w:left="400" w:right="0" w:firstLine="0"/>
        <w:jc w:val="left"/>
        <w:rPr>
          <w:b/>
          <w:sz w:val="24"/>
        </w:rPr>
      </w:pPr>
      <w:r>
        <w:rPr>
          <w:b/>
          <w:sz w:val="24"/>
        </w:rPr>
        <w:t>Source:</w:t>
      </w:r>
      <w:r>
        <w:rPr>
          <w:b/>
          <w:spacing w:val="-3"/>
          <w:sz w:val="24"/>
        </w:rPr>
        <w:t> </w:t>
      </w:r>
      <w:r>
        <w:rPr>
          <w:b/>
          <w:sz w:val="24"/>
        </w:rPr>
        <w:t>Adapted</w:t>
      </w:r>
      <w:r>
        <w:rPr>
          <w:b/>
          <w:spacing w:val="-2"/>
          <w:sz w:val="24"/>
        </w:rPr>
        <w:t> </w:t>
      </w:r>
      <w:r>
        <w:rPr>
          <w:b/>
          <w:sz w:val="24"/>
        </w:rPr>
        <w:t>from</w:t>
      </w:r>
      <w:r>
        <w:rPr>
          <w:b/>
          <w:spacing w:val="-2"/>
          <w:sz w:val="24"/>
        </w:rPr>
        <w:t> </w:t>
      </w:r>
      <w:r>
        <w:rPr>
          <w:b/>
          <w:sz w:val="24"/>
        </w:rPr>
        <w:t>Carlos</w:t>
      </w:r>
      <w:r>
        <w:rPr>
          <w:b/>
          <w:spacing w:val="-2"/>
          <w:sz w:val="24"/>
        </w:rPr>
        <w:t> </w:t>
      </w:r>
      <w:r>
        <w:rPr>
          <w:b/>
          <w:sz w:val="24"/>
        </w:rPr>
        <w:t>(1997)</w:t>
      </w:r>
      <w:r>
        <w:rPr>
          <w:b/>
          <w:spacing w:val="-2"/>
          <w:sz w:val="24"/>
        </w:rPr>
        <w:t> </w:t>
      </w:r>
      <w:r>
        <w:rPr>
          <w:b/>
          <w:sz w:val="24"/>
        </w:rPr>
        <w:t>and</w:t>
      </w:r>
      <w:r>
        <w:rPr>
          <w:b/>
          <w:spacing w:val="-2"/>
          <w:sz w:val="24"/>
        </w:rPr>
        <w:t> </w:t>
      </w:r>
      <w:r>
        <w:rPr>
          <w:b/>
          <w:sz w:val="24"/>
        </w:rPr>
        <w:t>Kerzner</w:t>
      </w:r>
      <w:r>
        <w:rPr>
          <w:b/>
          <w:spacing w:val="-2"/>
          <w:sz w:val="24"/>
        </w:rPr>
        <w:t> (2003)</w:t>
      </w:r>
    </w:p>
    <w:p>
      <w:pPr>
        <w:pStyle w:val="BodyText"/>
        <w:spacing w:before="156"/>
        <w:rPr>
          <w:b/>
        </w:rPr>
      </w:pPr>
    </w:p>
    <w:p>
      <w:pPr>
        <w:pStyle w:val="Heading3"/>
        <w:numPr>
          <w:ilvl w:val="3"/>
          <w:numId w:val="4"/>
        </w:numPr>
        <w:tabs>
          <w:tab w:pos="1120" w:val="left" w:leader="none"/>
        </w:tabs>
        <w:spacing w:line="240" w:lineRule="auto" w:before="0" w:after="0"/>
        <w:ind w:left="1120" w:right="0" w:hanging="720"/>
        <w:jc w:val="left"/>
        <w:rPr>
          <w:i w:val="0"/>
        </w:rPr>
      </w:pPr>
      <w:r>
        <w:rPr/>
        <w:t>Implication</w:t>
      </w:r>
      <w:r>
        <w:rPr>
          <w:spacing w:val="-2"/>
        </w:rPr>
        <w:t> </w:t>
      </w:r>
      <w:r>
        <w:rPr/>
        <w:t>to</w:t>
      </w:r>
      <w:r>
        <w:rPr>
          <w:spacing w:val="-3"/>
        </w:rPr>
        <w:t> </w:t>
      </w:r>
      <w:r>
        <w:rPr/>
        <w:t>the</w:t>
      </w:r>
      <w:r>
        <w:rPr>
          <w:spacing w:val="-1"/>
        </w:rPr>
        <w:t> </w:t>
      </w:r>
      <w:r>
        <w:rPr>
          <w:spacing w:val="-4"/>
        </w:rPr>
        <w:t>work</w:t>
      </w:r>
    </w:p>
    <w:p>
      <w:pPr>
        <w:pStyle w:val="BodyText"/>
        <w:spacing w:before="138"/>
        <w:rPr>
          <w:b/>
          <w:i/>
        </w:rPr>
      </w:pPr>
    </w:p>
    <w:p>
      <w:pPr>
        <w:pStyle w:val="BodyText"/>
        <w:spacing w:line="480" w:lineRule="auto"/>
        <w:ind w:left="400" w:right="1317"/>
        <w:jc w:val="both"/>
      </w:pPr>
      <w:r>
        <w:rPr/>
        <w:t>From the</w:t>
      </w:r>
      <w:r>
        <w:rPr>
          <w:spacing w:val="-1"/>
        </w:rPr>
        <w:t> </w:t>
      </w:r>
      <w:r>
        <w:rPr/>
        <w:t>six total quality</w:t>
      </w:r>
      <w:r>
        <w:rPr>
          <w:spacing w:val="-5"/>
        </w:rPr>
        <w:t> </w:t>
      </w:r>
      <w:r>
        <w:rPr/>
        <w:t>management theories that were</w:t>
      </w:r>
      <w:r>
        <w:rPr>
          <w:spacing w:val="-1"/>
        </w:rPr>
        <w:t> </w:t>
      </w:r>
      <w:r>
        <w:rPr/>
        <w:t>discussed, however</w:t>
      </w:r>
      <w:r>
        <w:rPr>
          <w:spacing w:val="-1"/>
        </w:rPr>
        <w:t> </w:t>
      </w:r>
      <w:r>
        <w:rPr/>
        <w:t>the</w:t>
      </w:r>
      <w:r>
        <w:rPr>
          <w:spacing w:val="-1"/>
        </w:rPr>
        <w:t> </w:t>
      </w:r>
      <w:r>
        <w:rPr/>
        <w:t>work hinged on three of those theories.</w:t>
      </w:r>
      <w:r>
        <w:rPr>
          <w:spacing w:val="40"/>
        </w:rPr>
        <w:t> </w:t>
      </w:r>
      <w:r>
        <w:rPr/>
        <w:t>They include Deming, Juran, Crosby and Feigenbum.</w:t>
      </w:r>
      <w:r>
        <w:rPr>
          <w:spacing w:val="40"/>
        </w:rPr>
        <w:t> </w:t>
      </w:r>
      <w:r>
        <w:rPr>
          <w:b/>
        </w:rPr>
        <w:t>Deming theory </w:t>
      </w:r>
      <w:r>
        <w:rPr/>
        <w:t>focuses on quality</w:t>
      </w:r>
      <w:r>
        <w:rPr>
          <w:spacing w:val="-2"/>
        </w:rPr>
        <w:t> </w:t>
      </w:r>
      <w:r>
        <w:rPr/>
        <w:t>improvement through reduction in the variation of products and improving on the average.</w:t>
      </w:r>
      <w:r>
        <w:rPr>
          <w:spacing w:val="40"/>
        </w:rPr>
        <w:t> </w:t>
      </w:r>
      <w:r>
        <w:rPr/>
        <w:t>The firms should focus on maintaining a set standard and not varying it.</w:t>
      </w:r>
      <w:r>
        <w:rPr>
          <w:spacing w:val="40"/>
        </w:rPr>
        <w:t> </w:t>
      </w:r>
      <w:r>
        <w:rPr>
          <w:b/>
        </w:rPr>
        <w:t>Juran theory </w:t>
      </w:r>
      <w:r>
        <w:rPr/>
        <w:t>anchors on fitness for use and it states that the management are responsible for the success</w:t>
      </w:r>
      <w:r>
        <w:rPr>
          <w:spacing w:val="22"/>
        </w:rPr>
        <w:t> </w:t>
      </w:r>
      <w:r>
        <w:rPr/>
        <w:t>of</w:t>
      </w:r>
      <w:r>
        <w:rPr>
          <w:spacing w:val="24"/>
        </w:rPr>
        <w:t> </w:t>
      </w:r>
      <w:r>
        <w:rPr/>
        <w:t>quality</w:t>
      </w:r>
      <w:r>
        <w:rPr>
          <w:spacing w:val="18"/>
        </w:rPr>
        <w:t> </w:t>
      </w:r>
      <w:r>
        <w:rPr/>
        <w:t>management.</w:t>
      </w:r>
      <w:r>
        <w:rPr>
          <w:spacing w:val="25"/>
        </w:rPr>
        <w:t> </w:t>
      </w:r>
      <w:r>
        <w:rPr/>
        <w:t>The</w:t>
      </w:r>
      <w:r>
        <w:rPr>
          <w:spacing w:val="24"/>
        </w:rPr>
        <w:t> </w:t>
      </w:r>
      <w:r>
        <w:rPr/>
        <w:t>small</w:t>
      </w:r>
      <w:r>
        <w:rPr>
          <w:spacing w:val="25"/>
        </w:rPr>
        <w:t> </w:t>
      </w:r>
      <w:r>
        <w:rPr/>
        <w:t>and</w:t>
      </w:r>
      <w:r>
        <w:rPr>
          <w:spacing w:val="22"/>
        </w:rPr>
        <w:t> </w:t>
      </w:r>
      <w:r>
        <w:rPr/>
        <w:t>medium</w:t>
      </w:r>
      <w:r>
        <w:rPr>
          <w:spacing w:val="26"/>
        </w:rPr>
        <w:t> </w:t>
      </w:r>
      <w:r>
        <w:rPr/>
        <w:t>scale</w:t>
      </w:r>
      <w:r>
        <w:rPr>
          <w:spacing w:val="24"/>
        </w:rPr>
        <w:t> </w:t>
      </w:r>
      <w:r>
        <w:rPr/>
        <w:t>construction</w:t>
      </w:r>
      <w:r>
        <w:rPr>
          <w:spacing w:val="25"/>
        </w:rPr>
        <w:t> </w:t>
      </w:r>
      <w:r>
        <w:rPr/>
        <w:t>firms</w:t>
      </w:r>
      <w:r>
        <w:rPr>
          <w:spacing w:val="25"/>
        </w:rPr>
        <w:t> </w:t>
      </w:r>
      <w:r>
        <w:rPr/>
        <w:t>should</w:t>
      </w:r>
      <w:r>
        <w:rPr>
          <w:spacing w:val="23"/>
        </w:rPr>
        <w:t> </w:t>
      </w:r>
      <w:r>
        <w:rPr>
          <w:spacing w:val="-2"/>
        </w:rPr>
        <w:t>ensure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4"/>
        <w:jc w:val="both"/>
      </w:pPr>
      <w:r>
        <w:rPr/>
        <w:t>that leadership and management commitment is paramount. Juran believed that quality management’s specific task was not only to identify and eliminate variation, but also to serve customer expectations. The entire firm must embrace TQM as a customer focused quality improvement initiative</w:t>
      </w:r>
      <w:r>
        <w:rPr>
          <w:spacing w:val="40"/>
        </w:rPr>
        <w:t> </w:t>
      </w:r>
      <w:r>
        <w:rPr>
          <w:b/>
        </w:rPr>
        <w:t>Crosby theory </w:t>
      </w:r>
      <w:r>
        <w:rPr/>
        <w:t>insists that doing the right thing at the right time is key (Zero Defects).</w:t>
      </w:r>
      <w:r>
        <w:rPr>
          <w:spacing w:val="40"/>
        </w:rPr>
        <w:t> </w:t>
      </w:r>
      <w:r>
        <w:rPr/>
        <w:t>When small and medium construction firms have that mind set, their quality of work will always be high.</w:t>
      </w:r>
    </w:p>
    <w:p>
      <w:pPr>
        <w:pStyle w:val="BodyText"/>
        <w:spacing w:before="5"/>
      </w:pPr>
    </w:p>
    <w:p>
      <w:pPr>
        <w:pStyle w:val="Heading2"/>
        <w:numPr>
          <w:ilvl w:val="2"/>
          <w:numId w:val="4"/>
        </w:numPr>
        <w:tabs>
          <w:tab w:pos="1120" w:val="left" w:leader="none"/>
        </w:tabs>
        <w:spacing w:line="240" w:lineRule="auto" w:before="0" w:after="0"/>
        <w:ind w:left="1120" w:right="0" w:hanging="720"/>
        <w:jc w:val="both"/>
      </w:pPr>
      <w:r>
        <w:rPr/>
        <w:t>Theories</w:t>
      </w:r>
      <w:r>
        <w:rPr>
          <w:spacing w:val="-2"/>
        </w:rPr>
        <w:t> </w:t>
      </w:r>
      <w:r>
        <w:rPr/>
        <w:t>on</w:t>
      </w:r>
      <w:r>
        <w:rPr>
          <w:spacing w:val="-2"/>
        </w:rPr>
        <w:t> </w:t>
      </w:r>
      <w:r>
        <w:rPr/>
        <w:t>company</w:t>
      </w:r>
      <w:r>
        <w:rPr>
          <w:spacing w:val="-2"/>
        </w:rPr>
        <w:t> competitiveness</w:t>
      </w:r>
    </w:p>
    <w:p>
      <w:pPr>
        <w:pStyle w:val="ListParagraph"/>
        <w:numPr>
          <w:ilvl w:val="0"/>
          <w:numId w:val="10"/>
        </w:numPr>
        <w:tabs>
          <w:tab w:pos="1116" w:val="left" w:leader="none"/>
          <w:tab w:pos="1119" w:val="left" w:leader="none"/>
        </w:tabs>
        <w:spacing w:line="480" w:lineRule="auto" w:before="271" w:after="0"/>
        <w:ind w:left="1119" w:right="1318" w:hanging="500"/>
        <w:jc w:val="both"/>
        <w:rPr>
          <w:sz w:val="24"/>
        </w:rPr>
      </w:pPr>
      <w:r>
        <w:rPr>
          <w:b/>
          <w:sz w:val="24"/>
        </w:rPr>
        <w:t>Strategic Management Theory</w:t>
      </w:r>
      <w:r>
        <w:rPr>
          <w:sz w:val="24"/>
        </w:rPr>
        <w:t>: This integrates diverse management practices and perspectives in pursuit of goals in the context of rapid environmental changes in the</w:t>
      </w:r>
      <w:r>
        <w:rPr>
          <w:spacing w:val="40"/>
          <w:sz w:val="24"/>
        </w:rPr>
        <w:t> </w:t>
      </w:r>
      <w:r>
        <w:rPr>
          <w:sz w:val="24"/>
        </w:rPr>
        <w:t>world economy. This theory is directed towards the need for change to gain competitiveness in response to changing environmental circumstances and institutional arrangements (Shantanu, 2002).</w:t>
      </w:r>
      <w:r>
        <w:rPr>
          <w:spacing w:val="40"/>
          <w:sz w:val="24"/>
        </w:rPr>
        <w:t> </w:t>
      </w:r>
      <w:r>
        <w:rPr>
          <w:sz w:val="24"/>
        </w:rPr>
        <w:t>Strategic management is about what is being done now to bring about a future result and is iterative process geared to deal with discontinuous futures.</w:t>
      </w:r>
      <w:r>
        <w:rPr>
          <w:spacing w:val="80"/>
          <w:sz w:val="24"/>
        </w:rPr>
        <w:t> </w:t>
      </w:r>
      <w:r>
        <w:rPr>
          <w:sz w:val="24"/>
        </w:rPr>
        <w:t>The main field of strategic management is to identify long-term opportunities and threats and how in the process firms mobilise their assets and develop their capabilities in their desire to address these threats and implement a successful strategy to gain advantage of the opportunities.</w:t>
      </w:r>
    </w:p>
    <w:p>
      <w:pPr>
        <w:pStyle w:val="ListParagraph"/>
        <w:numPr>
          <w:ilvl w:val="0"/>
          <w:numId w:val="10"/>
        </w:numPr>
        <w:tabs>
          <w:tab w:pos="1116" w:val="left" w:leader="none"/>
          <w:tab w:pos="1119" w:val="left" w:leader="none"/>
        </w:tabs>
        <w:spacing w:line="480" w:lineRule="auto" w:before="0" w:after="0"/>
        <w:ind w:left="1119" w:right="1316" w:hanging="581"/>
        <w:jc w:val="both"/>
        <w:rPr>
          <w:sz w:val="24"/>
        </w:rPr>
      </w:pPr>
      <w:r>
        <w:rPr>
          <w:b/>
          <w:sz w:val="24"/>
        </w:rPr>
        <w:t>Resource-based Theory of Firm</w:t>
      </w:r>
      <w:r>
        <w:rPr>
          <w:sz w:val="24"/>
        </w:rPr>
        <w:t>: The competitive advantage of the firm is determined by the internal competencies of firms rather than the external environment as viewed</w:t>
      </w:r>
      <w:r>
        <w:rPr>
          <w:spacing w:val="40"/>
          <w:sz w:val="24"/>
        </w:rPr>
        <w:t> </w:t>
      </w:r>
      <w:r>
        <w:rPr>
          <w:sz w:val="24"/>
        </w:rPr>
        <w:t>from industrial organization perspective (Shantanu, 2002). This means that it draws attention to the firm’s internal environment as a driver for competitive advantage and emphasises the resources that firms have developed to compete in the environment. Moreover,</w:t>
      </w:r>
      <w:r>
        <w:rPr>
          <w:spacing w:val="67"/>
          <w:sz w:val="24"/>
        </w:rPr>
        <w:t> </w:t>
      </w:r>
      <w:r>
        <w:rPr>
          <w:sz w:val="24"/>
        </w:rPr>
        <w:t>firm</w:t>
      </w:r>
      <w:r>
        <w:rPr>
          <w:spacing w:val="68"/>
          <w:sz w:val="24"/>
        </w:rPr>
        <w:t> </w:t>
      </w:r>
      <w:r>
        <w:rPr>
          <w:sz w:val="24"/>
        </w:rPr>
        <w:t>capabilities</w:t>
      </w:r>
      <w:r>
        <w:rPr>
          <w:spacing w:val="67"/>
          <w:sz w:val="24"/>
        </w:rPr>
        <w:t> </w:t>
      </w:r>
      <w:r>
        <w:rPr>
          <w:sz w:val="24"/>
        </w:rPr>
        <w:t>are</w:t>
      </w:r>
      <w:r>
        <w:rPr>
          <w:spacing w:val="66"/>
          <w:sz w:val="24"/>
        </w:rPr>
        <w:t> </w:t>
      </w:r>
      <w:r>
        <w:rPr>
          <w:sz w:val="24"/>
        </w:rPr>
        <w:t>rooted</w:t>
      </w:r>
      <w:r>
        <w:rPr>
          <w:spacing w:val="67"/>
          <w:sz w:val="24"/>
        </w:rPr>
        <w:t> </w:t>
      </w:r>
      <w:r>
        <w:rPr>
          <w:sz w:val="24"/>
        </w:rPr>
        <w:t>in</w:t>
      </w:r>
      <w:r>
        <w:rPr>
          <w:spacing w:val="67"/>
          <w:sz w:val="24"/>
        </w:rPr>
        <w:t> </w:t>
      </w:r>
      <w:r>
        <w:rPr>
          <w:sz w:val="24"/>
        </w:rPr>
        <w:t>the</w:t>
      </w:r>
      <w:r>
        <w:rPr>
          <w:spacing w:val="66"/>
          <w:sz w:val="24"/>
        </w:rPr>
        <w:t> </w:t>
      </w:r>
      <w:r>
        <w:rPr>
          <w:sz w:val="24"/>
        </w:rPr>
        <w:t>ability</w:t>
      </w:r>
      <w:r>
        <w:rPr>
          <w:spacing w:val="60"/>
          <w:sz w:val="24"/>
        </w:rPr>
        <w:t> </w:t>
      </w:r>
      <w:r>
        <w:rPr>
          <w:sz w:val="24"/>
        </w:rPr>
        <w:t>of</w:t>
      </w:r>
      <w:r>
        <w:rPr>
          <w:spacing w:val="66"/>
          <w:sz w:val="24"/>
        </w:rPr>
        <w:t> </w:t>
      </w:r>
      <w:r>
        <w:rPr>
          <w:sz w:val="24"/>
        </w:rPr>
        <w:t>the</w:t>
      </w:r>
      <w:r>
        <w:rPr>
          <w:spacing w:val="66"/>
          <w:sz w:val="24"/>
        </w:rPr>
        <w:t> </w:t>
      </w:r>
      <w:r>
        <w:rPr>
          <w:sz w:val="24"/>
        </w:rPr>
        <w:t>firms</w:t>
      </w:r>
      <w:r>
        <w:rPr>
          <w:spacing w:val="67"/>
          <w:sz w:val="24"/>
        </w:rPr>
        <w:t> </w:t>
      </w:r>
      <w:r>
        <w:rPr>
          <w:sz w:val="24"/>
        </w:rPr>
        <w:t>to</w:t>
      </w:r>
      <w:r>
        <w:rPr>
          <w:spacing w:val="67"/>
          <w:sz w:val="24"/>
        </w:rPr>
        <w:t> </w:t>
      </w:r>
      <w:r>
        <w:rPr>
          <w:sz w:val="24"/>
        </w:rPr>
        <w:t>configure</w:t>
      </w:r>
      <w:r>
        <w:rPr>
          <w:spacing w:val="66"/>
          <w:sz w:val="24"/>
        </w:rPr>
        <w:t> </w:t>
      </w:r>
      <w:r>
        <w:rPr>
          <w:sz w:val="24"/>
        </w:rPr>
        <w:t>and</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7"/>
        <w:jc w:val="both"/>
      </w:pPr>
      <w:r>
        <w:rPr/>
        <w:t>synthesise organizational resources, (these resources can be physical, monetary, and human). In effect, it is the continuous interaction between resources and capabilities that becomes critical in providing competitive advantages to the firms. The resource-based view has provided deep understanding in that the resources and capabilities of a firm serve as sources of sustained competitive advantage. The differences in firms’ performance are based on the disparities of firms’ resource that are unique to firms and are acknowledged as the source of competitiveness.</w:t>
      </w:r>
    </w:p>
    <w:p>
      <w:pPr>
        <w:pStyle w:val="BodyText"/>
        <w:spacing w:line="480" w:lineRule="auto" w:before="185"/>
        <w:ind w:left="400" w:right="1318"/>
        <w:jc w:val="both"/>
      </w:pPr>
      <w:r>
        <w:rPr/>
        <w:t>There are good theories on company competitiveness, which indicate the potential areas for generating competitiveness. There are two main theories for understanding the competitiveness of companies.</w:t>
      </w:r>
      <w:r>
        <w:rPr>
          <w:spacing w:val="40"/>
        </w:rPr>
        <w:t> </w:t>
      </w:r>
      <w:r>
        <w:rPr/>
        <w:t>The first theory, Porter (1980, 1985) [cited in Lu, </w:t>
      </w:r>
      <w:r>
        <w:rPr>
          <w:i/>
        </w:rPr>
        <w:t>et al</w:t>
      </w:r>
      <w:r>
        <w:rPr/>
        <w:t>. (2008)] suggested that competitive advantage stems from the competitive strategy adopted to deal with the strengths, weaknesses, opportunities, and threats facing an organization. Three generic competitive strategies are recommended-cost leadership, differentiation, and focus. Then he engaged the value chain to disaggregate a company into many discrete value activities and proposed that the activities for implementing competitive strategy are ultimately the sources for competitive </w:t>
      </w:r>
      <w:r>
        <w:rPr>
          <w:spacing w:val="-2"/>
        </w:rPr>
        <w:t>advantage.</w:t>
      </w:r>
    </w:p>
    <w:p>
      <w:pPr>
        <w:pStyle w:val="BodyText"/>
        <w:spacing w:line="480" w:lineRule="auto"/>
        <w:ind w:left="400" w:right="1317"/>
        <w:jc w:val="both"/>
      </w:pPr>
      <w:r>
        <w:rPr/>
        <w:t>The second theory of organizational competitiveness is the resource-based and core competence approach, which suggests that firm-specific resources that are valuable, rare, non-substitutable, and inimitable, are the sources for competitive advantage ( Barney, 1991), as well as the</w:t>
      </w:r>
      <w:r>
        <w:rPr>
          <w:spacing w:val="40"/>
        </w:rPr>
        <w:t> </w:t>
      </w:r>
      <w:r>
        <w:rPr/>
        <w:t>strengths and weaknesses of the two streams of theories, researchers e.g., Kale, 2002; Dikmen and Birgonul, 2003) suggest that they are complementing rather than contradicting each other in explaining the competitiveness of a company. These two theories provide the guidelines for identifying</w:t>
      </w:r>
      <w:r>
        <w:rPr>
          <w:spacing w:val="6"/>
        </w:rPr>
        <w:t> </w:t>
      </w:r>
      <w:r>
        <w:rPr/>
        <w:t>the</w:t>
      </w:r>
      <w:r>
        <w:rPr>
          <w:spacing w:val="9"/>
        </w:rPr>
        <w:t> </w:t>
      </w:r>
      <w:r>
        <w:rPr/>
        <w:t>candidate</w:t>
      </w:r>
      <w:r>
        <w:rPr>
          <w:spacing w:val="11"/>
        </w:rPr>
        <w:t> </w:t>
      </w:r>
      <w:r>
        <w:rPr/>
        <w:t>success</w:t>
      </w:r>
      <w:r>
        <w:rPr>
          <w:spacing w:val="10"/>
        </w:rPr>
        <w:t> </w:t>
      </w:r>
      <w:r>
        <w:rPr/>
        <w:t>factors</w:t>
      </w:r>
      <w:r>
        <w:rPr>
          <w:spacing w:val="10"/>
        </w:rPr>
        <w:t> </w:t>
      </w:r>
      <w:r>
        <w:rPr/>
        <w:t>for</w:t>
      </w:r>
      <w:r>
        <w:rPr>
          <w:spacing w:val="9"/>
        </w:rPr>
        <w:t> </w:t>
      </w:r>
      <w:r>
        <w:rPr/>
        <w:t>the</w:t>
      </w:r>
      <w:r>
        <w:rPr>
          <w:spacing w:val="9"/>
        </w:rPr>
        <w:t> </w:t>
      </w:r>
      <w:r>
        <w:rPr/>
        <w:t>competitiveness</w:t>
      </w:r>
      <w:r>
        <w:rPr>
          <w:spacing w:val="10"/>
        </w:rPr>
        <w:t> </w:t>
      </w:r>
      <w:r>
        <w:rPr/>
        <w:t>of</w:t>
      </w:r>
      <w:r>
        <w:rPr>
          <w:spacing w:val="9"/>
        </w:rPr>
        <w:t> </w:t>
      </w:r>
      <w:r>
        <w:rPr/>
        <w:t>a</w:t>
      </w:r>
      <w:r>
        <w:rPr>
          <w:spacing w:val="9"/>
        </w:rPr>
        <w:t> </w:t>
      </w:r>
      <w:r>
        <w:rPr/>
        <w:t>contractor.</w:t>
      </w:r>
      <w:r>
        <w:rPr>
          <w:spacing w:val="10"/>
        </w:rPr>
        <w:t> </w:t>
      </w:r>
      <w:r>
        <w:rPr/>
        <w:t>Success</w:t>
      </w:r>
      <w:r>
        <w:rPr>
          <w:spacing w:val="10"/>
        </w:rPr>
        <w:t> </w:t>
      </w:r>
      <w:r>
        <w:rPr>
          <w:spacing w:val="-2"/>
        </w:rPr>
        <w:t>factors</w:t>
      </w:r>
    </w:p>
    <w:p>
      <w:pPr>
        <w:spacing w:after="0" w:line="480" w:lineRule="auto"/>
        <w:jc w:val="both"/>
        <w:sectPr>
          <w:pgSz w:w="12240" w:h="15840"/>
          <w:pgMar w:header="0" w:footer="1017" w:top="1360" w:bottom="1200" w:left="1040" w:right="120"/>
        </w:sectPr>
      </w:pPr>
    </w:p>
    <w:p>
      <w:pPr>
        <w:pStyle w:val="BodyText"/>
        <w:spacing w:line="480" w:lineRule="auto" w:before="72"/>
        <w:ind w:left="400" w:right="1321"/>
        <w:jc w:val="both"/>
      </w:pPr>
      <w:r>
        <w:rPr/>
        <w:t>for</w:t>
      </w:r>
      <w:r>
        <w:rPr>
          <w:spacing w:val="-3"/>
        </w:rPr>
        <w:t> </w:t>
      </w:r>
      <w:r>
        <w:rPr/>
        <w:t>the</w:t>
      </w:r>
      <w:r>
        <w:rPr>
          <w:spacing w:val="-3"/>
        </w:rPr>
        <w:t> </w:t>
      </w:r>
      <w:r>
        <w:rPr/>
        <w:t>competitive</w:t>
      </w:r>
      <w:r>
        <w:rPr>
          <w:spacing w:val="-3"/>
        </w:rPr>
        <w:t> </w:t>
      </w:r>
      <w:r>
        <w:rPr/>
        <w:t>advantage</w:t>
      </w:r>
      <w:r>
        <w:rPr>
          <w:spacing w:val="-3"/>
        </w:rPr>
        <w:t> </w:t>
      </w:r>
      <w:r>
        <w:rPr/>
        <w:t>of</w:t>
      </w:r>
      <w:r>
        <w:rPr>
          <w:spacing w:val="-3"/>
        </w:rPr>
        <w:t> </w:t>
      </w:r>
      <w:r>
        <w:rPr/>
        <w:t>an</w:t>
      </w:r>
      <w:r>
        <w:rPr>
          <w:spacing w:val="-2"/>
        </w:rPr>
        <w:t> </w:t>
      </w:r>
      <w:r>
        <w:rPr/>
        <w:t>organization</w:t>
      </w:r>
      <w:r>
        <w:rPr>
          <w:spacing w:val="-4"/>
        </w:rPr>
        <w:t> </w:t>
      </w:r>
      <w:r>
        <w:rPr/>
        <w:t>should</w:t>
      </w:r>
      <w:r>
        <w:rPr>
          <w:spacing w:val="-2"/>
        </w:rPr>
        <w:t> </w:t>
      </w:r>
      <w:r>
        <w:rPr/>
        <w:t>cover</w:t>
      </w:r>
      <w:r>
        <w:rPr>
          <w:spacing w:val="-3"/>
        </w:rPr>
        <w:t> </w:t>
      </w:r>
      <w:r>
        <w:rPr/>
        <w:t>the</w:t>
      </w:r>
      <w:r>
        <w:rPr>
          <w:spacing w:val="-3"/>
        </w:rPr>
        <w:t> </w:t>
      </w:r>
      <w:r>
        <w:rPr/>
        <w:t>areas</w:t>
      </w:r>
      <w:r>
        <w:rPr>
          <w:spacing w:val="-2"/>
        </w:rPr>
        <w:t> </w:t>
      </w:r>
      <w:r>
        <w:rPr/>
        <w:t>of competitive</w:t>
      </w:r>
      <w:r>
        <w:rPr>
          <w:spacing w:val="-3"/>
        </w:rPr>
        <w:t> </w:t>
      </w:r>
      <w:r>
        <w:rPr/>
        <w:t>strategies, value activities, and firm-specific resources collectively.</w:t>
      </w:r>
    </w:p>
    <w:p>
      <w:pPr>
        <w:pStyle w:val="Heading3"/>
        <w:numPr>
          <w:ilvl w:val="3"/>
          <w:numId w:val="4"/>
        </w:numPr>
        <w:tabs>
          <w:tab w:pos="1120" w:val="left" w:leader="none"/>
        </w:tabs>
        <w:spacing w:line="240" w:lineRule="auto" w:before="235" w:after="0"/>
        <w:ind w:left="1120" w:right="0" w:hanging="720"/>
        <w:jc w:val="both"/>
        <w:rPr>
          <w:i w:val="0"/>
        </w:rPr>
      </w:pPr>
      <w:r>
        <w:rPr/>
        <w:t>Implication</w:t>
      </w:r>
      <w:r>
        <w:rPr>
          <w:spacing w:val="-2"/>
        </w:rPr>
        <w:t> </w:t>
      </w:r>
      <w:r>
        <w:rPr/>
        <w:t>to</w:t>
      </w:r>
      <w:r>
        <w:rPr>
          <w:spacing w:val="-4"/>
        </w:rPr>
        <w:t> </w:t>
      </w:r>
      <w:r>
        <w:rPr/>
        <w:t>the</w:t>
      </w:r>
      <w:r>
        <w:rPr>
          <w:spacing w:val="-1"/>
        </w:rPr>
        <w:t> </w:t>
      </w:r>
      <w:r>
        <w:rPr>
          <w:spacing w:val="-4"/>
        </w:rPr>
        <w:t>work</w:t>
      </w:r>
    </w:p>
    <w:p>
      <w:pPr>
        <w:pStyle w:val="BodyText"/>
        <w:spacing w:before="153"/>
        <w:rPr>
          <w:b/>
          <w:i/>
        </w:rPr>
      </w:pPr>
    </w:p>
    <w:p>
      <w:pPr>
        <w:pStyle w:val="BodyText"/>
        <w:spacing w:line="480" w:lineRule="auto" w:before="1"/>
        <w:ind w:left="399" w:right="1318"/>
        <w:jc w:val="both"/>
      </w:pPr>
      <w:r>
        <w:rPr/>
        <w:t>In applying strategic management, small and medium scale construction firms need to strategies by identifying long-term opportunities and threats and how they will mobilise their assets and develop their capabilities in their desire to address these threats and implement a successful strategy to gain advantage of the opportunities. The resource-based theory focuses on resources and improving on those resources. Firm’s competitiveness depends on the combination of tangible and intangible assets (e.g. human resources, material inputs, industry infrastructure, technology, reputation, trademarks) and processes within organization, which together provide competitive advantage and can be termed as sources of competitiveness.</w:t>
      </w:r>
    </w:p>
    <w:p>
      <w:pPr>
        <w:pStyle w:val="BodyText"/>
        <w:spacing w:before="98"/>
      </w:pPr>
    </w:p>
    <w:p>
      <w:pPr>
        <w:pStyle w:val="Heading2"/>
        <w:numPr>
          <w:ilvl w:val="2"/>
          <w:numId w:val="4"/>
        </w:numPr>
        <w:tabs>
          <w:tab w:pos="1120" w:val="left" w:leader="none"/>
        </w:tabs>
        <w:spacing w:line="240" w:lineRule="auto" w:before="0" w:after="0"/>
        <w:ind w:left="1120" w:right="0" w:hanging="720"/>
        <w:jc w:val="both"/>
      </w:pPr>
      <w:r>
        <w:rPr/>
        <w:t>Summary</w:t>
      </w:r>
      <w:r>
        <w:rPr>
          <w:spacing w:val="-4"/>
        </w:rPr>
        <w:t> </w:t>
      </w:r>
      <w:r>
        <w:rPr/>
        <w:t>of</w:t>
      </w:r>
      <w:r>
        <w:rPr>
          <w:spacing w:val="-2"/>
        </w:rPr>
        <w:t> </w:t>
      </w:r>
      <w:r>
        <w:rPr/>
        <w:t>theoretical</w:t>
      </w:r>
      <w:r>
        <w:rPr>
          <w:spacing w:val="-1"/>
        </w:rPr>
        <w:t> </w:t>
      </w:r>
      <w:r>
        <w:rPr>
          <w:spacing w:val="-2"/>
        </w:rPr>
        <w:t>framework</w:t>
      </w:r>
    </w:p>
    <w:p>
      <w:pPr>
        <w:pStyle w:val="BodyText"/>
        <w:spacing w:line="480" w:lineRule="auto" w:before="272"/>
        <w:ind w:left="399" w:right="1318"/>
        <w:jc w:val="both"/>
      </w:pPr>
      <w:r>
        <w:rPr/>
        <w:t>In view of the discussions of the theoretical framework, it is clear that managers have to plan structural adjustments to guarantee the survival of the whole system, constantly</w:t>
      </w:r>
      <w:r>
        <w:rPr>
          <w:spacing w:val="-1"/>
        </w:rPr>
        <w:t> </w:t>
      </w:r>
      <w:r>
        <w:rPr/>
        <w:t>formulating new interpretations of the business scenarios in order to find an adequate positioning, implementing (when necessary) periods of adjustment, transformation and redefinition the organizational structure. This adaptive and proactive behavior should be based upon systems theory conceptual pillars in order to promote sustainable and long-lasting performance. Given real-world complexity, we strongly</w:t>
      </w:r>
      <w:r>
        <w:rPr>
          <w:spacing w:val="-1"/>
        </w:rPr>
        <w:t> </w:t>
      </w:r>
      <w:r>
        <w:rPr/>
        <w:t>believe that systems theories and perspectives can effectively</w:t>
      </w:r>
      <w:r>
        <w:rPr>
          <w:spacing w:val="-3"/>
        </w:rPr>
        <w:t> </w:t>
      </w:r>
      <w:r>
        <w:rPr/>
        <w:t>contribute to management, marketing and service research due to their dual approach: the global, holistic view</w:t>
      </w:r>
      <w:r>
        <w:rPr>
          <w:spacing w:val="-4"/>
        </w:rPr>
        <w:t> </w:t>
      </w:r>
      <w:r>
        <w:rPr/>
        <w:t>of</w:t>
      </w:r>
      <w:r>
        <w:rPr>
          <w:spacing w:val="-4"/>
        </w:rPr>
        <w:t> </w:t>
      </w:r>
      <w:r>
        <w:rPr/>
        <w:t>observed</w:t>
      </w:r>
      <w:r>
        <w:rPr>
          <w:spacing w:val="-3"/>
        </w:rPr>
        <w:t> </w:t>
      </w:r>
      <w:r>
        <w:rPr/>
        <w:t>phenomena</w:t>
      </w:r>
      <w:r>
        <w:rPr>
          <w:spacing w:val="-4"/>
        </w:rPr>
        <w:t> </w:t>
      </w:r>
      <w:r>
        <w:rPr/>
        <w:t>and</w:t>
      </w:r>
      <w:r>
        <w:rPr>
          <w:spacing w:val="-3"/>
        </w:rPr>
        <w:t> </w:t>
      </w:r>
      <w:r>
        <w:rPr/>
        <w:t>the</w:t>
      </w:r>
      <w:r>
        <w:rPr>
          <w:spacing w:val="-4"/>
        </w:rPr>
        <w:t> </w:t>
      </w:r>
      <w:r>
        <w:rPr/>
        <w:t>specific,</w:t>
      </w:r>
      <w:r>
        <w:rPr>
          <w:spacing w:val="-1"/>
        </w:rPr>
        <w:t> </w:t>
      </w:r>
      <w:r>
        <w:rPr/>
        <w:t>reductionist</w:t>
      </w:r>
      <w:r>
        <w:rPr>
          <w:spacing w:val="-3"/>
        </w:rPr>
        <w:t> </w:t>
      </w:r>
      <w:r>
        <w:rPr/>
        <w:t>view</w:t>
      </w:r>
      <w:r>
        <w:rPr>
          <w:spacing w:val="-4"/>
        </w:rPr>
        <w:t> </w:t>
      </w:r>
      <w:r>
        <w:rPr/>
        <w:t>of</w:t>
      </w:r>
      <w:r>
        <w:rPr>
          <w:spacing w:val="-4"/>
        </w:rPr>
        <w:t> </w:t>
      </w:r>
      <w:r>
        <w:rPr/>
        <w:t>their</w:t>
      </w:r>
      <w:r>
        <w:rPr>
          <w:spacing w:val="-4"/>
        </w:rPr>
        <w:t> </w:t>
      </w:r>
      <w:r>
        <w:rPr/>
        <w:t>specific</w:t>
      </w:r>
      <w:r>
        <w:rPr>
          <w:spacing w:val="-2"/>
        </w:rPr>
        <w:t> </w:t>
      </w:r>
      <w:r>
        <w:rPr/>
        <w:t>components</w:t>
      </w:r>
      <w:r>
        <w:rPr>
          <w:spacing w:val="-3"/>
        </w:rPr>
        <w:t> </w:t>
      </w:r>
      <w:r>
        <w:rPr/>
        <w:t>and </w:t>
      </w:r>
      <w:r>
        <w:rPr>
          <w:spacing w:val="-2"/>
        </w:rPr>
        <w:t>traits.</w:t>
      </w:r>
    </w:p>
    <w:p>
      <w:pPr>
        <w:spacing w:after="0" w:line="480" w:lineRule="auto"/>
        <w:jc w:val="both"/>
        <w:sectPr>
          <w:pgSz w:w="12240" w:h="15840"/>
          <w:pgMar w:header="0" w:footer="1017" w:top="1360" w:bottom="1200" w:left="1040" w:right="120"/>
        </w:sectPr>
      </w:pPr>
    </w:p>
    <w:p>
      <w:pPr>
        <w:pStyle w:val="BodyText"/>
        <w:spacing w:line="480" w:lineRule="auto" w:before="76"/>
        <w:ind w:left="399" w:right="1314"/>
        <w:jc w:val="both"/>
      </w:pPr>
      <w:r>
        <w:rPr/>
        <w:t>The increasing emphasis on the importance of competitiveness stems not only form its ability to enable sustainable growth, but also form dynamic competition in today’s world. It is generally accepted that globalization accounts for the increased importance of competitiveness (Flanagan</w:t>
      </w:r>
      <w:r>
        <w:rPr>
          <w:spacing w:val="40"/>
        </w:rPr>
        <w:t> </w:t>
      </w:r>
      <w:r>
        <w:rPr/>
        <w:t>et al. 2005). Globalization has created an interconnected and interdependent world; it converts</w:t>
      </w:r>
      <w:r>
        <w:rPr>
          <w:spacing w:val="40"/>
        </w:rPr>
        <w:t> </w:t>
      </w:r>
      <w:r>
        <w:rPr/>
        <w:t>the world into a complex and multifaceted dynamic place with free competition and free trade. Also client demands have</w:t>
      </w:r>
      <w:r>
        <w:rPr>
          <w:spacing w:val="-1"/>
        </w:rPr>
        <w:t> </w:t>
      </w:r>
      <w:r>
        <w:rPr/>
        <w:t>increased for</w:t>
      </w:r>
      <w:r>
        <w:rPr>
          <w:spacing w:val="-1"/>
        </w:rPr>
        <w:t> </w:t>
      </w:r>
      <w:r>
        <w:rPr/>
        <w:t>high quality</w:t>
      </w:r>
      <w:r>
        <w:rPr>
          <w:spacing w:val="-5"/>
        </w:rPr>
        <w:t> </w:t>
      </w:r>
      <w:r>
        <w:rPr/>
        <w:t>products and services which are</w:t>
      </w:r>
      <w:r>
        <w:rPr>
          <w:spacing w:val="-1"/>
        </w:rPr>
        <w:t> </w:t>
      </w:r>
      <w:r>
        <w:rPr/>
        <w:t>reflected by increasing competition to the highest level, and the need for high quality has become a strategic element to gain competitive advantage. TQM has become one of the most successful practices in helping</w:t>
      </w:r>
      <w:r>
        <w:rPr>
          <w:spacing w:val="-1"/>
        </w:rPr>
        <w:t> </w:t>
      </w:r>
      <w:r>
        <w:rPr/>
        <w:t>companies enhance competitiveness and prosperity</w:t>
      </w:r>
      <w:r>
        <w:rPr>
          <w:spacing w:val="-3"/>
        </w:rPr>
        <w:t> </w:t>
      </w:r>
      <w:r>
        <w:rPr/>
        <w:t>through ensuring</w:t>
      </w:r>
      <w:r>
        <w:rPr>
          <w:spacing w:val="-1"/>
        </w:rPr>
        <w:t> </w:t>
      </w:r>
      <w:r>
        <w:rPr/>
        <w:t>sustainable growth, (Osayawe and McAndrew, 2005).</w:t>
      </w:r>
    </w:p>
    <w:p>
      <w:pPr>
        <w:pStyle w:val="BodyText"/>
        <w:spacing w:before="51"/>
      </w:pPr>
    </w:p>
    <w:p>
      <w:pPr>
        <w:pStyle w:val="Heading2"/>
        <w:numPr>
          <w:ilvl w:val="1"/>
          <w:numId w:val="4"/>
        </w:numPr>
        <w:tabs>
          <w:tab w:pos="1180" w:val="left" w:leader="none"/>
        </w:tabs>
        <w:spacing w:line="240" w:lineRule="auto" w:before="0" w:after="0"/>
        <w:ind w:left="1180" w:right="0" w:hanging="780"/>
        <w:jc w:val="both"/>
      </w:pPr>
      <w:r>
        <w:rPr/>
        <w:t>The</w:t>
      </w:r>
      <w:r>
        <w:rPr>
          <w:spacing w:val="-3"/>
        </w:rPr>
        <w:t> </w:t>
      </w:r>
      <w:r>
        <w:rPr/>
        <w:t>Conceptual</w:t>
      </w:r>
      <w:r>
        <w:rPr>
          <w:spacing w:val="-2"/>
        </w:rPr>
        <w:t> Framework</w:t>
      </w:r>
    </w:p>
    <w:p>
      <w:pPr>
        <w:pStyle w:val="BodyText"/>
        <w:spacing w:line="480" w:lineRule="auto" w:before="272"/>
        <w:ind w:left="400" w:right="1317"/>
        <w:jc w:val="both"/>
      </w:pPr>
      <w:r>
        <w:rPr/>
        <w:t>A concept is an image or symbolic representation of an abstract idea (Okolie, 2011). In this context, it is the researcher’s position on the research problem and further shows the</w:t>
      </w:r>
      <w:r>
        <w:rPr>
          <w:spacing w:val="40"/>
        </w:rPr>
        <w:t> </w:t>
      </w:r>
      <w:r>
        <w:rPr/>
        <w:t>relationships that exist between different constructs that the study intends to investigate. The conceptual framework therefore gives direction to this research. Based on the theoretical framework discussed in the preceding sections, the performance concept is chosen as the conceptual framework for this thesis. The coming sections present this concept and the related variables and constructs</w:t>
      </w:r>
    </w:p>
    <w:p>
      <w:pPr>
        <w:pStyle w:val="BodyText"/>
        <w:spacing w:line="480" w:lineRule="auto"/>
        <w:ind w:left="400" w:right="1316"/>
        <w:jc w:val="both"/>
      </w:pPr>
      <w:r>
        <w:rPr/>
        <w:t>To better understand the issue of TQM, it is necessary to discuss some core or fundamental concepts underlying the theoretical framework. These concepts, apart from addressing the key issues</w:t>
      </w:r>
      <w:r>
        <w:rPr>
          <w:spacing w:val="-2"/>
        </w:rPr>
        <w:t> </w:t>
      </w:r>
      <w:r>
        <w:rPr/>
        <w:t>in</w:t>
      </w:r>
      <w:r>
        <w:rPr>
          <w:spacing w:val="-2"/>
        </w:rPr>
        <w:t> </w:t>
      </w:r>
      <w:r>
        <w:rPr/>
        <w:t>the</w:t>
      </w:r>
      <w:r>
        <w:rPr>
          <w:spacing w:val="-3"/>
        </w:rPr>
        <w:t> </w:t>
      </w:r>
      <w:r>
        <w:rPr/>
        <w:t>research explain</w:t>
      </w:r>
      <w:r>
        <w:rPr>
          <w:spacing w:val="-3"/>
        </w:rPr>
        <w:t> </w:t>
      </w:r>
      <w:r>
        <w:rPr/>
        <w:t>the</w:t>
      </w:r>
      <w:r>
        <w:rPr>
          <w:spacing w:val="-3"/>
        </w:rPr>
        <w:t> </w:t>
      </w:r>
      <w:r>
        <w:rPr/>
        <w:t>relationships</w:t>
      </w:r>
      <w:r>
        <w:rPr>
          <w:spacing w:val="-2"/>
        </w:rPr>
        <w:t> </w:t>
      </w:r>
      <w:r>
        <w:rPr/>
        <w:t>among</w:t>
      </w:r>
      <w:r>
        <w:rPr>
          <w:spacing w:val="-5"/>
        </w:rPr>
        <w:t> </w:t>
      </w:r>
      <w:r>
        <w:rPr/>
        <w:t>the</w:t>
      </w:r>
      <w:r>
        <w:rPr>
          <w:spacing w:val="-3"/>
        </w:rPr>
        <w:t> </w:t>
      </w:r>
      <w:r>
        <w:rPr/>
        <w:t>variables</w:t>
      </w:r>
      <w:r>
        <w:rPr>
          <w:spacing w:val="-2"/>
        </w:rPr>
        <w:t> </w:t>
      </w:r>
      <w:r>
        <w:rPr/>
        <w:t>that</w:t>
      </w:r>
      <w:r>
        <w:rPr>
          <w:spacing w:val="-2"/>
        </w:rPr>
        <w:t> </w:t>
      </w:r>
      <w:r>
        <w:rPr/>
        <w:t>constitute</w:t>
      </w:r>
      <w:r>
        <w:rPr>
          <w:spacing w:val="-3"/>
        </w:rPr>
        <w:t> </w:t>
      </w:r>
      <w:r>
        <w:rPr/>
        <w:t>the</w:t>
      </w:r>
      <w:r>
        <w:rPr>
          <w:spacing w:val="-3"/>
        </w:rPr>
        <w:t> </w:t>
      </w:r>
      <w:r>
        <w:rPr/>
        <w:t>greater</w:t>
      </w:r>
      <w:r>
        <w:rPr>
          <w:spacing w:val="-3"/>
        </w:rPr>
        <w:t> </w:t>
      </w:r>
      <w:r>
        <w:rPr/>
        <w:t>part of this chapter.</w:t>
      </w:r>
      <w:r>
        <w:rPr>
          <w:spacing w:val="80"/>
        </w:rPr>
        <w:t> </w:t>
      </w:r>
      <w:r>
        <w:rPr/>
        <w:t>From the foregoing, the conceptual framework for this research lies at the steps that</w:t>
      </w:r>
      <w:r>
        <w:rPr>
          <w:spacing w:val="46"/>
        </w:rPr>
        <w:t> </w:t>
      </w:r>
      <w:r>
        <w:rPr/>
        <w:t>will</w:t>
      </w:r>
      <w:r>
        <w:rPr>
          <w:spacing w:val="49"/>
        </w:rPr>
        <w:t> </w:t>
      </w:r>
      <w:r>
        <w:rPr/>
        <w:t>lead</w:t>
      </w:r>
      <w:r>
        <w:rPr>
          <w:spacing w:val="48"/>
        </w:rPr>
        <w:t> </w:t>
      </w:r>
      <w:r>
        <w:rPr/>
        <w:t>to</w:t>
      </w:r>
      <w:r>
        <w:rPr>
          <w:spacing w:val="49"/>
        </w:rPr>
        <w:t> </w:t>
      </w:r>
      <w:r>
        <w:rPr/>
        <w:t>the</w:t>
      </w:r>
      <w:r>
        <w:rPr>
          <w:spacing w:val="47"/>
        </w:rPr>
        <w:t> </w:t>
      </w:r>
      <w:r>
        <w:rPr/>
        <w:t>success</w:t>
      </w:r>
      <w:r>
        <w:rPr>
          <w:spacing w:val="49"/>
        </w:rPr>
        <w:t> </w:t>
      </w:r>
      <w:r>
        <w:rPr/>
        <w:t>of</w:t>
      </w:r>
      <w:r>
        <w:rPr>
          <w:spacing w:val="48"/>
        </w:rPr>
        <w:t> </w:t>
      </w:r>
      <w:r>
        <w:rPr/>
        <w:t>SMCFs</w:t>
      </w:r>
      <w:r>
        <w:rPr>
          <w:spacing w:val="48"/>
        </w:rPr>
        <w:t> </w:t>
      </w:r>
      <w:r>
        <w:rPr/>
        <w:t>performance.</w:t>
      </w:r>
      <w:r>
        <w:rPr>
          <w:spacing w:val="49"/>
        </w:rPr>
        <w:t> </w:t>
      </w:r>
      <w:r>
        <w:rPr/>
        <w:t>This</w:t>
      </w:r>
      <w:r>
        <w:rPr>
          <w:spacing w:val="48"/>
        </w:rPr>
        <w:t> </w:t>
      </w:r>
      <w:r>
        <w:rPr/>
        <w:t>will</w:t>
      </w:r>
      <w:r>
        <w:rPr>
          <w:spacing w:val="49"/>
        </w:rPr>
        <w:t> </w:t>
      </w:r>
      <w:r>
        <w:rPr/>
        <w:t>evolve</w:t>
      </w:r>
      <w:r>
        <w:rPr>
          <w:spacing w:val="47"/>
        </w:rPr>
        <w:t> </w:t>
      </w:r>
      <w:r>
        <w:rPr/>
        <w:t>from</w:t>
      </w:r>
      <w:r>
        <w:rPr>
          <w:spacing w:val="49"/>
        </w:rPr>
        <w:t> </w:t>
      </w:r>
      <w:r>
        <w:rPr/>
        <w:t>effective</w:t>
      </w:r>
      <w:r>
        <w:rPr>
          <w:spacing w:val="48"/>
        </w:rPr>
        <w:t> </w:t>
      </w:r>
      <w:r>
        <w:rPr>
          <w:spacing w:val="-5"/>
        </w:rPr>
        <w:t>TQM</w:t>
      </w:r>
    </w:p>
    <w:p>
      <w:pPr>
        <w:spacing w:after="0" w:line="480" w:lineRule="auto"/>
        <w:jc w:val="both"/>
        <w:sectPr>
          <w:pgSz w:w="12240" w:h="15840"/>
          <w:pgMar w:header="0" w:footer="1017" w:top="1540" w:bottom="1200" w:left="1040" w:right="120"/>
        </w:sectPr>
      </w:pPr>
    </w:p>
    <w:p>
      <w:pPr>
        <w:pStyle w:val="BodyText"/>
        <w:spacing w:line="480" w:lineRule="auto" w:before="72"/>
        <w:ind w:left="400" w:right="1318"/>
        <w:jc w:val="both"/>
      </w:pPr>
      <w:r>
        <w:rPr/>
        <w:t>practices to competitive advantages. The issues relating to these fields of research will be discussed from the perspective of construction management and within the general principles of management. Figure 2.5 shows a model of the conceptual framework for this research.</w:t>
      </w:r>
    </w:p>
    <w:p>
      <w:pPr>
        <w:pStyle w:val="BodyText"/>
        <w:spacing w:before="112"/>
        <w:rPr>
          <w:sz w:val="20"/>
        </w:rPr>
      </w:pPr>
      <w:r>
        <w:rPr/>
        <mc:AlternateContent>
          <mc:Choice Requires="wps">
            <w:drawing>
              <wp:anchor distT="0" distB="0" distL="0" distR="0" allowOverlap="1" layoutInCell="1" locked="0" behindDoc="1" simplePos="0" relativeHeight="487596032">
                <wp:simplePos x="0" y="0"/>
                <wp:positionH relativeFrom="page">
                  <wp:posOffset>1723072</wp:posOffset>
                </wp:positionH>
                <wp:positionV relativeFrom="paragraph">
                  <wp:posOffset>232816</wp:posOffset>
                </wp:positionV>
                <wp:extent cx="1348105" cy="2426335"/>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1348105" cy="2426335"/>
                          <a:chExt cx="1348105" cy="2426335"/>
                        </a:xfrm>
                      </wpg:grpSpPr>
                      <wps:wsp>
                        <wps:cNvPr id="121" name="Graphic 121"/>
                        <wps:cNvSpPr/>
                        <wps:spPr>
                          <a:xfrm>
                            <a:off x="150812" y="882967"/>
                            <a:ext cx="855344" cy="1467485"/>
                          </a:xfrm>
                          <a:custGeom>
                            <a:avLst/>
                            <a:gdLst/>
                            <a:ahLst/>
                            <a:cxnLst/>
                            <a:rect l="l" t="t" r="r" b="b"/>
                            <a:pathLst>
                              <a:path w="855344" h="1467485">
                                <a:moveTo>
                                  <a:pt x="0" y="1467485"/>
                                </a:moveTo>
                                <a:lnTo>
                                  <a:pt x="855344" y="1467485"/>
                                </a:lnTo>
                                <a:lnTo>
                                  <a:pt x="855344" y="0"/>
                                </a:lnTo>
                                <a:lnTo>
                                  <a:pt x="0" y="0"/>
                                </a:lnTo>
                                <a:lnTo>
                                  <a:pt x="0" y="1467485"/>
                                </a:lnTo>
                                <a:close/>
                              </a:path>
                            </a:pathLst>
                          </a:custGeom>
                          <a:ln w="9524">
                            <a:solidFill>
                              <a:srgbClr val="000000"/>
                            </a:solidFill>
                            <a:prstDash val="solid"/>
                          </a:ln>
                        </wps:spPr>
                        <wps:bodyPr wrap="square" lIns="0" tIns="0" rIns="0" bIns="0" rtlCol="0">
                          <a:prstTxWarp prst="textNoShape">
                            <a:avLst/>
                          </a:prstTxWarp>
                          <a:noAutofit/>
                        </wps:bodyPr>
                      </wps:wsp>
                      <wps:wsp>
                        <wps:cNvPr id="122" name="Graphic 122"/>
                        <wps:cNvSpPr/>
                        <wps:spPr>
                          <a:xfrm>
                            <a:off x="350837"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23" name="Graphic 123"/>
                        <wps:cNvSpPr/>
                        <wps:spPr>
                          <a:xfrm>
                            <a:off x="312745"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541972"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25" name="Graphic 125"/>
                        <wps:cNvSpPr/>
                        <wps:spPr>
                          <a:xfrm>
                            <a:off x="503880"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705802"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27" name="Graphic 127"/>
                        <wps:cNvSpPr/>
                        <wps:spPr>
                          <a:xfrm>
                            <a:off x="667708"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28" name="Textbox 128"/>
                        <wps:cNvSpPr txBox="1"/>
                        <wps:spPr>
                          <a:xfrm>
                            <a:off x="4762" y="4762"/>
                            <a:ext cx="1338580" cy="2416810"/>
                          </a:xfrm>
                          <a:prstGeom prst="rect">
                            <a:avLst/>
                          </a:prstGeom>
                          <a:ln w="9525">
                            <a:solidFill>
                              <a:srgbClr val="000000"/>
                            </a:solidFill>
                            <a:prstDash val="solid"/>
                          </a:ln>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66"/>
                                <w:rPr>
                                  <w:sz w:val="16"/>
                                </w:rPr>
                              </w:pPr>
                            </w:p>
                            <w:p>
                              <w:pPr>
                                <w:spacing w:line="276" w:lineRule="auto" w:before="1"/>
                                <w:ind w:left="396" w:right="690" w:hanging="5"/>
                                <w:jc w:val="center"/>
                                <w:rPr>
                                  <w:b/>
                                  <w:sz w:val="16"/>
                                </w:rPr>
                              </w:pPr>
                              <w:r>
                                <w:rPr>
                                  <w:b/>
                                  <w:spacing w:val="-2"/>
                                  <w:sz w:val="16"/>
                                </w:rPr>
                                <w:t>Critical</w:t>
                              </w:r>
                              <w:r>
                                <w:rPr>
                                  <w:b/>
                                  <w:spacing w:val="40"/>
                                  <w:sz w:val="16"/>
                                </w:rPr>
                                <w:t> </w:t>
                              </w:r>
                              <w:r>
                                <w:rPr>
                                  <w:b/>
                                  <w:sz w:val="16"/>
                                </w:rPr>
                                <w:t>success</w:t>
                              </w:r>
                              <w:r>
                                <w:rPr>
                                  <w:b/>
                                  <w:spacing w:val="-10"/>
                                  <w:sz w:val="16"/>
                                </w:rPr>
                                <w:t> </w:t>
                              </w:r>
                              <w:r>
                                <w:rPr>
                                  <w:b/>
                                  <w:sz w:val="16"/>
                                </w:rPr>
                                <w:t>factors</w:t>
                              </w:r>
                            </w:p>
                            <w:p>
                              <w:pPr>
                                <w:spacing w:line="240" w:lineRule="auto" w:before="16"/>
                                <w:rPr>
                                  <w:b/>
                                  <w:sz w:val="16"/>
                                </w:rPr>
                              </w:pPr>
                            </w:p>
                            <w:p>
                              <w:pPr>
                                <w:spacing w:line="276" w:lineRule="auto" w:before="0"/>
                                <w:ind w:left="411" w:right="709" w:firstLine="0"/>
                                <w:jc w:val="center"/>
                                <w:rPr>
                                  <w:b/>
                                  <w:sz w:val="16"/>
                                </w:rPr>
                              </w:pPr>
                              <w:r>
                                <w:rPr>
                                  <w:b/>
                                  <w:spacing w:val="-2"/>
                                  <w:sz w:val="16"/>
                                </w:rPr>
                                <w:t>-customer</w:t>
                              </w:r>
                              <w:r>
                                <w:rPr>
                                  <w:b/>
                                  <w:spacing w:val="40"/>
                                  <w:sz w:val="16"/>
                                </w:rPr>
                                <w:t> </w:t>
                              </w:r>
                              <w:r>
                                <w:rPr>
                                  <w:b/>
                                  <w:spacing w:val="-2"/>
                                  <w:sz w:val="16"/>
                                </w:rPr>
                                <w:t>focus</w:t>
                              </w:r>
                            </w:p>
                            <w:p>
                              <w:pPr>
                                <w:spacing w:line="276" w:lineRule="auto" w:before="0"/>
                                <w:ind w:left="458" w:right="709" w:firstLine="0"/>
                                <w:jc w:val="center"/>
                                <w:rPr>
                                  <w:b/>
                                  <w:sz w:val="16"/>
                                </w:rPr>
                              </w:pPr>
                              <w:r>
                                <w:rPr>
                                  <w:b/>
                                  <w:sz w:val="16"/>
                                </w:rPr>
                                <w:t>-team</w:t>
                              </w:r>
                              <w:r>
                                <w:rPr>
                                  <w:b/>
                                  <w:spacing w:val="-10"/>
                                  <w:sz w:val="16"/>
                                </w:rPr>
                                <w:t> </w:t>
                              </w:r>
                              <w:r>
                                <w:rPr>
                                  <w:b/>
                                  <w:sz w:val="16"/>
                                </w:rPr>
                                <w:t>work</w:t>
                              </w:r>
                              <w:r>
                                <w:rPr>
                                  <w:b/>
                                  <w:spacing w:val="40"/>
                                  <w:sz w:val="16"/>
                                </w:rPr>
                                <w:t> </w:t>
                              </w:r>
                              <w:r>
                                <w:rPr>
                                  <w:b/>
                                  <w:spacing w:val="-2"/>
                                  <w:sz w:val="16"/>
                                </w:rPr>
                                <w:t>training</w:t>
                              </w:r>
                            </w:p>
                            <w:p>
                              <w:pPr>
                                <w:spacing w:line="276" w:lineRule="auto" w:before="0"/>
                                <w:ind w:left="463" w:right="764" w:firstLine="43"/>
                                <w:jc w:val="center"/>
                                <w:rPr>
                                  <w:b/>
                                  <w:sz w:val="16"/>
                                </w:rPr>
                              </w:pPr>
                              <w:r>
                                <w:rPr>
                                  <w:b/>
                                  <w:spacing w:val="-2"/>
                                  <w:sz w:val="16"/>
                                </w:rPr>
                                <w:t>-Employee</w:t>
                              </w:r>
                              <w:r>
                                <w:rPr>
                                  <w:b/>
                                  <w:spacing w:val="40"/>
                                  <w:sz w:val="16"/>
                                </w:rPr>
                                <w:t> </w:t>
                              </w:r>
                              <w:r>
                                <w:rPr>
                                  <w:b/>
                                  <w:sz w:val="16"/>
                                </w:rPr>
                                <w:t>inv.</w:t>
                              </w:r>
                              <w:r>
                                <w:rPr>
                                  <w:b/>
                                  <w:spacing w:val="-10"/>
                                  <w:sz w:val="16"/>
                                </w:rPr>
                                <w:t> </w:t>
                              </w:r>
                              <w:r>
                                <w:rPr>
                                  <w:b/>
                                  <w:sz w:val="16"/>
                                </w:rPr>
                                <w:t>-Quality</w:t>
                              </w:r>
                              <w:r>
                                <w:rPr>
                                  <w:b/>
                                  <w:spacing w:val="40"/>
                                  <w:sz w:val="16"/>
                                </w:rPr>
                                <w:t> </w:t>
                              </w:r>
                              <w:r>
                                <w:rPr>
                                  <w:b/>
                                  <w:spacing w:val="-2"/>
                                  <w:sz w:val="16"/>
                                </w:rPr>
                                <w:t>culture</w:t>
                              </w:r>
                            </w:p>
                          </w:txbxContent>
                        </wps:txbx>
                        <wps:bodyPr wrap="square" lIns="0" tIns="0" rIns="0" bIns="0" rtlCol="0">
                          <a:noAutofit/>
                        </wps:bodyPr>
                      </wps:wsp>
                      <wps:wsp>
                        <wps:cNvPr id="129" name="Textbox 129"/>
                        <wps:cNvSpPr txBox="1"/>
                        <wps:spPr>
                          <a:xfrm>
                            <a:off x="150812" y="69532"/>
                            <a:ext cx="855344" cy="607695"/>
                          </a:xfrm>
                          <a:prstGeom prst="rect">
                            <a:avLst/>
                          </a:prstGeom>
                          <a:ln w="9525">
                            <a:solidFill>
                              <a:srgbClr val="000000"/>
                            </a:solidFill>
                            <a:prstDash val="solid"/>
                          </a:ln>
                        </wps:spPr>
                        <wps:txbx>
                          <w:txbxContent>
                            <w:p>
                              <w:pPr>
                                <w:spacing w:line="278" w:lineRule="auto" w:before="70"/>
                                <w:ind w:left="144" w:right="0" w:firstLine="0"/>
                                <w:jc w:val="left"/>
                                <w:rPr>
                                  <w:b/>
                                  <w:sz w:val="22"/>
                                </w:rPr>
                              </w:pPr>
                              <w:r>
                                <w:rPr>
                                  <w:b/>
                                  <w:spacing w:val="-2"/>
                                  <w:sz w:val="22"/>
                                </w:rPr>
                                <w:t>Effective </w:t>
                              </w:r>
                              <w:r>
                                <w:rPr>
                                  <w:b/>
                                  <w:spacing w:val="-4"/>
                                  <w:sz w:val="22"/>
                                </w:rPr>
                                <w:t>TQM</w:t>
                              </w:r>
                            </w:p>
                            <w:p>
                              <w:pPr>
                                <w:spacing w:line="249" w:lineRule="exact" w:before="0"/>
                                <w:ind w:left="144" w:right="0" w:firstLine="0"/>
                                <w:jc w:val="left"/>
                                <w:rPr>
                                  <w:b/>
                                  <w:sz w:val="22"/>
                                </w:rPr>
                              </w:pPr>
                              <w:r>
                                <w:rPr>
                                  <w:b/>
                                  <w:spacing w:val="-2"/>
                                  <w:sz w:val="22"/>
                                </w:rPr>
                                <w:t>Practices</w:t>
                              </w:r>
                            </w:p>
                          </w:txbxContent>
                        </wps:txbx>
                        <wps:bodyPr wrap="square" lIns="0" tIns="0" rIns="0" bIns="0" rtlCol="0">
                          <a:noAutofit/>
                        </wps:bodyPr>
                      </wps:wsp>
                    </wpg:wgp>
                  </a:graphicData>
                </a:graphic>
              </wp:anchor>
            </w:drawing>
          </mc:Choice>
          <mc:Fallback>
            <w:pict>
              <v:group style="position:absolute;margin-left:135.675003pt;margin-top:18.332031pt;width:106.15pt;height:191.05pt;mso-position-horizontal-relative:page;mso-position-vertical-relative:paragraph;z-index:-15720448;mso-wrap-distance-left:0;mso-wrap-distance-right:0" id="docshapegroup95" coordorigin="2714,367" coordsize="2123,3821">
                <v:rect style="position:absolute;left:2951;top:1757;width:1347;height:2311" id="docshape96" filled="false" stroked="true" strokeweight=".75pt" strokecolor="#000000">
                  <v:stroke dashstyle="solid"/>
                </v:rect>
                <v:line style="position:absolute" from="3266,1812" to="3266,1616" stroked="true" strokeweight="1pt" strokecolor="#000000">
                  <v:stroke dashstyle="solid"/>
                </v:line>
                <v:shape style="position:absolute;left:3206;top:1516;width:120;height:120" id="docshape97" coordorigin="3206,1516" coordsize="120,120" path="m3266,1516l3206,1636,3326,1636,3266,1516xe" filled="true" fillcolor="#000000" stroked="false">
                  <v:path arrowok="t"/>
                  <v:fill type="solid"/>
                </v:shape>
                <v:line style="position:absolute" from="3567,1812" to="3567,1616" stroked="true" strokeweight="1pt" strokecolor="#000000">
                  <v:stroke dashstyle="solid"/>
                </v:line>
                <v:shape style="position:absolute;left:3507;top:1516;width:120;height:120" id="docshape98" coordorigin="3507,1516" coordsize="120,120" path="m3567,1516l3507,1636,3627,1636,3567,1516xe" filled="true" fillcolor="#000000" stroked="false">
                  <v:path arrowok="t"/>
                  <v:fill type="solid"/>
                </v:shape>
                <v:line style="position:absolute" from="3825,1812" to="3825,1616" stroked="true" strokeweight="1pt" strokecolor="#000000">
                  <v:stroke dashstyle="solid"/>
                </v:line>
                <v:shape style="position:absolute;left:3765;top:1516;width:120;height:120" id="docshape99" coordorigin="3765,1516" coordsize="120,120" path="m3825,1516l3765,1636,3885,1636,3825,1516xe" filled="true" fillcolor="#000000" stroked="false">
                  <v:path arrowok="t"/>
                  <v:fill type="solid"/>
                </v:shape>
                <v:shape style="position:absolute;left:2721;top:374;width:2108;height:3806" type="#_x0000_t202" id="docshape100" filled="false" stroked="true" strokeweight=".75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66"/>
                          <w:rPr>
                            <w:sz w:val="16"/>
                          </w:rPr>
                        </w:pPr>
                      </w:p>
                      <w:p>
                        <w:pPr>
                          <w:spacing w:line="276" w:lineRule="auto" w:before="1"/>
                          <w:ind w:left="396" w:right="690" w:hanging="5"/>
                          <w:jc w:val="center"/>
                          <w:rPr>
                            <w:b/>
                            <w:sz w:val="16"/>
                          </w:rPr>
                        </w:pPr>
                        <w:r>
                          <w:rPr>
                            <w:b/>
                            <w:spacing w:val="-2"/>
                            <w:sz w:val="16"/>
                          </w:rPr>
                          <w:t>Critical</w:t>
                        </w:r>
                        <w:r>
                          <w:rPr>
                            <w:b/>
                            <w:spacing w:val="40"/>
                            <w:sz w:val="16"/>
                          </w:rPr>
                          <w:t> </w:t>
                        </w:r>
                        <w:r>
                          <w:rPr>
                            <w:b/>
                            <w:sz w:val="16"/>
                          </w:rPr>
                          <w:t>success</w:t>
                        </w:r>
                        <w:r>
                          <w:rPr>
                            <w:b/>
                            <w:spacing w:val="-10"/>
                            <w:sz w:val="16"/>
                          </w:rPr>
                          <w:t> </w:t>
                        </w:r>
                        <w:r>
                          <w:rPr>
                            <w:b/>
                            <w:sz w:val="16"/>
                          </w:rPr>
                          <w:t>factors</w:t>
                        </w:r>
                      </w:p>
                      <w:p>
                        <w:pPr>
                          <w:spacing w:line="240" w:lineRule="auto" w:before="16"/>
                          <w:rPr>
                            <w:b/>
                            <w:sz w:val="16"/>
                          </w:rPr>
                        </w:pPr>
                      </w:p>
                      <w:p>
                        <w:pPr>
                          <w:spacing w:line="276" w:lineRule="auto" w:before="0"/>
                          <w:ind w:left="411" w:right="709" w:firstLine="0"/>
                          <w:jc w:val="center"/>
                          <w:rPr>
                            <w:b/>
                            <w:sz w:val="16"/>
                          </w:rPr>
                        </w:pPr>
                        <w:r>
                          <w:rPr>
                            <w:b/>
                            <w:spacing w:val="-2"/>
                            <w:sz w:val="16"/>
                          </w:rPr>
                          <w:t>-customer</w:t>
                        </w:r>
                        <w:r>
                          <w:rPr>
                            <w:b/>
                            <w:spacing w:val="40"/>
                            <w:sz w:val="16"/>
                          </w:rPr>
                          <w:t> </w:t>
                        </w:r>
                        <w:r>
                          <w:rPr>
                            <w:b/>
                            <w:spacing w:val="-2"/>
                            <w:sz w:val="16"/>
                          </w:rPr>
                          <w:t>focus</w:t>
                        </w:r>
                      </w:p>
                      <w:p>
                        <w:pPr>
                          <w:spacing w:line="276" w:lineRule="auto" w:before="0"/>
                          <w:ind w:left="458" w:right="709" w:firstLine="0"/>
                          <w:jc w:val="center"/>
                          <w:rPr>
                            <w:b/>
                            <w:sz w:val="16"/>
                          </w:rPr>
                        </w:pPr>
                        <w:r>
                          <w:rPr>
                            <w:b/>
                            <w:sz w:val="16"/>
                          </w:rPr>
                          <w:t>-team</w:t>
                        </w:r>
                        <w:r>
                          <w:rPr>
                            <w:b/>
                            <w:spacing w:val="-10"/>
                            <w:sz w:val="16"/>
                          </w:rPr>
                          <w:t> </w:t>
                        </w:r>
                        <w:r>
                          <w:rPr>
                            <w:b/>
                            <w:sz w:val="16"/>
                          </w:rPr>
                          <w:t>work</w:t>
                        </w:r>
                        <w:r>
                          <w:rPr>
                            <w:b/>
                            <w:spacing w:val="40"/>
                            <w:sz w:val="16"/>
                          </w:rPr>
                          <w:t> </w:t>
                        </w:r>
                        <w:r>
                          <w:rPr>
                            <w:b/>
                            <w:spacing w:val="-2"/>
                            <w:sz w:val="16"/>
                          </w:rPr>
                          <w:t>training</w:t>
                        </w:r>
                      </w:p>
                      <w:p>
                        <w:pPr>
                          <w:spacing w:line="276" w:lineRule="auto" w:before="0"/>
                          <w:ind w:left="463" w:right="764" w:firstLine="43"/>
                          <w:jc w:val="center"/>
                          <w:rPr>
                            <w:b/>
                            <w:sz w:val="16"/>
                          </w:rPr>
                        </w:pPr>
                        <w:r>
                          <w:rPr>
                            <w:b/>
                            <w:spacing w:val="-2"/>
                            <w:sz w:val="16"/>
                          </w:rPr>
                          <w:t>-Employee</w:t>
                        </w:r>
                        <w:r>
                          <w:rPr>
                            <w:b/>
                            <w:spacing w:val="40"/>
                            <w:sz w:val="16"/>
                          </w:rPr>
                          <w:t> </w:t>
                        </w:r>
                        <w:r>
                          <w:rPr>
                            <w:b/>
                            <w:sz w:val="16"/>
                          </w:rPr>
                          <w:t>inv.</w:t>
                        </w:r>
                        <w:r>
                          <w:rPr>
                            <w:b/>
                            <w:spacing w:val="-10"/>
                            <w:sz w:val="16"/>
                          </w:rPr>
                          <w:t> </w:t>
                        </w:r>
                        <w:r>
                          <w:rPr>
                            <w:b/>
                            <w:sz w:val="16"/>
                          </w:rPr>
                          <w:t>-Quality</w:t>
                        </w:r>
                        <w:r>
                          <w:rPr>
                            <w:b/>
                            <w:spacing w:val="40"/>
                            <w:sz w:val="16"/>
                          </w:rPr>
                          <w:t> </w:t>
                        </w:r>
                        <w:r>
                          <w:rPr>
                            <w:b/>
                            <w:spacing w:val="-2"/>
                            <w:sz w:val="16"/>
                          </w:rPr>
                          <w:t>culture</w:t>
                        </w:r>
                      </w:p>
                    </w:txbxContent>
                  </v:textbox>
                  <v:stroke dashstyle="solid"/>
                  <w10:wrap type="none"/>
                </v:shape>
                <v:shape style="position:absolute;left:2951;top:476;width:1347;height:957" type="#_x0000_t202" id="docshape101" filled="false" stroked="true" strokeweight=".75pt" strokecolor="#000000">
                  <v:textbox inset="0,0,0,0">
                    <w:txbxContent>
                      <w:p>
                        <w:pPr>
                          <w:spacing w:line="278" w:lineRule="auto" w:before="70"/>
                          <w:ind w:left="144" w:right="0" w:firstLine="0"/>
                          <w:jc w:val="left"/>
                          <w:rPr>
                            <w:b/>
                            <w:sz w:val="22"/>
                          </w:rPr>
                        </w:pPr>
                        <w:r>
                          <w:rPr>
                            <w:b/>
                            <w:spacing w:val="-2"/>
                            <w:sz w:val="22"/>
                          </w:rPr>
                          <w:t>Effective </w:t>
                        </w:r>
                        <w:r>
                          <w:rPr>
                            <w:b/>
                            <w:spacing w:val="-4"/>
                            <w:sz w:val="22"/>
                          </w:rPr>
                          <w:t>TQM</w:t>
                        </w:r>
                      </w:p>
                      <w:p>
                        <w:pPr>
                          <w:spacing w:line="249" w:lineRule="exact" w:before="0"/>
                          <w:ind w:left="144" w:right="0" w:firstLine="0"/>
                          <w:jc w:val="left"/>
                          <w:rPr>
                            <w:b/>
                            <w:sz w:val="22"/>
                          </w:rPr>
                        </w:pPr>
                        <w:r>
                          <w:rPr>
                            <w:b/>
                            <w:spacing w:val="-2"/>
                            <w:sz w:val="22"/>
                          </w:rPr>
                          <w:t>Practices</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6544">
                <wp:simplePos x="0" y="0"/>
                <wp:positionH relativeFrom="page">
                  <wp:posOffset>3122929</wp:posOffset>
                </wp:positionH>
                <wp:positionV relativeFrom="paragraph">
                  <wp:posOffset>232816</wp:posOffset>
                </wp:positionV>
                <wp:extent cx="2078989" cy="2426335"/>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2078989" cy="2426335"/>
                          <a:chExt cx="2078989" cy="2426335"/>
                        </a:xfrm>
                      </wpg:grpSpPr>
                      <wps:wsp>
                        <wps:cNvPr id="131" name="Graphic 131"/>
                        <wps:cNvSpPr/>
                        <wps:spPr>
                          <a:xfrm>
                            <a:off x="6350" y="332422"/>
                            <a:ext cx="392430" cy="1270"/>
                          </a:xfrm>
                          <a:custGeom>
                            <a:avLst/>
                            <a:gdLst/>
                            <a:ahLst/>
                            <a:cxnLst/>
                            <a:rect l="l" t="t" r="r" b="b"/>
                            <a:pathLst>
                              <a:path w="392430" h="635">
                                <a:moveTo>
                                  <a:pt x="0" y="0"/>
                                </a:moveTo>
                                <a:lnTo>
                                  <a:pt x="392430" y="546"/>
                                </a:lnTo>
                              </a:path>
                            </a:pathLst>
                          </a:custGeom>
                          <a:ln w="12700">
                            <a:solidFill>
                              <a:srgbClr val="000000"/>
                            </a:solidFill>
                            <a:prstDash val="solid"/>
                          </a:ln>
                        </wps:spPr>
                        <wps:bodyPr wrap="square" lIns="0" tIns="0" rIns="0" bIns="0" rtlCol="0">
                          <a:prstTxWarp prst="textNoShape">
                            <a:avLst/>
                          </a:prstTxWarp>
                          <a:noAutofit/>
                        </wps:bodyPr>
                      </wps:wsp>
                      <wps:wsp>
                        <wps:cNvPr id="132" name="Graphic 132"/>
                        <wps:cNvSpPr/>
                        <wps:spPr>
                          <a:xfrm>
                            <a:off x="386020" y="294846"/>
                            <a:ext cx="76835" cy="76200"/>
                          </a:xfrm>
                          <a:custGeom>
                            <a:avLst/>
                            <a:gdLst/>
                            <a:ahLst/>
                            <a:cxnLst/>
                            <a:rect l="l" t="t" r="r" b="b"/>
                            <a:pathLst>
                              <a:path w="76835" h="76200">
                                <a:moveTo>
                                  <a:pt x="114" y="0"/>
                                </a:moveTo>
                                <a:lnTo>
                                  <a:pt x="0" y="76200"/>
                                </a:lnTo>
                                <a:lnTo>
                                  <a:pt x="76263" y="38214"/>
                                </a:lnTo>
                                <a:lnTo>
                                  <a:pt x="114"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462280" y="4762"/>
                            <a:ext cx="1611630" cy="2416810"/>
                          </a:xfrm>
                          <a:custGeom>
                            <a:avLst/>
                            <a:gdLst/>
                            <a:ahLst/>
                            <a:cxnLst/>
                            <a:rect l="l" t="t" r="r" b="b"/>
                            <a:pathLst>
                              <a:path w="1611630" h="2416810">
                                <a:moveTo>
                                  <a:pt x="0" y="2416810"/>
                                </a:moveTo>
                                <a:lnTo>
                                  <a:pt x="1611630" y="2416810"/>
                                </a:lnTo>
                                <a:lnTo>
                                  <a:pt x="1611630" y="0"/>
                                </a:lnTo>
                                <a:lnTo>
                                  <a:pt x="0" y="0"/>
                                </a:lnTo>
                                <a:lnTo>
                                  <a:pt x="0" y="2416810"/>
                                </a:lnTo>
                                <a:close/>
                              </a:path>
                            </a:pathLst>
                          </a:custGeom>
                          <a:ln w="9525">
                            <a:solidFill>
                              <a:srgbClr val="000000"/>
                            </a:solidFill>
                            <a:prstDash val="solid"/>
                          </a:ln>
                        </wps:spPr>
                        <wps:bodyPr wrap="square" lIns="0" tIns="0" rIns="0" bIns="0" rtlCol="0">
                          <a:prstTxWarp prst="textNoShape">
                            <a:avLst/>
                          </a:prstTxWarp>
                          <a:noAutofit/>
                        </wps:bodyPr>
                      </wps:wsp>
                      <wps:wsp>
                        <wps:cNvPr id="134" name="Graphic 134"/>
                        <wps:cNvSpPr/>
                        <wps:spPr>
                          <a:xfrm>
                            <a:off x="962660"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924566"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1144905"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37" name="Graphic 137"/>
                        <wps:cNvSpPr/>
                        <wps:spPr>
                          <a:xfrm>
                            <a:off x="1106812"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363344" y="793432"/>
                            <a:ext cx="1270" cy="124460"/>
                          </a:xfrm>
                          <a:custGeom>
                            <a:avLst/>
                            <a:gdLst/>
                            <a:ahLst/>
                            <a:cxnLst/>
                            <a:rect l="l" t="t" r="r" b="b"/>
                            <a:pathLst>
                              <a:path w="0" h="124460">
                                <a:moveTo>
                                  <a:pt x="0" y="12445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39" name="Graphic 139"/>
                        <wps:cNvSpPr/>
                        <wps:spPr>
                          <a:xfrm>
                            <a:off x="1325251" y="729936"/>
                            <a:ext cx="76200" cy="76200"/>
                          </a:xfrm>
                          <a:custGeom>
                            <a:avLst/>
                            <a:gdLst/>
                            <a:ahLst/>
                            <a:cxnLst/>
                            <a:rect l="l" t="t" r="r" b="b"/>
                            <a:pathLst>
                              <a:path w="76200" h="76200">
                                <a:moveTo>
                                  <a:pt x="38087" y="0"/>
                                </a:moveTo>
                                <a:lnTo>
                                  <a:pt x="0" y="76200"/>
                                </a:lnTo>
                                <a:lnTo>
                                  <a:pt x="76200" y="76187"/>
                                </a:lnTo>
                                <a:lnTo>
                                  <a:pt x="38087" y="0"/>
                                </a:lnTo>
                                <a:close/>
                              </a:path>
                            </a:pathLst>
                          </a:custGeom>
                          <a:solidFill>
                            <a:srgbClr val="000000"/>
                          </a:solidFill>
                        </wps:spPr>
                        <wps:bodyPr wrap="square" lIns="0" tIns="0" rIns="0" bIns="0" rtlCol="0">
                          <a:prstTxWarp prst="textNoShape">
                            <a:avLst/>
                          </a:prstTxWarp>
                          <a:noAutofit/>
                        </wps:bodyPr>
                      </wps:wsp>
                      <wps:wsp>
                        <wps:cNvPr id="140" name="Textbox 140"/>
                        <wps:cNvSpPr txBox="1"/>
                        <wps:spPr>
                          <a:xfrm>
                            <a:off x="608330" y="959802"/>
                            <a:ext cx="1191895" cy="1390650"/>
                          </a:xfrm>
                          <a:prstGeom prst="rect">
                            <a:avLst/>
                          </a:prstGeom>
                          <a:ln w="9525">
                            <a:solidFill>
                              <a:srgbClr val="000000"/>
                            </a:solidFill>
                            <a:prstDash val="solid"/>
                          </a:ln>
                        </wps:spPr>
                        <wps:txbx>
                          <w:txbxContent>
                            <w:p>
                              <w:pPr>
                                <w:tabs>
                                  <w:tab w:pos="1124" w:val="left" w:leader="none"/>
                                </w:tabs>
                                <w:spacing w:line="276" w:lineRule="auto" w:before="73"/>
                                <w:ind w:left="145" w:right="139" w:firstLine="0"/>
                                <w:jc w:val="left"/>
                                <w:rPr>
                                  <w:b/>
                                  <w:sz w:val="16"/>
                                </w:rPr>
                              </w:pPr>
                              <w:r>
                                <w:rPr>
                                  <w:b/>
                                  <w:spacing w:val="-2"/>
                                  <w:sz w:val="16"/>
                                </w:rPr>
                                <w:t>-Increased</w:t>
                              </w:r>
                              <w:r>
                                <w:rPr>
                                  <w:b/>
                                  <w:sz w:val="16"/>
                                </w:rPr>
                                <w:tab/>
                              </w:r>
                              <w:r>
                                <w:rPr>
                                  <w:b/>
                                  <w:spacing w:val="-2"/>
                                  <w:sz w:val="16"/>
                                </w:rPr>
                                <w:t>financial</w:t>
                              </w:r>
                              <w:r>
                                <w:rPr>
                                  <w:b/>
                                  <w:spacing w:val="40"/>
                                  <w:sz w:val="16"/>
                                </w:rPr>
                                <w:t> </w:t>
                              </w:r>
                              <w:r>
                                <w:rPr>
                                  <w:b/>
                                  <w:spacing w:val="-2"/>
                                  <w:sz w:val="16"/>
                                </w:rPr>
                                <w:t>performance</w:t>
                              </w:r>
                            </w:p>
                            <w:p>
                              <w:pPr>
                                <w:tabs>
                                  <w:tab w:pos="1177" w:val="left" w:leader="none"/>
                                </w:tabs>
                                <w:spacing w:line="276" w:lineRule="auto" w:before="0"/>
                                <w:ind w:left="145" w:right="137" w:firstLine="40"/>
                                <w:jc w:val="left"/>
                                <w:rPr>
                                  <w:b/>
                                  <w:sz w:val="16"/>
                                </w:rPr>
                              </w:pPr>
                              <w:r>
                                <w:rPr>
                                  <w:b/>
                                  <w:spacing w:val="-2"/>
                                  <w:sz w:val="16"/>
                                </w:rPr>
                                <w:t>–Improved</w:t>
                              </w:r>
                              <w:r>
                                <w:rPr>
                                  <w:b/>
                                  <w:sz w:val="16"/>
                                </w:rPr>
                                <w:tab/>
                              </w:r>
                              <w:r>
                                <w:rPr>
                                  <w:b/>
                                  <w:spacing w:val="-2"/>
                                  <w:sz w:val="16"/>
                                </w:rPr>
                                <w:t>product</w:t>
                              </w:r>
                              <w:r>
                                <w:rPr>
                                  <w:b/>
                                  <w:spacing w:val="40"/>
                                  <w:sz w:val="16"/>
                                </w:rPr>
                                <w:t> </w:t>
                              </w:r>
                              <w:r>
                                <w:rPr>
                                  <w:b/>
                                  <w:spacing w:val="-2"/>
                                  <w:sz w:val="16"/>
                                </w:rPr>
                                <w:t>quality</w:t>
                              </w:r>
                            </w:p>
                            <w:p>
                              <w:pPr>
                                <w:tabs>
                                  <w:tab w:pos="1222" w:val="left" w:leader="none"/>
                                </w:tabs>
                                <w:spacing w:line="276" w:lineRule="auto" w:before="0"/>
                                <w:ind w:left="145" w:right="141" w:firstLine="40"/>
                                <w:jc w:val="left"/>
                                <w:rPr>
                                  <w:b/>
                                  <w:sz w:val="16"/>
                                </w:rPr>
                              </w:pPr>
                              <w:r>
                                <w:rPr>
                                  <w:b/>
                                  <w:spacing w:val="-2"/>
                                  <w:sz w:val="16"/>
                                </w:rPr>
                                <w:t>–Improved</w:t>
                              </w:r>
                              <w:r>
                                <w:rPr>
                                  <w:b/>
                                  <w:sz w:val="16"/>
                                </w:rPr>
                                <w:tab/>
                              </w:r>
                              <w:r>
                                <w:rPr>
                                  <w:b/>
                                  <w:spacing w:val="-2"/>
                                  <w:sz w:val="16"/>
                                </w:rPr>
                                <w:t>market</w:t>
                              </w:r>
                              <w:r>
                                <w:rPr>
                                  <w:b/>
                                  <w:spacing w:val="40"/>
                                  <w:sz w:val="16"/>
                                </w:rPr>
                                <w:t> </w:t>
                              </w:r>
                              <w:r>
                                <w:rPr>
                                  <w:b/>
                                  <w:spacing w:val="-2"/>
                                  <w:sz w:val="16"/>
                                </w:rPr>
                                <w:t>share</w:t>
                              </w:r>
                            </w:p>
                            <w:p>
                              <w:pPr>
                                <w:spacing w:line="278" w:lineRule="auto" w:before="0"/>
                                <w:ind w:left="145" w:right="137" w:firstLine="0"/>
                                <w:jc w:val="left"/>
                                <w:rPr>
                                  <w:b/>
                                  <w:sz w:val="16"/>
                                </w:rPr>
                              </w:pPr>
                              <w:r>
                                <w:rPr>
                                  <w:b/>
                                  <w:sz w:val="16"/>
                                </w:rPr>
                                <w:t>-Improved</w:t>
                              </w:r>
                              <w:r>
                                <w:rPr>
                                  <w:b/>
                                  <w:spacing w:val="-5"/>
                                  <w:sz w:val="16"/>
                                </w:rPr>
                                <w:t> </w:t>
                              </w:r>
                              <w:r>
                                <w:rPr>
                                  <w:b/>
                                  <w:sz w:val="16"/>
                                </w:rPr>
                                <w:t>Customer’s</w:t>
                              </w:r>
                              <w:r>
                                <w:rPr>
                                  <w:b/>
                                  <w:spacing w:val="40"/>
                                  <w:sz w:val="16"/>
                                </w:rPr>
                                <w:t> </w:t>
                              </w:r>
                              <w:r>
                                <w:rPr>
                                  <w:b/>
                                  <w:spacing w:val="-2"/>
                                  <w:sz w:val="16"/>
                                </w:rPr>
                                <w:t>Satisfaction</w:t>
                              </w:r>
                            </w:p>
                          </w:txbxContent>
                        </wps:txbx>
                        <wps:bodyPr wrap="square" lIns="0" tIns="0" rIns="0" bIns="0" rtlCol="0">
                          <a:noAutofit/>
                        </wps:bodyPr>
                      </wps:wsp>
                      <wps:wsp>
                        <wps:cNvPr id="141" name="Textbox 141"/>
                        <wps:cNvSpPr txBox="1"/>
                        <wps:spPr>
                          <a:xfrm>
                            <a:off x="726440" y="122237"/>
                            <a:ext cx="991869" cy="554990"/>
                          </a:xfrm>
                          <a:prstGeom prst="rect">
                            <a:avLst/>
                          </a:prstGeom>
                          <a:ln w="9525">
                            <a:solidFill>
                              <a:srgbClr val="000000"/>
                            </a:solidFill>
                            <a:prstDash val="solid"/>
                          </a:ln>
                        </wps:spPr>
                        <wps:txbx>
                          <w:txbxContent>
                            <w:p>
                              <w:pPr>
                                <w:spacing w:line="276" w:lineRule="auto" w:before="72"/>
                                <w:ind w:left="144" w:right="149" w:firstLine="0"/>
                                <w:jc w:val="left"/>
                                <w:rPr>
                                  <w:b/>
                                  <w:sz w:val="24"/>
                                </w:rPr>
                              </w:pPr>
                              <w:r>
                                <w:rPr>
                                  <w:b/>
                                  <w:spacing w:val="-2"/>
                                  <w:sz w:val="24"/>
                                </w:rPr>
                                <w:t>Competitive Advantages</w:t>
                              </w:r>
                            </w:p>
                          </w:txbxContent>
                        </wps:txbx>
                        <wps:bodyPr wrap="square" lIns="0" tIns="0" rIns="0" bIns="0" rtlCol="0">
                          <a:noAutofit/>
                        </wps:bodyPr>
                      </wps:wsp>
                    </wpg:wgp>
                  </a:graphicData>
                </a:graphic>
              </wp:anchor>
            </w:drawing>
          </mc:Choice>
          <mc:Fallback>
            <w:pict>
              <v:group style="position:absolute;margin-left:245.899994pt;margin-top:18.332031pt;width:163.7pt;height:191.05pt;mso-position-horizontal-relative:page;mso-position-vertical-relative:paragraph;z-index:-15719936;mso-wrap-distance-left:0;mso-wrap-distance-right:0" id="docshapegroup102" coordorigin="4918,367" coordsize="3274,3821">
                <v:line style="position:absolute" from="4928,890" to="5546,891" stroked="true" strokeweight="1pt" strokecolor="#000000">
                  <v:stroke dashstyle="solid"/>
                </v:line>
                <v:shape style="position:absolute;left:5525;top:830;width:121;height:120" id="docshape103" coordorigin="5526,831" coordsize="121,120" path="m5526,831l5526,951,5646,891,5526,831xe" filled="true" fillcolor="#000000" stroked="false">
                  <v:path arrowok="t"/>
                  <v:fill type="solid"/>
                </v:shape>
                <v:rect style="position:absolute;left:5646;top:374;width:2538;height:3806" id="docshape104" filled="false" stroked="true" strokeweight=".75pt" strokecolor="#000000">
                  <v:stroke dashstyle="solid"/>
                </v:rect>
                <v:line style="position:absolute" from="6434,1812" to="6434,1616" stroked="true" strokeweight="1pt" strokecolor="#000000">
                  <v:stroke dashstyle="solid"/>
                </v:line>
                <v:shape style="position:absolute;left:6374;top:1516;width:120;height:120" id="docshape105" coordorigin="6374,1516" coordsize="120,120" path="m6434,1516l6374,1636,6494,1636,6434,1516xe" filled="true" fillcolor="#000000" stroked="false">
                  <v:path arrowok="t"/>
                  <v:fill type="solid"/>
                </v:shape>
                <v:line style="position:absolute" from="6721,1812" to="6721,1616" stroked="true" strokeweight="1pt" strokecolor="#000000">
                  <v:stroke dashstyle="solid"/>
                </v:line>
                <v:shape style="position:absolute;left:6661;top:1516;width:120;height:120" id="docshape106" coordorigin="6661,1516" coordsize="120,120" path="m6721,1516l6661,1636,6781,1636,6721,1516xe" filled="true" fillcolor="#000000" stroked="false">
                  <v:path arrowok="t"/>
                  <v:fill type="solid"/>
                </v:shape>
                <v:line style="position:absolute" from="7065,1812" to="7065,1616" stroked="true" strokeweight="1pt" strokecolor="#000000">
                  <v:stroke dashstyle="solid"/>
                </v:line>
                <v:shape style="position:absolute;left:7005;top:1516;width:120;height:120" id="docshape107" coordorigin="7005,1516" coordsize="120,120" path="m7065,1516l7005,1636,7125,1636,7065,1516xe" filled="true" fillcolor="#000000" stroked="false">
                  <v:path arrowok="t"/>
                  <v:fill type="solid"/>
                </v:shape>
                <v:shape style="position:absolute;left:5876;top:1878;width:1877;height:2190" type="#_x0000_t202" id="docshape108" filled="false" stroked="true" strokeweight=".75pt" strokecolor="#000000">
                  <v:textbox inset="0,0,0,0">
                    <w:txbxContent>
                      <w:p>
                        <w:pPr>
                          <w:tabs>
                            <w:tab w:pos="1124" w:val="left" w:leader="none"/>
                          </w:tabs>
                          <w:spacing w:line="276" w:lineRule="auto" w:before="73"/>
                          <w:ind w:left="145" w:right="139" w:firstLine="0"/>
                          <w:jc w:val="left"/>
                          <w:rPr>
                            <w:b/>
                            <w:sz w:val="16"/>
                          </w:rPr>
                        </w:pPr>
                        <w:r>
                          <w:rPr>
                            <w:b/>
                            <w:spacing w:val="-2"/>
                            <w:sz w:val="16"/>
                          </w:rPr>
                          <w:t>-Increased</w:t>
                        </w:r>
                        <w:r>
                          <w:rPr>
                            <w:b/>
                            <w:sz w:val="16"/>
                          </w:rPr>
                          <w:tab/>
                        </w:r>
                        <w:r>
                          <w:rPr>
                            <w:b/>
                            <w:spacing w:val="-2"/>
                            <w:sz w:val="16"/>
                          </w:rPr>
                          <w:t>financial</w:t>
                        </w:r>
                        <w:r>
                          <w:rPr>
                            <w:b/>
                            <w:spacing w:val="40"/>
                            <w:sz w:val="16"/>
                          </w:rPr>
                          <w:t> </w:t>
                        </w:r>
                        <w:r>
                          <w:rPr>
                            <w:b/>
                            <w:spacing w:val="-2"/>
                            <w:sz w:val="16"/>
                          </w:rPr>
                          <w:t>performance</w:t>
                        </w:r>
                      </w:p>
                      <w:p>
                        <w:pPr>
                          <w:tabs>
                            <w:tab w:pos="1177" w:val="left" w:leader="none"/>
                          </w:tabs>
                          <w:spacing w:line="276" w:lineRule="auto" w:before="0"/>
                          <w:ind w:left="145" w:right="137" w:firstLine="40"/>
                          <w:jc w:val="left"/>
                          <w:rPr>
                            <w:b/>
                            <w:sz w:val="16"/>
                          </w:rPr>
                        </w:pPr>
                        <w:r>
                          <w:rPr>
                            <w:b/>
                            <w:spacing w:val="-2"/>
                            <w:sz w:val="16"/>
                          </w:rPr>
                          <w:t>–Improved</w:t>
                        </w:r>
                        <w:r>
                          <w:rPr>
                            <w:b/>
                            <w:sz w:val="16"/>
                          </w:rPr>
                          <w:tab/>
                        </w:r>
                        <w:r>
                          <w:rPr>
                            <w:b/>
                            <w:spacing w:val="-2"/>
                            <w:sz w:val="16"/>
                          </w:rPr>
                          <w:t>product</w:t>
                        </w:r>
                        <w:r>
                          <w:rPr>
                            <w:b/>
                            <w:spacing w:val="40"/>
                            <w:sz w:val="16"/>
                          </w:rPr>
                          <w:t> </w:t>
                        </w:r>
                        <w:r>
                          <w:rPr>
                            <w:b/>
                            <w:spacing w:val="-2"/>
                            <w:sz w:val="16"/>
                          </w:rPr>
                          <w:t>quality</w:t>
                        </w:r>
                      </w:p>
                      <w:p>
                        <w:pPr>
                          <w:tabs>
                            <w:tab w:pos="1222" w:val="left" w:leader="none"/>
                          </w:tabs>
                          <w:spacing w:line="276" w:lineRule="auto" w:before="0"/>
                          <w:ind w:left="145" w:right="141" w:firstLine="40"/>
                          <w:jc w:val="left"/>
                          <w:rPr>
                            <w:b/>
                            <w:sz w:val="16"/>
                          </w:rPr>
                        </w:pPr>
                        <w:r>
                          <w:rPr>
                            <w:b/>
                            <w:spacing w:val="-2"/>
                            <w:sz w:val="16"/>
                          </w:rPr>
                          <w:t>–Improved</w:t>
                        </w:r>
                        <w:r>
                          <w:rPr>
                            <w:b/>
                            <w:sz w:val="16"/>
                          </w:rPr>
                          <w:tab/>
                        </w:r>
                        <w:r>
                          <w:rPr>
                            <w:b/>
                            <w:spacing w:val="-2"/>
                            <w:sz w:val="16"/>
                          </w:rPr>
                          <w:t>market</w:t>
                        </w:r>
                        <w:r>
                          <w:rPr>
                            <w:b/>
                            <w:spacing w:val="40"/>
                            <w:sz w:val="16"/>
                          </w:rPr>
                          <w:t> </w:t>
                        </w:r>
                        <w:r>
                          <w:rPr>
                            <w:b/>
                            <w:spacing w:val="-2"/>
                            <w:sz w:val="16"/>
                          </w:rPr>
                          <w:t>share</w:t>
                        </w:r>
                      </w:p>
                      <w:p>
                        <w:pPr>
                          <w:spacing w:line="278" w:lineRule="auto" w:before="0"/>
                          <w:ind w:left="145" w:right="137" w:firstLine="0"/>
                          <w:jc w:val="left"/>
                          <w:rPr>
                            <w:b/>
                            <w:sz w:val="16"/>
                          </w:rPr>
                        </w:pPr>
                        <w:r>
                          <w:rPr>
                            <w:b/>
                            <w:sz w:val="16"/>
                          </w:rPr>
                          <w:t>-Improved</w:t>
                        </w:r>
                        <w:r>
                          <w:rPr>
                            <w:b/>
                            <w:spacing w:val="-5"/>
                            <w:sz w:val="16"/>
                          </w:rPr>
                          <w:t> </w:t>
                        </w:r>
                        <w:r>
                          <w:rPr>
                            <w:b/>
                            <w:sz w:val="16"/>
                          </w:rPr>
                          <w:t>Customer’s</w:t>
                        </w:r>
                        <w:r>
                          <w:rPr>
                            <w:b/>
                            <w:spacing w:val="40"/>
                            <w:sz w:val="16"/>
                          </w:rPr>
                          <w:t> </w:t>
                        </w:r>
                        <w:r>
                          <w:rPr>
                            <w:b/>
                            <w:spacing w:val="-2"/>
                            <w:sz w:val="16"/>
                          </w:rPr>
                          <w:t>Satisfaction</w:t>
                        </w:r>
                      </w:p>
                    </w:txbxContent>
                  </v:textbox>
                  <v:stroke dashstyle="solid"/>
                  <w10:wrap type="none"/>
                </v:shape>
                <v:shape style="position:absolute;left:6062;top:559;width:1562;height:874" type="#_x0000_t202" id="docshape109" filled="false" stroked="true" strokeweight=".75pt" strokecolor="#000000">
                  <v:textbox inset="0,0,0,0">
                    <w:txbxContent>
                      <w:p>
                        <w:pPr>
                          <w:spacing w:line="276" w:lineRule="auto" w:before="72"/>
                          <w:ind w:left="144" w:right="149" w:firstLine="0"/>
                          <w:jc w:val="left"/>
                          <w:rPr>
                            <w:b/>
                            <w:sz w:val="24"/>
                          </w:rPr>
                        </w:pPr>
                        <w:r>
                          <w:rPr>
                            <w:b/>
                            <w:spacing w:val="-2"/>
                            <w:sz w:val="24"/>
                          </w:rPr>
                          <w:t>Competitive Advantages</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5264784</wp:posOffset>
                </wp:positionH>
                <wp:positionV relativeFrom="paragraph">
                  <wp:posOffset>526500</wp:posOffset>
                </wp:positionV>
                <wp:extent cx="610235" cy="76200"/>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610235" cy="76200"/>
                          <a:chExt cx="610235" cy="76200"/>
                        </a:xfrm>
                      </wpg:grpSpPr>
                      <wps:wsp>
                        <wps:cNvPr id="143" name="Graphic 143"/>
                        <wps:cNvSpPr/>
                        <wps:spPr>
                          <a:xfrm>
                            <a:off x="0" y="38103"/>
                            <a:ext cx="546735" cy="1270"/>
                          </a:xfrm>
                          <a:custGeom>
                            <a:avLst/>
                            <a:gdLst/>
                            <a:ahLst/>
                            <a:cxnLst/>
                            <a:rect l="l" t="t" r="r" b="b"/>
                            <a:pathLst>
                              <a:path w="546735" h="0">
                                <a:moveTo>
                                  <a:pt x="0" y="0"/>
                                </a:moveTo>
                                <a:lnTo>
                                  <a:pt x="546735" y="0"/>
                                </a:lnTo>
                              </a:path>
                            </a:pathLst>
                          </a:custGeom>
                          <a:ln w="12700">
                            <a:solidFill>
                              <a:srgbClr val="000000"/>
                            </a:solidFill>
                            <a:prstDash val="solid"/>
                          </a:ln>
                        </wps:spPr>
                        <wps:bodyPr wrap="square" lIns="0" tIns="0" rIns="0" bIns="0" rtlCol="0">
                          <a:prstTxWarp prst="textNoShape">
                            <a:avLst/>
                          </a:prstTxWarp>
                          <a:noAutofit/>
                        </wps:bodyPr>
                      </wps:wsp>
                      <wps:wsp>
                        <wps:cNvPr id="144" name="Graphic 144"/>
                        <wps:cNvSpPr/>
                        <wps:spPr>
                          <a:xfrm>
                            <a:off x="534036" y="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4.549988pt;margin-top:41.45673pt;width:48.05pt;height:6pt;mso-position-horizontal-relative:page;mso-position-vertical-relative:paragraph;z-index:-15719424;mso-wrap-distance-left:0;mso-wrap-distance-right:0" id="docshapegroup110" coordorigin="8291,829" coordsize="961,120">
                <v:line style="position:absolute" from="8291,889" to="9152,889" stroked="true" strokeweight="1pt" strokecolor="#000000">
                  <v:stroke dashstyle="solid"/>
                </v:line>
                <v:shape style="position:absolute;left:9132;top:829;width:120;height:120" id="docshape111" coordorigin="9132,829" coordsize="120,120" path="m9132,829l9132,949,9252,889,9132,829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5938202</wp:posOffset>
                </wp:positionH>
                <wp:positionV relativeFrom="paragraph">
                  <wp:posOffset>232816</wp:posOffset>
                </wp:positionV>
                <wp:extent cx="1430655" cy="977900"/>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1430655" cy="977900"/>
                          <a:chExt cx="1430655" cy="977900"/>
                        </a:xfrm>
                      </wpg:grpSpPr>
                      <wps:wsp>
                        <wps:cNvPr id="146" name="Graphic 146"/>
                        <wps:cNvSpPr/>
                        <wps:spPr>
                          <a:xfrm>
                            <a:off x="4762" y="4762"/>
                            <a:ext cx="1421130" cy="968375"/>
                          </a:xfrm>
                          <a:custGeom>
                            <a:avLst/>
                            <a:gdLst/>
                            <a:ahLst/>
                            <a:cxnLst/>
                            <a:rect l="l" t="t" r="r" b="b"/>
                            <a:pathLst>
                              <a:path w="1421130" h="968375">
                                <a:moveTo>
                                  <a:pt x="710564" y="0"/>
                                </a:moveTo>
                                <a:lnTo>
                                  <a:pt x="655032" y="1456"/>
                                </a:lnTo>
                                <a:lnTo>
                                  <a:pt x="600668" y="5754"/>
                                </a:lnTo>
                                <a:lnTo>
                                  <a:pt x="547632" y="12786"/>
                                </a:lnTo>
                                <a:lnTo>
                                  <a:pt x="496081" y="22445"/>
                                </a:lnTo>
                                <a:lnTo>
                                  <a:pt x="446173" y="34622"/>
                                </a:lnTo>
                                <a:lnTo>
                                  <a:pt x="398067" y="49210"/>
                                </a:lnTo>
                                <a:lnTo>
                                  <a:pt x="351919" y="66102"/>
                                </a:lnTo>
                                <a:lnTo>
                                  <a:pt x="307889" y="85190"/>
                                </a:lnTo>
                                <a:lnTo>
                                  <a:pt x="266133" y="106365"/>
                                </a:lnTo>
                                <a:lnTo>
                                  <a:pt x="226811" y="129522"/>
                                </a:lnTo>
                                <a:lnTo>
                                  <a:pt x="190079" y="154551"/>
                                </a:lnTo>
                                <a:lnTo>
                                  <a:pt x="156096" y="181346"/>
                                </a:lnTo>
                                <a:lnTo>
                                  <a:pt x="125020" y="209799"/>
                                </a:lnTo>
                                <a:lnTo>
                                  <a:pt x="97008" y="239802"/>
                                </a:lnTo>
                                <a:lnTo>
                                  <a:pt x="72218" y="271247"/>
                                </a:lnTo>
                                <a:lnTo>
                                  <a:pt x="50810" y="304028"/>
                                </a:lnTo>
                                <a:lnTo>
                                  <a:pt x="32939" y="338035"/>
                                </a:lnTo>
                                <a:lnTo>
                                  <a:pt x="8445" y="409302"/>
                                </a:lnTo>
                                <a:lnTo>
                                  <a:pt x="0" y="484187"/>
                                </a:lnTo>
                                <a:lnTo>
                                  <a:pt x="2137" y="522028"/>
                                </a:lnTo>
                                <a:lnTo>
                                  <a:pt x="18765" y="595211"/>
                                </a:lnTo>
                                <a:lnTo>
                                  <a:pt x="50810" y="664346"/>
                                </a:lnTo>
                                <a:lnTo>
                                  <a:pt x="72218" y="697127"/>
                                </a:lnTo>
                                <a:lnTo>
                                  <a:pt x="97008" y="728572"/>
                                </a:lnTo>
                                <a:lnTo>
                                  <a:pt x="125020" y="758575"/>
                                </a:lnTo>
                                <a:lnTo>
                                  <a:pt x="156096" y="787028"/>
                                </a:lnTo>
                                <a:lnTo>
                                  <a:pt x="190079" y="813823"/>
                                </a:lnTo>
                                <a:lnTo>
                                  <a:pt x="226811" y="838852"/>
                                </a:lnTo>
                                <a:lnTo>
                                  <a:pt x="266133" y="862009"/>
                                </a:lnTo>
                                <a:lnTo>
                                  <a:pt x="307889" y="883184"/>
                                </a:lnTo>
                                <a:lnTo>
                                  <a:pt x="351919" y="902272"/>
                                </a:lnTo>
                                <a:lnTo>
                                  <a:pt x="398067" y="919164"/>
                                </a:lnTo>
                                <a:lnTo>
                                  <a:pt x="446173" y="933752"/>
                                </a:lnTo>
                                <a:lnTo>
                                  <a:pt x="496081" y="945929"/>
                                </a:lnTo>
                                <a:lnTo>
                                  <a:pt x="547632" y="955588"/>
                                </a:lnTo>
                                <a:lnTo>
                                  <a:pt x="600668" y="962620"/>
                                </a:lnTo>
                                <a:lnTo>
                                  <a:pt x="655032" y="966918"/>
                                </a:lnTo>
                                <a:lnTo>
                                  <a:pt x="710564" y="968375"/>
                                </a:lnTo>
                                <a:lnTo>
                                  <a:pt x="766097" y="966918"/>
                                </a:lnTo>
                                <a:lnTo>
                                  <a:pt x="820461" y="962620"/>
                                </a:lnTo>
                                <a:lnTo>
                                  <a:pt x="873497" y="955588"/>
                                </a:lnTo>
                                <a:lnTo>
                                  <a:pt x="925048" y="945929"/>
                                </a:lnTo>
                                <a:lnTo>
                                  <a:pt x="974956" y="933752"/>
                                </a:lnTo>
                                <a:lnTo>
                                  <a:pt x="1023062" y="919164"/>
                                </a:lnTo>
                                <a:lnTo>
                                  <a:pt x="1069210" y="902272"/>
                                </a:lnTo>
                                <a:lnTo>
                                  <a:pt x="1113240" y="883184"/>
                                </a:lnTo>
                                <a:lnTo>
                                  <a:pt x="1154996" y="862009"/>
                                </a:lnTo>
                                <a:lnTo>
                                  <a:pt x="1194318" y="838852"/>
                                </a:lnTo>
                                <a:lnTo>
                                  <a:pt x="1231050" y="813823"/>
                                </a:lnTo>
                                <a:lnTo>
                                  <a:pt x="1265033" y="787028"/>
                                </a:lnTo>
                                <a:lnTo>
                                  <a:pt x="1296109" y="758575"/>
                                </a:lnTo>
                                <a:lnTo>
                                  <a:pt x="1324121" y="728572"/>
                                </a:lnTo>
                                <a:lnTo>
                                  <a:pt x="1348911" y="697127"/>
                                </a:lnTo>
                                <a:lnTo>
                                  <a:pt x="1370319" y="664346"/>
                                </a:lnTo>
                                <a:lnTo>
                                  <a:pt x="1388190" y="630339"/>
                                </a:lnTo>
                                <a:lnTo>
                                  <a:pt x="1412684" y="559072"/>
                                </a:lnTo>
                                <a:lnTo>
                                  <a:pt x="1421130" y="484187"/>
                                </a:lnTo>
                                <a:lnTo>
                                  <a:pt x="1418992" y="446346"/>
                                </a:lnTo>
                                <a:lnTo>
                                  <a:pt x="1402364" y="373163"/>
                                </a:lnTo>
                                <a:lnTo>
                                  <a:pt x="1370319" y="304028"/>
                                </a:lnTo>
                                <a:lnTo>
                                  <a:pt x="1348911" y="271247"/>
                                </a:lnTo>
                                <a:lnTo>
                                  <a:pt x="1324121" y="239802"/>
                                </a:lnTo>
                                <a:lnTo>
                                  <a:pt x="1296109" y="209799"/>
                                </a:lnTo>
                                <a:lnTo>
                                  <a:pt x="1265033" y="181346"/>
                                </a:lnTo>
                                <a:lnTo>
                                  <a:pt x="1231050" y="154551"/>
                                </a:lnTo>
                                <a:lnTo>
                                  <a:pt x="1194318" y="129522"/>
                                </a:lnTo>
                                <a:lnTo>
                                  <a:pt x="1154996" y="106365"/>
                                </a:lnTo>
                                <a:lnTo>
                                  <a:pt x="1113240" y="85190"/>
                                </a:lnTo>
                                <a:lnTo>
                                  <a:pt x="1069210" y="66102"/>
                                </a:lnTo>
                                <a:lnTo>
                                  <a:pt x="1023062" y="49210"/>
                                </a:lnTo>
                                <a:lnTo>
                                  <a:pt x="974956" y="34622"/>
                                </a:lnTo>
                                <a:lnTo>
                                  <a:pt x="925048" y="22445"/>
                                </a:lnTo>
                                <a:lnTo>
                                  <a:pt x="873497" y="12786"/>
                                </a:lnTo>
                                <a:lnTo>
                                  <a:pt x="820461" y="5754"/>
                                </a:lnTo>
                                <a:lnTo>
                                  <a:pt x="766097" y="1456"/>
                                </a:lnTo>
                                <a:lnTo>
                                  <a:pt x="710564" y="0"/>
                                </a:lnTo>
                                <a:close/>
                              </a:path>
                            </a:pathLst>
                          </a:custGeom>
                          <a:ln w="9525">
                            <a:solidFill>
                              <a:srgbClr val="000000"/>
                            </a:solidFill>
                            <a:prstDash val="solid"/>
                          </a:ln>
                        </wps:spPr>
                        <wps:bodyPr wrap="square" lIns="0" tIns="0" rIns="0" bIns="0" rtlCol="0">
                          <a:prstTxWarp prst="textNoShape">
                            <a:avLst/>
                          </a:prstTxWarp>
                          <a:noAutofit/>
                        </wps:bodyPr>
                      </wps:wsp>
                      <wps:wsp>
                        <wps:cNvPr id="147" name="Textbox 147"/>
                        <wps:cNvSpPr txBox="1"/>
                        <wps:spPr>
                          <a:xfrm>
                            <a:off x="0" y="0"/>
                            <a:ext cx="1430655" cy="977900"/>
                          </a:xfrm>
                          <a:prstGeom prst="rect">
                            <a:avLst/>
                          </a:prstGeom>
                        </wps:spPr>
                        <wps:txbx>
                          <w:txbxContent>
                            <w:p>
                              <w:pPr>
                                <w:spacing w:line="240" w:lineRule="auto" w:before="10"/>
                                <w:rPr>
                                  <w:sz w:val="24"/>
                                </w:rPr>
                              </w:pPr>
                            </w:p>
                            <w:p>
                              <w:pPr>
                                <w:spacing w:line="276" w:lineRule="auto" w:before="0"/>
                                <w:ind w:left="255" w:right="256" w:firstLine="0"/>
                                <w:jc w:val="center"/>
                                <w:rPr>
                                  <w:b/>
                                  <w:sz w:val="24"/>
                                </w:rPr>
                              </w:pPr>
                              <w:r>
                                <w:rPr>
                                  <w:b/>
                                  <w:sz w:val="24"/>
                                </w:rPr>
                                <w:t>Success</w:t>
                              </w:r>
                              <w:r>
                                <w:rPr>
                                  <w:b/>
                                  <w:spacing w:val="-15"/>
                                  <w:sz w:val="24"/>
                                </w:rPr>
                                <w:t> </w:t>
                              </w:r>
                              <w:r>
                                <w:rPr>
                                  <w:b/>
                                  <w:sz w:val="24"/>
                                </w:rPr>
                                <w:t>of </w:t>
                              </w:r>
                              <w:r>
                                <w:rPr>
                                  <w:b/>
                                  <w:spacing w:val="-2"/>
                                  <w:sz w:val="24"/>
                                </w:rPr>
                                <w:t>SMCFs</w:t>
                              </w:r>
                            </w:p>
                            <w:p>
                              <w:pPr>
                                <w:spacing w:before="1"/>
                                <w:ind w:left="255" w:right="257" w:firstLine="0"/>
                                <w:jc w:val="center"/>
                                <w:rPr>
                                  <w:b/>
                                  <w:sz w:val="24"/>
                                </w:rPr>
                              </w:pPr>
                              <w:r>
                                <w:rPr>
                                  <w:b/>
                                  <w:spacing w:val="-2"/>
                                  <w:sz w:val="24"/>
                                </w:rPr>
                                <w:t>Performance</w:t>
                              </w:r>
                            </w:p>
                          </w:txbxContent>
                        </wps:txbx>
                        <wps:bodyPr wrap="square" lIns="0" tIns="0" rIns="0" bIns="0" rtlCol="0">
                          <a:noAutofit/>
                        </wps:bodyPr>
                      </wps:wsp>
                    </wpg:wgp>
                  </a:graphicData>
                </a:graphic>
              </wp:anchor>
            </w:drawing>
          </mc:Choice>
          <mc:Fallback>
            <w:pict>
              <v:group style="position:absolute;margin-left:467.575012pt;margin-top:18.332031pt;width:112.65pt;height:77pt;mso-position-horizontal-relative:page;mso-position-vertical-relative:paragraph;z-index:-15718912;mso-wrap-distance-left:0;mso-wrap-distance-right:0" id="docshapegroup112" coordorigin="9352,367" coordsize="2253,1540">
                <v:shape style="position:absolute;left:9359;top:374;width:2238;height:1525" id="docshape113" coordorigin="9359,374" coordsize="2238,1525" path="m10478,374l10391,376,10305,383,10221,394,10140,409,10062,429,9986,452,9913,478,9844,508,9778,542,9716,578,9658,618,9605,660,9556,705,9512,752,9473,801,9439,853,9411,906,9372,1019,9359,1137,9362,1196,9389,1311,9439,1420,9473,1472,9512,1521,9556,1569,9605,1614,9658,1656,9716,1695,9778,1732,9844,1765,9913,1795,9986,1822,10062,1845,10140,1864,10221,1879,10305,1890,10391,1897,10478,1899,10565,1897,10651,1890,10735,1879,10816,1864,10894,1845,10970,1822,11043,1795,11112,1765,11178,1732,11240,1695,11298,1656,11351,1614,11400,1569,11444,1521,11483,1472,11517,1420,11545,1367,11584,1255,11597,1137,11594,1077,11567,962,11517,853,11483,801,11444,752,11400,705,11351,660,11298,618,11240,578,11178,542,11112,508,11043,478,10970,452,10894,429,10816,409,10735,394,10651,383,10565,376,10478,374xe" filled="false" stroked="true" strokeweight=".75pt" strokecolor="#000000">
                  <v:path arrowok="t"/>
                  <v:stroke dashstyle="solid"/>
                </v:shape>
                <v:shape style="position:absolute;left:9351;top:366;width:2253;height:1540" type="#_x0000_t202" id="docshape114" filled="false" stroked="false">
                  <v:textbox inset="0,0,0,0">
                    <w:txbxContent>
                      <w:p>
                        <w:pPr>
                          <w:spacing w:line="240" w:lineRule="auto" w:before="10"/>
                          <w:rPr>
                            <w:sz w:val="24"/>
                          </w:rPr>
                        </w:pPr>
                      </w:p>
                      <w:p>
                        <w:pPr>
                          <w:spacing w:line="276" w:lineRule="auto" w:before="0"/>
                          <w:ind w:left="255" w:right="256" w:firstLine="0"/>
                          <w:jc w:val="center"/>
                          <w:rPr>
                            <w:b/>
                            <w:sz w:val="24"/>
                          </w:rPr>
                        </w:pPr>
                        <w:r>
                          <w:rPr>
                            <w:b/>
                            <w:sz w:val="24"/>
                          </w:rPr>
                          <w:t>Success</w:t>
                        </w:r>
                        <w:r>
                          <w:rPr>
                            <w:b/>
                            <w:spacing w:val="-15"/>
                            <w:sz w:val="24"/>
                          </w:rPr>
                          <w:t> </w:t>
                        </w:r>
                        <w:r>
                          <w:rPr>
                            <w:b/>
                            <w:sz w:val="24"/>
                          </w:rPr>
                          <w:t>of </w:t>
                        </w:r>
                        <w:r>
                          <w:rPr>
                            <w:b/>
                            <w:spacing w:val="-2"/>
                            <w:sz w:val="24"/>
                          </w:rPr>
                          <w:t>SMCFs</w:t>
                        </w:r>
                      </w:p>
                      <w:p>
                        <w:pPr>
                          <w:spacing w:before="1"/>
                          <w:ind w:left="255" w:right="257" w:firstLine="0"/>
                          <w:jc w:val="center"/>
                          <w:rPr>
                            <w:b/>
                            <w:sz w:val="24"/>
                          </w:rPr>
                        </w:pPr>
                        <w:r>
                          <w:rPr>
                            <w:b/>
                            <w:spacing w:val="-2"/>
                            <w:sz w:val="24"/>
                          </w:rPr>
                          <w:t>Performance</w:t>
                        </w:r>
                      </w:p>
                    </w:txbxContent>
                  </v:textbox>
                  <w10:wrap type="none"/>
                </v:shape>
                <w10:wrap type="topAndBottom"/>
              </v:group>
            </w:pict>
          </mc:Fallback>
        </mc:AlternateContent>
      </w:r>
    </w:p>
    <w:p>
      <w:pPr>
        <w:pStyle w:val="Heading2"/>
        <w:spacing w:before="187"/>
      </w:pPr>
      <w:r>
        <w:rPr/>
        <w:t>Figure</w:t>
      </w:r>
      <w:r>
        <w:rPr>
          <w:spacing w:val="-5"/>
        </w:rPr>
        <w:t> </w:t>
      </w:r>
      <w:r>
        <w:rPr/>
        <w:t>2.5</w:t>
      </w:r>
      <w:r>
        <w:rPr>
          <w:spacing w:val="71"/>
        </w:rPr>
        <w:t>   </w:t>
      </w:r>
      <w:r>
        <w:rPr/>
        <w:t>Researcher’s</w:t>
      </w:r>
      <w:r>
        <w:rPr>
          <w:spacing w:val="3"/>
        </w:rPr>
        <w:t> </w:t>
      </w:r>
      <w:r>
        <w:rPr/>
        <w:t>model</w:t>
      </w:r>
      <w:r>
        <w:rPr>
          <w:spacing w:val="-2"/>
        </w:rPr>
        <w:t> </w:t>
      </w:r>
      <w:r>
        <w:rPr/>
        <w:t>of the</w:t>
      </w:r>
      <w:r>
        <w:rPr>
          <w:spacing w:val="-2"/>
        </w:rPr>
        <w:t> </w:t>
      </w:r>
      <w:r>
        <w:rPr/>
        <w:t>Conceptual</w:t>
      </w:r>
      <w:r>
        <w:rPr>
          <w:spacing w:val="-1"/>
        </w:rPr>
        <w:t> </w:t>
      </w:r>
      <w:r>
        <w:rPr>
          <w:spacing w:val="-2"/>
        </w:rPr>
        <w:t>framework</w:t>
      </w:r>
    </w:p>
    <w:p>
      <w:pPr>
        <w:pStyle w:val="BodyText"/>
        <w:rPr>
          <w:b/>
        </w:rPr>
      </w:pPr>
    </w:p>
    <w:p>
      <w:pPr>
        <w:pStyle w:val="BodyText"/>
        <w:rPr>
          <w:b/>
        </w:rPr>
      </w:pPr>
    </w:p>
    <w:p>
      <w:pPr>
        <w:pStyle w:val="ListParagraph"/>
        <w:numPr>
          <w:ilvl w:val="2"/>
          <w:numId w:val="4"/>
        </w:numPr>
        <w:tabs>
          <w:tab w:pos="1120" w:val="left" w:leader="none"/>
        </w:tabs>
        <w:spacing w:line="240" w:lineRule="auto" w:before="0" w:after="0"/>
        <w:ind w:left="1120" w:right="0" w:hanging="720"/>
        <w:jc w:val="both"/>
        <w:rPr>
          <w:b/>
          <w:sz w:val="24"/>
        </w:rPr>
      </w:pPr>
      <w:r>
        <w:rPr>
          <w:b/>
          <w:sz w:val="24"/>
        </w:rPr>
        <w:t>Total</w:t>
      </w:r>
      <w:r>
        <w:rPr>
          <w:b/>
          <w:spacing w:val="-3"/>
          <w:sz w:val="24"/>
        </w:rPr>
        <w:t> </w:t>
      </w:r>
      <w:r>
        <w:rPr>
          <w:b/>
          <w:sz w:val="24"/>
        </w:rPr>
        <w:t>quality</w:t>
      </w:r>
      <w:r>
        <w:rPr>
          <w:b/>
          <w:spacing w:val="-2"/>
          <w:sz w:val="24"/>
        </w:rPr>
        <w:t> </w:t>
      </w:r>
      <w:r>
        <w:rPr>
          <w:b/>
          <w:sz w:val="24"/>
        </w:rPr>
        <w:t>management</w:t>
      </w:r>
      <w:r>
        <w:rPr>
          <w:b/>
          <w:spacing w:val="-3"/>
          <w:sz w:val="24"/>
        </w:rPr>
        <w:t> </w:t>
      </w:r>
      <w:r>
        <w:rPr>
          <w:b/>
          <w:spacing w:val="-2"/>
          <w:sz w:val="24"/>
        </w:rPr>
        <w:t>concept</w:t>
      </w:r>
    </w:p>
    <w:p>
      <w:pPr>
        <w:pStyle w:val="BodyText"/>
        <w:spacing w:line="480" w:lineRule="auto" w:before="272"/>
        <w:ind w:left="399" w:right="1319"/>
        <w:jc w:val="both"/>
      </w:pPr>
      <w:r>
        <w:rPr/>
        <w:t>The quality concept can have different interpretation due to individual criteria based on roles in the chain of activities which are based on an individual’s perspectives within the value chain. Quality is defined by the Oxford Dictionary (2009) as ''the degree of excellence of something as measured against other</w:t>
      </w:r>
      <w:r>
        <w:rPr>
          <w:spacing w:val="-1"/>
        </w:rPr>
        <w:t> </w:t>
      </w:r>
      <w:r>
        <w:rPr/>
        <w:t>similar</w:t>
      </w:r>
      <w:r>
        <w:rPr>
          <w:spacing w:val="-1"/>
        </w:rPr>
        <w:t> </w:t>
      </w:r>
      <w:r>
        <w:rPr/>
        <w:t>thing''. It is the</w:t>
      </w:r>
      <w:r>
        <w:rPr>
          <w:spacing w:val="-1"/>
        </w:rPr>
        <w:t> </w:t>
      </w:r>
      <w:r>
        <w:rPr/>
        <w:t>degree to which a set of inherent characteristics of a product or service fulfils requirements of customers and other stakeholders (International Organization for Standardization, 2015). However, within the business environment, quality is related to product and service characteristics and customer satisfaction. It can vary according to different perspectives such as customer and organisation perspectives. The American Society</w:t>
      </w:r>
      <w:r>
        <w:rPr>
          <w:spacing w:val="-2"/>
        </w:rPr>
        <w:t> </w:t>
      </w:r>
      <w:r>
        <w:rPr/>
        <w:t>for Quality Control defines quality as "the total features and characteristics of a product or service made</w:t>
      </w:r>
      <w:r>
        <w:rPr>
          <w:spacing w:val="24"/>
        </w:rPr>
        <w:t> </w:t>
      </w:r>
      <w:r>
        <w:rPr/>
        <w:t>or</w:t>
      </w:r>
      <w:r>
        <w:rPr>
          <w:spacing w:val="24"/>
        </w:rPr>
        <w:t> </w:t>
      </w:r>
      <w:r>
        <w:rPr/>
        <w:t>performed</w:t>
      </w:r>
      <w:r>
        <w:rPr>
          <w:spacing w:val="25"/>
        </w:rPr>
        <w:t> </w:t>
      </w:r>
      <w:r>
        <w:rPr/>
        <w:t>according</w:t>
      </w:r>
      <w:r>
        <w:rPr>
          <w:spacing w:val="23"/>
        </w:rPr>
        <w:t> </w:t>
      </w:r>
      <w:r>
        <w:rPr/>
        <w:t>to</w:t>
      </w:r>
      <w:r>
        <w:rPr>
          <w:spacing w:val="25"/>
        </w:rPr>
        <w:t> </w:t>
      </w:r>
      <w:r>
        <w:rPr/>
        <w:t>specification</w:t>
      </w:r>
      <w:r>
        <w:rPr>
          <w:spacing w:val="25"/>
        </w:rPr>
        <w:t> </w:t>
      </w:r>
      <w:r>
        <w:rPr/>
        <w:t>to</w:t>
      </w:r>
      <w:r>
        <w:rPr>
          <w:spacing w:val="24"/>
        </w:rPr>
        <w:t> </w:t>
      </w:r>
      <w:r>
        <w:rPr/>
        <w:t>satisfy</w:t>
      </w:r>
      <w:r>
        <w:rPr>
          <w:spacing w:val="21"/>
        </w:rPr>
        <w:t> </w:t>
      </w:r>
      <w:r>
        <w:rPr/>
        <w:t>customers</w:t>
      </w:r>
      <w:r>
        <w:rPr>
          <w:spacing w:val="28"/>
        </w:rPr>
        <w:t> </w:t>
      </w:r>
      <w:r>
        <w:rPr/>
        <w:t>at</w:t>
      </w:r>
      <w:r>
        <w:rPr>
          <w:spacing w:val="24"/>
        </w:rPr>
        <w:t> </w:t>
      </w:r>
      <w:r>
        <w:rPr/>
        <w:t>the</w:t>
      </w:r>
      <w:r>
        <w:rPr>
          <w:spacing w:val="24"/>
        </w:rPr>
        <w:t> </w:t>
      </w:r>
      <w:r>
        <w:rPr/>
        <w:t>time</w:t>
      </w:r>
      <w:r>
        <w:rPr>
          <w:spacing w:val="25"/>
        </w:rPr>
        <w:t> </w:t>
      </w:r>
      <w:r>
        <w:rPr/>
        <w:t>of</w:t>
      </w:r>
      <w:r>
        <w:rPr>
          <w:spacing w:val="24"/>
        </w:rPr>
        <w:t> </w:t>
      </w:r>
      <w:r>
        <w:rPr/>
        <w:t>purchase</w:t>
      </w:r>
      <w:r>
        <w:rPr>
          <w:spacing w:val="24"/>
        </w:rPr>
        <w:t> </w:t>
      </w:r>
      <w:r>
        <w:rPr>
          <w:spacing w:val="-5"/>
        </w:rPr>
        <w:t>and</w:t>
      </w:r>
    </w:p>
    <w:p>
      <w:pPr>
        <w:spacing w:after="0" w:line="480" w:lineRule="auto"/>
        <w:jc w:val="both"/>
        <w:sectPr>
          <w:pgSz w:w="12240" w:h="15840"/>
          <w:pgMar w:header="0" w:footer="1017" w:top="1360" w:bottom="1200" w:left="1040" w:right="120"/>
        </w:sectPr>
      </w:pPr>
    </w:p>
    <w:p>
      <w:pPr>
        <w:pStyle w:val="BodyText"/>
        <w:spacing w:line="482" w:lineRule="auto" w:before="72"/>
        <w:ind w:left="400" w:right="1318"/>
        <w:jc w:val="both"/>
      </w:pPr>
      <w:r>
        <w:rPr/>
        <w:t>during use" (Talha, 2004). The emphasis in this definition is that the quality is achieving the </w:t>
      </w:r>
      <w:r>
        <w:rPr>
          <w:spacing w:val="-2"/>
        </w:rPr>
        <w:t>specification.</w:t>
      </w:r>
    </w:p>
    <w:p>
      <w:pPr>
        <w:pStyle w:val="BodyText"/>
        <w:spacing w:line="480" w:lineRule="auto" w:before="193"/>
        <w:ind w:left="399" w:right="1315"/>
        <w:jc w:val="both"/>
      </w:pPr>
      <w:r>
        <w:rPr/>
        <w:t>The simple definition of quality is meeting the customer requirements, Moreover, and aiming at increasing customers satisfaction, many organisations have focused on quality and reduced their costs to gain maximum customer satisfaction, examples of this being Toyota in Japan, Samsung in South Korea. According to (Foster, 2001 cited in Maguad, 2006) achieving customer satisfaction depends on not only how well and how thoroughly quality actions in the several</w:t>
      </w:r>
      <w:r>
        <w:rPr>
          <w:spacing w:val="40"/>
        </w:rPr>
        <w:t> </w:t>
      </w:r>
      <w:r>
        <w:rPr/>
        <w:t>areas of the organisation work individually but also on how well and how thoroughly they work together.</w:t>
      </w:r>
      <w:r>
        <w:rPr>
          <w:spacing w:val="40"/>
        </w:rPr>
        <w:t> </w:t>
      </w:r>
      <w:r>
        <w:rPr/>
        <w:t>Mukherjee</w:t>
      </w:r>
      <w:r>
        <w:rPr>
          <w:spacing w:val="-2"/>
        </w:rPr>
        <w:t> </w:t>
      </w:r>
      <w:r>
        <w:rPr/>
        <w:t>(2006)</w:t>
      </w:r>
      <w:r>
        <w:rPr>
          <w:spacing w:val="-2"/>
        </w:rPr>
        <w:t> </w:t>
      </w:r>
      <w:r>
        <w:rPr/>
        <w:t>indicates</w:t>
      </w:r>
      <w:r>
        <w:rPr>
          <w:spacing w:val="-1"/>
        </w:rPr>
        <w:t> </w:t>
      </w:r>
      <w:r>
        <w:rPr/>
        <w:t>that</w:t>
      </w:r>
      <w:r>
        <w:rPr>
          <w:spacing w:val="-1"/>
        </w:rPr>
        <w:t> </w:t>
      </w:r>
      <w:r>
        <w:rPr/>
        <w:t>quality</w:t>
      </w:r>
      <w:r>
        <w:rPr>
          <w:spacing w:val="-6"/>
        </w:rPr>
        <w:t> </w:t>
      </w:r>
      <w:r>
        <w:rPr/>
        <w:t>satisfies</w:t>
      </w:r>
      <w:r>
        <w:rPr>
          <w:spacing w:val="-1"/>
        </w:rPr>
        <w:t> </w:t>
      </w:r>
      <w:r>
        <w:rPr/>
        <w:t>three</w:t>
      </w:r>
      <w:r>
        <w:rPr>
          <w:spacing w:val="-2"/>
        </w:rPr>
        <w:t> </w:t>
      </w:r>
      <w:r>
        <w:rPr/>
        <w:t>Fs-</w:t>
      </w:r>
      <w:r>
        <w:rPr>
          <w:spacing w:val="-2"/>
        </w:rPr>
        <w:t> </w:t>
      </w:r>
      <w:r>
        <w:rPr/>
        <w:t>Fit,</w:t>
      </w:r>
      <w:r>
        <w:rPr>
          <w:spacing w:val="-1"/>
        </w:rPr>
        <w:t> </w:t>
      </w:r>
      <w:r>
        <w:rPr/>
        <w:t>Form</w:t>
      </w:r>
      <w:r>
        <w:rPr>
          <w:spacing w:val="-1"/>
        </w:rPr>
        <w:t> </w:t>
      </w:r>
      <w:r>
        <w:rPr/>
        <w:t>and</w:t>
      </w:r>
      <w:r>
        <w:rPr>
          <w:spacing w:val="-1"/>
        </w:rPr>
        <w:t> </w:t>
      </w:r>
      <w:r>
        <w:rPr/>
        <w:t>Function.</w:t>
      </w:r>
      <w:r>
        <w:rPr>
          <w:spacing w:val="-1"/>
        </w:rPr>
        <w:t> </w:t>
      </w:r>
      <w:r>
        <w:rPr/>
        <w:t>This is</w:t>
      </w:r>
      <w:r>
        <w:rPr>
          <w:spacing w:val="-2"/>
        </w:rPr>
        <w:t> </w:t>
      </w:r>
      <w:r>
        <w:rPr/>
        <w:t>a</w:t>
      </w:r>
      <w:r>
        <w:rPr>
          <w:spacing w:val="-2"/>
        </w:rPr>
        <w:t> </w:t>
      </w:r>
      <w:r>
        <w:rPr/>
        <w:t>conventional</w:t>
      </w:r>
      <w:r>
        <w:rPr>
          <w:spacing w:val="-2"/>
        </w:rPr>
        <w:t> </w:t>
      </w:r>
      <w:r>
        <w:rPr/>
        <w:t>definition</w:t>
      </w:r>
      <w:r>
        <w:rPr>
          <w:spacing w:val="-2"/>
        </w:rPr>
        <w:t> </w:t>
      </w:r>
      <w:r>
        <w:rPr/>
        <w:t>of</w:t>
      </w:r>
      <w:r>
        <w:rPr>
          <w:spacing w:val="-2"/>
        </w:rPr>
        <w:t> </w:t>
      </w:r>
      <w:r>
        <w:rPr/>
        <w:t>quality</w:t>
      </w:r>
      <w:r>
        <w:rPr>
          <w:spacing w:val="-6"/>
        </w:rPr>
        <w:t> </w:t>
      </w:r>
      <w:r>
        <w:rPr/>
        <w:t>which</w:t>
      </w:r>
      <w:r>
        <w:rPr>
          <w:spacing w:val="-2"/>
        </w:rPr>
        <w:t> </w:t>
      </w:r>
      <w:r>
        <w:rPr/>
        <w:t>is</w:t>
      </w:r>
      <w:r>
        <w:rPr>
          <w:spacing w:val="-2"/>
        </w:rPr>
        <w:t> </w:t>
      </w:r>
      <w:r>
        <w:rPr/>
        <w:t>basically</w:t>
      </w:r>
      <w:r>
        <w:rPr>
          <w:spacing w:val="-4"/>
        </w:rPr>
        <w:t> </w:t>
      </w:r>
      <w:r>
        <w:rPr/>
        <w:t>confined</w:t>
      </w:r>
      <w:r>
        <w:rPr>
          <w:spacing w:val="-2"/>
        </w:rPr>
        <w:t> </w:t>
      </w:r>
      <w:r>
        <w:rPr/>
        <w:t>to a</w:t>
      </w:r>
      <w:r>
        <w:rPr>
          <w:spacing w:val="-2"/>
        </w:rPr>
        <w:t> </w:t>
      </w:r>
      <w:r>
        <w:rPr/>
        <w:t>product</w:t>
      </w:r>
      <w:r>
        <w:rPr>
          <w:spacing w:val="-2"/>
        </w:rPr>
        <w:t> </w:t>
      </w:r>
      <w:r>
        <w:rPr/>
        <w:t>satisfying</w:t>
      </w:r>
      <w:r>
        <w:rPr>
          <w:spacing w:val="-2"/>
        </w:rPr>
        <w:t> </w:t>
      </w:r>
      <w:r>
        <w:rPr/>
        <w:t>the</w:t>
      </w:r>
      <w:r>
        <w:rPr>
          <w:spacing w:val="-2"/>
        </w:rPr>
        <w:t> </w:t>
      </w:r>
      <w:r>
        <w:rPr/>
        <w:t>need for the required dimensions, fitment, required form and aesthetics. The product should also be able to fulfill the functions desired to be performed by the product.</w:t>
      </w:r>
    </w:p>
    <w:p>
      <w:pPr>
        <w:pStyle w:val="BodyText"/>
      </w:pPr>
    </w:p>
    <w:p>
      <w:pPr>
        <w:pStyle w:val="BodyText"/>
        <w:spacing w:before="1"/>
      </w:pPr>
    </w:p>
    <w:p>
      <w:pPr>
        <w:pStyle w:val="BodyText"/>
        <w:spacing w:line="480" w:lineRule="auto"/>
        <w:ind w:left="399" w:right="1317"/>
        <w:jc w:val="both"/>
      </w:pPr>
      <w:r>
        <w:rPr/>
        <w:t>From the above definitions, one can conclude that quality is more than a tool or issue used to</w:t>
      </w:r>
      <w:r>
        <w:rPr>
          <w:spacing w:val="40"/>
        </w:rPr>
        <w:t> </w:t>
      </w:r>
      <w:r>
        <w:rPr/>
        <w:t>gain competitive advantage for businesses because it is a matter of survival. So, most of the quality</w:t>
      </w:r>
      <w:r>
        <w:rPr>
          <w:spacing w:val="-5"/>
        </w:rPr>
        <w:t> </w:t>
      </w:r>
      <w:r>
        <w:rPr/>
        <w:t>concepts which mentioned</w:t>
      </w:r>
      <w:r>
        <w:rPr>
          <w:spacing w:val="-2"/>
        </w:rPr>
        <w:t> </w:t>
      </w:r>
      <w:r>
        <w:rPr/>
        <w:t>above</w:t>
      </w:r>
      <w:r>
        <w:rPr>
          <w:spacing w:val="-1"/>
        </w:rPr>
        <w:t> </w:t>
      </w:r>
      <w:r>
        <w:rPr/>
        <w:t>are</w:t>
      </w:r>
      <w:r>
        <w:rPr>
          <w:spacing w:val="-1"/>
        </w:rPr>
        <w:t> </w:t>
      </w:r>
      <w:r>
        <w:rPr/>
        <w:t>focuses</w:t>
      </w:r>
      <w:r>
        <w:rPr>
          <w:spacing w:val="-2"/>
        </w:rPr>
        <w:t> </w:t>
      </w:r>
      <w:r>
        <w:rPr/>
        <w:t>on</w:t>
      </w:r>
      <w:r>
        <w:rPr>
          <w:spacing w:val="-2"/>
        </w:rPr>
        <w:t> </w:t>
      </w:r>
      <w:r>
        <w:rPr/>
        <w:t>providing</w:t>
      </w:r>
      <w:r>
        <w:rPr>
          <w:spacing w:val="-2"/>
        </w:rPr>
        <w:t> </w:t>
      </w:r>
      <w:r>
        <w:rPr/>
        <w:t>a</w:t>
      </w:r>
      <w:r>
        <w:rPr>
          <w:spacing w:val="-3"/>
        </w:rPr>
        <w:t> </w:t>
      </w:r>
      <w:r>
        <w:rPr/>
        <w:t>product</w:t>
      </w:r>
      <w:r>
        <w:rPr>
          <w:spacing w:val="-2"/>
        </w:rPr>
        <w:t> </w:t>
      </w:r>
      <w:r>
        <w:rPr/>
        <w:t>that</w:t>
      </w:r>
      <w:r>
        <w:rPr>
          <w:spacing w:val="-1"/>
        </w:rPr>
        <w:t> </w:t>
      </w:r>
      <w:r>
        <w:rPr/>
        <w:t>satisfy</w:t>
      </w:r>
      <w:r>
        <w:rPr>
          <w:spacing w:val="-5"/>
        </w:rPr>
        <w:t> </w:t>
      </w:r>
      <w:r>
        <w:rPr/>
        <w:t>and meet the customers’ needs. Quality is therefore extremely necessary for the organisations to ensure</w:t>
      </w:r>
      <w:r>
        <w:rPr>
          <w:spacing w:val="40"/>
        </w:rPr>
        <w:t> </w:t>
      </w:r>
      <w:r>
        <w:rPr/>
        <w:t>that they have delivered their products or services according to the customer expectations and requirements. Moreover, each business or activity has a different definition of quality, for example in sales the term quality is more focused on the services which are provided to</w:t>
      </w:r>
      <w:r>
        <w:rPr>
          <w:spacing w:val="40"/>
        </w:rPr>
        <w:t> </w:t>
      </w:r>
      <w:r>
        <w:rPr/>
        <w:t>customer, while in manufacture, the term quality is more focused on the production process, and in</w:t>
      </w:r>
      <w:r>
        <w:rPr>
          <w:spacing w:val="11"/>
        </w:rPr>
        <w:t> </w:t>
      </w:r>
      <w:r>
        <w:rPr/>
        <w:t>construction,</w:t>
      </w:r>
      <w:r>
        <w:rPr>
          <w:spacing w:val="13"/>
        </w:rPr>
        <w:t> </w:t>
      </w:r>
      <w:r>
        <w:rPr/>
        <w:t>quality</w:t>
      </w:r>
      <w:r>
        <w:rPr>
          <w:spacing w:val="12"/>
        </w:rPr>
        <w:t> </w:t>
      </w:r>
      <w:r>
        <w:rPr/>
        <w:t>refers</w:t>
      </w:r>
      <w:r>
        <w:rPr>
          <w:spacing w:val="13"/>
        </w:rPr>
        <w:t> </w:t>
      </w:r>
      <w:r>
        <w:rPr/>
        <w:t>to</w:t>
      </w:r>
      <w:r>
        <w:rPr>
          <w:spacing w:val="13"/>
        </w:rPr>
        <w:t> </w:t>
      </w:r>
      <w:r>
        <w:rPr/>
        <w:t>both</w:t>
      </w:r>
      <w:r>
        <w:rPr>
          <w:spacing w:val="14"/>
        </w:rPr>
        <w:t> </w:t>
      </w:r>
      <w:r>
        <w:rPr/>
        <w:t>of</w:t>
      </w:r>
      <w:r>
        <w:rPr>
          <w:spacing w:val="12"/>
        </w:rPr>
        <w:t> </w:t>
      </w:r>
      <w:r>
        <w:rPr/>
        <w:t>services</w:t>
      </w:r>
      <w:r>
        <w:rPr>
          <w:spacing w:val="17"/>
        </w:rPr>
        <w:t> </w:t>
      </w:r>
      <w:r>
        <w:rPr/>
        <w:t>provided</w:t>
      </w:r>
      <w:r>
        <w:rPr>
          <w:spacing w:val="13"/>
        </w:rPr>
        <w:t> </w:t>
      </w:r>
      <w:r>
        <w:rPr/>
        <w:t>and</w:t>
      </w:r>
      <w:r>
        <w:rPr>
          <w:spacing w:val="13"/>
        </w:rPr>
        <w:t> </w:t>
      </w:r>
      <w:r>
        <w:rPr/>
        <w:t>outputs</w:t>
      </w:r>
      <w:r>
        <w:rPr>
          <w:spacing w:val="14"/>
        </w:rPr>
        <w:t> </w:t>
      </w:r>
      <w:r>
        <w:rPr/>
        <w:t>and</w:t>
      </w:r>
      <w:r>
        <w:rPr>
          <w:spacing w:val="13"/>
        </w:rPr>
        <w:t> </w:t>
      </w:r>
      <w:r>
        <w:rPr/>
        <w:t>it</w:t>
      </w:r>
      <w:r>
        <w:rPr>
          <w:spacing w:val="13"/>
        </w:rPr>
        <w:t> </w:t>
      </w:r>
      <w:r>
        <w:rPr/>
        <w:t>is</w:t>
      </w:r>
      <w:r>
        <w:rPr>
          <w:spacing w:val="14"/>
        </w:rPr>
        <w:t> </w:t>
      </w:r>
      <w:r>
        <w:rPr/>
        <w:t>very</w:t>
      </w:r>
      <w:r>
        <w:rPr>
          <w:spacing w:val="11"/>
        </w:rPr>
        <w:t> </w:t>
      </w:r>
      <w:r>
        <w:rPr/>
        <w:t>difficult</w:t>
      </w:r>
      <w:r>
        <w:rPr>
          <w:spacing w:val="14"/>
        </w:rPr>
        <w:t> </w:t>
      </w:r>
      <w:r>
        <w:rPr>
          <w:spacing w:val="-5"/>
        </w:rPr>
        <w:t>to</w:t>
      </w:r>
    </w:p>
    <w:p>
      <w:pPr>
        <w:spacing w:after="0" w:line="480" w:lineRule="auto"/>
        <w:jc w:val="both"/>
        <w:sectPr>
          <w:pgSz w:w="12240" w:h="15840"/>
          <w:pgMar w:header="0" w:footer="1017" w:top="1360" w:bottom="1200" w:left="1040" w:right="120"/>
        </w:sectPr>
      </w:pPr>
    </w:p>
    <w:p>
      <w:pPr>
        <w:pStyle w:val="BodyText"/>
        <w:spacing w:line="480" w:lineRule="auto" w:before="72"/>
        <w:ind w:left="400" w:right="1320"/>
        <w:jc w:val="both"/>
      </w:pPr>
      <w:r>
        <w:rPr/>
        <w:t>give specific definition for quality, but there is no doubt and everyone can agree that, quality is perfection through control, accuracy, and completeness in work.</w:t>
      </w:r>
    </w:p>
    <w:p>
      <w:pPr>
        <w:pStyle w:val="BodyText"/>
      </w:pPr>
    </w:p>
    <w:p>
      <w:pPr>
        <w:pStyle w:val="BodyText"/>
      </w:pPr>
    </w:p>
    <w:p>
      <w:pPr>
        <w:pStyle w:val="BodyText"/>
        <w:spacing w:line="480" w:lineRule="auto"/>
        <w:ind w:left="400" w:right="1316"/>
        <w:jc w:val="both"/>
      </w:pPr>
      <w:r>
        <w:rPr/>
        <w:t>Most of the writers on TQM have their own definition, so TQM is one of the most popular modern management concepts. For the past 25 years, most governments and organisations have implemented a TQM concept.</w:t>
      </w:r>
      <w:r>
        <w:rPr>
          <w:spacing w:val="80"/>
          <w:w w:val="150"/>
        </w:rPr>
        <w:t> </w:t>
      </w:r>
      <w:r>
        <w:rPr/>
        <w:t>BS5750: British Standard (BSI, 1992) defines TQM as "TQM is</w:t>
      </w:r>
      <w:r>
        <w:rPr>
          <w:spacing w:val="40"/>
        </w:rPr>
        <w:t> </w:t>
      </w:r>
      <w:r>
        <w:rPr/>
        <w:t>a management philosophy and company practices that aim to harness human and material resources of an organisation in the most effective way to achieve the objectives of the organisation". According to Asian Institute of Technology (AIT), TQM is “a philosophy that strengthens the culture to foster continuous organisational improvement through systematic, integrated, consistent effort involving everyone and everything, focusing primarily on total satisfaction of internal and external customers, where employees work together in teams with process ownership, guided by a committed top management, which takes a proactive participation”. (Nukulchai, 2003). Also, according to Wessel and Burcher (2004), the British Quality Association defines TQM as “an all-embracing business management philosophy focusing on completely fulfilling customer requirements with a maximum of effectiveness and </w:t>
      </w:r>
      <w:r>
        <w:rPr>
          <w:spacing w:val="-2"/>
        </w:rPr>
        <w:t>efficiency".</w:t>
      </w:r>
    </w:p>
    <w:p>
      <w:pPr>
        <w:pStyle w:val="BodyText"/>
        <w:spacing w:before="46"/>
      </w:pPr>
    </w:p>
    <w:p>
      <w:pPr>
        <w:pStyle w:val="BodyText"/>
        <w:spacing w:line="480" w:lineRule="auto"/>
        <w:ind w:left="400" w:right="1316"/>
        <w:jc w:val="both"/>
      </w:pPr>
      <w:r>
        <w:rPr/>
        <w:t>The above definitions define the TQM as a philosophy but from different point of view. British Standard described the TQM as the management philosophy aimed to achieve organisation objectives. While, the Asian Institute of Technology (AIT), defined the TQM as the philosophy aiming to satisfy the customers. The critical phrases in British Quality Association definition towards TQM is a management philosophy aiming to meeting the customer requirements. Therefore,</w:t>
      </w:r>
      <w:r>
        <w:rPr>
          <w:spacing w:val="-1"/>
        </w:rPr>
        <w:t> </w:t>
      </w:r>
      <w:r>
        <w:rPr/>
        <w:t>the common</w:t>
      </w:r>
      <w:r>
        <w:rPr>
          <w:spacing w:val="3"/>
        </w:rPr>
        <w:t> </w:t>
      </w:r>
      <w:r>
        <w:rPr/>
        <w:t>word</w:t>
      </w:r>
      <w:r>
        <w:rPr>
          <w:spacing w:val="1"/>
        </w:rPr>
        <w:t> </w:t>
      </w:r>
      <w:r>
        <w:rPr/>
        <w:t>towards</w:t>
      </w:r>
      <w:r>
        <w:rPr>
          <w:spacing w:val="3"/>
        </w:rPr>
        <w:t> </w:t>
      </w:r>
      <w:r>
        <w:rPr/>
        <w:t>TQM</w:t>
      </w:r>
      <w:r>
        <w:rPr>
          <w:spacing w:val="4"/>
        </w:rPr>
        <w:t> </w:t>
      </w:r>
      <w:r>
        <w:rPr/>
        <w:t>concept</w:t>
      </w:r>
      <w:r>
        <w:rPr>
          <w:spacing w:val="1"/>
        </w:rPr>
        <w:t> </w:t>
      </w:r>
      <w:r>
        <w:rPr/>
        <w:t>is</w:t>
      </w:r>
      <w:r>
        <w:rPr>
          <w:spacing w:val="1"/>
        </w:rPr>
        <w:t> </w:t>
      </w:r>
      <w:r>
        <w:rPr/>
        <w:t>a philosophy.</w:t>
      </w:r>
      <w:r>
        <w:rPr>
          <w:spacing w:val="62"/>
        </w:rPr>
        <w:t> </w:t>
      </w:r>
      <w:r>
        <w:rPr/>
        <w:t>The</w:t>
      </w:r>
      <w:r>
        <w:rPr>
          <w:spacing w:val="2"/>
        </w:rPr>
        <w:t> </w:t>
      </w:r>
      <w:r>
        <w:rPr/>
        <w:t>British</w:t>
      </w:r>
      <w:r>
        <w:rPr>
          <w:spacing w:val="1"/>
        </w:rPr>
        <w:t> </w:t>
      </w:r>
      <w:r>
        <w:rPr/>
        <w:t>Railway </w:t>
      </w:r>
      <w:r>
        <w:rPr>
          <w:spacing w:val="-2"/>
        </w:rPr>
        <w:t>Board</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defines TQM as “the process, which seeks to meet and satisfy</w:t>
      </w:r>
      <w:r>
        <w:rPr>
          <w:spacing w:val="-3"/>
        </w:rPr>
        <w:t> </w:t>
      </w:r>
      <w:r>
        <w:rPr/>
        <w:t>customer requirements throughout the whole chain of internal and external customers and suppliers" whereas the Royal Mail</w:t>
      </w:r>
      <w:r>
        <w:rPr>
          <w:spacing w:val="40"/>
        </w:rPr>
        <w:t> </w:t>
      </w:r>
      <w:r>
        <w:rPr/>
        <w:t>defines it as "A comprehensive way of working throughout the organisation, which allows all employees, as individuals and as teams, to add value and satisfy the needs of customer". The critical word toward the TQM definition is the process and way of working.</w:t>
      </w:r>
    </w:p>
    <w:p>
      <w:pPr>
        <w:pStyle w:val="BodyText"/>
        <w:spacing w:before="185"/>
      </w:pPr>
    </w:p>
    <w:p>
      <w:pPr>
        <w:pStyle w:val="BodyText"/>
        <w:spacing w:line="480" w:lineRule="auto"/>
        <w:ind w:left="400" w:right="1317"/>
        <w:jc w:val="both"/>
      </w:pPr>
      <w:r>
        <w:rPr/>
        <w:t>A definition by the US Department of Defence that succinctly captures the essence of the</w:t>
      </w:r>
      <w:r>
        <w:rPr>
          <w:spacing w:val="40"/>
        </w:rPr>
        <w:t> </w:t>
      </w:r>
      <w:r>
        <w:rPr/>
        <w:t>concept is: “TQM utilizes both quantitative (technical) methods and human resource (behavioural) practices to improve material and service inputs, intra-and inter organisational processes, and to sharpen the focus on meeting customers’ needs (Singh and Smith, 2004). Sashkin and Kaiser (1991) mention that TQM is based upon the constant attainment of customer satisfaction, through incorporating</w:t>
      </w:r>
      <w:r>
        <w:rPr>
          <w:spacing w:val="-1"/>
        </w:rPr>
        <w:t> </w:t>
      </w:r>
      <w:r>
        <w:rPr/>
        <w:t>management and employee commitment, training, continuous improvement and great supplier relations.</w:t>
      </w:r>
    </w:p>
    <w:p>
      <w:pPr>
        <w:pStyle w:val="BodyText"/>
        <w:spacing w:before="91"/>
      </w:pPr>
    </w:p>
    <w:p>
      <w:pPr>
        <w:pStyle w:val="BodyText"/>
        <w:spacing w:line="480" w:lineRule="auto"/>
        <w:ind w:left="400" w:right="1314"/>
        <w:jc w:val="both"/>
      </w:pPr>
      <w:r>
        <w:rPr/>
        <w:t>There are a number of ways by which TQM has been defined. It generally means a quest for excellence, creating the right attitudes and controls to make prevention of defects or errors possible and optimize customer satisfaction by</w:t>
      </w:r>
      <w:r>
        <w:rPr>
          <w:spacing w:val="-6"/>
        </w:rPr>
        <w:t> </w:t>
      </w:r>
      <w:r>
        <w:rPr/>
        <w:t>increased efficiency</w:t>
      </w:r>
      <w:r>
        <w:rPr>
          <w:spacing w:val="-3"/>
        </w:rPr>
        <w:t> </w:t>
      </w:r>
      <w:r>
        <w:rPr/>
        <w:t>and effectiveness. According to Hill (2008) TQM is considered as an approach of continuous improvement in all quality aspects of the whole processes, goods, services and employees within the firm, and it aims at adding value to the delivered products to customers through continuous development of firm’s processes and systems. AL-Asiri (2004) defined TQM as a philosophy of continuous organizational development through the employment of</w:t>
      </w:r>
      <w:r>
        <w:rPr>
          <w:spacing w:val="-1"/>
        </w:rPr>
        <w:t> </w:t>
      </w:r>
      <w:r>
        <w:rPr/>
        <w:t>customer</w:t>
      </w:r>
      <w:r>
        <w:rPr>
          <w:spacing w:val="-1"/>
        </w:rPr>
        <w:t> </w:t>
      </w:r>
      <w:r>
        <w:rPr/>
        <w:t>satisfaction and by</w:t>
      </w:r>
      <w:r>
        <w:rPr>
          <w:spacing w:val="-5"/>
        </w:rPr>
        <w:t> </w:t>
      </w:r>
      <w:r>
        <w:rPr/>
        <w:t>basing</w:t>
      </w:r>
      <w:r>
        <w:rPr>
          <w:spacing w:val="-2"/>
        </w:rPr>
        <w:t> </w:t>
      </w:r>
      <w:r>
        <w:rPr/>
        <w:t>it on the permanent workers contribution in order to improve goods, services and processes. Prajogo (2005)</w:t>
      </w:r>
      <w:r>
        <w:rPr>
          <w:spacing w:val="75"/>
          <w:w w:val="150"/>
        </w:rPr>
        <w:t> </w:t>
      </w:r>
      <w:r>
        <w:rPr/>
        <w:t>asserted</w:t>
      </w:r>
      <w:r>
        <w:rPr>
          <w:spacing w:val="77"/>
          <w:w w:val="150"/>
        </w:rPr>
        <w:t> </w:t>
      </w:r>
      <w:r>
        <w:rPr/>
        <w:t>that</w:t>
      </w:r>
      <w:r>
        <w:rPr>
          <w:spacing w:val="76"/>
          <w:w w:val="150"/>
        </w:rPr>
        <w:t> </w:t>
      </w:r>
      <w:r>
        <w:rPr/>
        <w:t>TQM</w:t>
      </w:r>
      <w:r>
        <w:rPr>
          <w:spacing w:val="77"/>
          <w:w w:val="150"/>
        </w:rPr>
        <w:t> </w:t>
      </w:r>
      <w:r>
        <w:rPr/>
        <w:t>is</w:t>
      </w:r>
      <w:r>
        <w:rPr>
          <w:spacing w:val="76"/>
          <w:w w:val="150"/>
        </w:rPr>
        <w:t> </w:t>
      </w:r>
      <w:r>
        <w:rPr/>
        <w:t>a</w:t>
      </w:r>
      <w:r>
        <w:rPr>
          <w:spacing w:val="76"/>
          <w:w w:val="150"/>
        </w:rPr>
        <w:t> </w:t>
      </w:r>
      <w:r>
        <w:rPr/>
        <w:t>process</w:t>
      </w:r>
      <w:r>
        <w:rPr>
          <w:spacing w:val="77"/>
          <w:w w:val="150"/>
        </w:rPr>
        <w:t> </w:t>
      </w:r>
      <w:r>
        <w:rPr/>
        <w:t>to</w:t>
      </w:r>
      <w:r>
        <w:rPr>
          <w:spacing w:val="78"/>
          <w:w w:val="150"/>
        </w:rPr>
        <w:t> </w:t>
      </w:r>
      <w:r>
        <w:rPr/>
        <w:t>enhance</w:t>
      </w:r>
      <w:r>
        <w:rPr>
          <w:spacing w:val="76"/>
          <w:w w:val="150"/>
        </w:rPr>
        <w:t> </w:t>
      </w:r>
      <w:r>
        <w:rPr/>
        <w:t>flexibility,</w:t>
      </w:r>
      <w:r>
        <w:rPr>
          <w:spacing w:val="76"/>
          <w:w w:val="150"/>
        </w:rPr>
        <w:t> </w:t>
      </w:r>
      <w:r>
        <w:rPr/>
        <w:t>effectiveness,</w:t>
      </w:r>
      <w:r>
        <w:rPr>
          <w:spacing w:val="77"/>
          <w:w w:val="150"/>
        </w:rPr>
        <w:t> </w:t>
      </w:r>
      <w:r>
        <w:rPr/>
        <w:t>and</w:t>
      </w:r>
      <w:r>
        <w:rPr>
          <w:spacing w:val="79"/>
          <w:w w:val="150"/>
        </w:rPr>
        <w:t> </w:t>
      </w:r>
      <w:r>
        <w:rPr>
          <w:spacing w:val="-4"/>
        </w:rPr>
        <w:t>firm</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competitiveness to meet customer needs and expectations. Generally speaking, all perspectives mean seek for professionalism, excellence, optimize customer satisfaction through enhancing effectiveness and efficiency, and creating the suitable attitudes and controls to make prevention of defects and errors possible.</w:t>
      </w:r>
    </w:p>
    <w:p>
      <w:pPr>
        <w:pStyle w:val="BodyText"/>
        <w:spacing w:line="480" w:lineRule="auto" w:before="185"/>
        <w:ind w:left="400" w:right="1316"/>
        <w:jc w:val="both"/>
      </w:pPr>
      <w:r>
        <w:rPr/>
        <w:t>Figure 2.6 below shows TQM as one of the strategic economic responsibilities of the firm. It is a “management philosophy” that includes different core values. The values of TQM are “customer focus”, “continuous improvement”, “process orientation”, “everybody’s commitment”, “result orientation” and “learning from each other”. Combined they are the prerequisites for quality management (Hellsten and Klefsjö, 2000).</w:t>
      </w:r>
    </w:p>
    <w:p>
      <w:pPr>
        <w:pStyle w:val="BodyText"/>
        <w:rPr>
          <w:sz w:val="8"/>
        </w:rPr>
      </w:pPr>
      <w:r>
        <w:rPr/>
        <mc:AlternateContent>
          <mc:Choice Requires="wps">
            <w:drawing>
              <wp:anchor distT="0" distB="0" distL="0" distR="0" allowOverlap="1" layoutInCell="1" locked="0" behindDoc="1" simplePos="0" relativeHeight="487598080">
                <wp:simplePos x="0" y="0"/>
                <wp:positionH relativeFrom="page">
                  <wp:posOffset>1389697</wp:posOffset>
                </wp:positionH>
                <wp:positionV relativeFrom="paragraph">
                  <wp:posOffset>74245</wp:posOffset>
                </wp:positionV>
                <wp:extent cx="4923790" cy="1819910"/>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4923790" cy="1819910"/>
                          <a:chExt cx="4923790" cy="1819910"/>
                        </a:xfrm>
                      </wpg:grpSpPr>
                      <wps:wsp>
                        <wps:cNvPr id="149" name="Graphic 149"/>
                        <wps:cNvSpPr/>
                        <wps:spPr>
                          <a:xfrm>
                            <a:off x="4762" y="4762"/>
                            <a:ext cx="4914265" cy="1810385"/>
                          </a:xfrm>
                          <a:custGeom>
                            <a:avLst/>
                            <a:gdLst/>
                            <a:ahLst/>
                            <a:cxnLst/>
                            <a:rect l="l" t="t" r="r" b="b"/>
                            <a:pathLst>
                              <a:path w="4914265" h="1810385">
                                <a:moveTo>
                                  <a:pt x="0" y="1810385"/>
                                </a:moveTo>
                                <a:lnTo>
                                  <a:pt x="4914265" y="1810385"/>
                                </a:lnTo>
                                <a:lnTo>
                                  <a:pt x="4914265" y="0"/>
                                </a:lnTo>
                                <a:lnTo>
                                  <a:pt x="0" y="0"/>
                                </a:lnTo>
                                <a:lnTo>
                                  <a:pt x="0" y="1810385"/>
                                </a:lnTo>
                                <a:close/>
                              </a:path>
                              <a:path w="4914265" h="1810385">
                                <a:moveTo>
                                  <a:pt x="274954" y="833120"/>
                                </a:moveTo>
                                <a:lnTo>
                                  <a:pt x="1812925" y="833120"/>
                                </a:lnTo>
                                <a:lnTo>
                                  <a:pt x="1812925" y="426720"/>
                                </a:lnTo>
                                <a:lnTo>
                                  <a:pt x="274954" y="426720"/>
                                </a:lnTo>
                                <a:lnTo>
                                  <a:pt x="274954" y="833120"/>
                                </a:lnTo>
                                <a:close/>
                              </a:path>
                              <a:path w="4914265" h="1810385">
                                <a:moveTo>
                                  <a:pt x="274954" y="1652270"/>
                                </a:moveTo>
                                <a:lnTo>
                                  <a:pt x="1812925" y="1652270"/>
                                </a:lnTo>
                                <a:lnTo>
                                  <a:pt x="1812925" y="1176655"/>
                                </a:lnTo>
                                <a:lnTo>
                                  <a:pt x="274954" y="1176655"/>
                                </a:lnTo>
                                <a:lnTo>
                                  <a:pt x="274954" y="1652270"/>
                                </a:lnTo>
                                <a:close/>
                              </a:path>
                              <a:path w="4914265" h="1810385">
                                <a:moveTo>
                                  <a:pt x="2966719" y="1652270"/>
                                </a:moveTo>
                                <a:lnTo>
                                  <a:pt x="4565649" y="1652270"/>
                                </a:lnTo>
                                <a:lnTo>
                                  <a:pt x="4565649" y="1176655"/>
                                </a:lnTo>
                                <a:lnTo>
                                  <a:pt x="2966719" y="1176655"/>
                                </a:lnTo>
                                <a:lnTo>
                                  <a:pt x="2966719" y="1652270"/>
                                </a:lnTo>
                                <a:close/>
                              </a:path>
                              <a:path w="4914265" h="1810385">
                                <a:moveTo>
                                  <a:pt x="2966719" y="833120"/>
                                </a:moveTo>
                                <a:lnTo>
                                  <a:pt x="4565649" y="833120"/>
                                </a:lnTo>
                                <a:lnTo>
                                  <a:pt x="4565649" y="375920"/>
                                </a:lnTo>
                                <a:lnTo>
                                  <a:pt x="2966719" y="375920"/>
                                </a:lnTo>
                                <a:lnTo>
                                  <a:pt x="2966719" y="833120"/>
                                </a:lnTo>
                                <a:close/>
                              </a:path>
                            </a:pathLst>
                          </a:custGeom>
                          <a:ln w="9525">
                            <a:solidFill>
                              <a:srgbClr val="000000"/>
                            </a:solidFill>
                            <a:prstDash val="solid"/>
                          </a:ln>
                        </wps:spPr>
                        <wps:bodyPr wrap="square" lIns="0" tIns="0" rIns="0" bIns="0" rtlCol="0">
                          <a:prstTxWarp prst="textNoShape">
                            <a:avLst/>
                          </a:prstTxWarp>
                          <a:noAutofit/>
                        </wps:bodyPr>
                      </wps:wsp>
                      <wps:wsp>
                        <wps:cNvPr id="150" name="Graphic 150"/>
                        <wps:cNvSpPr/>
                        <wps:spPr>
                          <a:xfrm>
                            <a:off x="1703387" y="638492"/>
                            <a:ext cx="1366520" cy="734695"/>
                          </a:xfrm>
                          <a:custGeom>
                            <a:avLst/>
                            <a:gdLst/>
                            <a:ahLst/>
                            <a:cxnLst/>
                            <a:rect l="l" t="t" r="r" b="b"/>
                            <a:pathLst>
                              <a:path w="1366520" h="734695">
                                <a:moveTo>
                                  <a:pt x="683260" y="0"/>
                                </a:moveTo>
                                <a:lnTo>
                                  <a:pt x="621065" y="1501"/>
                                </a:lnTo>
                                <a:lnTo>
                                  <a:pt x="560436" y="5917"/>
                                </a:lnTo>
                                <a:lnTo>
                                  <a:pt x="501613" y="13120"/>
                                </a:lnTo>
                                <a:lnTo>
                                  <a:pt x="444837" y="22980"/>
                                </a:lnTo>
                                <a:lnTo>
                                  <a:pt x="390350" y="35366"/>
                                </a:lnTo>
                                <a:lnTo>
                                  <a:pt x="338393" y="50150"/>
                                </a:lnTo>
                                <a:lnTo>
                                  <a:pt x="289207" y="67201"/>
                                </a:lnTo>
                                <a:lnTo>
                                  <a:pt x="243033" y="86390"/>
                                </a:lnTo>
                                <a:lnTo>
                                  <a:pt x="200112" y="107588"/>
                                </a:lnTo>
                                <a:lnTo>
                                  <a:pt x="160685" y="130664"/>
                                </a:lnTo>
                                <a:lnTo>
                                  <a:pt x="124994" y="155489"/>
                                </a:lnTo>
                                <a:lnTo>
                                  <a:pt x="93279" y="181933"/>
                                </a:lnTo>
                                <a:lnTo>
                                  <a:pt x="65781" y="209867"/>
                                </a:lnTo>
                                <a:lnTo>
                                  <a:pt x="24404" y="269686"/>
                                </a:lnTo>
                                <a:lnTo>
                                  <a:pt x="2792" y="333909"/>
                                </a:lnTo>
                                <a:lnTo>
                                  <a:pt x="0" y="367347"/>
                                </a:lnTo>
                                <a:lnTo>
                                  <a:pt x="2792" y="400785"/>
                                </a:lnTo>
                                <a:lnTo>
                                  <a:pt x="24404" y="465008"/>
                                </a:lnTo>
                                <a:lnTo>
                                  <a:pt x="65781" y="524827"/>
                                </a:lnTo>
                                <a:lnTo>
                                  <a:pt x="93279" y="552761"/>
                                </a:lnTo>
                                <a:lnTo>
                                  <a:pt x="124994" y="579205"/>
                                </a:lnTo>
                                <a:lnTo>
                                  <a:pt x="160685" y="604030"/>
                                </a:lnTo>
                                <a:lnTo>
                                  <a:pt x="200112" y="627106"/>
                                </a:lnTo>
                                <a:lnTo>
                                  <a:pt x="243033" y="648304"/>
                                </a:lnTo>
                                <a:lnTo>
                                  <a:pt x="289207" y="667493"/>
                                </a:lnTo>
                                <a:lnTo>
                                  <a:pt x="338393" y="684544"/>
                                </a:lnTo>
                                <a:lnTo>
                                  <a:pt x="390350" y="699328"/>
                                </a:lnTo>
                                <a:lnTo>
                                  <a:pt x="444837" y="711714"/>
                                </a:lnTo>
                                <a:lnTo>
                                  <a:pt x="501613" y="721574"/>
                                </a:lnTo>
                                <a:lnTo>
                                  <a:pt x="560436" y="728777"/>
                                </a:lnTo>
                                <a:lnTo>
                                  <a:pt x="621065" y="733193"/>
                                </a:lnTo>
                                <a:lnTo>
                                  <a:pt x="683260" y="734695"/>
                                </a:lnTo>
                                <a:lnTo>
                                  <a:pt x="745454" y="733193"/>
                                </a:lnTo>
                                <a:lnTo>
                                  <a:pt x="806083" y="728777"/>
                                </a:lnTo>
                                <a:lnTo>
                                  <a:pt x="864906" y="721574"/>
                                </a:lnTo>
                                <a:lnTo>
                                  <a:pt x="921682" y="711714"/>
                                </a:lnTo>
                                <a:lnTo>
                                  <a:pt x="976169" y="699328"/>
                                </a:lnTo>
                                <a:lnTo>
                                  <a:pt x="1028126" y="684544"/>
                                </a:lnTo>
                                <a:lnTo>
                                  <a:pt x="1077312" y="667493"/>
                                </a:lnTo>
                                <a:lnTo>
                                  <a:pt x="1123486" y="648304"/>
                                </a:lnTo>
                                <a:lnTo>
                                  <a:pt x="1166407" y="627106"/>
                                </a:lnTo>
                                <a:lnTo>
                                  <a:pt x="1205834" y="604030"/>
                                </a:lnTo>
                                <a:lnTo>
                                  <a:pt x="1241525" y="579205"/>
                                </a:lnTo>
                                <a:lnTo>
                                  <a:pt x="1273240" y="552761"/>
                                </a:lnTo>
                                <a:lnTo>
                                  <a:pt x="1300738" y="524827"/>
                                </a:lnTo>
                                <a:lnTo>
                                  <a:pt x="1342115" y="465008"/>
                                </a:lnTo>
                                <a:lnTo>
                                  <a:pt x="1363727" y="400785"/>
                                </a:lnTo>
                                <a:lnTo>
                                  <a:pt x="1366520" y="367347"/>
                                </a:lnTo>
                                <a:lnTo>
                                  <a:pt x="1363727" y="333909"/>
                                </a:lnTo>
                                <a:lnTo>
                                  <a:pt x="1342115" y="269686"/>
                                </a:lnTo>
                                <a:lnTo>
                                  <a:pt x="1300738" y="209867"/>
                                </a:lnTo>
                                <a:lnTo>
                                  <a:pt x="1273240" y="181933"/>
                                </a:lnTo>
                                <a:lnTo>
                                  <a:pt x="1241525" y="155489"/>
                                </a:lnTo>
                                <a:lnTo>
                                  <a:pt x="1205834" y="130664"/>
                                </a:lnTo>
                                <a:lnTo>
                                  <a:pt x="1166407" y="107588"/>
                                </a:lnTo>
                                <a:lnTo>
                                  <a:pt x="1123486" y="86390"/>
                                </a:lnTo>
                                <a:lnTo>
                                  <a:pt x="1077312" y="67201"/>
                                </a:lnTo>
                                <a:lnTo>
                                  <a:pt x="1028126" y="50150"/>
                                </a:lnTo>
                                <a:lnTo>
                                  <a:pt x="976169" y="35366"/>
                                </a:lnTo>
                                <a:lnTo>
                                  <a:pt x="921682" y="22980"/>
                                </a:lnTo>
                                <a:lnTo>
                                  <a:pt x="864906" y="13120"/>
                                </a:lnTo>
                                <a:lnTo>
                                  <a:pt x="806083" y="5917"/>
                                </a:lnTo>
                                <a:lnTo>
                                  <a:pt x="745454" y="1501"/>
                                </a:lnTo>
                                <a:lnTo>
                                  <a:pt x="68326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703387" y="638492"/>
                            <a:ext cx="1366520" cy="734695"/>
                          </a:xfrm>
                          <a:custGeom>
                            <a:avLst/>
                            <a:gdLst/>
                            <a:ahLst/>
                            <a:cxnLst/>
                            <a:rect l="l" t="t" r="r" b="b"/>
                            <a:pathLst>
                              <a:path w="1366520" h="734695">
                                <a:moveTo>
                                  <a:pt x="683260" y="0"/>
                                </a:moveTo>
                                <a:lnTo>
                                  <a:pt x="621065" y="1501"/>
                                </a:lnTo>
                                <a:lnTo>
                                  <a:pt x="560436" y="5917"/>
                                </a:lnTo>
                                <a:lnTo>
                                  <a:pt x="501613" y="13120"/>
                                </a:lnTo>
                                <a:lnTo>
                                  <a:pt x="444837" y="22980"/>
                                </a:lnTo>
                                <a:lnTo>
                                  <a:pt x="390350" y="35366"/>
                                </a:lnTo>
                                <a:lnTo>
                                  <a:pt x="338393" y="50150"/>
                                </a:lnTo>
                                <a:lnTo>
                                  <a:pt x="289207" y="67201"/>
                                </a:lnTo>
                                <a:lnTo>
                                  <a:pt x="243033" y="86390"/>
                                </a:lnTo>
                                <a:lnTo>
                                  <a:pt x="200112" y="107588"/>
                                </a:lnTo>
                                <a:lnTo>
                                  <a:pt x="160685" y="130664"/>
                                </a:lnTo>
                                <a:lnTo>
                                  <a:pt x="124994" y="155489"/>
                                </a:lnTo>
                                <a:lnTo>
                                  <a:pt x="93279" y="181933"/>
                                </a:lnTo>
                                <a:lnTo>
                                  <a:pt x="65781" y="209867"/>
                                </a:lnTo>
                                <a:lnTo>
                                  <a:pt x="24404" y="269686"/>
                                </a:lnTo>
                                <a:lnTo>
                                  <a:pt x="2792" y="333909"/>
                                </a:lnTo>
                                <a:lnTo>
                                  <a:pt x="0" y="367347"/>
                                </a:lnTo>
                                <a:lnTo>
                                  <a:pt x="2792" y="400785"/>
                                </a:lnTo>
                                <a:lnTo>
                                  <a:pt x="24404" y="465008"/>
                                </a:lnTo>
                                <a:lnTo>
                                  <a:pt x="65781" y="524827"/>
                                </a:lnTo>
                                <a:lnTo>
                                  <a:pt x="93279" y="552761"/>
                                </a:lnTo>
                                <a:lnTo>
                                  <a:pt x="124994" y="579205"/>
                                </a:lnTo>
                                <a:lnTo>
                                  <a:pt x="160685" y="604030"/>
                                </a:lnTo>
                                <a:lnTo>
                                  <a:pt x="200112" y="627106"/>
                                </a:lnTo>
                                <a:lnTo>
                                  <a:pt x="243033" y="648304"/>
                                </a:lnTo>
                                <a:lnTo>
                                  <a:pt x="289207" y="667493"/>
                                </a:lnTo>
                                <a:lnTo>
                                  <a:pt x="338393" y="684544"/>
                                </a:lnTo>
                                <a:lnTo>
                                  <a:pt x="390350" y="699328"/>
                                </a:lnTo>
                                <a:lnTo>
                                  <a:pt x="444837" y="711714"/>
                                </a:lnTo>
                                <a:lnTo>
                                  <a:pt x="501613" y="721574"/>
                                </a:lnTo>
                                <a:lnTo>
                                  <a:pt x="560436" y="728777"/>
                                </a:lnTo>
                                <a:lnTo>
                                  <a:pt x="621065" y="733193"/>
                                </a:lnTo>
                                <a:lnTo>
                                  <a:pt x="683260" y="734695"/>
                                </a:lnTo>
                                <a:lnTo>
                                  <a:pt x="745454" y="733193"/>
                                </a:lnTo>
                                <a:lnTo>
                                  <a:pt x="806083" y="728777"/>
                                </a:lnTo>
                                <a:lnTo>
                                  <a:pt x="864906" y="721574"/>
                                </a:lnTo>
                                <a:lnTo>
                                  <a:pt x="921682" y="711714"/>
                                </a:lnTo>
                                <a:lnTo>
                                  <a:pt x="976169" y="699328"/>
                                </a:lnTo>
                                <a:lnTo>
                                  <a:pt x="1028126" y="684544"/>
                                </a:lnTo>
                                <a:lnTo>
                                  <a:pt x="1077312" y="667493"/>
                                </a:lnTo>
                                <a:lnTo>
                                  <a:pt x="1123486" y="648304"/>
                                </a:lnTo>
                                <a:lnTo>
                                  <a:pt x="1166407" y="627106"/>
                                </a:lnTo>
                                <a:lnTo>
                                  <a:pt x="1205834" y="604030"/>
                                </a:lnTo>
                                <a:lnTo>
                                  <a:pt x="1241525" y="579205"/>
                                </a:lnTo>
                                <a:lnTo>
                                  <a:pt x="1273240" y="552761"/>
                                </a:lnTo>
                                <a:lnTo>
                                  <a:pt x="1300738" y="524827"/>
                                </a:lnTo>
                                <a:lnTo>
                                  <a:pt x="1342115" y="465008"/>
                                </a:lnTo>
                                <a:lnTo>
                                  <a:pt x="1363727" y="400785"/>
                                </a:lnTo>
                                <a:lnTo>
                                  <a:pt x="1366520" y="367347"/>
                                </a:lnTo>
                                <a:lnTo>
                                  <a:pt x="1363727" y="333909"/>
                                </a:lnTo>
                                <a:lnTo>
                                  <a:pt x="1342115" y="269686"/>
                                </a:lnTo>
                                <a:lnTo>
                                  <a:pt x="1300738" y="209867"/>
                                </a:lnTo>
                                <a:lnTo>
                                  <a:pt x="1273240" y="181933"/>
                                </a:lnTo>
                                <a:lnTo>
                                  <a:pt x="1241525" y="155489"/>
                                </a:lnTo>
                                <a:lnTo>
                                  <a:pt x="1205834" y="130664"/>
                                </a:lnTo>
                                <a:lnTo>
                                  <a:pt x="1166407" y="107588"/>
                                </a:lnTo>
                                <a:lnTo>
                                  <a:pt x="1123486" y="86390"/>
                                </a:lnTo>
                                <a:lnTo>
                                  <a:pt x="1077312" y="67201"/>
                                </a:lnTo>
                                <a:lnTo>
                                  <a:pt x="1028126" y="50150"/>
                                </a:lnTo>
                                <a:lnTo>
                                  <a:pt x="976169" y="35366"/>
                                </a:lnTo>
                                <a:lnTo>
                                  <a:pt x="921682" y="22980"/>
                                </a:lnTo>
                                <a:lnTo>
                                  <a:pt x="864906" y="13120"/>
                                </a:lnTo>
                                <a:lnTo>
                                  <a:pt x="806083" y="5917"/>
                                </a:lnTo>
                                <a:lnTo>
                                  <a:pt x="745454" y="1501"/>
                                </a:lnTo>
                                <a:lnTo>
                                  <a:pt x="683260" y="0"/>
                                </a:lnTo>
                                <a:close/>
                              </a:path>
                            </a:pathLst>
                          </a:custGeom>
                          <a:ln w="9525">
                            <a:solidFill>
                              <a:srgbClr val="000000"/>
                            </a:solidFill>
                            <a:prstDash val="solid"/>
                          </a:ln>
                        </wps:spPr>
                        <wps:bodyPr wrap="square" lIns="0" tIns="0" rIns="0" bIns="0" rtlCol="0">
                          <a:prstTxWarp prst="textNoShape">
                            <a:avLst/>
                          </a:prstTxWarp>
                          <a:noAutofit/>
                        </wps:bodyPr>
                      </wps:wsp>
                      <wps:wsp>
                        <wps:cNvPr id="152" name="Textbox 152"/>
                        <wps:cNvSpPr txBox="1"/>
                        <wps:spPr>
                          <a:xfrm>
                            <a:off x="1015174" y="66441"/>
                            <a:ext cx="2069464" cy="168910"/>
                          </a:xfrm>
                          <a:prstGeom prst="rect">
                            <a:avLst/>
                          </a:prstGeom>
                        </wps:spPr>
                        <wps:txbx>
                          <w:txbxContent>
                            <w:p>
                              <w:pPr>
                                <w:spacing w:line="266" w:lineRule="exact" w:before="0"/>
                                <w:ind w:left="0" w:right="0" w:firstLine="0"/>
                                <w:jc w:val="left"/>
                                <w:rPr>
                                  <w:b/>
                                  <w:sz w:val="24"/>
                                </w:rPr>
                              </w:pPr>
                              <w:r>
                                <w:rPr>
                                  <w:b/>
                                  <w:sz w:val="24"/>
                                </w:rPr>
                                <w:t>Top</w:t>
                              </w:r>
                              <w:r>
                                <w:rPr>
                                  <w:b/>
                                  <w:spacing w:val="-4"/>
                                  <w:sz w:val="24"/>
                                </w:rPr>
                                <w:t> </w:t>
                              </w:r>
                              <w:r>
                                <w:rPr>
                                  <w:b/>
                                  <w:sz w:val="24"/>
                                </w:rPr>
                                <w:t>Management</w:t>
                              </w:r>
                              <w:r>
                                <w:rPr>
                                  <w:b/>
                                  <w:spacing w:val="-2"/>
                                  <w:sz w:val="24"/>
                                </w:rPr>
                                <w:t> Commitment</w:t>
                              </w:r>
                            </w:p>
                          </w:txbxContent>
                        </wps:txbx>
                        <wps:bodyPr wrap="square" lIns="0" tIns="0" rIns="0" bIns="0" rtlCol="0">
                          <a:noAutofit/>
                        </wps:bodyPr>
                      </wps:wsp>
                      <wps:wsp>
                        <wps:cNvPr id="153" name="Textbox 153"/>
                        <wps:cNvSpPr txBox="1"/>
                        <wps:spPr>
                          <a:xfrm>
                            <a:off x="376618" y="510095"/>
                            <a:ext cx="1315720" cy="140335"/>
                          </a:xfrm>
                          <a:prstGeom prst="rect">
                            <a:avLst/>
                          </a:prstGeom>
                        </wps:spPr>
                        <wps:txbx>
                          <w:txbxContent>
                            <w:p>
                              <w:pPr>
                                <w:spacing w:line="221" w:lineRule="exact" w:before="0"/>
                                <w:ind w:left="0" w:right="0" w:firstLine="0"/>
                                <w:jc w:val="left"/>
                                <w:rPr>
                                  <w:rFonts w:ascii="Calibri"/>
                                  <w:sz w:val="22"/>
                                </w:rPr>
                              </w:pPr>
                              <w:r>
                                <w:rPr>
                                  <w:rFonts w:ascii="Calibri"/>
                                  <w:sz w:val="22"/>
                                </w:rPr>
                                <w:t>Base</w:t>
                              </w:r>
                              <w:r>
                                <w:rPr>
                                  <w:rFonts w:ascii="Calibri"/>
                                  <w:spacing w:val="-2"/>
                                  <w:sz w:val="22"/>
                                </w:rPr>
                                <w:t> </w:t>
                              </w:r>
                              <w:r>
                                <w:rPr>
                                  <w:rFonts w:ascii="Calibri"/>
                                  <w:sz w:val="22"/>
                                </w:rPr>
                                <w:t>decisions</w:t>
                              </w:r>
                              <w:r>
                                <w:rPr>
                                  <w:rFonts w:ascii="Calibri"/>
                                  <w:spacing w:val="-4"/>
                                  <w:sz w:val="22"/>
                                </w:rPr>
                                <w:t> </w:t>
                              </w:r>
                              <w:r>
                                <w:rPr>
                                  <w:rFonts w:ascii="Calibri"/>
                                  <w:sz w:val="22"/>
                                </w:rPr>
                                <w:t>on</w:t>
                              </w:r>
                              <w:r>
                                <w:rPr>
                                  <w:rFonts w:ascii="Calibri"/>
                                  <w:spacing w:val="-3"/>
                                  <w:sz w:val="22"/>
                                </w:rPr>
                                <w:t> </w:t>
                              </w:r>
                              <w:r>
                                <w:rPr>
                                  <w:rFonts w:ascii="Calibri"/>
                                  <w:spacing w:val="-4"/>
                                  <w:sz w:val="22"/>
                                </w:rPr>
                                <w:t>facts</w:t>
                              </w:r>
                            </w:p>
                          </w:txbxContent>
                        </wps:txbx>
                        <wps:bodyPr wrap="square" lIns="0" tIns="0" rIns="0" bIns="0" rtlCol="0">
                          <a:noAutofit/>
                        </wps:bodyPr>
                      </wps:wsp>
                      <wps:wsp>
                        <wps:cNvPr id="154" name="Textbox 154"/>
                        <wps:cNvSpPr txBox="1"/>
                        <wps:spPr>
                          <a:xfrm>
                            <a:off x="3068002" y="458279"/>
                            <a:ext cx="1107440" cy="140335"/>
                          </a:xfrm>
                          <a:prstGeom prst="rect">
                            <a:avLst/>
                          </a:prstGeom>
                        </wps:spPr>
                        <wps:txbx>
                          <w:txbxContent>
                            <w:p>
                              <w:pPr>
                                <w:spacing w:line="221" w:lineRule="exact" w:before="0"/>
                                <w:ind w:left="0" w:right="0" w:firstLine="0"/>
                                <w:jc w:val="left"/>
                                <w:rPr>
                                  <w:rFonts w:ascii="Calibri"/>
                                  <w:sz w:val="22"/>
                                </w:rPr>
                              </w:pPr>
                              <w:r>
                                <w:rPr>
                                  <w:rFonts w:ascii="Calibri"/>
                                  <w:sz w:val="22"/>
                                </w:rPr>
                                <w:t>Focus</w:t>
                              </w:r>
                              <w:r>
                                <w:rPr>
                                  <w:rFonts w:ascii="Calibri"/>
                                  <w:spacing w:val="-4"/>
                                  <w:sz w:val="22"/>
                                </w:rPr>
                                <w:t> </w:t>
                              </w:r>
                              <w:r>
                                <w:rPr>
                                  <w:rFonts w:ascii="Calibri"/>
                                  <w:sz w:val="22"/>
                                </w:rPr>
                                <w:t>on</w:t>
                              </w:r>
                              <w:r>
                                <w:rPr>
                                  <w:rFonts w:ascii="Calibri"/>
                                  <w:spacing w:val="-1"/>
                                  <w:sz w:val="22"/>
                                </w:rPr>
                                <w:t> </w:t>
                              </w:r>
                              <w:r>
                                <w:rPr>
                                  <w:rFonts w:ascii="Calibri"/>
                                  <w:spacing w:val="-2"/>
                                  <w:sz w:val="22"/>
                                </w:rPr>
                                <w:t>processes</w:t>
                              </w:r>
                            </w:p>
                          </w:txbxContent>
                        </wps:txbx>
                        <wps:bodyPr wrap="square" lIns="0" tIns="0" rIns="0" bIns="0" rtlCol="0">
                          <a:noAutofit/>
                        </wps:bodyPr>
                      </wps:wsp>
                      <wps:wsp>
                        <wps:cNvPr id="155" name="Textbox 155"/>
                        <wps:cNvSpPr txBox="1"/>
                        <wps:spPr>
                          <a:xfrm>
                            <a:off x="1972246" y="807275"/>
                            <a:ext cx="605790" cy="338455"/>
                          </a:xfrm>
                          <a:prstGeom prst="rect">
                            <a:avLst/>
                          </a:prstGeom>
                        </wps:spPr>
                        <wps:txbx>
                          <w:txbxContent>
                            <w:p>
                              <w:pPr>
                                <w:spacing w:line="225" w:lineRule="exact" w:before="0"/>
                                <w:ind w:left="0" w:right="0" w:firstLine="0"/>
                                <w:jc w:val="left"/>
                                <w:rPr>
                                  <w:rFonts w:ascii="Calibri"/>
                                  <w:sz w:val="22"/>
                                </w:rPr>
                              </w:pPr>
                              <w:r>
                                <w:rPr>
                                  <w:rFonts w:ascii="Calibri"/>
                                  <w:sz w:val="22"/>
                                </w:rPr>
                                <w:t>Focus</w:t>
                              </w:r>
                              <w:r>
                                <w:rPr>
                                  <w:rFonts w:ascii="Calibri"/>
                                  <w:spacing w:val="-5"/>
                                  <w:sz w:val="22"/>
                                </w:rPr>
                                <w:t> on</w:t>
                              </w:r>
                            </w:p>
                            <w:p>
                              <w:pPr>
                                <w:spacing w:line="265" w:lineRule="exact" w:before="43"/>
                                <w:ind w:left="0" w:right="0" w:firstLine="0"/>
                                <w:jc w:val="left"/>
                                <w:rPr>
                                  <w:rFonts w:ascii="Calibri"/>
                                  <w:sz w:val="22"/>
                                </w:rPr>
                              </w:pPr>
                              <w:r>
                                <w:rPr>
                                  <w:rFonts w:ascii="Calibri"/>
                                  <w:spacing w:val="-2"/>
                                  <w:sz w:val="22"/>
                                </w:rPr>
                                <w:t>customers</w:t>
                              </w:r>
                            </w:p>
                          </w:txbxContent>
                        </wps:txbx>
                        <wps:bodyPr wrap="square" lIns="0" tIns="0" rIns="0" bIns="0" rtlCol="0">
                          <a:noAutofit/>
                        </wps:bodyPr>
                      </wps:wsp>
                      <wps:wsp>
                        <wps:cNvPr id="156" name="Textbox 156"/>
                        <wps:cNvSpPr txBox="1"/>
                        <wps:spPr>
                          <a:xfrm>
                            <a:off x="376618" y="1261427"/>
                            <a:ext cx="1249680" cy="140335"/>
                          </a:xfrm>
                          <a:prstGeom prst="rect">
                            <a:avLst/>
                          </a:prstGeom>
                        </wps:spPr>
                        <wps:txbx>
                          <w:txbxContent>
                            <w:p>
                              <w:pPr>
                                <w:spacing w:line="221" w:lineRule="exact" w:before="0"/>
                                <w:ind w:left="0" w:right="0" w:firstLine="0"/>
                                <w:jc w:val="left"/>
                                <w:rPr>
                                  <w:rFonts w:ascii="Calibri"/>
                                  <w:sz w:val="22"/>
                                </w:rPr>
                              </w:pPr>
                              <w:r>
                                <w:rPr>
                                  <w:rFonts w:ascii="Calibri"/>
                                  <w:sz w:val="22"/>
                                </w:rPr>
                                <w:t>Improve</w:t>
                              </w:r>
                              <w:r>
                                <w:rPr>
                                  <w:rFonts w:ascii="Calibri"/>
                                  <w:spacing w:val="-5"/>
                                  <w:sz w:val="22"/>
                                </w:rPr>
                                <w:t> </w:t>
                              </w:r>
                              <w:r>
                                <w:rPr>
                                  <w:rFonts w:ascii="Calibri"/>
                                  <w:spacing w:val="-2"/>
                                  <w:sz w:val="22"/>
                                </w:rPr>
                                <w:t>continuously</w:t>
                              </w:r>
                            </w:p>
                          </w:txbxContent>
                        </wps:txbx>
                        <wps:bodyPr wrap="square" lIns="0" tIns="0" rIns="0" bIns="0" rtlCol="0">
                          <a:noAutofit/>
                        </wps:bodyPr>
                      </wps:wsp>
                      <wps:wsp>
                        <wps:cNvPr id="157" name="Textbox 157"/>
                        <wps:cNvSpPr txBox="1"/>
                        <wps:spPr>
                          <a:xfrm>
                            <a:off x="3068002" y="1258379"/>
                            <a:ext cx="992505" cy="338455"/>
                          </a:xfrm>
                          <a:prstGeom prst="rect">
                            <a:avLst/>
                          </a:prstGeom>
                        </wps:spPr>
                        <wps:txbx>
                          <w:txbxContent>
                            <w:p>
                              <w:pPr>
                                <w:spacing w:line="225" w:lineRule="exact" w:before="0"/>
                                <w:ind w:left="0" w:right="0" w:firstLine="0"/>
                                <w:jc w:val="left"/>
                                <w:rPr>
                                  <w:rFonts w:ascii="Calibri"/>
                                  <w:sz w:val="22"/>
                                </w:rPr>
                              </w:pPr>
                              <w:r>
                                <w:rPr>
                                  <w:rFonts w:ascii="Calibri"/>
                                  <w:sz w:val="22"/>
                                </w:rPr>
                                <w:t>Let</w:t>
                              </w:r>
                              <w:r>
                                <w:rPr>
                                  <w:rFonts w:ascii="Calibri"/>
                                  <w:spacing w:val="-8"/>
                                  <w:sz w:val="22"/>
                                </w:rPr>
                                <w:t> </w:t>
                              </w:r>
                              <w:r>
                                <w:rPr>
                                  <w:rFonts w:ascii="Calibri"/>
                                  <w:sz w:val="22"/>
                                </w:rPr>
                                <w:t>everybody</w:t>
                              </w:r>
                              <w:r>
                                <w:rPr>
                                  <w:rFonts w:ascii="Calibri"/>
                                  <w:spacing w:val="-2"/>
                                  <w:sz w:val="22"/>
                                </w:rPr>
                                <w:t> </w:t>
                              </w:r>
                              <w:r>
                                <w:rPr>
                                  <w:rFonts w:ascii="Calibri"/>
                                  <w:spacing w:val="-5"/>
                                  <w:sz w:val="22"/>
                                </w:rPr>
                                <w:t>be</w:t>
                              </w:r>
                            </w:p>
                            <w:p>
                              <w:pPr>
                                <w:spacing w:line="265" w:lineRule="exact" w:before="43"/>
                                <w:ind w:left="0" w:right="0" w:firstLine="0"/>
                                <w:jc w:val="left"/>
                                <w:rPr>
                                  <w:rFonts w:ascii="Calibri"/>
                                  <w:sz w:val="22"/>
                                </w:rPr>
                              </w:pPr>
                              <w:r>
                                <w:rPr>
                                  <w:rFonts w:ascii="Calibri"/>
                                  <w:spacing w:val="-2"/>
                                  <w:sz w:val="22"/>
                                </w:rPr>
                                <w:t>committed</w:t>
                              </w:r>
                            </w:p>
                          </w:txbxContent>
                        </wps:txbx>
                        <wps:bodyPr wrap="square" lIns="0" tIns="0" rIns="0" bIns="0" rtlCol="0">
                          <a:noAutofit/>
                        </wps:bodyPr>
                      </wps:wsp>
                    </wpg:wgp>
                  </a:graphicData>
                </a:graphic>
              </wp:anchor>
            </w:drawing>
          </mc:Choice>
          <mc:Fallback>
            <w:pict>
              <v:group style="position:absolute;margin-left:109.425003pt;margin-top:5.846094pt;width:387.7pt;height:143.3pt;mso-position-horizontal-relative:page;mso-position-vertical-relative:paragraph;z-index:-15718400;mso-wrap-distance-left:0;mso-wrap-distance-right:0" id="docshapegroup115" coordorigin="2189,117" coordsize="7754,2866">
                <v:shape style="position:absolute;left:2196;top:124;width:7739;height:2851" id="docshape116" coordorigin="2196,124" coordsize="7739,2851" path="m2196,2975l9935,2975,9935,124,2196,124,2196,2975xm2629,1436l5051,1436,5051,796,2629,796,2629,1436xm2629,2726l5051,2726,5051,1977,2629,1977,2629,2726xm6868,2726l9386,2726,9386,1977,6868,1977,6868,2726xm6868,1436l9386,1436,9386,716,6868,716,6868,1436xe" filled="false" stroked="true" strokeweight=".75pt" strokecolor="#000000">
                  <v:path arrowok="t"/>
                  <v:stroke dashstyle="solid"/>
                </v:shape>
                <v:shape style="position:absolute;left:4871;top:1122;width:2152;height:1157" id="docshape117" coordorigin="4871,1122" coordsize="2152,1157" path="m5947,1122l5849,1125,5754,1132,5661,1143,5572,1159,5486,1178,5404,1201,5326,1228,5254,1258,5186,1292,5124,1328,5068,1367,5018,1409,4975,1453,4909,1547,4875,1648,4871,1701,4875,1754,4909,1855,4975,1949,5018,1993,5068,2035,5124,2074,5186,2110,5254,2143,5326,2174,5404,2200,5486,2224,5572,2243,5661,2259,5754,2270,5849,2277,5947,2279,6045,2277,6140,2270,6233,2259,6322,2243,6408,2224,6490,2200,6568,2174,6640,2143,6708,2110,6770,2074,6826,2035,6876,1993,6919,1949,6985,1855,7019,1754,7023,1701,7019,1648,6985,1547,6919,1453,6876,1409,6826,1367,6770,1328,6708,1292,6640,1258,6568,1228,6490,1201,6408,1178,6322,1159,6233,1143,6140,1132,6045,1125,5947,1122xe" filled="true" fillcolor="#ffffff" stroked="false">
                  <v:path arrowok="t"/>
                  <v:fill type="solid"/>
                </v:shape>
                <v:shape style="position:absolute;left:4871;top:1122;width:2152;height:1157" id="docshape118" coordorigin="4871,1122" coordsize="2152,1157" path="m5947,1122l5849,1125,5754,1132,5661,1143,5572,1159,5486,1178,5404,1201,5326,1228,5254,1258,5186,1292,5124,1328,5068,1367,5018,1409,4975,1453,4909,1547,4875,1648,4871,1701,4875,1754,4909,1855,4975,1949,5018,1993,5068,2035,5124,2074,5186,2110,5254,2143,5326,2174,5404,2200,5486,2224,5572,2243,5661,2259,5754,2270,5849,2277,5947,2279,6045,2277,6140,2270,6233,2259,6322,2243,6408,2224,6490,2200,6568,2174,6640,2143,6708,2110,6770,2074,6826,2035,6876,1993,6919,1949,6985,1855,7019,1754,7023,1701,7019,1648,6985,1547,6919,1453,6876,1409,6826,1367,6770,1328,6708,1292,6640,1258,6568,1228,6490,1201,6408,1178,6322,1159,6233,1143,6140,1132,6045,1125,5947,1122xe" filled="false" stroked="true" strokeweight=".75pt" strokecolor="#000000">
                  <v:path arrowok="t"/>
                  <v:stroke dashstyle="solid"/>
                </v:shape>
                <v:shape style="position:absolute;left:3787;top:221;width:3259;height:266" type="#_x0000_t202" id="docshape119" filled="false" stroked="false">
                  <v:textbox inset="0,0,0,0">
                    <w:txbxContent>
                      <w:p>
                        <w:pPr>
                          <w:spacing w:line="266" w:lineRule="exact" w:before="0"/>
                          <w:ind w:left="0" w:right="0" w:firstLine="0"/>
                          <w:jc w:val="left"/>
                          <w:rPr>
                            <w:b/>
                            <w:sz w:val="24"/>
                          </w:rPr>
                        </w:pPr>
                        <w:r>
                          <w:rPr>
                            <w:b/>
                            <w:sz w:val="24"/>
                          </w:rPr>
                          <w:t>Top</w:t>
                        </w:r>
                        <w:r>
                          <w:rPr>
                            <w:b/>
                            <w:spacing w:val="-4"/>
                            <w:sz w:val="24"/>
                          </w:rPr>
                          <w:t> </w:t>
                        </w:r>
                        <w:r>
                          <w:rPr>
                            <w:b/>
                            <w:sz w:val="24"/>
                          </w:rPr>
                          <w:t>Management</w:t>
                        </w:r>
                        <w:r>
                          <w:rPr>
                            <w:b/>
                            <w:spacing w:val="-2"/>
                            <w:sz w:val="24"/>
                          </w:rPr>
                          <w:t> Commitment</w:t>
                        </w:r>
                      </w:p>
                    </w:txbxContent>
                  </v:textbox>
                  <w10:wrap type="none"/>
                </v:shape>
                <v:shape style="position:absolute;left:2781;top:920;width:2072;height:221" type="#_x0000_t202" id="docshape120" filled="false" stroked="false">
                  <v:textbox inset="0,0,0,0">
                    <w:txbxContent>
                      <w:p>
                        <w:pPr>
                          <w:spacing w:line="221" w:lineRule="exact" w:before="0"/>
                          <w:ind w:left="0" w:right="0" w:firstLine="0"/>
                          <w:jc w:val="left"/>
                          <w:rPr>
                            <w:rFonts w:ascii="Calibri"/>
                            <w:sz w:val="22"/>
                          </w:rPr>
                        </w:pPr>
                        <w:r>
                          <w:rPr>
                            <w:rFonts w:ascii="Calibri"/>
                            <w:sz w:val="22"/>
                          </w:rPr>
                          <w:t>Base</w:t>
                        </w:r>
                        <w:r>
                          <w:rPr>
                            <w:rFonts w:ascii="Calibri"/>
                            <w:spacing w:val="-2"/>
                            <w:sz w:val="22"/>
                          </w:rPr>
                          <w:t> </w:t>
                        </w:r>
                        <w:r>
                          <w:rPr>
                            <w:rFonts w:ascii="Calibri"/>
                            <w:sz w:val="22"/>
                          </w:rPr>
                          <w:t>decisions</w:t>
                        </w:r>
                        <w:r>
                          <w:rPr>
                            <w:rFonts w:ascii="Calibri"/>
                            <w:spacing w:val="-4"/>
                            <w:sz w:val="22"/>
                          </w:rPr>
                          <w:t> </w:t>
                        </w:r>
                        <w:r>
                          <w:rPr>
                            <w:rFonts w:ascii="Calibri"/>
                            <w:sz w:val="22"/>
                          </w:rPr>
                          <w:t>on</w:t>
                        </w:r>
                        <w:r>
                          <w:rPr>
                            <w:rFonts w:ascii="Calibri"/>
                            <w:spacing w:val="-3"/>
                            <w:sz w:val="22"/>
                          </w:rPr>
                          <w:t> </w:t>
                        </w:r>
                        <w:r>
                          <w:rPr>
                            <w:rFonts w:ascii="Calibri"/>
                            <w:spacing w:val="-4"/>
                            <w:sz w:val="22"/>
                          </w:rPr>
                          <w:t>facts</w:t>
                        </w:r>
                      </w:p>
                    </w:txbxContent>
                  </v:textbox>
                  <w10:wrap type="none"/>
                </v:shape>
                <v:shape style="position:absolute;left:7020;top:838;width:1744;height:221" type="#_x0000_t202" id="docshape121" filled="false" stroked="false">
                  <v:textbox inset="0,0,0,0">
                    <w:txbxContent>
                      <w:p>
                        <w:pPr>
                          <w:spacing w:line="221" w:lineRule="exact" w:before="0"/>
                          <w:ind w:left="0" w:right="0" w:firstLine="0"/>
                          <w:jc w:val="left"/>
                          <w:rPr>
                            <w:rFonts w:ascii="Calibri"/>
                            <w:sz w:val="22"/>
                          </w:rPr>
                        </w:pPr>
                        <w:r>
                          <w:rPr>
                            <w:rFonts w:ascii="Calibri"/>
                            <w:sz w:val="22"/>
                          </w:rPr>
                          <w:t>Focus</w:t>
                        </w:r>
                        <w:r>
                          <w:rPr>
                            <w:rFonts w:ascii="Calibri"/>
                            <w:spacing w:val="-4"/>
                            <w:sz w:val="22"/>
                          </w:rPr>
                          <w:t> </w:t>
                        </w:r>
                        <w:r>
                          <w:rPr>
                            <w:rFonts w:ascii="Calibri"/>
                            <w:sz w:val="22"/>
                          </w:rPr>
                          <w:t>on</w:t>
                        </w:r>
                        <w:r>
                          <w:rPr>
                            <w:rFonts w:ascii="Calibri"/>
                            <w:spacing w:val="-1"/>
                            <w:sz w:val="22"/>
                          </w:rPr>
                          <w:t> </w:t>
                        </w:r>
                        <w:r>
                          <w:rPr>
                            <w:rFonts w:ascii="Calibri"/>
                            <w:spacing w:val="-2"/>
                            <w:sz w:val="22"/>
                          </w:rPr>
                          <w:t>processes</w:t>
                        </w:r>
                      </w:p>
                    </w:txbxContent>
                  </v:textbox>
                  <w10:wrap type="none"/>
                </v:shape>
                <v:shape style="position:absolute;left:5294;top:1388;width:954;height:533" type="#_x0000_t202" id="docshape122" filled="false" stroked="false">
                  <v:textbox inset="0,0,0,0">
                    <w:txbxContent>
                      <w:p>
                        <w:pPr>
                          <w:spacing w:line="225" w:lineRule="exact" w:before="0"/>
                          <w:ind w:left="0" w:right="0" w:firstLine="0"/>
                          <w:jc w:val="left"/>
                          <w:rPr>
                            <w:rFonts w:ascii="Calibri"/>
                            <w:sz w:val="22"/>
                          </w:rPr>
                        </w:pPr>
                        <w:r>
                          <w:rPr>
                            <w:rFonts w:ascii="Calibri"/>
                            <w:sz w:val="22"/>
                          </w:rPr>
                          <w:t>Focus</w:t>
                        </w:r>
                        <w:r>
                          <w:rPr>
                            <w:rFonts w:ascii="Calibri"/>
                            <w:spacing w:val="-5"/>
                            <w:sz w:val="22"/>
                          </w:rPr>
                          <w:t> on</w:t>
                        </w:r>
                      </w:p>
                      <w:p>
                        <w:pPr>
                          <w:spacing w:line="265" w:lineRule="exact" w:before="43"/>
                          <w:ind w:left="0" w:right="0" w:firstLine="0"/>
                          <w:jc w:val="left"/>
                          <w:rPr>
                            <w:rFonts w:ascii="Calibri"/>
                            <w:sz w:val="22"/>
                          </w:rPr>
                        </w:pPr>
                        <w:r>
                          <w:rPr>
                            <w:rFonts w:ascii="Calibri"/>
                            <w:spacing w:val="-2"/>
                            <w:sz w:val="22"/>
                          </w:rPr>
                          <w:t>customers</w:t>
                        </w:r>
                      </w:p>
                    </w:txbxContent>
                  </v:textbox>
                  <w10:wrap type="none"/>
                </v:shape>
                <v:shape style="position:absolute;left:2781;top:2103;width:1968;height:221" type="#_x0000_t202" id="docshape123" filled="false" stroked="false">
                  <v:textbox inset="0,0,0,0">
                    <w:txbxContent>
                      <w:p>
                        <w:pPr>
                          <w:spacing w:line="221" w:lineRule="exact" w:before="0"/>
                          <w:ind w:left="0" w:right="0" w:firstLine="0"/>
                          <w:jc w:val="left"/>
                          <w:rPr>
                            <w:rFonts w:ascii="Calibri"/>
                            <w:sz w:val="22"/>
                          </w:rPr>
                        </w:pPr>
                        <w:r>
                          <w:rPr>
                            <w:rFonts w:ascii="Calibri"/>
                            <w:sz w:val="22"/>
                          </w:rPr>
                          <w:t>Improve</w:t>
                        </w:r>
                        <w:r>
                          <w:rPr>
                            <w:rFonts w:ascii="Calibri"/>
                            <w:spacing w:val="-5"/>
                            <w:sz w:val="22"/>
                          </w:rPr>
                          <w:t> </w:t>
                        </w:r>
                        <w:r>
                          <w:rPr>
                            <w:rFonts w:ascii="Calibri"/>
                            <w:spacing w:val="-2"/>
                            <w:sz w:val="22"/>
                          </w:rPr>
                          <w:t>continuously</w:t>
                        </w:r>
                      </w:p>
                    </w:txbxContent>
                  </v:textbox>
                  <w10:wrap type="none"/>
                </v:shape>
                <v:shape style="position:absolute;left:7020;top:2098;width:1563;height:533" type="#_x0000_t202" id="docshape124" filled="false" stroked="false">
                  <v:textbox inset="0,0,0,0">
                    <w:txbxContent>
                      <w:p>
                        <w:pPr>
                          <w:spacing w:line="225" w:lineRule="exact" w:before="0"/>
                          <w:ind w:left="0" w:right="0" w:firstLine="0"/>
                          <w:jc w:val="left"/>
                          <w:rPr>
                            <w:rFonts w:ascii="Calibri"/>
                            <w:sz w:val="22"/>
                          </w:rPr>
                        </w:pPr>
                        <w:r>
                          <w:rPr>
                            <w:rFonts w:ascii="Calibri"/>
                            <w:sz w:val="22"/>
                          </w:rPr>
                          <w:t>Let</w:t>
                        </w:r>
                        <w:r>
                          <w:rPr>
                            <w:rFonts w:ascii="Calibri"/>
                            <w:spacing w:val="-8"/>
                            <w:sz w:val="22"/>
                          </w:rPr>
                          <w:t> </w:t>
                        </w:r>
                        <w:r>
                          <w:rPr>
                            <w:rFonts w:ascii="Calibri"/>
                            <w:sz w:val="22"/>
                          </w:rPr>
                          <w:t>everybody</w:t>
                        </w:r>
                        <w:r>
                          <w:rPr>
                            <w:rFonts w:ascii="Calibri"/>
                            <w:spacing w:val="-2"/>
                            <w:sz w:val="22"/>
                          </w:rPr>
                          <w:t> </w:t>
                        </w:r>
                        <w:r>
                          <w:rPr>
                            <w:rFonts w:ascii="Calibri"/>
                            <w:spacing w:val="-5"/>
                            <w:sz w:val="22"/>
                          </w:rPr>
                          <w:t>be</w:t>
                        </w:r>
                      </w:p>
                      <w:p>
                        <w:pPr>
                          <w:spacing w:line="265" w:lineRule="exact" w:before="43"/>
                          <w:ind w:left="0" w:right="0" w:firstLine="0"/>
                          <w:jc w:val="left"/>
                          <w:rPr>
                            <w:rFonts w:ascii="Calibri"/>
                            <w:sz w:val="22"/>
                          </w:rPr>
                        </w:pPr>
                        <w:r>
                          <w:rPr>
                            <w:rFonts w:ascii="Calibri"/>
                            <w:spacing w:val="-2"/>
                            <w:sz w:val="22"/>
                          </w:rPr>
                          <w:t>committed</w:t>
                        </w:r>
                      </w:p>
                    </w:txbxContent>
                  </v:textbox>
                  <w10:wrap type="none"/>
                </v:shape>
                <w10:wrap type="topAndBottom"/>
              </v:group>
            </w:pict>
          </mc:Fallback>
        </mc:AlternateContent>
      </w:r>
    </w:p>
    <w:p>
      <w:pPr>
        <w:pStyle w:val="BodyText"/>
        <w:spacing w:before="58"/>
      </w:pPr>
    </w:p>
    <w:p>
      <w:pPr>
        <w:pStyle w:val="Heading2"/>
        <w:spacing w:line="278" w:lineRule="auto"/>
        <w:ind w:right="6112"/>
        <w:jc w:val="left"/>
      </w:pPr>
      <w:r>
        <w:rPr/>
        <w:t>Figure</w:t>
      </w:r>
      <w:r>
        <w:rPr>
          <w:spacing w:val="-8"/>
        </w:rPr>
        <w:t> </w:t>
      </w:r>
      <w:r>
        <w:rPr/>
        <w:t>2.6:</w:t>
      </w:r>
      <w:r>
        <w:rPr>
          <w:spacing w:val="-8"/>
        </w:rPr>
        <w:t> </w:t>
      </w:r>
      <w:r>
        <w:rPr/>
        <w:t>The</w:t>
      </w:r>
      <w:r>
        <w:rPr>
          <w:spacing w:val="-8"/>
        </w:rPr>
        <w:t> </w:t>
      </w:r>
      <w:r>
        <w:rPr/>
        <w:t>cornerstones</w:t>
      </w:r>
      <w:r>
        <w:rPr>
          <w:spacing w:val="-7"/>
        </w:rPr>
        <w:t> </w:t>
      </w:r>
      <w:r>
        <w:rPr/>
        <w:t>of</w:t>
      </w:r>
      <w:r>
        <w:rPr>
          <w:spacing w:val="-7"/>
        </w:rPr>
        <w:t> </w:t>
      </w:r>
      <w:r>
        <w:rPr/>
        <w:t>TQM Source: Hellsten and Klefsjö (2000)</w:t>
      </w:r>
    </w:p>
    <w:p>
      <w:pPr>
        <w:pStyle w:val="BodyText"/>
        <w:spacing w:before="264"/>
        <w:rPr>
          <w:b/>
        </w:rPr>
      </w:pPr>
    </w:p>
    <w:p>
      <w:pPr>
        <w:pStyle w:val="BodyText"/>
        <w:spacing w:line="480" w:lineRule="auto"/>
        <w:ind w:left="400" w:right="1313"/>
        <w:jc w:val="both"/>
      </w:pPr>
      <w:r>
        <w:rPr/>
        <w:t>Thus, TQM is presented differently in different points of view, as there is no general and formal definition of TQM which can fit or be implemented in all organisations within all sectors.</w:t>
      </w:r>
      <w:r>
        <w:rPr>
          <w:spacing w:val="40"/>
        </w:rPr>
        <w:t> </w:t>
      </w:r>
      <w:r>
        <w:rPr/>
        <w:t>TQM definitions are different in each region and each country, based on national and organisational culture and perception of quality, and the requirement of that culture. However for this research the definition given by Gunasekaran and McGaughey (2003) will be adopted; which states that TQM</w:t>
      </w:r>
      <w:r>
        <w:rPr>
          <w:spacing w:val="13"/>
        </w:rPr>
        <w:t> </w:t>
      </w:r>
      <w:r>
        <w:rPr/>
        <w:t>is</w:t>
      </w:r>
      <w:r>
        <w:rPr>
          <w:spacing w:val="16"/>
        </w:rPr>
        <w:t> </w:t>
      </w:r>
      <w:r>
        <w:rPr/>
        <w:t>a</w:t>
      </w:r>
      <w:r>
        <w:rPr>
          <w:spacing w:val="17"/>
        </w:rPr>
        <w:t> </w:t>
      </w:r>
      <w:r>
        <w:rPr/>
        <w:t>“management</w:t>
      </w:r>
      <w:r>
        <w:rPr>
          <w:spacing w:val="18"/>
        </w:rPr>
        <w:t> </w:t>
      </w:r>
      <w:r>
        <w:rPr/>
        <w:t>philosophy</w:t>
      </w:r>
      <w:r>
        <w:rPr>
          <w:spacing w:val="11"/>
        </w:rPr>
        <w:t> </w:t>
      </w:r>
      <w:r>
        <w:rPr/>
        <w:t>that</w:t>
      </w:r>
      <w:r>
        <w:rPr>
          <w:spacing w:val="18"/>
        </w:rPr>
        <w:t> </w:t>
      </w:r>
      <w:r>
        <w:rPr/>
        <w:t>encourages</w:t>
      </w:r>
      <w:r>
        <w:rPr>
          <w:spacing w:val="17"/>
        </w:rPr>
        <w:t> </w:t>
      </w:r>
      <w:r>
        <w:rPr/>
        <w:t>cost</w:t>
      </w:r>
      <w:r>
        <w:rPr>
          <w:spacing w:val="16"/>
        </w:rPr>
        <w:t> </w:t>
      </w:r>
      <w:r>
        <w:rPr/>
        <w:t>reduction,</w:t>
      </w:r>
      <w:r>
        <w:rPr>
          <w:spacing w:val="15"/>
        </w:rPr>
        <w:t> </w:t>
      </w:r>
      <w:r>
        <w:rPr/>
        <w:t>the</w:t>
      </w:r>
      <w:r>
        <w:rPr>
          <w:spacing w:val="17"/>
        </w:rPr>
        <w:t> </w:t>
      </w:r>
      <w:r>
        <w:rPr/>
        <w:t>creation</w:t>
      </w:r>
      <w:r>
        <w:rPr>
          <w:spacing w:val="15"/>
        </w:rPr>
        <w:t> </w:t>
      </w:r>
      <w:r>
        <w:rPr/>
        <w:t>of</w:t>
      </w:r>
      <w:r>
        <w:rPr>
          <w:spacing w:val="18"/>
        </w:rPr>
        <w:t> </w:t>
      </w:r>
      <w:r>
        <w:rPr/>
        <w:t>high</w:t>
      </w:r>
      <w:r>
        <w:rPr>
          <w:spacing w:val="18"/>
        </w:rPr>
        <w:t> </w:t>
      </w:r>
      <w:r>
        <w:rPr>
          <w:spacing w:val="-2"/>
        </w:rPr>
        <w:t>quality</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goods and services, customer satisfaction, employee empowerment, and the measurement of results”.</w:t>
      </w:r>
      <w:r>
        <w:rPr>
          <w:spacing w:val="40"/>
        </w:rPr>
        <w:t> </w:t>
      </w:r>
      <w:r>
        <w:rPr/>
        <w:t>TQM</w:t>
      </w:r>
      <w:r>
        <w:rPr>
          <w:spacing w:val="40"/>
        </w:rPr>
        <w:t> </w:t>
      </w:r>
      <w:r>
        <w:rPr/>
        <w:t>focuses on the process of improvement, customer and supplier involvement and training and education in an effort to achieve customer’s satisfaction, cost effectiveness and defect-</w:t>
      </w:r>
      <w:r>
        <w:rPr>
          <w:spacing w:val="-1"/>
        </w:rPr>
        <w:t> </w:t>
      </w:r>
      <w:r>
        <w:rPr/>
        <w:t>free work and it provides culture and climate</w:t>
      </w:r>
      <w:r>
        <w:rPr>
          <w:spacing w:val="-1"/>
        </w:rPr>
        <w:t> </w:t>
      </w:r>
      <w:r>
        <w:rPr/>
        <w:t>essentials for</w:t>
      </w:r>
      <w:r>
        <w:rPr>
          <w:spacing w:val="-1"/>
        </w:rPr>
        <w:t> </w:t>
      </w:r>
      <w:r>
        <w:rPr/>
        <w:t>innovation and for</w:t>
      </w:r>
      <w:r>
        <w:rPr>
          <w:spacing w:val="-1"/>
        </w:rPr>
        <w:t> </w:t>
      </w:r>
      <w:r>
        <w:rPr/>
        <w:t>technology advancement (David and Murat, 1997).</w:t>
      </w:r>
    </w:p>
    <w:p>
      <w:pPr>
        <w:pStyle w:val="BodyText"/>
        <w:spacing w:line="480" w:lineRule="auto" w:before="185"/>
        <w:ind w:left="400" w:right="1316"/>
        <w:jc w:val="both"/>
      </w:pPr>
      <w:r>
        <w:rPr/>
        <w:t>Before an organisation can rip the benefit from TQM implementation, some principle would</w:t>
      </w:r>
      <w:r>
        <w:rPr>
          <w:spacing w:val="40"/>
        </w:rPr>
        <w:t> </w:t>
      </w:r>
      <w:r>
        <w:rPr/>
        <w:t>have to be enshrined into the organisation’s culture. The principles can assist in developing objectives and measures. Furthermore, resources and strategic planning areas which require</w:t>
      </w:r>
      <w:r>
        <w:rPr>
          <w:spacing w:val="40"/>
        </w:rPr>
        <w:t> </w:t>
      </w:r>
      <w:r>
        <w:rPr/>
        <w:t>focus can also be identified. In summary, effective TQM is possible through the implementation of the principles. Since there is no agreed definition of TQM, the principles will expectedly</w:t>
      </w:r>
      <w:r>
        <w:rPr>
          <w:spacing w:val="-4"/>
        </w:rPr>
        <w:t> </w:t>
      </w:r>
      <w:r>
        <w:rPr/>
        <w:t>vary. The principles include:</w:t>
      </w:r>
    </w:p>
    <w:p>
      <w:pPr>
        <w:pStyle w:val="Heading3"/>
        <w:numPr>
          <w:ilvl w:val="3"/>
          <w:numId w:val="4"/>
        </w:numPr>
        <w:tabs>
          <w:tab w:pos="1120" w:val="left" w:leader="none"/>
        </w:tabs>
        <w:spacing w:line="240" w:lineRule="auto" w:before="233" w:after="0"/>
        <w:ind w:left="1120" w:right="0" w:hanging="720"/>
        <w:jc w:val="both"/>
        <w:rPr>
          <w:i w:val="0"/>
        </w:rPr>
      </w:pPr>
      <w:r>
        <w:rPr/>
        <w:t>Continuous</w:t>
      </w:r>
      <w:r>
        <w:rPr>
          <w:spacing w:val="-5"/>
        </w:rPr>
        <w:t> </w:t>
      </w:r>
      <w:r>
        <w:rPr>
          <w:spacing w:val="-2"/>
        </w:rPr>
        <w:t>improvement</w:t>
      </w:r>
    </w:p>
    <w:p>
      <w:pPr>
        <w:pStyle w:val="BodyText"/>
        <w:spacing w:line="480" w:lineRule="auto" w:before="271"/>
        <w:ind w:left="400" w:right="1318"/>
        <w:jc w:val="both"/>
      </w:pPr>
      <w:r>
        <w:rPr/>
        <w:t>This means a commitment to constant examination of the technical and administrative process in search of better methods’ (Fuentes-Fuentes </w:t>
      </w:r>
      <w:r>
        <w:rPr>
          <w:i/>
        </w:rPr>
        <w:t>et al</w:t>
      </w:r>
      <w:r>
        <w:rPr/>
        <w:t>., 2004). TQM is concerned with the continuous improvement</w:t>
      </w:r>
      <w:r>
        <w:rPr>
          <w:spacing w:val="-1"/>
        </w:rPr>
        <w:t> </w:t>
      </w:r>
      <w:r>
        <w:rPr/>
        <w:t>in</w:t>
      </w:r>
      <w:r>
        <w:rPr>
          <w:spacing w:val="-1"/>
        </w:rPr>
        <w:t> </w:t>
      </w:r>
      <w:r>
        <w:rPr/>
        <w:t>all</w:t>
      </w:r>
      <w:r>
        <w:rPr>
          <w:spacing w:val="-1"/>
        </w:rPr>
        <w:t> </w:t>
      </w:r>
      <w:r>
        <w:rPr/>
        <w:t>the</w:t>
      </w:r>
      <w:r>
        <w:rPr>
          <w:spacing w:val="-2"/>
        </w:rPr>
        <w:t> </w:t>
      </w:r>
      <w:r>
        <w:rPr/>
        <w:t>process</w:t>
      </w:r>
      <w:r>
        <w:rPr>
          <w:spacing w:val="-1"/>
        </w:rPr>
        <w:t> </w:t>
      </w:r>
      <w:r>
        <w:rPr/>
        <w:t>of</w:t>
      </w:r>
      <w:r>
        <w:rPr>
          <w:spacing w:val="-2"/>
        </w:rPr>
        <w:t> </w:t>
      </w:r>
      <w:r>
        <w:rPr/>
        <w:t>production,</w:t>
      </w:r>
      <w:r>
        <w:rPr>
          <w:spacing w:val="-1"/>
        </w:rPr>
        <w:t> </w:t>
      </w:r>
      <w:r>
        <w:rPr/>
        <w:t>from</w:t>
      </w:r>
      <w:r>
        <w:rPr>
          <w:spacing w:val="-1"/>
        </w:rPr>
        <w:t> </w:t>
      </w:r>
      <w:r>
        <w:rPr/>
        <w:t>the</w:t>
      </w:r>
      <w:r>
        <w:rPr>
          <w:spacing w:val="-2"/>
        </w:rPr>
        <w:t> </w:t>
      </w:r>
      <w:r>
        <w:rPr/>
        <w:t>levels</w:t>
      </w:r>
      <w:r>
        <w:rPr>
          <w:spacing w:val="-1"/>
        </w:rPr>
        <w:t> </w:t>
      </w:r>
      <w:r>
        <w:rPr/>
        <w:t>of</w:t>
      </w:r>
      <w:r>
        <w:rPr>
          <w:spacing w:val="-2"/>
        </w:rPr>
        <w:t> </w:t>
      </w:r>
      <w:r>
        <w:rPr/>
        <w:t>planning</w:t>
      </w:r>
      <w:r>
        <w:rPr>
          <w:spacing w:val="-1"/>
        </w:rPr>
        <w:t> </w:t>
      </w:r>
      <w:r>
        <w:rPr/>
        <w:t>and</w:t>
      </w:r>
      <w:r>
        <w:rPr>
          <w:spacing w:val="-1"/>
        </w:rPr>
        <w:t> </w:t>
      </w:r>
      <w:r>
        <w:rPr/>
        <w:t>decision</w:t>
      </w:r>
      <w:r>
        <w:rPr>
          <w:spacing w:val="-1"/>
        </w:rPr>
        <w:t> </w:t>
      </w:r>
      <w:r>
        <w:rPr/>
        <w:t>making</w:t>
      </w:r>
      <w:r>
        <w:rPr>
          <w:spacing w:val="-3"/>
        </w:rPr>
        <w:t> </w:t>
      </w:r>
      <w:r>
        <w:rPr/>
        <w:t>to the execution of work by the front line staff.</w:t>
      </w:r>
    </w:p>
    <w:p>
      <w:pPr>
        <w:pStyle w:val="BodyText"/>
        <w:spacing w:line="480" w:lineRule="auto"/>
        <w:ind w:left="399" w:right="1315"/>
        <w:jc w:val="both"/>
      </w:pPr>
      <w:r>
        <w:rPr/>
        <w:t>The</w:t>
      </w:r>
      <w:r>
        <w:rPr>
          <w:spacing w:val="-3"/>
        </w:rPr>
        <w:t> </w:t>
      </w:r>
      <w:r>
        <w:rPr/>
        <w:t>aim</w:t>
      </w:r>
      <w:r>
        <w:rPr>
          <w:spacing w:val="-2"/>
        </w:rPr>
        <w:t> </w:t>
      </w:r>
      <w:r>
        <w:rPr/>
        <w:t>of</w:t>
      </w:r>
      <w:r>
        <w:rPr>
          <w:spacing w:val="-1"/>
        </w:rPr>
        <w:t> </w:t>
      </w:r>
      <w:r>
        <w:rPr/>
        <w:t>continuous</w:t>
      </w:r>
      <w:r>
        <w:rPr>
          <w:spacing w:val="-2"/>
        </w:rPr>
        <w:t> </w:t>
      </w:r>
      <w:r>
        <w:rPr/>
        <w:t>improvement</w:t>
      </w:r>
      <w:r>
        <w:rPr>
          <w:spacing w:val="-2"/>
        </w:rPr>
        <w:t> </w:t>
      </w:r>
      <w:r>
        <w:rPr/>
        <w:t>is</w:t>
      </w:r>
      <w:r>
        <w:rPr>
          <w:spacing w:val="-2"/>
        </w:rPr>
        <w:t> </w:t>
      </w:r>
      <w:r>
        <w:rPr/>
        <w:t>continuously</w:t>
      </w:r>
      <w:r>
        <w:rPr>
          <w:spacing w:val="-7"/>
        </w:rPr>
        <w:t> </w:t>
      </w:r>
      <w:r>
        <w:rPr/>
        <w:t>to</w:t>
      </w:r>
      <w:r>
        <w:rPr>
          <w:spacing w:val="-2"/>
        </w:rPr>
        <w:t> </w:t>
      </w:r>
      <w:r>
        <w:rPr/>
        <w:t>identify</w:t>
      </w:r>
      <w:r>
        <w:rPr>
          <w:spacing w:val="-5"/>
        </w:rPr>
        <w:t> </w:t>
      </w:r>
      <w:r>
        <w:rPr/>
        <w:t>and</w:t>
      </w:r>
      <w:r>
        <w:rPr>
          <w:spacing w:val="-2"/>
        </w:rPr>
        <w:t> </w:t>
      </w:r>
      <w:r>
        <w:rPr/>
        <w:t>eliminate</w:t>
      </w:r>
      <w:r>
        <w:rPr>
          <w:spacing w:val="-3"/>
        </w:rPr>
        <w:t> </w:t>
      </w:r>
      <w:r>
        <w:rPr/>
        <w:t>those</w:t>
      </w:r>
      <w:r>
        <w:rPr>
          <w:spacing w:val="-1"/>
        </w:rPr>
        <w:t> </w:t>
      </w:r>
      <w:r>
        <w:rPr/>
        <w:t>activities</w:t>
      </w:r>
      <w:r>
        <w:rPr>
          <w:spacing w:val="-2"/>
        </w:rPr>
        <w:t> </w:t>
      </w:r>
      <w:r>
        <w:rPr/>
        <w:t>that add little or no value to the product or service provided, i.e. waste. In addition to these classifications, the waste of human potential is also considered. It also aims to identify and eliminate the cause of a mistake in order to prevent its reoccurrence. Fuentes-Fuentes </w:t>
      </w:r>
      <w:r>
        <w:rPr>
          <w:i/>
        </w:rPr>
        <w:t>et al</w:t>
      </w:r>
      <w:r>
        <w:rPr/>
        <w:t>. (2004) explained that organisations operating in a dynamic environment are liable to carry up continuous improvement in its operation; they explained that the face of competition changes faster</w:t>
      </w:r>
      <w:r>
        <w:rPr>
          <w:spacing w:val="10"/>
        </w:rPr>
        <w:t> </w:t>
      </w:r>
      <w:r>
        <w:rPr/>
        <w:t>in</w:t>
      </w:r>
      <w:r>
        <w:rPr>
          <w:spacing w:val="13"/>
        </w:rPr>
        <w:t> </w:t>
      </w:r>
      <w:r>
        <w:rPr/>
        <w:t>this</w:t>
      </w:r>
      <w:r>
        <w:rPr>
          <w:spacing w:val="13"/>
        </w:rPr>
        <w:t> </w:t>
      </w:r>
      <w:r>
        <w:rPr/>
        <w:t>environment</w:t>
      </w:r>
      <w:r>
        <w:rPr>
          <w:spacing w:val="14"/>
        </w:rPr>
        <w:t> </w:t>
      </w:r>
      <w:r>
        <w:rPr/>
        <w:t>as</w:t>
      </w:r>
      <w:r>
        <w:rPr>
          <w:spacing w:val="13"/>
        </w:rPr>
        <w:t> </w:t>
      </w:r>
      <w:r>
        <w:rPr/>
        <w:t>a</w:t>
      </w:r>
      <w:r>
        <w:rPr>
          <w:spacing w:val="12"/>
        </w:rPr>
        <w:t> </w:t>
      </w:r>
      <w:r>
        <w:rPr/>
        <w:t>result</w:t>
      </w:r>
      <w:r>
        <w:rPr>
          <w:spacing w:val="14"/>
        </w:rPr>
        <w:t> </w:t>
      </w:r>
      <w:r>
        <w:rPr/>
        <w:t>of</w:t>
      </w:r>
      <w:r>
        <w:rPr>
          <w:spacing w:val="12"/>
        </w:rPr>
        <w:t> </w:t>
      </w:r>
      <w:r>
        <w:rPr/>
        <w:t>the</w:t>
      </w:r>
      <w:r>
        <w:rPr>
          <w:spacing w:val="14"/>
        </w:rPr>
        <w:t> </w:t>
      </w:r>
      <w:r>
        <w:rPr/>
        <w:t>changes</w:t>
      </w:r>
      <w:r>
        <w:rPr>
          <w:spacing w:val="13"/>
        </w:rPr>
        <w:t> </w:t>
      </w:r>
      <w:r>
        <w:rPr/>
        <w:t>in</w:t>
      </w:r>
      <w:r>
        <w:rPr>
          <w:spacing w:val="14"/>
        </w:rPr>
        <w:t> </w:t>
      </w:r>
      <w:r>
        <w:rPr/>
        <w:t>customers’</w:t>
      </w:r>
      <w:r>
        <w:rPr>
          <w:spacing w:val="15"/>
        </w:rPr>
        <w:t> </w:t>
      </w:r>
      <w:r>
        <w:rPr/>
        <w:t>needs,</w:t>
      </w:r>
      <w:r>
        <w:rPr>
          <w:spacing w:val="15"/>
        </w:rPr>
        <w:t> </w:t>
      </w:r>
      <w:r>
        <w:rPr/>
        <w:t>competitors’</w:t>
      </w:r>
      <w:r>
        <w:rPr>
          <w:spacing w:val="13"/>
        </w:rPr>
        <w:t> </w:t>
      </w:r>
      <w:r>
        <w:rPr>
          <w:spacing w:val="-2"/>
        </w:rPr>
        <w:t>activities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and service/product innovation. Continuous quality improvement (CQI) has emerged as a dominant theme for survival and growth in today’s fiercely competitive business environment (Prybutok and Ramasesh, 2004).</w:t>
      </w:r>
    </w:p>
    <w:p>
      <w:pPr>
        <w:pStyle w:val="Heading3"/>
        <w:numPr>
          <w:ilvl w:val="3"/>
          <w:numId w:val="4"/>
        </w:numPr>
        <w:tabs>
          <w:tab w:pos="1120" w:val="left" w:leader="none"/>
        </w:tabs>
        <w:spacing w:line="240" w:lineRule="auto" w:before="235" w:after="0"/>
        <w:ind w:left="1120" w:right="0" w:hanging="720"/>
        <w:jc w:val="both"/>
        <w:rPr>
          <w:i w:val="0"/>
        </w:rPr>
      </w:pPr>
      <w:r>
        <w:rPr/>
        <w:t>Top</w:t>
      </w:r>
      <w:r>
        <w:rPr>
          <w:spacing w:val="-2"/>
        </w:rPr>
        <w:t> </w:t>
      </w:r>
      <w:r>
        <w:rPr/>
        <w:t>Management</w:t>
      </w:r>
      <w:r>
        <w:rPr>
          <w:spacing w:val="-3"/>
        </w:rPr>
        <w:t> </w:t>
      </w:r>
      <w:r>
        <w:rPr/>
        <w:t>Commitment</w:t>
      </w:r>
      <w:r>
        <w:rPr>
          <w:spacing w:val="-1"/>
        </w:rPr>
        <w:t> </w:t>
      </w:r>
      <w:r>
        <w:rPr/>
        <w:t>and</w:t>
      </w:r>
      <w:r>
        <w:rPr>
          <w:spacing w:val="-1"/>
        </w:rPr>
        <w:t> </w:t>
      </w:r>
      <w:r>
        <w:rPr>
          <w:spacing w:val="-2"/>
        </w:rPr>
        <w:t>Leadership</w:t>
      </w:r>
    </w:p>
    <w:p>
      <w:pPr>
        <w:pStyle w:val="BodyText"/>
        <w:spacing w:line="480" w:lineRule="auto" w:before="271"/>
        <w:ind w:left="399" w:right="1315"/>
        <w:jc w:val="both"/>
      </w:pPr>
      <w:r>
        <w:rPr/>
        <w:t>Tannenbaunm </w:t>
      </w:r>
      <w:r>
        <w:rPr>
          <w:i/>
        </w:rPr>
        <w:t>et al</w:t>
      </w:r>
      <w:r>
        <w:rPr/>
        <w:t>. (1961)</w:t>
      </w:r>
      <w:r>
        <w:rPr>
          <w:spacing w:val="-1"/>
        </w:rPr>
        <w:t> </w:t>
      </w:r>
      <w:r>
        <w:rPr/>
        <w:t>cited in Gherbal </w:t>
      </w:r>
      <w:r>
        <w:rPr>
          <w:i/>
        </w:rPr>
        <w:t>et al</w:t>
      </w:r>
      <w:r>
        <w:rPr/>
        <w:t>. (2012)</w:t>
      </w:r>
      <w:r>
        <w:rPr>
          <w:spacing w:val="-1"/>
        </w:rPr>
        <w:t> </w:t>
      </w:r>
      <w:r>
        <w:rPr/>
        <w:t>defined leadership as “the interpersonal influence, exercised in a situation, and directed, through the communication process, towards the attainment of a specified goal or goals”. Top management commitment/leadership is very</w:t>
      </w:r>
      <w:r>
        <w:rPr>
          <w:spacing w:val="-3"/>
        </w:rPr>
        <w:t> </w:t>
      </w:r>
      <w:r>
        <w:rPr/>
        <w:t>crucial to the success of TQM program of construction organization (Low and Teo, 2004; Jha and Kumer, 2010; Gherbal </w:t>
      </w:r>
      <w:r>
        <w:rPr>
          <w:i/>
        </w:rPr>
        <w:t>et al., </w:t>
      </w:r>
      <w:r>
        <w:rPr/>
        <w:t>2012). TQM requires effective</w:t>
      </w:r>
      <w:r>
        <w:rPr>
          <w:spacing w:val="-1"/>
        </w:rPr>
        <w:t> </w:t>
      </w:r>
      <w:r>
        <w:rPr/>
        <w:t>change</w:t>
      </w:r>
      <w:r>
        <w:rPr>
          <w:spacing w:val="-1"/>
        </w:rPr>
        <w:t> </w:t>
      </w:r>
      <w:r>
        <w:rPr/>
        <w:t>in organisational culture</w:t>
      </w:r>
      <w:r>
        <w:rPr>
          <w:spacing w:val="-1"/>
        </w:rPr>
        <w:t> </w:t>
      </w:r>
      <w:r>
        <w:rPr/>
        <w:t>and this can only be made possible with the deep involvement/commitment of management to the organisation’s strategy of continuous improvement, open communication and cooperation throughout the organisation. TQM implementation improves the organisational performance by influencing other TQM dimensions (Kaynak, 2003).</w:t>
      </w:r>
    </w:p>
    <w:p>
      <w:pPr>
        <w:pStyle w:val="BodyText"/>
        <w:spacing w:line="480" w:lineRule="auto" w:before="229"/>
        <w:ind w:left="400" w:right="1318"/>
        <w:jc w:val="both"/>
      </w:pPr>
      <w:r>
        <w:rPr/>
        <w:t>TQM must start at the top with the chief executive'. The commitment of leadership to the TQM strategy as shown in their daily disposition to work will go a long way in motivating employees to deliver quality services that exceeds the expectation of customers. Management must provide policies for promoting client /customer satisfaction; actively communicate quality policies and plans to employees (internal and external) to create awareness, interest, desire and action. In addition, management must as well provide the necessary resources and problem-oriented training to the employees to drive the TQM agenda.</w:t>
      </w:r>
    </w:p>
    <w:p>
      <w:pPr>
        <w:spacing w:after="0" w:line="480" w:lineRule="auto"/>
        <w:jc w:val="both"/>
        <w:sectPr>
          <w:pgSz w:w="12240" w:h="15840"/>
          <w:pgMar w:header="0" w:footer="1017" w:top="1360" w:bottom="1200" w:left="1040" w:right="120"/>
        </w:sectPr>
      </w:pPr>
    </w:p>
    <w:p>
      <w:pPr>
        <w:pStyle w:val="Heading3"/>
        <w:numPr>
          <w:ilvl w:val="3"/>
          <w:numId w:val="4"/>
        </w:numPr>
        <w:tabs>
          <w:tab w:pos="1120" w:val="left" w:leader="none"/>
        </w:tabs>
        <w:spacing w:line="240" w:lineRule="auto" w:before="76" w:after="0"/>
        <w:ind w:left="1120" w:right="0" w:hanging="720"/>
        <w:jc w:val="both"/>
        <w:rPr>
          <w:i w:val="0"/>
        </w:rPr>
      </w:pPr>
      <w:r>
        <w:rPr/>
        <w:t>Customer</w:t>
      </w:r>
      <w:r>
        <w:rPr>
          <w:spacing w:val="-2"/>
        </w:rPr>
        <w:t> Focus</w:t>
      </w:r>
    </w:p>
    <w:p>
      <w:pPr>
        <w:pStyle w:val="BodyText"/>
        <w:spacing w:line="480" w:lineRule="auto" w:before="272"/>
        <w:ind w:left="400" w:right="1316"/>
        <w:jc w:val="both"/>
      </w:pPr>
      <w:r>
        <w:rPr/>
        <w:t>Customer focus can be defined as the degree to which a firm continuously satisfies customer needs (Gherbal </w:t>
      </w:r>
      <w:r>
        <w:rPr>
          <w:i/>
        </w:rPr>
        <w:t>et al., </w:t>
      </w:r>
      <w:r>
        <w:rPr/>
        <w:t>2012). The key to the quality management is maintaining a closer relationship with the customer in order to fully determine the customer’s need, so the customer should be closely involved in the product design and development with valuable input to every stage (Saylor 1996 as cited in Gherbal </w:t>
      </w:r>
      <w:r>
        <w:rPr>
          <w:i/>
        </w:rPr>
        <w:t>et al., </w:t>
      </w:r>
      <w:r>
        <w:rPr/>
        <w:t>2012).</w:t>
      </w:r>
    </w:p>
    <w:p>
      <w:pPr>
        <w:pStyle w:val="BodyText"/>
      </w:pPr>
    </w:p>
    <w:p>
      <w:pPr>
        <w:pStyle w:val="BodyText"/>
        <w:spacing w:line="480" w:lineRule="auto"/>
        <w:ind w:left="399" w:right="1316" w:firstLine="60"/>
        <w:jc w:val="both"/>
      </w:pPr>
      <w:r>
        <w:rPr/>
        <w:t>An organisation must continually and actively conduct market research and measure customer satisfaction. In addition, this information must be utilised in the design of the organisation’s products and services. The customer allows an organization to exist, for every organization,</w:t>
      </w:r>
      <w:r>
        <w:rPr>
          <w:spacing w:val="40"/>
        </w:rPr>
        <w:t> </w:t>
      </w:r>
      <w:r>
        <w:rPr/>
        <w:t>profit or non-profitable, partnerships, departments, functions, groups, or teams, therefore customer focus is very critical in TQM. Impliedly, in construction industry, quality should be customer driven. Employers should be well aware of the concept of internal and external customers. They should care about meeting and exceeding the customer expectations. There</w:t>
      </w:r>
      <w:r>
        <w:rPr>
          <w:spacing w:val="40"/>
        </w:rPr>
        <w:t> </w:t>
      </w:r>
      <w:r>
        <w:rPr/>
        <w:t>must be a focus on customer feedback and accordingly the process should be driven. According to Jurancited in Arditi and Gunaydin (1997) the parties in a process (Supplier, Processor, and customer) have a “triple role”. This triple role concept is applicable to construction industry.</w:t>
      </w:r>
    </w:p>
    <w:p>
      <w:pPr>
        <w:pStyle w:val="Heading3"/>
        <w:numPr>
          <w:ilvl w:val="3"/>
          <w:numId w:val="4"/>
        </w:numPr>
        <w:tabs>
          <w:tab w:pos="1120" w:val="left" w:leader="none"/>
        </w:tabs>
        <w:spacing w:line="240" w:lineRule="auto" w:before="188" w:after="0"/>
        <w:ind w:left="1120" w:right="0" w:hanging="720"/>
        <w:jc w:val="both"/>
        <w:rPr>
          <w:i w:val="0"/>
        </w:rPr>
      </w:pPr>
      <w:r>
        <w:rPr/>
        <w:t>Employee</w:t>
      </w:r>
      <w:r>
        <w:rPr>
          <w:spacing w:val="-3"/>
        </w:rPr>
        <w:t> </w:t>
      </w:r>
      <w:r>
        <w:rPr>
          <w:spacing w:val="-2"/>
        </w:rPr>
        <w:t>involvement</w:t>
      </w:r>
    </w:p>
    <w:p>
      <w:pPr>
        <w:pStyle w:val="BodyText"/>
        <w:spacing w:line="480" w:lineRule="auto" w:before="271"/>
        <w:ind w:left="399" w:right="1317"/>
        <w:jc w:val="both"/>
      </w:pPr>
      <w:r>
        <w:rPr/>
        <w:t>To progress towards TQM, it is essential that the abilities and experience of all employees are utilized. Most work and customer contact takes place at the lower end of the organisation. As a result, these employees are the most likely source of improvements within the organisation.</w:t>
      </w:r>
      <w:r>
        <w:rPr>
          <w:spacing w:val="40"/>
        </w:rPr>
        <w:t> </w:t>
      </w:r>
      <w:r>
        <w:rPr/>
        <w:t>TQM recognizes that every employee has significant potential to make improvement. Through motivation, instilling the internal customer concept and training of employees are very</w:t>
      </w:r>
      <w:r>
        <w:rPr>
          <w:spacing w:val="-2"/>
        </w:rPr>
        <w:t> </w:t>
      </w:r>
      <w:r>
        <w:rPr/>
        <w:t>important factors</w:t>
      </w:r>
      <w:r>
        <w:rPr>
          <w:spacing w:val="20"/>
        </w:rPr>
        <w:t> </w:t>
      </w:r>
      <w:r>
        <w:rPr/>
        <w:t>to</w:t>
      </w:r>
      <w:r>
        <w:rPr>
          <w:spacing w:val="20"/>
        </w:rPr>
        <w:t> </w:t>
      </w:r>
      <w:r>
        <w:rPr/>
        <w:t>satisfy</w:t>
      </w:r>
      <w:r>
        <w:rPr>
          <w:spacing w:val="15"/>
        </w:rPr>
        <w:t> </w:t>
      </w:r>
      <w:r>
        <w:rPr/>
        <w:t>and</w:t>
      </w:r>
      <w:r>
        <w:rPr>
          <w:spacing w:val="23"/>
        </w:rPr>
        <w:t> </w:t>
      </w:r>
      <w:r>
        <w:rPr/>
        <w:t>gain</w:t>
      </w:r>
      <w:r>
        <w:rPr>
          <w:spacing w:val="20"/>
        </w:rPr>
        <w:t> </w:t>
      </w:r>
      <w:r>
        <w:rPr/>
        <w:t>the</w:t>
      </w:r>
      <w:r>
        <w:rPr>
          <w:spacing w:val="19"/>
        </w:rPr>
        <w:t> </w:t>
      </w:r>
      <w:r>
        <w:rPr/>
        <w:t>attention</w:t>
      </w:r>
      <w:r>
        <w:rPr>
          <w:spacing w:val="20"/>
        </w:rPr>
        <w:t> </w:t>
      </w:r>
      <w:r>
        <w:rPr/>
        <w:t>and</w:t>
      </w:r>
      <w:r>
        <w:rPr>
          <w:spacing w:val="20"/>
        </w:rPr>
        <w:t> </w:t>
      </w:r>
      <w:r>
        <w:rPr/>
        <w:t>effort</w:t>
      </w:r>
      <w:r>
        <w:rPr>
          <w:spacing w:val="21"/>
        </w:rPr>
        <w:t> </w:t>
      </w:r>
      <w:r>
        <w:rPr/>
        <w:t>of</w:t>
      </w:r>
      <w:r>
        <w:rPr>
          <w:spacing w:val="19"/>
        </w:rPr>
        <w:t> </w:t>
      </w:r>
      <w:r>
        <w:rPr/>
        <w:t>employees.</w:t>
      </w:r>
      <w:r>
        <w:rPr>
          <w:spacing w:val="71"/>
          <w:w w:val="150"/>
        </w:rPr>
        <w:t> </w:t>
      </w:r>
      <w:r>
        <w:rPr/>
        <w:t>TQM</w:t>
      </w:r>
      <w:r>
        <w:rPr>
          <w:spacing w:val="20"/>
        </w:rPr>
        <w:t> </w:t>
      </w:r>
      <w:r>
        <w:rPr/>
        <w:t>also</w:t>
      </w:r>
      <w:r>
        <w:rPr>
          <w:spacing w:val="20"/>
        </w:rPr>
        <w:t> </w:t>
      </w:r>
      <w:r>
        <w:rPr/>
        <w:t>requires</w:t>
      </w:r>
      <w:r>
        <w:rPr>
          <w:spacing w:val="20"/>
        </w:rPr>
        <w:t> </w:t>
      </w:r>
      <w:r>
        <w:rPr/>
        <w:t>that</w:t>
      </w:r>
      <w:r>
        <w:rPr>
          <w:spacing w:val="21"/>
        </w:rPr>
        <w:t> </w:t>
      </w:r>
      <w:r>
        <w:rPr>
          <w:spacing w:val="-4"/>
        </w:rPr>
        <w:t>there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are clearly defined methods of gaining employee involvement and that the way in which the performance of employees is measured, is in terms of meeting the objectives of TQM and the </w:t>
      </w:r>
      <w:r>
        <w:rPr>
          <w:spacing w:val="-2"/>
        </w:rPr>
        <w:t>organisation.</w:t>
      </w:r>
    </w:p>
    <w:p>
      <w:pPr>
        <w:pStyle w:val="Heading3"/>
        <w:numPr>
          <w:ilvl w:val="3"/>
          <w:numId w:val="4"/>
        </w:numPr>
        <w:tabs>
          <w:tab w:pos="1120" w:val="left" w:leader="none"/>
        </w:tabs>
        <w:spacing w:line="240" w:lineRule="auto" w:before="5" w:after="0"/>
        <w:ind w:left="1120" w:right="0" w:hanging="720"/>
        <w:jc w:val="both"/>
        <w:rPr>
          <w:i w:val="0"/>
        </w:rPr>
      </w:pPr>
      <w:r>
        <w:rPr>
          <w:spacing w:val="-2"/>
        </w:rPr>
        <w:t>Teamwork</w:t>
      </w:r>
    </w:p>
    <w:p>
      <w:pPr>
        <w:pStyle w:val="BodyText"/>
        <w:spacing w:line="480" w:lineRule="auto" w:before="271"/>
        <w:ind w:left="399" w:right="1315"/>
        <w:jc w:val="both"/>
      </w:pPr>
      <w:r>
        <w:rPr/>
        <w:t>Teamwork refers to an increase in employees’ control over their work and allowing them to</w:t>
      </w:r>
      <w:r>
        <w:rPr>
          <w:spacing w:val="80"/>
        </w:rPr>
        <w:t> </w:t>
      </w:r>
      <w:r>
        <w:rPr/>
        <w:t>work as a group (Ooi </w:t>
      </w:r>
      <w:r>
        <w:rPr>
          <w:i/>
        </w:rPr>
        <w:t>et al.</w:t>
      </w:r>
      <w:r>
        <w:rPr/>
        <w:t>, 2007). It is widely accepted working in a team or group is generally more</w:t>
      </w:r>
      <w:r>
        <w:rPr>
          <w:spacing w:val="-1"/>
        </w:rPr>
        <w:t> </w:t>
      </w:r>
      <w:r>
        <w:rPr/>
        <w:t>effective</w:t>
      </w:r>
      <w:r>
        <w:rPr>
          <w:spacing w:val="-1"/>
        </w:rPr>
        <w:t> </w:t>
      </w:r>
      <w:r>
        <w:rPr/>
        <w:t>than working</w:t>
      </w:r>
      <w:r>
        <w:rPr>
          <w:spacing w:val="-2"/>
        </w:rPr>
        <w:t> </w:t>
      </w:r>
      <w:r>
        <w:rPr/>
        <w:t>individually</w:t>
      </w:r>
      <w:r>
        <w:rPr>
          <w:spacing w:val="-5"/>
        </w:rPr>
        <w:t> </w:t>
      </w:r>
      <w:r>
        <w:rPr/>
        <w:t>(Zairi </w:t>
      </w:r>
      <w:r>
        <w:rPr>
          <w:i/>
        </w:rPr>
        <w:t>et al</w:t>
      </w:r>
      <w:r>
        <w:rPr/>
        <w:t>., 2005 as cited in Gherbal </w:t>
      </w:r>
      <w:r>
        <w:rPr>
          <w:i/>
        </w:rPr>
        <w:t>et al</w:t>
      </w:r>
      <w:r>
        <w:rPr/>
        <w:t>., 2012). This practice provides an atmosphere of mutual relationship, involvement, and participation in the organization. The eventual aim of the team approach in construction project is to get everyone, including contractors, designers, vendors, subcontractors, and owners involved with the TQM process.</w:t>
      </w:r>
      <w:r>
        <w:rPr>
          <w:spacing w:val="-1"/>
        </w:rPr>
        <w:t> </w:t>
      </w:r>
      <w:r>
        <w:rPr/>
        <w:t>Team</w:t>
      </w:r>
      <w:r>
        <w:rPr>
          <w:spacing w:val="-1"/>
        </w:rPr>
        <w:t> </w:t>
      </w:r>
      <w:r>
        <w:rPr/>
        <w:t>work</w:t>
      </w:r>
      <w:r>
        <w:rPr>
          <w:spacing w:val="-1"/>
        </w:rPr>
        <w:t> </w:t>
      </w:r>
      <w:r>
        <w:rPr/>
        <w:t>is</w:t>
      </w:r>
      <w:r>
        <w:rPr>
          <w:spacing w:val="-1"/>
        </w:rPr>
        <w:t> </w:t>
      </w:r>
      <w:r>
        <w:rPr/>
        <w:t>necessary</w:t>
      </w:r>
      <w:r>
        <w:rPr>
          <w:spacing w:val="-6"/>
        </w:rPr>
        <w:t> </w:t>
      </w:r>
      <w:r>
        <w:rPr/>
        <w:t>to</w:t>
      </w:r>
      <w:r>
        <w:rPr>
          <w:spacing w:val="-1"/>
        </w:rPr>
        <w:t> </w:t>
      </w:r>
      <w:r>
        <w:rPr/>
        <w:t>encourage</w:t>
      </w:r>
      <w:r>
        <w:rPr>
          <w:spacing w:val="-2"/>
        </w:rPr>
        <w:t> </w:t>
      </w:r>
      <w:r>
        <w:rPr/>
        <w:t>competitive</w:t>
      </w:r>
      <w:r>
        <w:rPr>
          <w:spacing w:val="-2"/>
        </w:rPr>
        <w:t> </w:t>
      </w:r>
      <w:r>
        <w:rPr/>
        <w:t>activities</w:t>
      </w:r>
      <w:r>
        <w:rPr>
          <w:spacing w:val="-1"/>
        </w:rPr>
        <w:t> </w:t>
      </w:r>
      <w:r>
        <w:rPr/>
        <w:t>internally</w:t>
      </w:r>
      <w:r>
        <w:rPr>
          <w:spacing w:val="-6"/>
        </w:rPr>
        <w:t> </w:t>
      </w:r>
      <w:r>
        <w:rPr/>
        <w:t>among</w:t>
      </w:r>
      <w:r>
        <w:rPr>
          <w:spacing w:val="-3"/>
        </w:rPr>
        <w:t> </w:t>
      </w:r>
      <w:r>
        <w:rPr/>
        <w:t>employees and externally with respect to suppliers and customers.</w:t>
      </w:r>
    </w:p>
    <w:p>
      <w:pPr>
        <w:pStyle w:val="BodyText"/>
        <w:spacing w:line="480" w:lineRule="auto"/>
        <w:ind w:left="399" w:right="1316"/>
        <w:jc w:val="both"/>
      </w:pPr>
      <w:r>
        <w:rPr/>
        <w:t>Dale </w:t>
      </w:r>
      <w:r>
        <w:rPr>
          <w:i/>
        </w:rPr>
        <w:t>et al. </w:t>
      </w:r>
      <w:r>
        <w:rPr/>
        <w:t>(1994) noted that team work is a key</w:t>
      </w:r>
      <w:r>
        <w:rPr>
          <w:spacing w:val="-5"/>
        </w:rPr>
        <w:t> </w:t>
      </w:r>
      <w:r>
        <w:rPr/>
        <w:t>feature of involvement.</w:t>
      </w:r>
      <w:r>
        <w:rPr>
          <w:spacing w:val="40"/>
        </w:rPr>
        <w:t> </w:t>
      </w:r>
      <w:r>
        <w:rPr/>
        <w:t>To him, team work aids the commitment of the workforce to the organisational goals and objectives. It is essential to</w:t>
      </w:r>
      <w:r>
        <w:rPr>
          <w:spacing w:val="40"/>
        </w:rPr>
        <w:t> </w:t>
      </w:r>
      <w:r>
        <w:rPr/>
        <w:t>have a team made of people with right attitudinal disposition to working in groups so as to</w:t>
      </w:r>
      <w:r>
        <w:rPr>
          <w:spacing w:val="80"/>
        </w:rPr>
        <w:t> </w:t>
      </w:r>
      <w:r>
        <w:rPr/>
        <w:t>realise the gains of quality management. Team work is a way of stimulating positive work attitude, which includes loyalty</w:t>
      </w:r>
      <w:r>
        <w:rPr>
          <w:spacing w:val="-2"/>
        </w:rPr>
        <w:t> </w:t>
      </w:r>
      <w:r>
        <w:rPr/>
        <w:t>to the organisation and a focus on organisational goals.</w:t>
      </w:r>
      <w:r>
        <w:rPr>
          <w:spacing w:val="40"/>
        </w:rPr>
        <w:t> </w:t>
      </w:r>
      <w:r>
        <w:rPr/>
        <w:t>Some of the benefits of Team work as highlighted by</w:t>
      </w:r>
      <w:r>
        <w:rPr>
          <w:spacing w:val="-6"/>
        </w:rPr>
        <w:t> </w:t>
      </w:r>
      <w:r>
        <w:rPr/>
        <w:t>Oakland (1995 as cited in Adrediran and Adrediran, 2008), are listed below</w:t>
      </w:r>
    </w:p>
    <w:p>
      <w:pPr>
        <w:pStyle w:val="ListParagraph"/>
        <w:numPr>
          <w:ilvl w:val="0"/>
          <w:numId w:val="11"/>
        </w:numPr>
        <w:tabs>
          <w:tab w:pos="1117" w:val="left" w:leader="none"/>
          <w:tab w:pos="1119" w:val="left" w:leader="none"/>
        </w:tabs>
        <w:spacing w:line="480" w:lineRule="auto" w:before="1" w:after="0"/>
        <w:ind w:left="1119" w:right="1316" w:hanging="488"/>
        <w:jc w:val="both"/>
        <w:rPr>
          <w:sz w:val="24"/>
        </w:rPr>
      </w:pPr>
      <w:r>
        <w:rPr>
          <w:sz w:val="24"/>
        </w:rPr>
        <w:t>Recommendations made by</w:t>
      </w:r>
      <w:r>
        <w:rPr>
          <w:spacing w:val="-3"/>
          <w:sz w:val="24"/>
        </w:rPr>
        <w:t> </w:t>
      </w:r>
      <w:r>
        <w:rPr>
          <w:sz w:val="24"/>
        </w:rPr>
        <w:t>teams are more likely</w:t>
      </w:r>
      <w:r>
        <w:rPr>
          <w:spacing w:val="-3"/>
          <w:sz w:val="24"/>
        </w:rPr>
        <w:t> </w:t>
      </w:r>
      <w:r>
        <w:rPr>
          <w:sz w:val="24"/>
        </w:rPr>
        <w:t>to be accepted and implemented where the team is highly formidable, unlike the individual suggestion which represents just an individual’s opinion;</w:t>
      </w:r>
    </w:p>
    <w:p>
      <w:pPr>
        <w:spacing w:after="0" w:line="480" w:lineRule="auto"/>
        <w:jc w:val="both"/>
        <w:rPr>
          <w:sz w:val="24"/>
        </w:rPr>
        <w:sectPr>
          <w:pgSz w:w="12240" w:h="15840"/>
          <w:pgMar w:header="0" w:footer="1017" w:top="1360" w:bottom="1200" w:left="1040" w:right="120"/>
        </w:sectPr>
      </w:pPr>
    </w:p>
    <w:p>
      <w:pPr>
        <w:pStyle w:val="ListParagraph"/>
        <w:numPr>
          <w:ilvl w:val="0"/>
          <w:numId w:val="11"/>
        </w:numPr>
        <w:tabs>
          <w:tab w:pos="1118" w:val="left" w:leader="none"/>
          <w:tab w:pos="1120" w:val="left" w:leader="none"/>
        </w:tabs>
        <w:spacing w:line="480" w:lineRule="auto" w:before="72" w:after="0"/>
        <w:ind w:left="1120" w:right="1316" w:hanging="555"/>
        <w:jc w:val="both"/>
        <w:rPr>
          <w:sz w:val="24"/>
        </w:rPr>
      </w:pPr>
      <w:r>
        <w:rPr>
          <w:sz w:val="24"/>
        </w:rPr>
        <w:t>A greater variety of complex problem will be tackled i.e. problems beyond the capability of an individual or department can be handled more efficiently through the pooling of resources together;</w:t>
      </w:r>
    </w:p>
    <w:p>
      <w:pPr>
        <w:pStyle w:val="ListParagraph"/>
        <w:numPr>
          <w:ilvl w:val="0"/>
          <w:numId w:val="11"/>
        </w:numPr>
        <w:tabs>
          <w:tab w:pos="1117" w:val="left" w:leader="none"/>
          <w:tab w:pos="1120" w:val="left" w:leader="none"/>
        </w:tabs>
        <w:spacing w:line="480" w:lineRule="auto" w:before="0" w:after="0"/>
        <w:ind w:left="1120" w:right="1316" w:hanging="620"/>
        <w:jc w:val="both"/>
        <w:rPr>
          <w:sz w:val="24"/>
        </w:rPr>
      </w:pPr>
      <w:r>
        <w:rPr>
          <w:sz w:val="24"/>
        </w:rPr>
        <w:t>Working in teams exposes a problem to a great variety of knowledge thus problems beyond functional departments can be solved more easily; and</w:t>
      </w:r>
    </w:p>
    <w:p>
      <w:pPr>
        <w:pStyle w:val="ListParagraph"/>
        <w:numPr>
          <w:ilvl w:val="0"/>
          <w:numId w:val="11"/>
        </w:numPr>
        <w:tabs>
          <w:tab w:pos="1117" w:val="left" w:leader="none"/>
          <w:tab w:pos="1119" w:val="left" w:leader="none"/>
        </w:tabs>
        <w:spacing w:line="480" w:lineRule="auto" w:before="0" w:after="0"/>
        <w:ind w:left="1119" w:right="1319" w:hanging="608"/>
        <w:jc w:val="both"/>
        <w:rPr>
          <w:sz w:val="24"/>
        </w:rPr>
      </w:pPr>
      <w:r>
        <w:rPr>
          <w:sz w:val="24"/>
        </w:rPr>
        <w:t>Team work will boost workers morale and ownership through participation in problem solving and decision making.</w:t>
      </w:r>
    </w:p>
    <w:p>
      <w:pPr>
        <w:pStyle w:val="Heading3"/>
        <w:numPr>
          <w:ilvl w:val="3"/>
          <w:numId w:val="4"/>
        </w:numPr>
        <w:tabs>
          <w:tab w:pos="1120" w:val="left" w:leader="none"/>
        </w:tabs>
        <w:spacing w:line="240" w:lineRule="auto" w:before="235" w:after="0"/>
        <w:ind w:left="1120" w:right="0" w:hanging="720"/>
        <w:jc w:val="both"/>
        <w:rPr>
          <w:i w:val="0"/>
        </w:rPr>
      </w:pPr>
      <w:r>
        <w:rPr>
          <w:spacing w:val="-2"/>
        </w:rPr>
        <w:t>Training</w:t>
      </w:r>
    </w:p>
    <w:p>
      <w:pPr>
        <w:pStyle w:val="BodyText"/>
        <w:spacing w:line="480" w:lineRule="auto" w:before="271"/>
        <w:ind w:left="400" w:right="1315"/>
        <w:jc w:val="both"/>
      </w:pPr>
      <w:r>
        <w:rPr/>
        <w:t>Training helps in preparing employees towards managing the TQM ideology in the process of production. Training equips people with the necessary skills and techniques of quality improvement. It is argued to be a powerful building block of business in the achievement of its aims and objectives (Stahl, 1995 cited in Adediran and Adediran, 2008).</w:t>
      </w:r>
    </w:p>
    <w:p>
      <w:pPr>
        <w:pStyle w:val="BodyText"/>
        <w:spacing w:line="480" w:lineRule="auto" w:before="1"/>
        <w:ind w:left="400" w:right="1313"/>
        <w:jc w:val="both"/>
      </w:pPr>
      <w:r>
        <w:rPr/>
        <w:t>Once the commitment from top management is present, quality training should be continuously performed. Training of the top management team in the basics of TQM is an essential step. The training program should be part of the quality policy where the responsibilities, organization, needs, monitoring and assessing of results are essential in the improvement cycle. Through training, employees are able to identify improvement opportunities as it is directed at providing necessary skills and knowledge for all employees to be able to contribute to ongoing quality improvement process of production.</w:t>
      </w:r>
    </w:p>
    <w:p>
      <w:pPr>
        <w:pStyle w:val="BodyText"/>
        <w:spacing w:line="480" w:lineRule="auto"/>
        <w:ind w:left="400" w:right="1320"/>
        <w:jc w:val="both"/>
      </w:pPr>
      <w:r>
        <w:rPr/>
        <w:t>The training efforts should include construction in the basics of TQM, cause and-effect analysis, team</w:t>
      </w:r>
      <w:r>
        <w:rPr>
          <w:spacing w:val="-2"/>
        </w:rPr>
        <w:t> </w:t>
      </w:r>
      <w:r>
        <w:rPr/>
        <w:t>problem</w:t>
      </w:r>
      <w:r>
        <w:rPr>
          <w:spacing w:val="-2"/>
        </w:rPr>
        <w:t> </w:t>
      </w:r>
      <w:r>
        <w:rPr/>
        <w:t>solving,</w:t>
      </w:r>
      <w:r>
        <w:rPr>
          <w:spacing w:val="-2"/>
        </w:rPr>
        <w:t> </w:t>
      </w:r>
      <w:r>
        <w:rPr/>
        <w:t>interpersonal</w:t>
      </w:r>
      <w:r>
        <w:rPr>
          <w:spacing w:val="-2"/>
        </w:rPr>
        <w:t> </w:t>
      </w:r>
      <w:r>
        <w:rPr/>
        <w:t>communication</w:t>
      </w:r>
      <w:r>
        <w:rPr>
          <w:spacing w:val="-2"/>
        </w:rPr>
        <w:t> </w:t>
      </w:r>
      <w:r>
        <w:rPr/>
        <w:t>and</w:t>
      </w:r>
      <w:r>
        <w:rPr>
          <w:spacing w:val="-2"/>
        </w:rPr>
        <w:t> </w:t>
      </w:r>
      <w:r>
        <w:rPr/>
        <w:t>interaction,</w:t>
      </w:r>
      <w:r>
        <w:rPr>
          <w:spacing w:val="-2"/>
        </w:rPr>
        <w:t> </w:t>
      </w:r>
      <w:r>
        <w:rPr/>
        <w:t>cost</w:t>
      </w:r>
      <w:r>
        <w:rPr>
          <w:spacing w:val="-2"/>
        </w:rPr>
        <w:t> </w:t>
      </w:r>
      <w:r>
        <w:rPr/>
        <w:t>of</w:t>
      </w:r>
      <w:r>
        <w:rPr>
          <w:spacing w:val="-3"/>
        </w:rPr>
        <w:t> </w:t>
      </w:r>
      <w:r>
        <w:rPr/>
        <w:t>quality</w:t>
      </w:r>
      <w:r>
        <w:rPr>
          <w:spacing w:val="-9"/>
        </w:rPr>
        <w:t> </w:t>
      </w:r>
      <w:r>
        <w:rPr/>
        <w:t>measurement and statistical method.</w:t>
      </w:r>
    </w:p>
    <w:p>
      <w:pPr>
        <w:spacing w:after="0" w:line="480" w:lineRule="auto"/>
        <w:jc w:val="both"/>
        <w:sectPr>
          <w:pgSz w:w="12240" w:h="15840"/>
          <w:pgMar w:header="0" w:footer="1017" w:top="1360" w:bottom="1200" w:left="1040" w:right="120"/>
        </w:sectPr>
      </w:pPr>
    </w:p>
    <w:p>
      <w:pPr>
        <w:pStyle w:val="Heading3"/>
        <w:numPr>
          <w:ilvl w:val="3"/>
          <w:numId w:val="4"/>
        </w:numPr>
        <w:tabs>
          <w:tab w:pos="1120" w:val="left" w:leader="none"/>
        </w:tabs>
        <w:spacing w:line="240" w:lineRule="auto" w:before="61" w:after="0"/>
        <w:ind w:left="1120" w:right="0" w:hanging="720"/>
        <w:jc w:val="both"/>
        <w:rPr>
          <w:i w:val="0"/>
        </w:rPr>
      </w:pPr>
      <w:r>
        <w:rPr/>
        <w:t>Quality</w:t>
      </w:r>
      <w:r>
        <w:rPr>
          <w:spacing w:val="-2"/>
        </w:rPr>
        <w:t> culture</w:t>
      </w:r>
    </w:p>
    <w:p>
      <w:pPr>
        <w:pStyle w:val="BodyText"/>
        <w:spacing w:line="480" w:lineRule="auto" w:before="271"/>
        <w:ind w:left="400" w:right="1316"/>
        <w:jc w:val="both"/>
      </w:pPr>
      <w:r>
        <w:rPr/>
        <w:t>Quality Culture is defined by Hofstede (2001), as “all the interaction that takes place between employees within an organization along with the relationships engendered by this behavior”. Within the TQM culture a co-operative and open culture has to be created by the organization management in which all the employees have to be made to feel that all of them are responsible for satisfying the organization’s customers. They are going to feel and consider this only if they are involved in the development of the vision, plans and strategies of the organization.</w:t>
      </w:r>
    </w:p>
    <w:p>
      <w:pPr>
        <w:pStyle w:val="BodyText"/>
        <w:spacing w:line="480" w:lineRule="auto" w:before="1"/>
        <w:ind w:left="400" w:right="1318"/>
        <w:jc w:val="both"/>
      </w:pPr>
      <w:r>
        <w:rPr/>
        <w:t>It</w:t>
      </w:r>
      <w:r>
        <w:rPr>
          <w:spacing w:val="-3"/>
        </w:rPr>
        <w:t> </w:t>
      </w:r>
      <w:r>
        <w:rPr/>
        <w:t>is</w:t>
      </w:r>
      <w:r>
        <w:rPr>
          <w:spacing w:val="-1"/>
        </w:rPr>
        <w:t> </w:t>
      </w:r>
      <w:r>
        <w:rPr/>
        <w:t>crucial</w:t>
      </w:r>
      <w:r>
        <w:rPr>
          <w:spacing w:val="-3"/>
        </w:rPr>
        <w:t> </w:t>
      </w:r>
      <w:r>
        <w:rPr/>
        <w:t>for</w:t>
      </w:r>
      <w:r>
        <w:rPr>
          <w:spacing w:val="-2"/>
        </w:rPr>
        <w:t> </w:t>
      </w:r>
      <w:r>
        <w:rPr/>
        <w:t>the</w:t>
      </w:r>
      <w:r>
        <w:rPr>
          <w:spacing w:val="-4"/>
        </w:rPr>
        <w:t> </w:t>
      </w:r>
      <w:r>
        <w:rPr/>
        <w:t>organization</w:t>
      </w:r>
      <w:r>
        <w:rPr>
          <w:spacing w:val="-3"/>
        </w:rPr>
        <w:t> </w:t>
      </w:r>
      <w:r>
        <w:rPr/>
        <w:t>to</w:t>
      </w:r>
      <w:r>
        <w:rPr>
          <w:spacing w:val="-3"/>
        </w:rPr>
        <w:t> </w:t>
      </w:r>
      <w:r>
        <w:rPr/>
        <w:t>achieve</w:t>
      </w:r>
      <w:r>
        <w:rPr>
          <w:spacing w:val="-2"/>
        </w:rPr>
        <w:t> </w:t>
      </w:r>
      <w:r>
        <w:rPr/>
        <w:t>a</w:t>
      </w:r>
      <w:r>
        <w:rPr>
          <w:spacing w:val="-4"/>
        </w:rPr>
        <w:t> </w:t>
      </w:r>
      <w:r>
        <w:rPr/>
        <w:t>successful</w:t>
      </w:r>
      <w:r>
        <w:rPr>
          <w:spacing w:val="-3"/>
        </w:rPr>
        <w:t> </w:t>
      </w:r>
      <w:r>
        <w:rPr/>
        <w:t>implementation</w:t>
      </w:r>
      <w:r>
        <w:rPr>
          <w:spacing w:val="-3"/>
        </w:rPr>
        <w:t> </w:t>
      </w:r>
      <w:r>
        <w:rPr/>
        <w:t>of</w:t>
      </w:r>
      <w:r>
        <w:rPr>
          <w:spacing w:val="-2"/>
        </w:rPr>
        <w:t> </w:t>
      </w:r>
      <w:r>
        <w:rPr/>
        <w:t>TQM</w:t>
      </w:r>
      <w:r>
        <w:rPr>
          <w:spacing w:val="-3"/>
        </w:rPr>
        <w:t> </w:t>
      </w:r>
      <w:r>
        <w:rPr/>
        <w:t>to</w:t>
      </w:r>
      <w:r>
        <w:rPr>
          <w:spacing w:val="-3"/>
        </w:rPr>
        <w:t> </w:t>
      </w:r>
      <w:r>
        <w:rPr/>
        <w:t>encourage</w:t>
      </w:r>
      <w:r>
        <w:rPr>
          <w:spacing w:val="-2"/>
        </w:rPr>
        <w:t> </w:t>
      </w:r>
      <w:r>
        <w:rPr/>
        <w:t>the employees to participate in all these activities. The work culture must be very conducive. There should be an active interaction amongst the peers and support from supervisors. The critical importance of the employee’s involvement in the quality process of an organization should be based on the belief that the best process innovation idea comes from the people actually doing</w:t>
      </w:r>
      <w:r>
        <w:rPr>
          <w:spacing w:val="40"/>
        </w:rPr>
        <w:t> </w:t>
      </w:r>
      <w:r>
        <w:rPr/>
        <w:t>the job (Jha and Kumar, 2010). Gherbal </w:t>
      </w:r>
      <w:r>
        <w:rPr>
          <w:i/>
        </w:rPr>
        <w:t>et al. </w:t>
      </w:r>
      <w:r>
        <w:rPr/>
        <w:t>(2012) however, opined that employees are unlikely to behave in an acceptable responsible way in the case where they see the management behaving irresponsibly and saying something or acting in opposition of it.</w:t>
      </w:r>
    </w:p>
    <w:p>
      <w:pPr>
        <w:pStyle w:val="BodyText"/>
        <w:spacing w:before="2"/>
      </w:pPr>
    </w:p>
    <w:p>
      <w:pPr>
        <w:pStyle w:val="Heading3"/>
        <w:numPr>
          <w:ilvl w:val="3"/>
          <w:numId w:val="4"/>
        </w:numPr>
        <w:tabs>
          <w:tab w:pos="1120" w:val="left" w:leader="none"/>
        </w:tabs>
        <w:spacing w:line="240" w:lineRule="auto" w:before="1" w:after="0"/>
        <w:ind w:left="1120" w:right="0" w:hanging="720"/>
        <w:jc w:val="both"/>
        <w:rPr>
          <w:i w:val="0"/>
        </w:rPr>
      </w:pPr>
      <w:r>
        <w:rPr/>
        <w:t>Supplier</w:t>
      </w:r>
      <w:r>
        <w:rPr>
          <w:spacing w:val="-1"/>
        </w:rPr>
        <w:t> </w:t>
      </w:r>
      <w:r>
        <w:rPr>
          <w:spacing w:val="-2"/>
        </w:rPr>
        <w:t>relationship</w:t>
      </w:r>
    </w:p>
    <w:p>
      <w:pPr>
        <w:pStyle w:val="BodyText"/>
        <w:spacing w:line="480" w:lineRule="auto" w:before="271"/>
        <w:ind w:left="400" w:right="1320"/>
        <w:jc w:val="both"/>
      </w:pPr>
      <w:r>
        <w:rPr/>
        <w:t>The</w:t>
      </w:r>
      <w:r>
        <w:rPr>
          <w:spacing w:val="-1"/>
        </w:rPr>
        <w:t> </w:t>
      </w:r>
      <w:r>
        <w:rPr/>
        <w:t>parties involved</w:t>
      </w:r>
      <w:r>
        <w:rPr>
          <w:spacing w:val="-1"/>
        </w:rPr>
        <w:t> </w:t>
      </w:r>
      <w:r>
        <w:rPr/>
        <w:t>in the</w:t>
      </w:r>
      <w:r>
        <w:rPr>
          <w:spacing w:val="-1"/>
        </w:rPr>
        <w:t> </w:t>
      </w:r>
      <w:r>
        <w:rPr/>
        <w:t>process of</w:t>
      </w:r>
      <w:r>
        <w:rPr>
          <w:spacing w:val="-1"/>
        </w:rPr>
        <w:t> </w:t>
      </w:r>
      <w:r>
        <w:rPr/>
        <w:t>producing</w:t>
      </w:r>
      <w:r>
        <w:rPr>
          <w:spacing w:val="-2"/>
        </w:rPr>
        <w:t> </w:t>
      </w:r>
      <w:r>
        <w:rPr/>
        <w:t>a</w:t>
      </w:r>
      <w:r>
        <w:rPr>
          <w:spacing w:val="-1"/>
        </w:rPr>
        <w:t> </w:t>
      </w:r>
      <w:r>
        <w:rPr/>
        <w:t>quality</w:t>
      </w:r>
      <w:r>
        <w:rPr>
          <w:spacing w:val="-5"/>
        </w:rPr>
        <w:t> </w:t>
      </w:r>
      <w:r>
        <w:rPr/>
        <w:t>product are;</w:t>
      </w:r>
      <w:r>
        <w:rPr>
          <w:spacing w:val="-1"/>
        </w:rPr>
        <w:t> </w:t>
      </w:r>
      <w:r>
        <w:rPr/>
        <w:t>the supplier, the</w:t>
      </w:r>
      <w:r>
        <w:rPr>
          <w:spacing w:val="-1"/>
        </w:rPr>
        <w:t> </w:t>
      </w:r>
      <w:r>
        <w:rPr/>
        <w:t>processor and the customer, and the ability to improve the quality of the product mainly depends on the relationship between the mentioned parties. The quality of work performed by the contractor is mainly related to the parties: the designers, the suppliers and the subcontractors. The quality of the specifications and drawings comes from the designers; the quality of the materials and equipment</w:t>
      </w:r>
      <w:r>
        <w:rPr>
          <w:spacing w:val="27"/>
        </w:rPr>
        <w:t>  </w:t>
      </w:r>
      <w:r>
        <w:rPr/>
        <w:t>comes</w:t>
      </w:r>
      <w:r>
        <w:rPr>
          <w:spacing w:val="28"/>
        </w:rPr>
        <w:t>  </w:t>
      </w:r>
      <w:r>
        <w:rPr/>
        <w:t>from</w:t>
      </w:r>
      <w:r>
        <w:rPr>
          <w:spacing w:val="27"/>
        </w:rPr>
        <w:t>  </w:t>
      </w:r>
      <w:r>
        <w:rPr/>
        <w:t>the</w:t>
      </w:r>
      <w:r>
        <w:rPr>
          <w:spacing w:val="27"/>
        </w:rPr>
        <w:t>  </w:t>
      </w:r>
      <w:r>
        <w:rPr/>
        <w:t>suppliers</w:t>
      </w:r>
      <w:r>
        <w:rPr>
          <w:spacing w:val="28"/>
        </w:rPr>
        <w:t>  </w:t>
      </w:r>
      <w:r>
        <w:rPr/>
        <w:t>and</w:t>
      </w:r>
      <w:r>
        <w:rPr>
          <w:spacing w:val="27"/>
        </w:rPr>
        <w:t>  </w:t>
      </w:r>
      <w:r>
        <w:rPr/>
        <w:t>the</w:t>
      </w:r>
      <w:r>
        <w:rPr>
          <w:spacing w:val="27"/>
        </w:rPr>
        <w:t>  </w:t>
      </w:r>
      <w:r>
        <w:rPr/>
        <w:t>quality</w:t>
      </w:r>
      <w:r>
        <w:rPr>
          <w:spacing w:val="25"/>
        </w:rPr>
        <w:t>  </w:t>
      </w:r>
      <w:r>
        <w:rPr/>
        <w:t>of</w:t>
      </w:r>
      <w:r>
        <w:rPr>
          <w:spacing w:val="27"/>
        </w:rPr>
        <w:t>  </w:t>
      </w:r>
      <w:r>
        <w:rPr/>
        <w:t>the</w:t>
      </w:r>
      <w:r>
        <w:rPr>
          <w:spacing w:val="27"/>
        </w:rPr>
        <w:t>  </w:t>
      </w:r>
      <w:r>
        <w:rPr/>
        <w:t>work</w:t>
      </w:r>
      <w:r>
        <w:rPr>
          <w:spacing w:val="28"/>
        </w:rPr>
        <w:t>  </w:t>
      </w:r>
      <w:r>
        <w:rPr/>
        <w:t>performed</w:t>
      </w:r>
      <w:r>
        <w:rPr>
          <w:spacing w:val="27"/>
        </w:rPr>
        <w:t>  </w:t>
      </w:r>
      <w:r>
        <w:rPr/>
        <w:t>by</w:t>
      </w:r>
      <w:r>
        <w:rPr>
          <w:spacing w:val="26"/>
        </w:rPr>
        <w:t>  </w:t>
      </w:r>
      <w:r>
        <w:rPr>
          <w:spacing w:val="-5"/>
        </w:rPr>
        <w:t>the</w:t>
      </w:r>
    </w:p>
    <w:p>
      <w:pPr>
        <w:spacing w:after="0" w:line="480" w:lineRule="auto"/>
        <w:jc w:val="both"/>
        <w:sectPr>
          <w:pgSz w:w="12240" w:h="15840"/>
          <w:pgMar w:header="0" w:footer="1017" w:top="1560" w:bottom="1200" w:left="1040" w:right="120"/>
        </w:sectPr>
      </w:pPr>
    </w:p>
    <w:p>
      <w:pPr>
        <w:pStyle w:val="BodyText"/>
        <w:spacing w:line="480" w:lineRule="auto" w:before="72"/>
        <w:ind w:left="400" w:right="1317"/>
        <w:jc w:val="both"/>
      </w:pPr>
      <w:r>
        <w:rPr/>
        <w:t>subcontractors. Therefore; the long-term relationships with the supplies are very</w:t>
      </w:r>
      <w:r>
        <w:rPr>
          <w:spacing w:val="-2"/>
        </w:rPr>
        <w:t> </w:t>
      </w:r>
      <w:r>
        <w:rPr/>
        <w:t>important to the contractor in order to achieve a quality product.</w:t>
      </w:r>
    </w:p>
    <w:p>
      <w:pPr>
        <w:pStyle w:val="Heading3"/>
        <w:numPr>
          <w:ilvl w:val="3"/>
          <w:numId w:val="4"/>
        </w:numPr>
        <w:tabs>
          <w:tab w:pos="1120" w:val="left" w:leader="none"/>
        </w:tabs>
        <w:spacing w:line="240" w:lineRule="auto" w:before="189" w:after="0"/>
        <w:ind w:left="1120" w:right="0" w:hanging="720"/>
        <w:jc w:val="both"/>
        <w:rPr>
          <w:i w:val="0"/>
        </w:rPr>
      </w:pPr>
      <w:r>
        <w:rPr/>
        <w:t>Supplier</w:t>
      </w:r>
      <w:r>
        <w:rPr>
          <w:spacing w:val="-1"/>
        </w:rPr>
        <w:t> </w:t>
      </w:r>
      <w:r>
        <w:rPr>
          <w:spacing w:val="-2"/>
        </w:rPr>
        <w:t>Management</w:t>
      </w:r>
    </w:p>
    <w:p>
      <w:pPr>
        <w:pStyle w:val="BodyText"/>
        <w:spacing w:line="480" w:lineRule="auto" w:before="272"/>
        <w:ind w:left="400" w:right="1317"/>
        <w:jc w:val="both"/>
      </w:pPr>
      <w:r>
        <w:rPr/>
        <w:t>The supplier quality</w:t>
      </w:r>
      <w:r>
        <w:rPr>
          <w:spacing w:val="-1"/>
        </w:rPr>
        <w:t> </w:t>
      </w:r>
      <w:r>
        <w:rPr/>
        <w:t>is an important element of quality</w:t>
      </w:r>
      <w:r>
        <w:rPr>
          <w:spacing w:val="-1"/>
        </w:rPr>
        <w:t> </w:t>
      </w:r>
      <w:r>
        <w:rPr/>
        <w:t>management in construction organization because materials purchased are a major source of quality problems (Kaynak, 2003; Metri,</w:t>
      </w:r>
      <w:r>
        <w:rPr>
          <w:spacing w:val="40"/>
        </w:rPr>
        <w:t> </w:t>
      </w:r>
      <w:r>
        <w:rPr/>
        <w:t>2004). Supplier quality management includes fewer dependable subcontractors, reliance on suppliers process control, strong inter dependence of supplier and customer, purchasing policy, emphasizing quality rather than price, supplier quality control and supplier assistance in quality development. Materials are often a major source of quality problems and affect buyer satisfaction. According to Metri (2004) instead of relying on tools such as acceptance sampling</w:t>
      </w:r>
      <w:r>
        <w:rPr>
          <w:spacing w:val="40"/>
        </w:rPr>
        <w:t> </w:t>
      </w:r>
      <w:r>
        <w:rPr/>
        <w:t>to establish the quality of incoming materials and component parts, it is preferable for constructors to purchase from a more limited number of qualified or certified suppliers.</w:t>
      </w:r>
    </w:p>
    <w:p>
      <w:pPr>
        <w:pStyle w:val="Heading3"/>
        <w:numPr>
          <w:ilvl w:val="3"/>
          <w:numId w:val="4"/>
        </w:numPr>
        <w:tabs>
          <w:tab w:pos="1839" w:val="left" w:leader="none"/>
        </w:tabs>
        <w:spacing w:line="240" w:lineRule="auto" w:before="187" w:after="0"/>
        <w:ind w:left="1839" w:right="0" w:hanging="1439"/>
        <w:jc w:val="both"/>
        <w:rPr>
          <w:i w:val="0"/>
        </w:rPr>
      </w:pPr>
      <w:r>
        <w:rPr/>
        <w:t>Purchasing</w:t>
      </w:r>
      <w:r>
        <w:rPr>
          <w:spacing w:val="-3"/>
        </w:rPr>
        <w:t> </w:t>
      </w:r>
      <w:r>
        <w:rPr/>
        <w:t>and</w:t>
      </w:r>
      <w:r>
        <w:rPr>
          <w:spacing w:val="-2"/>
        </w:rPr>
        <w:t> </w:t>
      </w:r>
      <w:r>
        <w:rPr/>
        <w:t>supplier</w:t>
      </w:r>
      <w:r>
        <w:rPr>
          <w:spacing w:val="-4"/>
        </w:rPr>
        <w:t> </w:t>
      </w:r>
      <w:r>
        <w:rPr>
          <w:spacing w:val="-2"/>
        </w:rPr>
        <w:t>management</w:t>
      </w:r>
    </w:p>
    <w:p>
      <w:pPr>
        <w:pStyle w:val="BodyText"/>
        <w:spacing w:line="480" w:lineRule="auto" w:before="271"/>
        <w:ind w:left="400" w:right="1317"/>
        <w:jc w:val="both"/>
      </w:pPr>
      <w:r>
        <w:rPr/>
        <w:t>The output of any process is dependent on the nature of its inputs. When an organisation is viewed as a single process, the impact of supplied products and services becomes apparent. As a result, a TQM environment requires that purchasing decisions are made with quality (i.e. fitness for purpose) as the main determinant. Supplier relations should progress in the direction of supplier partnerships that embrace the following principles:</w:t>
      </w:r>
    </w:p>
    <w:p>
      <w:pPr>
        <w:pStyle w:val="ListParagraph"/>
        <w:numPr>
          <w:ilvl w:val="0"/>
          <w:numId w:val="12"/>
        </w:numPr>
        <w:tabs>
          <w:tab w:pos="1118" w:val="left" w:leader="none"/>
        </w:tabs>
        <w:spacing w:line="240" w:lineRule="auto" w:before="1" w:after="0"/>
        <w:ind w:left="1118" w:right="0" w:hanging="486"/>
        <w:jc w:val="both"/>
        <w:rPr>
          <w:sz w:val="24"/>
        </w:rPr>
      </w:pPr>
      <w:r>
        <w:rPr>
          <w:sz w:val="24"/>
        </w:rPr>
        <w:t>Both</w:t>
      </w:r>
      <w:r>
        <w:rPr>
          <w:spacing w:val="-1"/>
          <w:sz w:val="24"/>
        </w:rPr>
        <w:t> </w:t>
      </w:r>
      <w:r>
        <w:rPr>
          <w:sz w:val="24"/>
        </w:rPr>
        <w:t>parties</w:t>
      </w:r>
      <w:r>
        <w:rPr>
          <w:spacing w:val="-1"/>
          <w:sz w:val="24"/>
        </w:rPr>
        <w:t> </w:t>
      </w:r>
      <w:r>
        <w:rPr>
          <w:sz w:val="24"/>
        </w:rPr>
        <w:t>are</w:t>
      </w:r>
      <w:r>
        <w:rPr>
          <w:spacing w:val="-2"/>
          <w:sz w:val="24"/>
        </w:rPr>
        <w:t> </w:t>
      </w:r>
      <w:r>
        <w:rPr>
          <w:sz w:val="24"/>
        </w:rPr>
        <w:t>to</w:t>
      </w:r>
      <w:r>
        <w:rPr>
          <w:spacing w:val="-1"/>
          <w:sz w:val="24"/>
        </w:rPr>
        <w:t> </w:t>
      </w:r>
      <w:r>
        <w:rPr>
          <w:sz w:val="24"/>
        </w:rPr>
        <w:t>benefit</w:t>
      </w:r>
      <w:r>
        <w:rPr>
          <w:spacing w:val="-1"/>
          <w:sz w:val="24"/>
        </w:rPr>
        <w:t> </w:t>
      </w:r>
      <w:r>
        <w:rPr>
          <w:sz w:val="24"/>
        </w:rPr>
        <w:t>from</w:t>
      </w:r>
      <w:r>
        <w:rPr>
          <w:spacing w:val="-1"/>
          <w:sz w:val="24"/>
        </w:rPr>
        <w:t> </w:t>
      </w:r>
      <w:r>
        <w:rPr>
          <w:sz w:val="24"/>
        </w:rPr>
        <w:t>the</w:t>
      </w:r>
      <w:r>
        <w:rPr>
          <w:spacing w:val="-1"/>
          <w:sz w:val="24"/>
        </w:rPr>
        <w:t> </w:t>
      </w:r>
      <w:r>
        <w:rPr>
          <w:spacing w:val="-2"/>
          <w:sz w:val="24"/>
        </w:rPr>
        <w:t>relationship;</w:t>
      </w:r>
    </w:p>
    <w:p>
      <w:pPr>
        <w:pStyle w:val="ListParagraph"/>
        <w:numPr>
          <w:ilvl w:val="0"/>
          <w:numId w:val="12"/>
        </w:numPr>
        <w:tabs>
          <w:tab w:pos="1118" w:val="left" w:leader="none"/>
        </w:tabs>
        <w:spacing w:line="240" w:lineRule="auto" w:before="276" w:after="0"/>
        <w:ind w:left="1118" w:right="0" w:hanging="553"/>
        <w:jc w:val="both"/>
        <w:rPr>
          <w:sz w:val="24"/>
        </w:rPr>
      </w:pPr>
      <w:r>
        <w:rPr>
          <w:sz w:val="24"/>
        </w:rPr>
        <w:t>Both</w:t>
      </w:r>
      <w:r>
        <w:rPr>
          <w:spacing w:val="-2"/>
          <w:sz w:val="24"/>
        </w:rPr>
        <w:t> </w:t>
      </w:r>
      <w:r>
        <w:rPr>
          <w:sz w:val="24"/>
        </w:rPr>
        <w:t>parties</w:t>
      </w:r>
      <w:r>
        <w:rPr>
          <w:spacing w:val="-1"/>
          <w:sz w:val="24"/>
        </w:rPr>
        <w:t> </w:t>
      </w:r>
      <w:r>
        <w:rPr>
          <w:sz w:val="24"/>
        </w:rPr>
        <w:t>should</w:t>
      </w:r>
      <w:r>
        <w:rPr>
          <w:spacing w:val="-1"/>
          <w:sz w:val="24"/>
        </w:rPr>
        <w:t> </w:t>
      </w:r>
      <w:r>
        <w:rPr>
          <w:sz w:val="24"/>
        </w:rPr>
        <w:t>seek to</w:t>
      </w:r>
      <w:r>
        <w:rPr>
          <w:spacing w:val="-1"/>
          <w:sz w:val="24"/>
        </w:rPr>
        <w:t> </w:t>
      </w:r>
      <w:r>
        <w:rPr>
          <w:sz w:val="24"/>
        </w:rPr>
        <w:t>improve</w:t>
      </w:r>
      <w:r>
        <w:rPr>
          <w:spacing w:val="-2"/>
          <w:sz w:val="24"/>
        </w:rPr>
        <w:t> quality;</w:t>
      </w:r>
    </w:p>
    <w:p>
      <w:pPr>
        <w:pStyle w:val="BodyText"/>
      </w:pPr>
    </w:p>
    <w:p>
      <w:pPr>
        <w:pStyle w:val="ListParagraph"/>
        <w:numPr>
          <w:ilvl w:val="0"/>
          <w:numId w:val="12"/>
        </w:numPr>
        <w:tabs>
          <w:tab w:pos="1119" w:val="left" w:leader="none"/>
        </w:tabs>
        <w:spacing w:line="240" w:lineRule="auto" w:before="0" w:after="0"/>
        <w:ind w:left="1119" w:right="0" w:hanging="619"/>
        <w:jc w:val="left"/>
        <w:rPr>
          <w:sz w:val="24"/>
        </w:rPr>
      </w:pPr>
      <w:r>
        <w:rPr>
          <w:sz w:val="24"/>
        </w:rPr>
        <w:t>The</w:t>
      </w:r>
      <w:r>
        <w:rPr>
          <w:spacing w:val="-2"/>
          <w:sz w:val="24"/>
        </w:rPr>
        <w:t> </w:t>
      </w:r>
      <w:r>
        <w:rPr>
          <w:sz w:val="24"/>
        </w:rPr>
        <w:t>number</w:t>
      </w:r>
      <w:r>
        <w:rPr>
          <w:spacing w:val="-2"/>
          <w:sz w:val="24"/>
        </w:rPr>
        <w:t> </w:t>
      </w:r>
      <w:r>
        <w:rPr>
          <w:sz w:val="24"/>
        </w:rPr>
        <w:t>of</w:t>
      </w:r>
      <w:r>
        <w:rPr>
          <w:spacing w:val="-2"/>
          <w:sz w:val="24"/>
        </w:rPr>
        <w:t> </w:t>
      </w:r>
      <w:r>
        <w:rPr>
          <w:sz w:val="24"/>
        </w:rPr>
        <w:t>suppliers</w:t>
      </w:r>
      <w:r>
        <w:rPr>
          <w:spacing w:val="1"/>
          <w:sz w:val="24"/>
        </w:rPr>
        <w:t> </w:t>
      </w:r>
      <w:r>
        <w:rPr>
          <w:sz w:val="24"/>
        </w:rPr>
        <w:t>used</w:t>
      </w:r>
      <w:r>
        <w:rPr>
          <w:spacing w:val="-1"/>
          <w:sz w:val="24"/>
        </w:rPr>
        <w:t> </w:t>
      </w:r>
      <w:r>
        <w:rPr>
          <w:sz w:val="24"/>
        </w:rPr>
        <w:t>should</w:t>
      </w:r>
      <w:r>
        <w:rPr>
          <w:spacing w:val="-1"/>
          <w:sz w:val="24"/>
        </w:rPr>
        <w:t> </w:t>
      </w:r>
      <w:r>
        <w:rPr>
          <w:sz w:val="24"/>
        </w:rPr>
        <w:t>be</w:t>
      </w:r>
      <w:r>
        <w:rPr>
          <w:spacing w:val="-2"/>
          <w:sz w:val="24"/>
        </w:rPr>
        <w:t> </w:t>
      </w:r>
      <w:r>
        <w:rPr>
          <w:sz w:val="24"/>
        </w:rPr>
        <w:t>minimized; </w:t>
      </w:r>
      <w:r>
        <w:rPr>
          <w:spacing w:val="-4"/>
          <w:sz w:val="24"/>
        </w:rPr>
        <w:t>and,</w:t>
      </w:r>
    </w:p>
    <w:p>
      <w:pPr>
        <w:pStyle w:val="BodyText"/>
      </w:pPr>
    </w:p>
    <w:p>
      <w:pPr>
        <w:pStyle w:val="ListParagraph"/>
        <w:numPr>
          <w:ilvl w:val="0"/>
          <w:numId w:val="12"/>
        </w:numPr>
        <w:tabs>
          <w:tab w:pos="1119" w:val="left" w:leader="none"/>
        </w:tabs>
        <w:spacing w:line="240" w:lineRule="auto" w:before="0" w:after="0"/>
        <w:ind w:left="1119" w:right="0" w:hanging="607"/>
        <w:jc w:val="left"/>
        <w:rPr>
          <w:sz w:val="24"/>
        </w:rPr>
      </w:pPr>
      <w:r>
        <w:rPr>
          <w:sz w:val="24"/>
        </w:rPr>
        <w:t>There</w:t>
      </w:r>
      <w:r>
        <w:rPr>
          <w:spacing w:val="-3"/>
          <w:sz w:val="24"/>
        </w:rPr>
        <w:t> </w:t>
      </w:r>
      <w:r>
        <w:rPr>
          <w:sz w:val="24"/>
        </w:rPr>
        <w:t>should</w:t>
      </w:r>
      <w:r>
        <w:rPr>
          <w:spacing w:val="-1"/>
          <w:sz w:val="24"/>
        </w:rPr>
        <w:t> </w:t>
      </w:r>
      <w:r>
        <w:rPr>
          <w:sz w:val="24"/>
        </w:rPr>
        <w:t>be an</w:t>
      </w:r>
      <w:r>
        <w:rPr>
          <w:spacing w:val="-1"/>
          <w:sz w:val="24"/>
        </w:rPr>
        <w:t> </w:t>
      </w:r>
      <w:r>
        <w:rPr>
          <w:sz w:val="24"/>
        </w:rPr>
        <w:t>intention</w:t>
      </w:r>
      <w:r>
        <w:rPr>
          <w:spacing w:val="-2"/>
          <w:sz w:val="24"/>
        </w:rPr>
        <w:t> </w:t>
      </w:r>
      <w:r>
        <w:rPr>
          <w:sz w:val="24"/>
        </w:rPr>
        <w:t>to</w:t>
      </w:r>
      <w:r>
        <w:rPr>
          <w:spacing w:val="-1"/>
          <w:sz w:val="24"/>
        </w:rPr>
        <w:t> </w:t>
      </w:r>
      <w:r>
        <w:rPr>
          <w:sz w:val="24"/>
        </w:rPr>
        <w:t>form</w:t>
      </w:r>
      <w:r>
        <w:rPr>
          <w:spacing w:val="-1"/>
          <w:sz w:val="24"/>
        </w:rPr>
        <w:t> </w:t>
      </w:r>
      <w:r>
        <w:rPr>
          <w:sz w:val="24"/>
        </w:rPr>
        <w:t>long-term</w:t>
      </w:r>
      <w:r>
        <w:rPr>
          <w:spacing w:val="-1"/>
          <w:sz w:val="24"/>
        </w:rPr>
        <w:t> </w:t>
      </w:r>
      <w:r>
        <w:rPr>
          <w:spacing w:val="-2"/>
          <w:sz w:val="24"/>
        </w:rPr>
        <w:t>relations.</w:t>
      </w:r>
    </w:p>
    <w:p>
      <w:pPr>
        <w:spacing w:after="0" w:line="240" w:lineRule="auto"/>
        <w:jc w:val="left"/>
        <w:rPr>
          <w:sz w:val="24"/>
        </w:rPr>
        <w:sectPr>
          <w:pgSz w:w="12240" w:h="15840"/>
          <w:pgMar w:header="0" w:footer="1017" w:top="1360" w:bottom="1200" w:left="1040" w:right="120"/>
        </w:sectPr>
      </w:pPr>
    </w:p>
    <w:p>
      <w:pPr>
        <w:pStyle w:val="Heading3"/>
        <w:numPr>
          <w:ilvl w:val="3"/>
          <w:numId w:val="4"/>
        </w:numPr>
        <w:tabs>
          <w:tab w:pos="1839" w:val="left" w:leader="none"/>
        </w:tabs>
        <w:spacing w:line="240" w:lineRule="auto" w:before="76" w:after="0"/>
        <w:ind w:left="1839" w:right="0" w:hanging="1439"/>
        <w:jc w:val="both"/>
        <w:rPr>
          <w:i w:val="0"/>
        </w:rPr>
      </w:pPr>
      <w:r>
        <w:rPr/>
        <w:t>Performance</w:t>
      </w:r>
      <w:r>
        <w:rPr>
          <w:spacing w:val="-3"/>
        </w:rPr>
        <w:t> </w:t>
      </w:r>
      <w:r>
        <w:rPr>
          <w:spacing w:val="-2"/>
        </w:rPr>
        <w:t>measurement</w:t>
      </w:r>
    </w:p>
    <w:p>
      <w:pPr>
        <w:pStyle w:val="BodyText"/>
        <w:spacing w:line="480" w:lineRule="auto" w:before="272"/>
        <w:ind w:left="400" w:right="1320"/>
        <w:jc w:val="both"/>
      </w:pPr>
      <w:r>
        <w:rPr/>
        <w:t>Whether at the organisational, departmental, or individual level, are the values that enable management</w:t>
      </w:r>
      <w:r>
        <w:rPr>
          <w:spacing w:val="-1"/>
        </w:rPr>
        <w:t> </w:t>
      </w:r>
      <w:r>
        <w:rPr/>
        <w:t>to effectively</w:t>
      </w:r>
      <w:r>
        <w:rPr>
          <w:spacing w:val="-3"/>
        </w:rPr>
        <w:t> </w:t>
      </w:r>
      <w:r>
        <w:rPr/>
        <w:t>plan, monitor,</w:t>
      </w:r>
      <w:r>
        <w:rPr>
          <w:spacing w:val="-1"/>
        </w:rPr>
        <w:t> </w:t>
      </w:r>
      <w:r>
        <w:rPr/>
        <w:t>and control</w:t>
      </w:r>
      <w:r>
        <w:rPr>
          <w:spacing w:val="-1"/>
        </w:rPr>
        <w:t> </w:t>
      </w:r>
      <w:r>
        <w:rPr/>
        <w:t>and</w:t>
      </w:r>
      <w:r>
        <w:rPr>
          <w:spacing w:val="-1"/>
        </w:rPr>
        <w:t> </w:t>
      </w:r>
      <w:r>
        <w:rPr/>
        <w:t>make</w:t>
      </w:r>
      <w:r>
        <w:rPr>
          <w:spacing w:val="-2"/>
        </w:rPr>
        <w:t> </w:t>
      </w:r>
      <w:r>
        <w:rPr/>
        <w:t>decisions</w:t>
      </w:r>
      <w:r>
        <w:rPr>
          <w:spacing w:val="-1"/>
        </w:rPr>
        <w:t> </w:t>
      </w:r>
      <w:r>
        <w:rPr/>
        <w:t>within</w:t>
      </w:r>
      <w:r>
        <w:rPr>
          <w:spacing w:val="-1"/>
        </w:rPr>
        <w:t> </w:t>
      </w:r>
      <w:r>
        <w:rPr/>
        <w:t>an</w:t>
      </w:r>
      <w:r>
        <w:rPr>
          <w:spacing w:val="-1"/>
        </w:rPr>
        <w:t> </w:t>
      </w:r>
      <w:r>
        <w:rPr/>
        <w:t>organisation. According to Williams (1997 cited in Nonxuba, 2010), the performance measures in a TQM environment should be linked to the achievement of organisational and TQM objectives. These measures also need the ability to support a proactive management style.</w:t>
      </w:r>
    </w:p>
    <w:p>
      <w:pPr>
        <w:pStyle w:val="Heading3"/>
        <w:numPr>
          <w:ilvl w:val="3"/>
          <w:numId w:val="4"/>
        </w:numPr>
        <w:tabs>
          <w:tab w:pos="1839" w:val="left" w:leader="none"/>
        </w:tabs>
        <w:spacing w:line="240" w:lineRule="auto" w:before="189" w:after="0"/>
        <w:ind w:left="1839" w:right="0" w:hanging="1439"/>
        <w:jc w:val="both"/>
        <w:rPr>
          <w:i w:val="0"/>
        </w:rPr>
      </w:pPr>
      <w:r>
        <w:rPr>
          <w:spacing w:val="-2"/>
        </w:rPr>
        <w:t>Communication</w:t>
      </w:r>
    </w:p>
    <w:p>
      <w:pPr>
        <w:pStyle w:val="BodyText"/>
        <w:spacing w:line="480" w:lineRule="auto" w:before="272"/>
        <w:ind w:left="400" w:right="1318"/>
        <w:jc w:val="both"/>
      </w:pPr>
      <w:r>
        <w:rPr/>
        <w:t>The strategy of changes towards TQM must be brought in clear and direct form of communication from the top management to all staff/employees in the organization, and the</w:t>
      </w:r>
      <w:r>
        <w:rPr>
          <w:spacing w:val="40"/>
        </w:rPr>
        <w:t> </w:t>
      </w:r>
      <w:r>
        <w:rPr/>
        <w:t>good leadership is mostly by good communication.</w:t>
      </w:r>
    </w:p>
    <w:p>
      <w:pPr>
        <w:pStyle w:val="BodyText"/>
        <w:spacing w:line="480" w:lineRule="auto"/>
        <w:ind w:left="400" w:right="1321"/>
        <w:jc w:val="both"/>
      </w:pPr>
      <w:r>
        <w:rPr/>
        <w:t>The attitude and behavior of staff/employees can be affected by communication and good communication. Also, the attitude of people can be changed through gaining their acceptance.</w:t>
      </w:r>
    </w:p>
    <w:p>
      <w:pPr>
        <w:pStyle w:val="BodyText"/>
        <w:spacing w:line="480" w:lineRule="auto"/>
        <w:ind w:left="400" w:right="1316"/>
        <w:jc w:val="both"/>
      </w:pPr>
      <w:r>
        <w:rPr/>
        <w:t>Total quality message is the first step in communication and it should be followed by TQM directive. People should know when and how they would get into the process. Also, what the process is, and the benefits from achieving the TQM. All these steps need to be brought in</w:t>
      </w:r>
      <w:r>
        <w:rPr>
          <w:spacing w:val="40"/>
        </w:rPr>
        <w:t> </w:t>
      </w:r>
      <w:r>
        <w:rPr/>
        <w:t>simple and short language between functional groups in the organization, in addition, the communication and participation must be used in all levels and in open way without barriers by concentrating on the process rather than other departmental issues.</w:t>
      </w:r>
    </w:p>
    <w:p>
      <w:pPr>
        <w:pStyle w:val="Heading3"/>
        <w:numPr>
          <w:ilvl w:val="3"/>
          <w:numId w:val="4"/>
        </w:numPr>
        <w:tabs>
          <w:tab w:pos="1839" w:val="left" w:leader="none"/>
        </w:tabs>
        <w:spacing w:line="240" w:lineRule="auto" w:before="233" w:after="0"/>
        <w:ind w:left="1839" w:right="0" w:hanging="1439"/>
        <w:jc w:val="both"/>
        <w:rPr>
          <w:i w:val="0"/>
        </w:rPr>
      </w:pPr>
      <w:r>
        <w:rPr/>
        <w:t>Strategic</w:t>
      </w:r>
      <w:r>
        <w:rPr>
          <w:spacing w:val="-2"/>
        </w:rPr>
        <w:t> planning</w:t>
      </w:r>
    </w:p>
    <w:p>
      <w:pPr>
        <w:pStyle w:val="BodyText"/>
        <w:spacing w:line="480" w:lineRule="auto" w:before="271"/>
        <w:ind w:left="400" w:right="1314"/>
        <w:jc w:val="both"/>
      </w:pPr>
      <w:r>
        <w:rPr/>
        <w:t>The</w:t>
      </w:r>
      <w:r>
        <w:rPr>
          <w:spacing w:val="-1"/>
        </w:rPr>
        <w:t> </w:t>
      </w:r>
      <w:r>
        <w:rPr/>
        <w:t>strategic</w:t>
      </w:r>
      <w:r>
        <w:rPr>
          <w:spacing w:val="-1"/>
        </w:rPr>
        <w:t> </w:t>
      </w:r>
      <w:r>
        <w:rPr/>
        <w:t>planning</w:t>
      </w:r>
      <w:r>
        <w:rPr>
          <w:spacing w:val="-2"/>
        </w:rPr>
        <w:t> </w:t>
      </w:r>
      <w:r>
        <w:rPr/>
        <w:t>involves how</w:t>
      </w:r>
      <w:r>
        <w:rPr>
          <w:spacing w:val="-1"/>
        </w:rPr>
        <w:t> </w:t>
      </w:r>
      <w:r>
        <w:rPr/>
        <w:t>the</w:t>
      </w:r>
      <w:r>
        <w:rPr>
          <w:spacing w:val="-1"/>
        </w:rPr>
        <w:t> </w:t>
      </w:r>
      <w:r>
        <w:rPr/>
        <w:t>company</w:t>
      </w:r>
      <w:r>
        <w:rPr>
          <w:spacing w:val="-2"/>
        </w:rPr>
        <w:t> </w:t>
      </w:r>
      <w:r>
        <w:rPr/>
        <w:t>sets strategic</w:t>
      </w:r>
      <w:r>
        <w:rPr>
          <w:spacing w:val="-1"/>
        </w:rPr>
        <w:t> </w:t>
      </w:r>
      <w:r>
        <w:rPr/>
        <w:t>directions, how</w:t>
      </w:r>
      <w:r>
        <w:rPr>
          <w:spacing w:val="-1"/>
        </w:rPr>
        <w:t> </w:t>
      </w:r>
      <w:r>
        <w:rPr/>
        <w:t>it determines key action plans, and translates them into an effective performance management system. Strategic planning incorporates the development and deployment of plans (Lee </w:t>
      </w:r>
      <w:r>
        <w:rPr>
          <w:i/>
        </w:rPr>
        <w:t>et al</w:t>
      </w:r>
      <w:r>
        <w:rPr/>
        <w:t>., 2003), improve relationships</w:t>
      </w:r>
      <w:r>
        <w:rPr>
          <w:spacing w:val="15"/>
        </w:rPr>
        <w:t> </w:t>
      </w:r>
      <w:r>
        <w:rPr/>
        <w:t>with</w:t>
      </w:r>
      <w:r>
        <w:rPr>
          <w:spacing w:val="18"/>
        </w:rPr>
        <w:t> </w:t>
      </w:r>
      <w:r>
        <w:rPr/>
        <w:t>customers,</w:t>
      </w:r>
      <w:r>
        <w:rPr>
          <w:spacing w:val="18"/>
        </w:rPr>
        <w:t> </w:t>
      </w:r>
      <w:r>
        <w:rPr/>
        <w:t>suppliers,</w:t>
      </w:r>
      <w:r>
        <w:rPr>
          <w:spacing w:val="20"/>
        </w:rPr>
        <w:t> </w:t>
      </w:r>
      <w:r>
        <w:rPr/>
        <w:t>and</w:t>
      </w:r>
      <w:r>
        <w:rPr>
          <w:spacing w:val="18"/>
        </w:rPr>
        <w:t> </w:t>
      </w:r>
      <w:r>
        <w:rPr/>
        <w:t>business</w:t>
      </w:r>
      <w:r>
        <w:rPr>
          <w:spacing w:val="18"/>
        </w:rPr>
        <w:t> </w:t>
      </w:r>
      <w:r>
        <w:rPr/>
        <w:t>partners</w:t>
      </w:r>
      <w:r>
        <w:rPr>
          <w:spacing w:val="18"/>
        </w:rPr>
        <w:t> </w:t>
      </w:r>
      <w:r>
        <w:rPr/>
        <w:t>(Prybutok</w:t>
      </w:r>
      <w:r>
        <w:rPr>
          <w:spacing w:val="20"/>
        </w:rPr>
        <w:t> </w:t>
      </w:r>
      <w:r>
        <w:rPr>
          <w:i/>
        </w:rPr>
        <w:t>et</w:t>
      </w:r>
      <w:r>
        <w:rPr>
          <w:i/>
          <w:spacing w:val="18"/>
        </w:rPr>
        <w:t> </w:t>
      </w:r>
      <w:r>
        <w:rPr>
          <w:i/>
        </w:rPr>
        <w:t>al.,</w:t>
      </w:r>
      <w:r>
        <w:rPr>
          <w:i/>
          <w:spacing w:val="18"/>
        </w:rPr>
        <w:t> </w:t>
      </w:r>
      <w:r>
        <w:rPr/>
        <w:t>2008)</w:t>
      </w:r>
      <w:r>
        <w:rPr>
          <w:spacing w:val="19"/>
        </w:rPr>
        <w:t> </w:t>
      </w:r>
      <w:r>
        <w:rPr/>
        <w:t>and</w:t>
      </w:r>
      <w:r>
        <w:rPr>
          <w:spacing w:val="18"/>
        </w:rPr>
        <w:t> </w:t>
      </w:r>
      <w:r>
        <w:rPr>
          <w:spacing w:val="-2"/>
        </w:rPr>
        <w:t>helps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in</w:t>
      </w:r>
      <w:r>
        <w:rPr>
          <w:spacing w:val="-3"/>
        </w:rPr>
        <w:t> </w:t>
      </w:r>
      <w:r>
        <w:rPr/>
        <w:t>achieving</w:t>
      </w:r>
      <w:r>
        <w:rPr>
          <w:spacing w:val="-5"/>
        </w:rPr>
        <w:t> </w:t>
      </w:r>
      <w:r>
        <w:rPr/>
        <w:t>long</w:t>
      </w:r>
      <w:r>
        <w:rPr>
          <w:spacing w:val="-3"/>
        </w:rPr>
        <w:t> </w:t>
      </w:r>
      <w:r>
        <w:rPr/>
        <w:t>and</w:t>
      </w:r>
      <w:r>
        <w:rPr>
          <w:spacing w:val="-3"/>
        </w:rPr>
        <w:t> </w:t>
      </w:r>
      <w:r>
        <w:rPr/>
        <w:t>short</w:t>
      </w:r>
      <w:r>
        <w:rPr>
          <w:spacing w:val="-3"/>
        </w:rPr>
        <w:t> </w:t>
      </w:r>
      <w:r>
        <w:rPr/>
        <w:t>term</w:t>
      </w:r>
      <w:r>
        <w:rPr>
          <w:spacing w:val="-1"/>
        </w:rPr>
        <w:t> </w:t>
      </w:r>
      <w:r>
        <w:rPr/>
        <w:t>goals</w:t>
      </w:r>
      <w:r>
        <w:rPr>
          <w:spacing w:val="-3"/>
        </w:rPr>
        <w:t> </w:t>
      </w:r>
      <w:r>
        <w:rPr/>
        <w:t>through</w:t>
      </w:r>
      <w:r>
        <w:rPr>
          <w:spacing w:val="-1"/>
        </w:rPr>
        <w:t> </w:t>
      </w:r>
      <w:r>
        <w:rPr/>
        <w:t>participative</w:t>
      </w:r>
      <w:r>
        <w:rPr>
          <w:spacing w:val="-3"/>
        </w:rPr>
        <w:t> </w:t>
      </w:r>
      <w:r>
        <w:rPr/>
        <w:t>planning</w:t>
      </w:r>
      <w:r>
        <w:rPr>
          <w:spacing w:val="-5"/>
        </w:rPr>
        <w:t> </w:t>
      </w:r>
      <w:r>
        <w:rPr/>
        <w:t>(Teh </w:t>
      </w:r>
      <w:r>
        <w:rPr>
          <w:i/>
        </w:rPr>
        <w:t>et</w:t>
      </w:r>
      <w:r>
        <w:rPr>
          <w:i/>
          <w:spacing w:val="-3"/>
        </w:rPr>
        <w:t> </w:t>
      </w:r>
      <w:r>
        <w:rPr>
          <w:i/>
        </w:rPr>
        <w:t>al.,</w:t>
      </w:r>
      <w:r>
        <w:rPr>
          <w:i/>
          <w:spacing w:val="-3"/>
        </w:rPr>
        <w:t> </w:t>
      </w:r>
      <w:r>
        <w:rPr/>
        <w:t>2009).</w:t>
      </w:r>
      <w:r>
        <w:rPr>
          <w:spacing w:val="-3"/>
        </w:rPr>
        <w:t> </w:t>
      </w:r>
      <w:r>
        <w:rPr/>
        <w:t>Strategic Planning allows firms to set clear priorities and allocate resources for the most important things. It also provides specific instructions for approaching, executing, and evaluating the development of strategic concepts (Metri, 2004).</w:t>
      </w:r>
    </w:p>
    <w:p>
      <w:pPr>
        <w:pStyle w:val="BodyText"/>
        <w:spacing w:line="480" w:lineRule="auto"/>
        <w:ind w:left="400" w:right="1319"/>
        <w:jc w:val="both"/>
      </w:pPr>
      <w:r>
        <w:rPr/>
        <w:t>According to Weiss and Gershon (2008), citing Deming (2000), the following principles are the cornerstones of TQM, namely:</w:t>
      </w:r>
    </w:p>
    <w:p>
      <w:pPr>
        <w:pStyle w:val="ListParagraph"/>
        <w:numPr>
          <w:ilvl w:val="0"/>
          <w:numId w:val="13"/>
        </w:numPr>
        <w:tabs>
          <w:tab w:pos="1118" w:val="left" w:leader="none"/>
        </w:tabs>
        <w:spacing w:line="240" w:lineRule="auto" w:before="0" w:after="0"/>
        <w:ind w:left="1118" w:right="0" w:hanging="359"/>
        <w:jc w:val="both"/>
        <w:rPr>
          <w:sz w:val="24"/>
        </w:rPr>
      </w:pPr>
      <w:r>
        <w:rPr>
          <w:sz w:val="24"/>
        </w:rPr>
        <w:t>Policy,</w:t>
      </w:r>
      <w:r>
        <w:rPr>
          <w:spacing w:val="-3"/>
          <w:sz w:val="24"/>
        </w:rPr>
        <w:t> </w:t>
      </w:r>
      <w:r>
        <w:rPr>
          <w:sz w:val="24"/>
        </w:rPr>
        <w:t>planning,</w:t>
      </w:r>
      <w:r>
        <w:rPr>
          <w:spacing w:val="-2"/>
          <w:sz w:val="24"/>
        </w:rPr>
        <w:t> </w:t>
      </w:r>
      <w:r>
        <w:rPr>
          <w:sz w:val="24"/>
        </w:rPr>
        <w:t>and</w:t>
      </w:r>
      <w:r>
        <w:rPr>
          <w:spacing w:val="-2"/>
          <w:sz w:val="24"/>
        </w:rPr>
        <w:t> administration;</w:t>
      </w:r>
    </w:p>
    <w:p>
      <w:pPr>
        <w:pStyle w:val="BodyText"/>
      </w:pPr>
    </w:p>
    <w:p>
      <w:pPr>
        <w:pStyle w:val="ListParagraph"/>
        <w:numPr>
          <w:ilvl w:val="0"/>
          <w:numId w:val="13"/>
        </w:numPr>
        <w:tabs>
          <w:tab w:pos="1118" w:val="left" w:leader="none"/>
        </w:tabs>
        <w:spacing w:line="240" w:lineRule="auto" w:before="0" w:after="0"/>
        <w:ind w:left="1118" w:right="0" w:hanging="359"/>
        <w:jc w:val="both"/>
        <w:rPr>
          <w:sz w:val="24"/>
        </w:rPr>
      </w:pPr>
      <w:r>
        <w:rPr>
          <w:sz w:val="24"/>
        </w:rPr>
        <w:t>Product</w:t>
      </w:r>
      <w:r>
        <w:rPr>
          <w:spacing w:val="-4"/>
          <w:sz w:val="24"/>
        </w:rPr>
        <w:t> </w:t>
      </w:r>
      <w:r>
        <w:rPr>
          <w:sz w:val="24"/>
        </w:rPr>
        <w:t>design and</w:t>
      </w:r>
      <w:r>
        <w:rPr>
          <w:spacing w:val="-2"/>
          <w:sz w:val="24"/>
        </w:rPr>
        <w:t> </w:t>
      </w:r>
      <w:r>
        <w:rPr>
          <w:sz w:val="24"/>
        </w:rPr>
        <w:t>design</w:t>
      </w:r>
      <w:r>
        <w:rPr>
          <w:spacing w:val="-2"/>
          <w:sz w:val="24"/>
        </w:rPr>
        <w:t> </w:t>
      </w:r>
      <w:r>
        <w:rPr>
          <w:sz w:val="24"/>
        </w:rPr>
        <w:t>change </w:t>
      </w:r>
      <w:r>
        <w:rPr>
          <w:spacing w:val="-2"/>
          <w:sz w:val="24"/>
        </w:rPr>
        <w:t>control;</w:t>
      </w:r>
    </w:p>
    <w:p>
      <w:pPr>
        <w:pStyle w:val="BodyText"/>
      </w:pPr>
    </w:p>
    <w:p>
      <w:pPr>
        <w:pStyle w:val="ListParagraph"/>
        <w:numPr>
          <w:ilvl w:val="0"/>
          <w:numId w:val="13"/>
        </w:numPr>
        <w:tabs>
          <w:tab w:pos="1118" w:val="left" w:leader="none"/>
        </w:tabs>
        <w:spacing w:line="240" w:lineRule="auto" w:before="0" w:after="0"/>
        <w:ind w:left="1118" w:right="0" w:hanging="359"/>
        <w:jc w:val="both"/>
        <w:rPr>
          <w:sz w:val="24"/>
        </w:rPr>
      </w:pPr>
      <w:r>
        <w:rPr>
          <w:sz w:val="24"/>
        </w:rPr>
        <w:t>Control</w:t>
      </w:r>
      <w:r>
        <w:rPr>
          <w:spacing w:val="-2"/>
          <w:sz w:val="24"/>
        </w:rPr>
        <w:t> </w:t>
      </w:r>
      <w:r>
        <w:rPr>
          <w:sz w:val="24"/>
        </w:rPr>
        <w:t>of</w:t>
      </w:r>
      <w:r>
        <w:rPr>
          <w:spacing w:val="-3"/>
          <w:sz w:val="24"/>
        </w:rPr>
        <w:t> </w:t>
      </w:r>
      <w:r>
        <w:rPr>
          <w:sz w:val="24"/>
        </w:rPr>
        <w:t>purchased</w:t>
      </w:r>
      <w:r>
        <w:rPr>
          <w:spacing w:val="-1"/>
          <w:sz w:val="24"/>
        </w:rPr>
        <w:t> </w:t>
      </w:r>
      <w:r>
        <w:rPr>
          <w:spacing w:val="-2"/>
          <w:sz w:val="24"/>
        </w:rPr>
        <w:t>materials;</w:t>
      </w:r>
    </w:p>
    <w:p>
      <w:pPr>
        <w:pStyle w:val="BodyText"/>
      </w:pPr>
    </w:p>
    <w:p>
      <w:pPr>
        <w:pStyle w:val="ListParagraph"/>
        <w:numPr>
          <w:ilvl w:val="0"/>
          <w:numId w:val="13"/>
        </w:numPr>
        <w:tabs>
          <w:tab w:pos="1118" w:val="left" w:leader="none"/>
        </w:tabs>
        <w:spacing w:line="240" w:lineRule="auto" w:before="0" w:after="0"/>
        <w:ind w:left="1118" w:right="0" w:hanging="359"/>
        <w:jc w:val="both"/>
        <w:rPr>
          <w:sz w:val="24"/>
        </w:rPr>
      </w:pPr>
      <w:r>
        <w:rPr>
          <w:sz w:val="24"/>
        </w:rPr>
        <w:t>Production</w:t>
      </w:r>
      <w:r>
        <w:rPr>
          <w:spacing w:val="-1"/>
          <w:sz w:val="24"/>
        </w:rPr>
        <w:t> </w:t>
      </w:r>
      <w:r>
        <w:rPr>
          <w:sz w:val="24"/>
        </w:rPr>
        <w:t>quality</w:t>
      </w:r>
      <w:r>
        <w:rPr>
          <w:spacing w:val="-5"/>
          <w:sz w:val="24"/>
        </w:rPr>
        <w:t> </w:t>
      </w:r>
      <w:r>
        <w:rPr>
          <w:spacing w:val="-2"/>
          <w:sz w:val="24"/>
        </w:rPr>
        <w:t>control;</w:t>
      </w:r>
    </w:p>
    <w:p>
      <w:pPr>
        <w:pStyle w:val="BodyText"/>
      </w:pPr>
    </w:p>
    <w:p>
      <w:pPr>
        <w:pStyle w:val="ListParagraph"/>
        <w:numPr>
          <w:ilvl w:val="0"/>
          <w:numId w:val="13"/>
        </w:numPr>
        <w:tabs>
          <w:tab w:pos="1118" w:val="left" w:leader="none"/>
        </w:tabs>
        <w:spacing w:line="240" w:lineRule="auto" w:before="0" w:after="0"/>
        <w:ind w:left="1118" w:right="0" w:hanging="359"/>
        <w:jc w:val="both"/>
        <w:rPr>
          <w:sz w:val="24"/>
        </w:rPr>
      </w:pPr>
      <w:r>
        <w:rPr>
          <w:sz w:val="24"/>
        </w:rPr>
        <w:t>User</w:t>
      </w:r>
      <w:r>
        <w:rPr>
          <w:spacing w:val="-3"/>
          <w:sz w:val="24"/>
        </w:rPr>
        <w:t> </w:t>
      </w:r>
      <w:r>
        <w:rPr>
          <w:sz w:val="24"/>
        </w:rPr>
        <w:t>contact</w:t>
      </w:r>
      <w:r>
        <w:rPr>
          <w:spacing w:val="-1"/>
          <w:sz w:val="24"/>
        </w:rPr>
        <w:t> </w:t>
      </w:r>
      <w:r>
        <w:rPr>
          <w:sz w:val="24"/>
        </w:rPr>
        <w:t>and</w:t>
      </w:r>
      <w:r>
        <w:rPr>
          <w:spacing w:val="-2"/>
          <w:sz w:val="24"/>
        </w:rPr>
        <w:t> </w:t>
      </w:r>
      <w:r>
        <w:rPr>
          <w:sz w:val="24"/>
        </w:rPr>
        <w:t>field</w:t>
      </w:r>
      <w:r>
        <w:rPr>
          <w:spacing w:val="-1"/>
          <w:sz w:val="24"/>
        </w:rPr>
        <w:t> </w:t>
      </w:r>
      <w:r>
        <w:rPr>
          <w:spacing w:val="-2"/>
          <w:sz w:val="24"/>
        </w:rPr>
        <w:t>performance;</w:t>
      </w:r>
    </w:p>
    <w:p>
      <w:pPr>
        <w:pStyle w:val="BodyText"/>
      </w:pPr>
    </w:p>
    <w:p>
      <w:pPr>
        <w:pStyle w:val="ListParagraph"/>
        <w:numPr>
          <w:ilvl w:val="0"/>
          <w:numId w:val="13"/>
        </w:numPr>
        <w:tabs>
          <w:tab w:pos="1117" w:val="left" w:leader="none"/>
        </w:tabs>
        <w:spacing w:line="240" w:lineRule="auto" w:before="0" w:after="0"/>
        <w:ind w:left="1117" w:right="0" w:hanging="358"/>
        <w:jc w:val="both"/>
        <w:rPr>
          <w:sz w:val="24"/>
        </w:rPr>
      </w:pPr>
      <w:r>
        <w:rPr>
          <w:sz w:val="24"/>
        </w:rPr>
        <w:t>Corrective</w:t>
      </w:r>
      <w:r>
        <w:rPr>
          <w:spacing w:val="-5"/>
          <w:sz w:val="24"/>
        </w:rPr>
        <w:t> </w:t>
      </w:r>
      <w:r>
        <w:rPr>
          <w:sz w:val="24"/>
        </w:rPr>
        <w:t>action;</w:t>
      </w:r>
      <w:r>
        <w:rPr>
          <w:spacing w:val="-2"/>
          <w:sz w:val="24"/>
        </w:rPr>
        <w:t> </w:t>
      </w:r>
      <w:r>
        <w:rPr>
          <w:spacing w:val="-4"/>
          <w:sz w:val="24"/>
        </w:rPr>
        <w:t>and,</w:t>
      </w:r>
    </w:p>
    <w:p>
      <w:pPr>
        <w:pStyle w:val="BodyText"/>
      </w:pPr>
    </w:p>
    <w:p>
      <w:pPr>
        <w:pStyle w:val="ListParagraph"/>
        <w:numPr>
          <w:ilvl w:val="0"/>
          <w:numId w:val="13"/>
        </w:numPr>
        <w:tabs>
          <w:tab w:pos="1117" w:val="left" w:leader="none"/>
        </w:tabs>
        <w:spacing w:line="240" w:lineRule="auto" w:before="0" w:after="0"/>
        <w:ind w:left="1117" w:right="0" w:hanging="358"/>
        <w:jc w:val="left"/>
        <w:rPr>
          <w:sz w:val="24"/>
        </w:rPr>
      </w:pPr>
      <w:r>
        <w:rPr>
          <w:sz w:val="24"/>
        </w:rPr>
        <w:t>Employee</w:t>
      </w:r>
      <w:r>
        <w:rPr>
          <w:spacing w:val="-3"/>
          <w:sz w:val="24"/>
        </w:rPr>
        <w:t> </w:t>
      </w:r>
      <w:r>
        <w:rPr>
          <w:sz w:val="24"/>
        </w:rPr>
        <w:t>selection,</w:t>
      </w:r>
      <w:r>
        <w:rPr>
          <w:spacing w:val="-2"/>
          <w:sz w:val="24"/>
        </w:rPr>
        <w:t> </w:t>
      </w:r>
      <w:r>
        <w:rPr>
          <w:sz w:val="24"/>
        </w:rPr>
        <w:t>training</w:t>
      </w:r>
      <w:r>
        <w:rPr>
          <w:spacing w:val="-5"/>
          <w:sz w:val="24"/>
        </w:rPr>
        <w:t> </w:t>
      </w:r>
      <w:r>
        <w:rPr>
          <w:sz w:val="24"/>
        </w:rPr>
        <w:t>and</w:t>
      </w:r>
      <w:r>
        <w:rPr>
          <w:spacing w:val="-1"/>
          <w:sz w:val="24"/>
        </w:rPr>
        <w:t> </w:t>
      </w:r>
      <w:r>
        <w:rPr>
          <w:spacing w:val="-2"/>
          <w:sz w:val="24"/>
        </w:rPr>
        <w:t>motivation.</w:t>
      </w:r>
    </w:p>
    <w:p>
      <w:pPr>
        <w:pStyle w:val="BodyText"/>
      </w:pPr>
    </w:p>
    <w:p>
      <w:pPr>
        <w:pStyle w:val="BodyText"/>
        <w:spacing w:line="480" w:lineRule="auto"/>
        <w:ind w:left="399" w:right="1321"/>
        <w:jc w:val="both"/>
      </w:pPr>
      <w:r>
        <w:rPr/>
        <w:t>According to Kelce and Lee (2004) citing Lee (1998), there are nine elements of TQM, which can be identified, validated and established, namely:</w:t>
      </w:r>
    </w:p>
    <w:p>
      <w:pPr>
        <w:pStyle w:val="ListParagraph"/>
        <w:numPr>
          <w:ilvl w:val="0"/>
          <w:numId w:val="14"/>
        </w:numPr>
        <w:tabs>
          <w:tab w:pos="1118" w:val="left" w:leader="none"/>
        </w:tabs>
        <w:spacing w:line="240" w:lineRule="auto" w:before="0" w:after="0"/>
        <w:ind w:left="1118" w:right="0" w:hanging="359"/>
        <w:jc w:val="left"/>
        <w:rPr>
          <w:sz w:val="24"/>
        </w:rPr>
      </w:pPr>
      <w:r>
        <w:rPr>
          <w:sz w:val="24"/>
        </w:rPr>
        <w:t>Customer</w:t>
      </w:r>
      <w:r>
        <w:rPr>
          <w:spacing w:val="-2"/>
          <w:sz w:val="24"/>
        </w:rPr>
        <w:t> focus;</w:t>
      </w:r>
    </w:p>
    <w:p>
      <w:pPr>
        <w:pStyle w:val="BodyText"/>
      </w:pPr>
    </w:p>
    <w:p>
      <w:pPr>
        <w:pStyle w:val="ListParagraph"/>
        <w:numPr>
          <w:ilvl w:val="0"/>
          <w:numId w:val="14"/>
        </w:numPr>
        <w:tabs>
          <w:tab w:pos="1118" w:val="left" w:leader="none"/>
        </w:tabs>
        <w:spacing w:line="240" w:lineRule="auto" w:before="0" w:after="0"/>
        <w:ind w:left="1118" w:right="0" w:hanging="359"/>
        <w:jc w:val="left"/>
        <w:rPr>
          <w:sz w:val="24"/>
        </w:rPr>
      </w:pPr>
      <w:r>
        <w:rPr>
          <w:sz w:val="24"/>
        </w:rPr>
        <w:t>Top</w:t>
      </w:r>
      <w:r>
        <w:rPr>
          <w:spacing w:val="-3"/>
          <w:sz w:val="24"/>
        </w:rPr>
        <w:t> </w:t>
      </w:r>
      <w:r>
        <w:rPr>
          <w:sz w:val="24"/>
        </w:rPr>
        <w:t>management</w:t>
      </w:r>
      <w:r>
        <w:rPr>
          <w:spacing w:val="-3"/>
          <w:sz w:val="24"/>
        </w:rPr>
        <w:t> </w:t>
      </w:r>
      <w:r>
        <w:rPr>
          <w:spacing w:val="-2"/>
          <w:sz w:val="24"/>
        </w:rPr>
        <w:t>commitment;</w:t>
      </w:r>
    </w:p>
    <w:p>
      <w:pPr>
        <w:pStyle w:val="BodyText"/>
      </w:pPr>
    </w:p>
    <w:p>
      <w:pPr>
        <w:pStyle w:val="ListParagraph"/>
        <w:numPr>
          <w:ilvl w:val="0"/>
          <w:numId w:val="14"/>
        </w:numPr>
        <w:tabs>
          <w:tab w:pos="1118" w:val="left" w:leader="none"/>
        </w:tabs>
        <w:spacing w:line="240" w:lineRule="auto" w:before="0" w:after="0"/>
        <w:ind w:left="1118" w:right="0" w:hanging="359"/>
        <w:jc w:val="left"/>
        <w:rPr>
          <w:sz w:val="24"/>
        </w:rPr>
      </w:pPr>
      <w:r>
        <w:rPr>
          <w:sz w:val="24"/>
        </w:rPr>
        <w:t>Quality</w:t>
      </w:r>
      <w:r>
        <w:rPr>
          <w:spacing w:val="-5"/>
          <w:sz w:val="24"/>
        </w:rPr>
        <w:t> </w:t>
      </w:r>
      <w:r>
        <w:rPr>
          <w:sz w:val="24"/>
        </w:rPr>
        <w:t>data</w:t>
      </w:r>
      <w:r>
        <w:rPr>
          <w:spacing w:val="-1"/>
          <w:sz w:val="24"/>
        </w:rPr>
        <w:t> </w:t>
      </w:r>
      <w:r>
        <w:rPr>
          <w:sz w:val="24"/>
        </w:rPr>
        <w:t>and </w:t>
      </w:r>
      <w:r>
        <w:rPr>
          <w:spacing w:val="-2"/>
          <w:sz w:val="24"/>
        </w:rPr>
        <w:t>reporting;</w:t>
      </w:r>
    </w:p>
    <w:p>
      <w:pPr>
        <w:pStyle w:val="BodyText"/>
      </w:pPr>
    </w:p>
    <w:p>
      <w:pPr>
        <w:pStyle w:val="ListParagraph"/>
        <w:numPr>
          <w:ilvl w:val="0"/>
          <w:numId w:val="14"/>
        </w:numPr>
        <w:tabs>
          <w:tab w:pos="1118" w:val="left" w:leader="none"/>
        </w:tabs>
        <w:spacing w:line="240" w:lineRule="auto" w:before="0" w:after="0"/>
        <w:ind w:left="1118" w:right="0" w:hanging="359"/>
        <w:jc w:val="left"/>
        <w:rPr>
          <w:sz w:val="24"/>
        </w:rPr>
      </w:pPr>
      <w:r>
        <w:rPr>
          <w:spacing w:val="-2"/>
          <w:sz w:val="24"/>
        </w:rPr>
        <w:t>Training;</w:t>
      </w:r>
    </w:p>
    <w:p>
      <w:pPr>
        <w:pStyle w:val="BodyText"/>
      </w:pPr>
    </w:p>
    <w:p>
      <w:pPr>
        <w:pStyle w:val="ListParagraph"/>
        <w:numPr>
          <w:ilvl w:val="0"/>
          <w:numId w:val="14"/>
        </w:numPr>
        <w:tabs>
          <w:tab w:pos="1118" w:val="left" w:leader="none"/>
        </w:tabs>
        <w:spacing w:line="240" w:lineRule="auto" w:before="1" w:after="0"/>
        <w:ind w:left="1118" w:right="0" w:hanging="359"/>
        <w:jc w:val="left"/>
        <w:rPr>
          <w:sz w:val="24"/>
        </w:rPr>
      </w:pPr>
      <w:r>
        <w:rPr>
          <w:sz w:val="24"/>
        </w:rPr>
        <w:t>Roles of</w:t>
      </w:r>
      <w:r>
        <w:rPr>
          <w:spacing w:val="-1"/>
          <w:sz w:val="24"/>
        </w:rPr>
        <w:t> </w:t>
      </w:r>
      <w:r>
        <w:rPr>
          <w:sz w:val="24"/>
        </w:rPr>
        <w:t>quality</w:t>
      </w:r>
      <w:r>
        <w:rPr>
          <w:spacing w:val="-5"/>
          <w:sz w:val="24"/>
        </w:rPr>
        <w:t> </w:t>
      </w:r>
      <w:r>
        <w:rPr>
          <w:spacing w:val="-2"/>
          <w:sz w:val="24"/>
        </w:rPr>
        <w:t>department;</w:t>
      </w:r>
    </w:p>
    <w:p>
      <w:pPr>
        <w:pStyle w:val="ListParagraph"/>
        <w:numPr>
          <w:ilvl w:val="0"/>
          <w:numId w:val="14"/>
        </w:numPr>
        <w:tabs>
          <w:tab w:pos="1119" w:val="left" w:leader="none"/>
        </w:tabs>
        <w:spacing w:line="240" w:lineRule="auto" w:before="276" w:after="0"/>
        <w:ind w:left="1119" w:right="0" w:hanging="360"/>
        <w:jc w:val="left"/>
        <w:rPr>
          <w:sz w:val="24"/>
        </w:rPr>
      </w:pPr>
      <w:r>
        <w:rPr>
          <w:sz w:val="24"/>
        </w:rPr>
        <w:t>Employee</w:t>
      </w:r>
      <w:r>
        <w:rPr>
          <w:spacing w:val="-6"/>
          <w:sz w:val="24"/>
        </w:rPr>
        <w:t> </w:t>
      </w:r>
      <w:r>
        <w:rPr>
          <w:spacing w:val="-2"/>
          <w:sz w:val="24"/>
        </w:rPr>
        <w:t>involvement;</w:t>
      </w:r>
    </w:p>
    <w:p>
      <w:pPr>
        <w:pStyle w:val="ListParagraph"/>
        <w:numPr>
          <w:ilvl w:val="0"/>
          <w:numId w:val="14"/>
        </w:numPr>
        <w:tabs>
          <w:tab w:pos="1117" w:val="left" w:leader="none"/>
        </w:tabs>
        <w:spacing w:line="240" w:lineRule="auto" w:before="276" w:after="0"/>
        <w:ind w:left="1117" w:right="0" w:hanging="358"/>
        <w:jc w:val="left"/>
        <w:rPr>
          <w:sz w:val="24"/>
        </w:rPr>
      </w:pPr>
      <w:r>
        <w:rPr>
          <w:sz w:val="24"/>
        </w:rPr>
        <w:t>Process</w:t>
      </w:r>
      <w:r>
        <w:rPr>
          <w:spacing w:val="-3"/>
          <w:sz w:val="24"/>
        </w:rPr>
        <w:t> </w:t>
      </w:r>
      <w:r>
        <w:rPr>
          <w:spacing w:val="-2"/>
          <w:sz w:val="24"/>
        </w:rPr>
        <w:t>management;</w:t>
      </w:r>
    </w:p>
    <w:p>
      <w:pPr>
        <w:pStyle w:val="ListParagraph"/>
        <w:numPr>
          <w:ilvl w:val="0"/>
          <w:numId w:val="14"/>
        </w:numPr>
        <w:tabs>
          <w:tab w:pos="1118" w:val="left" w:leader="none"/>
        </w:tabs>
        <w:spacing w:line="240" w:lineRule="auto" w:before="276" w:after="0"/>
        <w:ind w:left="1118" w:right="0" w:hanging="359"/>
        <w:jc w:val="left"/>
        <w:rPr>
          <w:sz w:val="24"/>
        </w:rPr>
      </w:pPr>
      <w:r>
        <w:rPr>
          <w:sz w:val="24"/>
        </w:rPr>
        <w:t>Product</w:t>
      </w:r>
      <w:r>
        <w:rPr>
          <w:spacing w:val="-2"/>
          <w:sz w:val="24"/>
        </w:rPr>
        <w:t> </w:t>
      </w:r>
      <w:r>
        <w:rPr>
          <w:sz w:val="24"/>
        </w:rPr>
        <w:t>and</w:t>
      </w:r>
      <w:r>
        <w:rPr>
          <w:spacing w:val="-2"/>
          <w:sz w:val="24"/>
        </w:rPr>
        <w:t> </w:t>
      </w:r>
      <w:r>
        <w:rPr>
          <w:sz w:val="24"/>
        </w:rPr>
        <w:t>service</w:t>
      </w:r>
      <w:r>
        <w:rPr>
          <w:spacing w:val="-2"/>
          <w:sz w:val="24"/>
        </w:rPr>
        <w:t> </w:t>
      </w:r>
      <w:r>
        <w:rPr>
          <w:sz w:val="24"/>
        </w:rPr>
        <w:t>design;</w:t>
      </w:r>
      <w:r>
        <w:rPr>
          <w:spacing w:val="-1"/>
          <w:sz w:val="24"/>
        </w:rPr>
        <w:t> </w:t>
      </w:r>
      <w:r>
        <w:rPr>
          <w:spacing w:val="-4"/>
          <w:sz w:val="24"/>
        </w:rPr>
        <w:t>and,</w:t>
      </w:r>
    </w:p>
    <w:p>
      <w:pPr>
        <w:spacing w:after="0" w:line="240" w:lineRule="auto"/>
        <w:jc w:val="left"/>
        <w:rPr>
          <w:sz w:val="24"/>
        </w:rPr>
        <w:sectPr>
          <w:pgSz w:w="12240" w:h="15840"/>
          <w:pgMar w:header="0" w:footer="1017" w:top="1360" w:bottom="1200" w:left="1040" w:right="120"/>
        </w:sectPr>
      </w:pPr>
    </w:p>
    <w:p>
      <w:pPr>
        <w:pStyle w:val="ListParagraph"/>
        <w:numPr>
          <w:ilvl w:val="0"/>
          <w:numId w:val="14"/>
        </w:numPr>
        <w:tabs>
          <w:tab w:pos="1119" w:val="left" w:leader="none"/>
        </w:tabs>
        <w:spacing w:line="240" w:lineRule="auto" w:before="72" w:after="0"/>
        <w:ind w:left="1119" w:right="0" w:hanging="359"/>
        <w:jc w:val="left"/>
        <w:rPr>
          <w:sz w:val="24"/>
        </w:rPr>
      </w:pPr>
      <w:r>
        <w:rPr>
          <w:sz w:val="24"/>
        </w:rPr>
        <w:t>Supplier</w:t>
      </w:r>
      <w:r>
        <w:rPr>
          <w:spacing w:val="-1"/>
          <w:sz w:val="24"/>
        </w:rPr>
        <w:t> </w:t>
      </w:r>
      <w:r>
        <w:rPr>
          <w:sz w:val="24"/>
        </w:rPr>
        <w:t>quality</w:t>
      </w:r>
      <w:r>
        <w:rPr>
          <w:spacing w:val="-5"/>
          <w:sz w:val="24"/>
        </w:rPr>
        <w:t> </w:t>
      </w:r>
      <w:r>
        <w:rPr>
          <w:spacing w:val="-2"/>
          <w:sz w:val="24"/>
        </w:rPr>
        <w:t>management.</w:t>
      </w:r>
    </w:p>
    <w:p>
      <w:pPr>
        <w:pStyle w:val="BodyText"/>
        <w:spacing w:line="480" w:lineRule="auto" w:before="276"/>
        <w:ind w:left="400" w:right="1320"/>
        <w:jc w:val="both"/>
      </w:pPr>
      <w:r>
        <w:rPr/>
        <w:t>According to Kelce and Lee (2004), the above nine elements of TQM are matched with four major principles for the successful implementation of TQM namely:</w:t>
      </w:r>
    </w:p>
    <w:p>
      <w:pPr>
        <w:pStyle w:val="ListParagraph"/>
        <w:numPr>
          <w:ilvl w:val="0"/>
          <w:numId w:val="15"/>
        </w:numPr>
        <w:tabs>
          <w:tab w:pos="1119" w:val="left" w:leader="none"/>
        </w:tabs>
        <w:spacing w:line="240" w:lineRule="auto" w:before="0" w:after="0"/>
        <w:ind w:left="1119" w:right="0" w:hanging="359"/>
        <w:jc w:val="left"/>
        <w:rPr>
          <w:sz w:val="24"/>
        </w:rPr>
      </w:pPr>
      <w:r>
        <w:rPr>
          <w:sz w:val="24"/>
        </w:rPr>
        <w:t>Top</w:t>
      </w:r>
      <w:r>
        <w:rPr>
          <w:spacing w:val="-3"/>
          <w:sz w:val="24"/>
        </w:rPr>
        <w:t> </w:t>
      </w:r>
      <w:r>
        <w:rPr>
          <w:sz w:val="24"/>
        </w:rPr>
        <w:t>management</w:t>
      </w:r>
      <w:r>
        <w:rPr>
          <w:spacing w:val="-3"/>
          <w:sz w:val="24"/>
        </w:rPr>
        <w:t> </w:t>
      </w:r>
      <w:r>
        <w:rPr>
          <w:spacing w:val="-2"/>
          <w:sz w:val="24"/>
        </w:rPr>
        <w:t>commitment;</w:t>
      </w:r>
    </w:p>
    <w:p>
      <w:pPr>
        <w:pStyle w:val="BodyText"/>
      </w:pPr>
    </w:p>
    <w:p>
      <w:pPr>
        <w:pStyle w:val="ListParagraph"/>
        <w:numPr>
          <w:ilvl w:val="0"/>
          <w:numId w:val="15"/>
        </w:numPr>
        <w:tabs>
          <w:tab w:pos="1119" w:val="left" w:leader="none"/>
        </w:tabs>
        <w:spacing w:line="240" w:lineRule="auto" w:before="0" w:after="0"/>
        <w:ind w:left="1119" w:right="0" w:hanging="359"/>
        <w:jc w:val="left"/>
        <w:rPr>
          <w:sz w:val="24"/>
        </w:rPr>
      </w:pPr>
      <w:r>
        <w:rPr>
          <w:sz w:val="24"/>
        </w:rPr>
        <w:t>Employee</w:t>
      </w:r>
      <w:r>
        <w:rPr>
          <w:spacing w:val="-6"/>
          <w:sz w:val="24"/>
        </w:rPr>
        <w:t> </w:t>
      </w:r>
      <w:r>
        <w:rPr>
          <w:spacing w:val="-2"/>
          <w:sz w:val="24"/>
        </w:rPr>
        <w:t>involvement;</w:t>
      </w:r>
    </w:p>
    <w:p>
      <w:pPr>
        <w:pStyle w:val="BodyText"/>
      </w:pPr>
    </w:p>
    <w:p>
      <w:pPr>
        <w:pStyle w:val="ListParagraph"/>
        <w:numPr>
          <w:ilvl w:val="0"/>
          <w:numId w:val="15"/>
        </w:numPr>
        <w:tabs>
          <w:tab w:pos="1119" w:val="left" w:leader="none"/>
        </w:tabs>
        <w:spacing w:line="240" w:lineRule="auto" w:before="0" w:after="0"/>
        <w:ind w:left="1119" w:right="0" w:hanging="359"/>
        <w:jc w:val="left"/>
        <w:rPr>
          <w:sz w:val="24"/>
        </w:rPr>
      </w:pPr>
      <w:r>
        <w:rPr>
          <w:sz w:val="24"/>
        </w:rPr>
        <w:t>Supplier</w:t>
      </w:r>
      <w:r>
        <w:rPr>
          <w:spacing w:val="-4"/>
          <w:sz w:val="24"/>
        </w:rPr>
        <w:t> </w:t>
      </w:r>
      <w:r>
        <w:rPr>
          <w:sz w:val="24"/>
        </w:rPr>
        <w:t>participation;</w:t>
      </w:r>
      <w:r>
        <w:rPr>
          <w:spacing w:val="-2"/>
          <w:sz w:val="24"/>
        </w:rPr>
        <w:t> </w:t>
      </w:r>
      <w:r>
        <w:rPr>
          <w:spacing w:val="-4"/>
          <w:sz w:val="24"/>
        </w:rPr>
        <w:t>and,</w:t>
      </w:r>
    </w:p>
    <w:p>
      <w:pPr>
        <w:pStyle w:val="BodyText"/>
      </w:pPr>
    </w:p>
    <w:p>
      <w:pPr>
        <w:pStyle w:val="ListParagraph"/>
        <w:numPr>
          <w:ilvl w:val="0"/>
          <w:numId w:val="15"/>
        </w:numPr>
        <w:tabs>
          <w:tab w:pos="1119" w:val="left" w:leader="none"/>
        </w:tabs>
        <w:spacing w:line="240" w:lineRule="auto" w:before="0" w:after="0"/>
        <w:ind w:left="1119" w:right="0" w:hanging="359"/>
        <w:jc w:val="left"/>
        <w:rPr>
          <w:sz w:val="24"/>
        </w:rPr>
      </w:pPr>
      <w:r>
        <w:rPr>
          <w:sz w:val="24"/>
        </w:rPr>
        <w:t>Quality</w:t>
      </w:r>
      <w:r>
        <w:rPr>
          <w:spacing w:val="-7"/>
          <w:sz w:val="24"/>
        </w:rPr>
        <w:t> </w:t>
      </w:r>
      <w:r>
        <w:rPr>
          <w:spacing w:val="-2"/>
          <w:sz w:val="24"/>
        </w:rPr>
        <w:t>program.</w:t>
      </w:r>
    </w:p>
    <w:p>
      <w:pPr>
        <w:pStyle w:val="BodyText"/>
      </w:pPr>
    </w:p>
    <w:p>
      <w:pPr>
        <w:pStyle w:val="BodyText"/>
        <w:spacing w:line="480" w:lineRule="auto"/>
        <w:ind w:left="400" w:right="1316"/>
        <w:jc w:val="both"/>
      </w:pPr>
      <w:r>
        <w:rPr/>
        <w:t>The third and the fourth requirements map to the relationship with customers and suppliers. It is in these relationships that SME’s may be disadvantaged when compared with large</w:t>
      </w:r>
      <w:r>
        <w:rPr>
          <w:spacing w:val="40"/>
        </w:rPr>
        <w:t> </w:t>
      </w:r>
      <w:r>
        <w:rPr/>
        <w:t>organisations, because they do not have as many resources or much influence. However, SME’s may have an advantage over large organisations in the second requirement, as</w:t>
      </w:r>
      <w:r>
        <w:rPr>
          <w:spacing w:val="80"/>
        </w:rPr>
        <w:t> </w:t>
      </w:r>
      <w:r>
        <w:rPr/>
        <w:t>it is</w:t>
      </w:r>
      <w:r>
        <w:rPr>
          <w:spacing w:val="80"/>
        </w:rPr>
        <w:t> </w:t>
      </w:r>
      <w:r>
        <w:rPr/>
        <w:t>believed to be easy for SME’s to get employees involved since most of the employees are more centralized and there are fewer lines of communication than in larger organisations (Kelce and Lee, 2004).</w:t>
      </w:r>
    </w:p>
    <w:p>
      <w:pPr>
        <w:pStyle w:val="Heading2"/>
        <w:numPr>
          <w:ilvl w:val="2"/>
          <w:numId w:val="4"/>
        </w:numPr>
        <w:tabs>
          <w:tab w:pos="1120" w:val="left" w:leader="none"/>
        </w:tabs>
        <w:spacing w:line="240" w:lineRule="auto" w:before="187" w:after="0"/>
        <w:ind w:left="1120" w:right="0" w:hanging="720"/>
        <w:jc w:val="both"/>
      </w:pPr>
      <w:r>
        <w:rPr/>
        <w:t>Competitiveness</w:t>
      </w:r>
      <w:r>
        <w:rPr>
          <w:spacing w:val="-4"/>
        </w:rPr>
        <w:t> </w:t>
      </w:r>
      <w:r>
        <w:rPr/>
        <w:t>advantage</w:t>
      </w:r>
      <w:r>
        <w:rPr>
          <w:spacing w:val="-4"/>
        </w:rPr>
        <w:t> </w:t>
      </w:r>
      <w:r>
        <w:rPr>
          <w:spacing w:val="-2"/>
        </w:rPr>
        <w:t>concept</w:t>
      </w:r>
    </w:p>
    <w:p>
      <w:pPr>
        <w:pStyle w:val="BodyText"/>
        <w:spacing w:before="235"/>
        <w:rPr>
          <w:b/>
        </w:rPr>
      </w:pPr>
    </w:p>
    <w:p>
      <w:pPr>
        <w:pStyle w:val="BodyText"/>
        <w:spacing w:line="480" w:lineRule="auto" w:before="1"/>
        <w:ind w:left="399" w:right="1318"/>
        <w:jc w:val="both"/>
      </w:pPr>
      <w:r>
        <w:rPr/>
        <w:t>Competitiveness concept is one of the most important concepts in construction industry. Flanagan </w:t>
      </w:r>
      <w:r>
        <w:rPr>
          <w:i/>
        </w:rPr>
        <w:t>et al., </w:t>
      </w:r>
      <w:r>
        <w:rPr/>
        <w:t>(2005) explained that competitiveness could be described as something that is multi-defined, multi-measured, multilayered, dependent, relative, dynamic and process related. Shen, </w:t>
      </w:r>
      <w:r>
        <w:rPr>
          <w:i/>
        </w:rPr>
        <w:t>et al. </w:t>
      </w:r>
      <w:r>
        <w:rPr/>
        <w:t>(2006) defined competitiveness as the ability of organization’s to compete for business in various markets. Company competitiveness is defined as the ability to design, produce, and (or) market products superior to those offered by</w:t>
      </w:r>
      <w:r>
        <w:rPr>
          <w:spacing w:val="-3"/>
        </w:rPr>
        <w:t> </w:t>
      </w:r>
      <w:r>
        <w:rPr/>
        <w:t>competitors, considering</w:t>
      </w:r>
      <w:r>
        <w:rPr>
          <w:spacing w:val="-1"/>
        </w:rPr>
        <w:t> </w:t>
      </w:r>
      <w:r>
        <w:rPr/>
        <w:t>the price and non -price qualities (Momaya and Selby, 1998).</w:t>
      </w:r>
    </w:p>
    <w:p>
      <w:pPr>
        <w:spacing w:after="0" w:line="480" w:lineRule="auto"/>
        <w:jc w:val="both"/>
        <w:sectPr>
          <w:pgSz w:w="12240" w:h="15840"/>
          <w:pgMar w:header="0" w:footer="1017" w:top="1360" w:bottom="1200" w:left="1040" w:right="120"/>
        </w:sectPr>
      </w:pPr>
    </w:p>
    <w:p>
      <w:pPr>
        <w:pStyle w:val="BodyText"/>
        <w:spacing w:line="480" w:lineRule="auto" w:before="72"/>
        <w:ind w:left="399" w:right="1315"/>
        <w:jc w:val="both"/>
      </w:pPr>
      <w:r>
        <w:rPr/>
        <w:t>The concept of the competitive advantage is given by Barney (1991) who writes that a firm has sustainable competitive advantage when it implements the strategy of value creation that is not implemented by</w:t>
      </w:r>
      <w:r>
        <w:rPr>
          <w:spacing w:val="-3"/>
        </w:rPr>
        <w:t> </w:t>
      </w:r>
      <w:r>
        <w:rPr/>
        <w:t>other competitors. Competitive advantage comprises of factors that a firm needs to have in order to succeed in business (Analou and Karami, 2003). It is the capability of the organization to do its activity</w:t>
      </w:r>
      <w:r>
        <w:rPr>
          <w:spacing w:val="-4"/>
        </w:rPr>
        <w:t> </w:t>
      </w:r>
      <w:r>
        <w:rPr/>
        <w:t>in a way</w:t>
      </w:r>
      <w:r>
        <w:rPr>
          <w:spacing w:val="-4"/>
        </w:rPr>
        <w:t> </w:t>
      </w:r>
      <w:r>
        <w:rPr/>
        <w:t>or in different ways, that other competitors can not realize (Kotler, 2000). Competitive advantage is a base for a good strategy and a good one creates competitive</w:t>
      </w:r>
      <w:r>
        <w:rPr>
          <w:spacing w:val="-4"/>
        </w:rPr>
        <w:t> </w:t>
      </w:r>
      <w:r>
        <w:rPr/>
        <w:t>advantage</w:t>
      </w:r>
      <w:r>
        <w:rPr>
          <w:spacing w:val="-2"/>
        </w:rPr>
        <w:t> </w:t>
      </w:r>
      <w:r>
        <w:rPr/>
        <w:t>(Analou</w:t>
      </w:r>
      <w:r>
        <w:rPr>
          <w:spacing w:val="-3"/>
        </w:rPr>
        <w:t> </w:t>
      </w:r>
      <w:r>
        <w:rPr/>
        <w:t>and</w:t>
      </w:r>
      <w:r>
        <w:rPr>
          <w:spacing w:val="-1"/>
        </w:rPr>
        <w:t> </w:t>
      </w:r>
      <w:r>
        <w:rPr/>
        <w:t>Karami,</w:t>
      </w:r>
      <w:r>
        <w:rPr>
          <w:spacing w:val="-3"/>
        </w:rPr>
        <w:t> </w:t>
      </w:r>
      <w:r>
        <w:rPr/>
        <w:t>2003).</w:t>
      </w:r>
      <w:r>
        <w:rPr>
          <w:spacing w:val="-3"/>
        </w:rPr>
        <w:t> </w:t>
      </w:r>
      <w:r>
        <w:rPr/>
        <w:t>The</w:t>
      </w:r>
      <w:r>
        <w:rPr>
          <w:spacing w:val="-2"/>
        </w:rPr>
        <w:t> </w:t>
      </w:r>
      <w:r>
        <w:rPr/>
        <w:t>importance</w:t>
      </w:r>
      <w:r>
        <w:rPr>
          <w:spacing w:val="-2"/>
        </w:rPr>
        <w:t> </w:t>
      </w:r>
      <w:r>
        <w:rPr/>
        <w:t>of</w:t>
      </w:r>
      <w:r>
        <w:rPr>
          <w:spacing w:val="-4"/>
        </w:rPr>
        <w:t> </w:t>
      </w:r>
      <w:r>
        <w:rPr/>
        <w:t>the</w:t>
      </w:r>
      <w:r>
        <w:rPr>
          <w:spacing w:val="-2"/>
        </w:rPr>
        <w:t> </w:t>
      </w:r>
      <w:r>
        <w:rPr/>
        <w:t>competitive</w:t>
      </w:r>
      <w:r>
        <w:rPr>
          <w:spacing w:val="-4"/>
        </w:rPr>
        <w:t> </w:t>
      </w:r>
      <w:r>
        <w:rPr/>
        <w:t>advantage has increased this last decades (Coplin, 2002).A firm has competitive advantage when it is able</w:t>
      </w:r>
      <w:r>
        <w:rPr>
          <w:spacing w:val="40"/>
        </w:rPr>
        <w:t> </w:t>
      </w:r>
      <w:r>
        <w:rPr/>
        <w:t>to create more economic value than its rivals do (Barney and Hesterly, 2010).</w:t>
      </w:r>
      <w:r>
        <w:rPr>
          <w:spacing w:val="40"/>
        </w:rPr>
        <w:t> </w:t>
      </w:r>
      <w:r>
        <w:rPr/>
        <w:t>Porter’s (1985) arguments reflect the strengths, weakness, opportunities, and threats (SWOT) of the framework for assessing competitive advantages.</w:t>
      </w:r>
    </w:p>
    <w:p>
      <w:pPr>
        <w:pStyle w:val="BodyText"/>
        <w:spacing w:line="480" w:lineRule="auto" w:before="183"/>
        <w:ind w:left="400" w:right="1316"/>
        <w:jc w:val="both"/>
      </w:pPr>
      <w:r>
        <w:rPr/>
        <w:t>The concept of sustained competitive advantages gather relevance when we can understand that competitive advantage does not lie in the products or services themselves, but in the resources and capabilities that produce them. To sustain a competitive advantage a company’s own resources and capabilities must therefore be difficult to imitate, not easily substituted by other resources or capabilities, incapable of being rapidly developed elsewhere, and firmly attached to the</w:t>
      </w:r>
      <w:r>
        <w:rPr>
          <w:spacing w:val="-3"/>
        </w:rPr>
        <w:t> </w:t>
      </w:r>
      <w:r>
        <w:rPr/>
        <w:t>company</w:t>
      </w:r>
      <w:r>
        <w:rPr>
          <w:spacing w:val="-7"/>
        </w:rPr>
        <w:t> </w:t>
      </w:r>
      <w:r>
        <w:rPr/>
        <w:t>that</w:t>
      </w:r>
      <w:r>
        <w:rPr>
          <w:spacing w:val="-2"/>
        </w:rPr>
        <w:t> </w:t>
      </w:r>
      <w:r>
        <w:rPr/>
        <w:t>deploys</w:t>
      </w:r>
      <w:r>
        <w:rPr>
          <w:spacing w:val="-2"/>
        </w:rPr>
        <w:t> </w:t>
      </w:r>
      <w:r>
        <w:rPr/>
        <w:t>or</w:t>
      </w:r>
      <w:r>
        <w:rPr>
          <w:spacing w:val="-3"/>
        </w:rPr>
        <w:t> </w:t>
      </w:r>
      <w:r>
        <w:rPr/>
        <w:t>uses</w:t>
      </w:r>
      <w:r>
        <w:rPr>
          <w:spacing w:val="-2"/>
        </w:rPr>
        <w:t> </w:t>
      </w:r>
      <w:r>
        <w:rPr/>
        <w:t>them. If</w:t>
      </w:r>
      <w:r>
        <w:rPr>
          <w:spacing w:val="-1"/>
        </w:rPr>
        <w:t> </w:t>
      </w:r>
      <w:r>
        <w:rPr/>
        <w:t>all</w:t>
      </w:r>
      <w:r>
        <w:rPr>
          <w:spacing w:val="-2"/>
        </w:rPr>
        <w:t> </w:t>
      </w:r>
      <w:r>
        <w:rPr/>
        <w:t>of</w:t>
      </w:r>
      <w:r>
        <w:rPr>
          <w:spacing w:val="-3"/>
        </w:rPr>
        <w:t> </w:t>
      </w:r>
      <w:r>
        <w:rPr/>
        <w:t>these</w:t>
      </w:r>
      <w:r>
        <w:rPr>
          <w:spacing w:val="-3"/>
        </w:rPr>
        <w:t> </w:t>
      </w:r>
      <w:r>
        <w:rPr/>
        <w:t>covenants</w:t>
      </w:r>
      <w:r>
        <w:rPr>
          <w:spacing w:val="-2"/>
        </w:rPr>
        <w:t> </w:t>
      </w:r>
      <w:r>
        <w:rPr/>
        <w:t>are</w:t>
      </w:r>
      <w:r>
        <w:rPr>
          <w:spacing w:val="-3"/>
        </w:rPr>
        <w:t> </w:t>
      </w:r>
      <w:r>
        <w:rPr/>
        <w:t>obtained</w:t>
      </w:r>
      <w:r>
        <w:rPr>
          <w:spacing w:val="-2"/>
        </w:rPr>
        <w:t> </w:t>
      </w:r>
      <w:r>
        <w:rPr/>
        <w:t>then</w:t>
      </w:r>
      <w:r>
        <w:rPr>
          <w:spacing w:val="-2"/>
        </w:rPr>
        <w:t> </w:t>
      </w:r>
      <w:r>
        <w:rPr/>
        <w:t>the</w:t>
      </w:r>
      <w:r>
        <w:rPr>
          <w:spacing w:val="-3"/>
        </w:rPr>
        <w:t> </w:t>
      </w:r>
      <w:r>
        <w:rPr/>
        <w:t>right</w:t>
      </w:r>
      <w:r>
        <w:rPr>
          <w:spacing w:val="-2"/>
        </w:rPr>
        <w:t> </w:t>
      </w:r>
      <w:r>
        <w:rPr/>
        <w:t>mixes of resources and capabilities will be used and combined to provide the right products or services, in the right market, at the right time. As a result, if these goals are attained, the firm can aim to achieve sustainable competitive advantage and obtain above average returns. More importantly, in today’s competitive environment, to sustain a competitive advantage firms, need to, above all, provide value to customers. This value can either be cost advantage, services or differentiated strategies (Leonora, 2002).</w:t>
      </w:r>
    </w:p>
    <w:p>
      <w:pPr>
        <w:spacing w:after="0" w:line="480" w:lineRule="auto"/>
        <w:jc w:val="both"/>
        <w:sectPr>
          <w:pgSz w:w="12240" w:h="15840"/>
          <w:pgMar w:header="0" w:footer="1017" w:top="1360" w:bottom="1200" w:left="1040" w:right="120"/>
        </w:sectPr>
      </w:pPr>
    </w:p>
    <w:p>
      <w:pPr>
        <w:pStyle w:val="BodyText"/>
        <w:spacing w:line="480" w:lineRule="auto" w:before="68"/>
        <w:ind w:left="400" w:right="1313"/>
        <w:jc w:val="both"/>
      </w:pPr>
      <w:r>
        <w:rPr/>
        <w:t>Divergent views exist to describe competitive advantage based on different goals of studies. Tracey </w:t>
      </w:r>
      <w:r>
        <w:rPr>
          <w:i/>
        </w:rPr>
        <w:t>et al</w:t>
      </w:r>
      <w:r>
        <w:rPr/>
        <w:t>. (1999) have investigated competitive advantage from the aspect of, price, cost, delivery, flexibility and quality. Robberts (2003) had proposed lower cost, differentiation, innovation, and growth. Shu and Ta chien (2007) have evaluated competitive advantage by four dimensions, reduced dependency, knowledge transfer, technology development, and technology transfer. (Chiang 2004; Lee 2000) have adopted low cost, and differentiation as competitive advantage dimensions.</w:t>
      </w:r>
    </w:p>
    <w:p>
      <w:pPr>
        <w:pStyle w:val="BodyText"/>
        <w:spacing w:line="480" w:lineRule="auto"/>
        <w:ind w:left="400" w:right="1317"/>
        <w:jc w:val="both"/>
      </w:pPr>
      <w:r>
        <w:rPr/>
        <w:t>Barney (2002) discusses four approaches to measure the firm’s competitiveness. These measurements are firm's survival, stakeholder approach, simple accounting measures, and adjusted accounting measures. Feurer and Chaharbaghi (1994) measure competitiveness quantitatively</w:t>
      </w:r>
      <w:r>
        <w:rPr>
          <w:spacing w:val="-1"/>
        </w:rPr>
        <w:t> </w:t>
      </w:r>
      <w:r>
        <w:rPr/>
        <w:t>by</w:t>
      </w:r>
      <w:r>
        <w:rPr>
          <w:spacing w:val="-4"/>
        </w:rPr>
        <w:t> </w:t>
      </w:r>
      <w:r>
        <w:rPr/>
        <w:t>profit, ability</w:t>
      </w:r>
      <w:r>
        <w:rPr>
          <w:spacing w:val="-4"/>
        </w:rPr>
        <w:t> </w:t>
      </w:r>
      <w:r>
        <w:rPr/>
        <w:t>to raise capital and cash flow in terms of liquidity</w:t>
      </w:r>
      <w:r>
        <w:rPr>
          <w:spacing w:val="-4"/>
        </w:rPr>
        <w:t> </w:t>
      </w:r>
      <w:r>
        <w:rPr/>
        <w:t>status. Soliman (1998) adds cost, quality, delivery dependability, flexibility and innovation as factors</w:t>
      </w:r>
      <w:r>
        <w:rPr>
          <w:spacing w:val="40"/>
        </w:rPr>
        <w:t> </w:t>
      </w:r>
      <w:r>
        <w:rPr/>
        <w:t>formulating such a competitive position. Porter (1985) indicates that a firm experiences a competitive advantage when "its actions in an industry create economic value and when few competing</w:t>
      </w:r>
      <w:r>
        <w:rPr>
          <w:spacing w:val="-1"/>
        </w:rPr>
        <w:t> </w:t>
      </w:r>
      <w:r>
        <w:rPr/>
        <w:t>firms</w:t>
      </w:r>
      <w:r>
        <w:rPr>
          <w:spacing w:val="-1"/>
        </w:rPr>
        <w:t> </w:t>
      </w:r>
      <w:r>
        <w:rPr/>
        <w:t>are engaging</w:t>
      </w:r>
      <w:r>
        <w:rPr>
          <w:spacing w:val="-3"/>
        </w:rPr>
        <w:t> </w:t>
      </w:r>
      <w:r>
        <w:rPr/>
        <w:t>in</w:t>
      </w:r>
      <w:r>
        <w:rPr>
          <w:spacing w:val="-1"/>
        </w:rPr>
        <w:t> </w:t>
      </w:r>
      <w:r>
        <w:rPr/>
        <w:t>similar actions." De</w:t>
      </w:r>
      <w:r>
        <w:rPr>
          <w:spacing w:val="-2"/>
        </w:rPr>
        <w:t> </w:t>
      </w:r>
      <w:r>
        <w:rPr/>
        <w:t>Wit</w:t>
      </w:r>
      <w:r>
        <w:rPr>
          <w:spacing w:val="-1"/>
        </w:rPr>
        <w:t> </w:t>
      </w:r>
      <w:r>
        <w:rPr/>
        <w:t>and</w:t>
      </w:r>
      <w:r>
        <w:rPr>
          <w:spacing w:val="-1"/>
        </w:rPr>
        <w:t> </w:t>
      </w:r>
      <w:r>
        <w:rPr/>
        <w:t>Meyer (1999),</w:t>
      </w:r>
      <w:r>
        <w:rPr>
          <w:spacing w:val="-1"/>
        </w:rPr>
        <w:t> </w:t>
      </w:r>
      <w:r>
        <w:rPr/>
        <w:t>Buffam (2000), and Christensen (2001) indicate that a firm has a competitive advantage when it has the means to edge out rivals when competing for the favor of customers. According to Kume (2010), in the in coming years, the competitive advantage may have its sources based on: Quick answers; Continuous improvement of the product and services; Services added in products; distinctive Competences and Skilled and trained staff for the long run.</w:t>
      </w:r>
    </w:p>
    <w:p>
      <w:pPr>
        <w:pStyle w:val="BodyText"/>
        <w:spacing w:line="480" w:lineRule="auto" w:before="220"/>
        <w:ind w:left="400" w:right="1316"/>
        <w:jc w:val="both"/>
      </w:pPr>
      <w:r>
        <w:rPr/>
        <w:t>The research will be based on the definition given by Scarborough (2011) which states that a competitive advantage refers to that differentiating factor that drives customers to buy from a specific</w:t>
      </w:r>
      <w:r>
        <w:rPr>
          <w:spacing w:val="9"/>
        </w:rPr>
        <w:t> </w:t>
      </w:r>
      <w:r>
        <w:rPr/>
        <w:t>business</w:t>
      </w:r>
      <w:r>
        <w:rPr>
          <w:spacing w:val="11"/>
        </w:rPr>
        <w:t> </w:t>
      </w:r>
      <w:r>
        <w:rPr/>
        <w:t>rather</w:t>
      </w:r>
      <w:r>
        <w:rPr>
          <w:spacing w:val="10"/>
        </w:rPr>
        <w:t> </w:t>
      </w:r>
      <w:r>
        <w:rPr/>
        <w:t>than</w:t>
      </w:r>
      <w:r>
        <w:rPr>
          <w:spacing w:val="10"/>
        </w:rPr>
        <w:t> </w:t>
      </w:r>
      <w:r>
        <w:rPr/>
        <w:t>from</w:t>
      </w:r>
      <w:r>
        <w:rPr>
          <w:spacing w:val="11"/>
        </w:rPr>
        <w:t> </w:t>
      </w:r>
      <w:r>
        <w:rPr/>
        <w:t>their</w:t>
      </w:r>
      <w:r>
        <w:rPr>
          <w:spacing w:val="10"/>
        </w:rPr>
        <w:t> </w:t>
      </w:r>
      <w:r>
        <w:rPr/>
        <w:t>competitors.</w:t>
      </w:r>
      <w:r>
        <w:rPr>
          <w:spacing w:val="10"/>
        </w:rPr>
        <w:t> </w:t>
      </w:r>
      <w:r>
        <w:rPr/>
        <w:t>The</w:t>
      </w:r>
      <w:r>
        <w:rPr>
          <w:spacing w:val="10"/>
        </w:rPr>
        <w:t> </w:t>
      </w:r>
      <w:r>
        <w:rPr/>
        <w:t>key</w:t>
      </w:r>
      <w:r>
        <w:rPr>
          <w:spacing w:val="6"/>
        </w:rPr>
        <w:t> </w:t>
      </w:r>
      <w:r>
        <w:rPr/>
        <w:t>to</w:t>
      </w:r>
      <w:r>
        <w:rPr>
          <w:spacing w:val="11"/>
        </w:rPr>
        <w:t> </w:t>
      </w:r>
      <w:r>
        <w:rPr/>
        <w:t>business</w:t>
      </w:r>
      <w:r>
        <w:rPr>
          <w:spacing w:val="10"/>
        </w:rPr>
        <w:t> </w:t>
      </w:r>
      <w:r>
        <w:rPr/>
        <w:t>success,</w:t>
      </w:r>
      <w:r>
        <w:rPr>
          <w:spacing w:val="11"/>
        </w:rPr>
        <w:t> </w:t>
      </w:r>
      <w:r>
        <w:rPr/>
        <w:t>however,</w:t>
      </w:r>
      <w:r>
        <w:rPr>
          <w:spacing w:val="11"/>
        </w:rPr>
        <w:t> </w:t>
      </w:r>
      <w:r>
        <w:rPr/>
        <w:t>is</w:t>
      </w:r>
      <w:r>
        <w:rPr>
          <w:spacing w:val="11"/>
        </w:rPr>
        <w:t> </w:t>
      </w:r>
      <w:r>
        <w:rPr>
          <w:spacing w:val="-7"/>
        </w:rPr>
        <w:t>to</w:t>
      </w:r>
    </w:p>
    <w:p>
      <w:pPr>
        <w:spacing w:after="0" w:line="480" w:lineRule="auto"/>
        <w:jc w:val="both"/>
        <w:sectPr>
          <w:pgSz w:w="12240" w:h="15840"/>
          <w:pgMar w:header="0" w:footer="1017" w:top="1640" w:bottom="1200" w:left="1040" w:right="120"/>
        </w:sectPr>
      </w:pPr>
    </w:p>
    <w:p>
      <w:pPr>
        <w:pStyle w:val="BodyText"/>
        <w:spacing w:line="480" w:lineRule="auto" w:before="72"/>
        <w:ind w:left="400" w:right="1317"/>
        <w:jc w:val="both"/>
      </w:pPr>
      <w:r>
        <w:rPr/>
        <w:t>develop a unique competitive advantage that creates value for customers and is difficult to duplicate. Shenawy </w:t>
      </w:r>
      <w:r>
        <w:rPr>
          <w:i/>
        </w:rPr>
        <w:t>et al. </w:t>
      </w:r>
      <w:r>
        <w:rPr/>
        <w:t>(2007) show that firms could achieves competitive advantage, when they have improved financial performance, improved customer satisfaction, faster response to competitive environment and improved product quality.</w:t>
      </w:r>
    </w:p>
    <w:p>
      <w:pPr>
        <w:pStyle w:val="Heading2"/>
        <w:numPr>
          <w:ilvl w:val="2"/>
          <w:numId w:val="4"/>
        </w:numPr>
        <w:tabs>
          <w:tab w:pos="1120" w:val="left" w:leader="none"/>
        </w:tabs>
        <w:spacing w:line="240" w:lineRule="auto" w:before="235" w:after="0"/>
        <w:ind w:left="1120" w:right="0" w:hanging="720"/>
        <w:jc w:val="both"/>
      </w:pPr>
      <w:r>
        <w:rPr/>
        <w:t>The</w:t>
      </w:r>
      <w:r>
        <w:rPr>
          <w:spacing w:val="-3"/>
        </w:rPr>
        <w:t> </w:t>
      </w:r>
      <w:r>
        <w:rPr/>
        <w:t>concept</w:t>
      </w:r>
      <w:r>
        <w:rPr>
          <w:spacing w:val="-3"/>
        </w:rPr>
        <w:t> </w:t>
      </w:r>
      <w:r>
        <w:rPr/>
        <w:t>of</w:t>
      </w:r>
      <w:r>
        <w:rPr>
          <w:spacing w:val="-1"/>
        </w:rPr>
        <w:t> </w:t>
      </w:r>
      <w:r>
        <w:rPr/>
        <w:t>small</w:t>
      </w:r>
      <w:r>
        <w:rPr>
          <w:spacing w:val="-1"/>
        </w:rPr>
        <w:t> </w:t>
      </w:r>
      <w:r>
        <w:rPr/>
        <w:t>and</w:t>
      </w:r>
      <w:r>
        <w:rPr>
          <w:spacing w:val="-2"/>
        </w:rPr>
        <w:t> </w:t>
      </w:r>
      <w:r>
        <w:rPr/>
        <w:t>medium</w:t>
      </w:r>
      <w:r>
        <w:rPr>
          <w:spacing w:val="-6"/>
        </w:rPr>
        <w:t> </w:t>
      </w:r>
      <w:r>
        <w:rPr/>
        <w:t>construction</w:t>
      </w:r>
      <w:r>
        <w:rPr>
          <w:spacing w:val="-1"/>
        </w:rPr>
        <w:t> </w:t>
      </w:r>
      <w:r>
        <w:rPr>
          <w:spacing w:val="-2"/>
        </w:rPr>
        <w:t>firms</w:t>
      </w:r>
    </w:p>
    <w:p>
      <w:pPr>
        <w:pStyle w:val="BodyText"/>
        <w:spacing w:line="480" w:lineRule="auto" w:before="271"/>
        <w:ind w:left="400" w:right="1317"/>
        <w:jc w:val="both"/>
      </w:pPr>
      <w:r>
        <w:rPr/>
        <w:t>In attempting to conceptualize small and medium enterprises (SMEs) in Nigeria, some points need</w:t>
      </w:r>
      <w:r>
        <w:rPr>
          <w:spacing w:val="-2"/>
        </w:rPr>
        <w:t> </w:t>
      </w:r>
      <w:r>
        <w:rPr/>
        <w:t>to</w:t>
      </w:r>
      <w:r>
        <w:rPr>
          <w:spacing w:val="-2"/>
        </w:rPr>
        <w:t> </w:t>
      </w:r>
      <w:r>
        <w:rPr/>
        <w:t>be</w:t>
      </w:r>
      <w:r>
        <w:rPr>
          <w:spacing w:val="-1"/>
        </w:rPr>
        <w:t> </w:t>
      </w:r>
      <w:r>
        <w:rPr/>
        <w:t>stressed. First,</w:t>
      </w:r>
      <w:r>
        <w:rPr>
          <w:spacing w:val="-1"/>
        </w:rPr>
        <w:t> </w:t>
      </w:r>
      <w:r>
        <w:rPr/>
        <w:t>there</w:t>
      </w:r>
      <w:r>
        <w:rPr>
          <w:spacing w:val="-3"/>
        </w:rPr>
        <w:t> </w:t>
      </w:r>
      <w:r>
        <w:rPr/>
        <w:t>is</w:t>
      </w:r>
      <w:r>
        <w:rPr>
          <w:spacing w:val="-2"/>
        </w:rPr>
        <w:t> </w:t>
      </w:r>
      <w:r>
        <w:rPr/>
        <w:t>no generally</w:t>
      </w:r>
      <w:r>
        <w:rPr>
          <w:spacing w:val="-7"/>
        </w:rPr>
        <w:t> </w:t>
      </w:r>
      <w:r>
        <w:rPr/>
        <w:t>accepted</w:t>
      </w:r>
      <w:r>
        <w:rPr>
          <w:spacing w:val="-2"/>
        </w:rPr>
        <w:t> </w:t>
      </w:r>
      <w:r>
        <w:rPr/>
        <w:t>definition</w:t>
      </w:r>
      <w:r>
        <w:rPr>
          <w:spacing w:val="-2"/>
        </w:rPr>
        <w:t> </w:t>
      </w:r>
      <w:r>
        <w:rPr/>
        <w:t>of</w:t>
      </w:r>
      <w:r>
        <w:rPr>
          <w:spacing w:val="-3"/>
        </w:rPr>
        <w:t> </w:t>
      </w:r>
      <w:r>
        <w:rPr/>
        <w:t>small</w:t>
      </w:r>
      <w:r>
        <w:rPr>
          <w:spacing w:val="-2"/>
        </w:rPr>
        <w:t> </w:t>
      </w:r>
      <w:r>
        <w:rPr/>
        <w:t>or</w:t>
      </w:r>
      <w:r>
        <w:rPr>
          <w:spacing w:val="-3"/>
        </w:rPr>
        <w:t> </w:t>
      </w:r>
      <w:r>
        <w:rPr/>
        <w:t>medium</w:t>
      </w:r>
      <w:r>
        <w:rPr>
          <w:spacing w:val="-2"/>
        </w:rPr>
        <w:t> </w:t>
      </w:r>
      <w:r>
        <w:rPr/>
        <w:t>businesses because of the classification of businesses into large, medium or small scale is a subjective and qualitative judgement (Ekpenyong, 1997). Secondly, small businesses are generally quite responsive to their environment and our environment changes fast. Changes in the environment therefore affect what constitutes a small business at a particular point in time. Thirdly, what the definition aims at is to set some limits (lower and upper) that will assist in achieving the set purpose. Such limits can be in terms of level of capitalization, sales volume, number of employees, etc.</w:t>
      </w:r>
    </w:p>
    <w:p>
      <w:pPr>
        <w:pStyle w:val="BodyText"/>
        <w:spacing w:line="480" w:lineRule="auto" w:before="229"/>
        <w:ind w:left="399" w:right="1316"/>
        <w:jc w:val="both"/>
      </w:pPr>
      <w:r>
        <w:rPr/>
        <w:t>SMCFs’s definitions differ from country to country. Ajagbe and Ismail (2014) mentioned that various yardstick have been used to define SMCFs such as the value of assets employed and the use of energy. Abdullah </w:t>
      </w:r>
      <w:r>
        <w:rPr>
          <w:i/>
        </w:rPr>
        <w:t>et al. </w:t>
      </w:r>
      <w:r>
        <w:rPr/>
        <w:t>(2012) highlighted that over time in Nigeria, the government has used various definitions and criteria in identifying what is referred to as Small and medium</w:t>
      </w:r>
      <w:r>
        <w:rPr>
          <w:spacing w:val="40"/>
        </w:rPr>
        <w:t> </w:t>
      </w:r>
      <w:r>
        <w:rPr/>
        <w:t>firms. At certain point in time, it</w:t>
      </w:r>
      <w:r>
        <w:rPr>
          <w:spacing w:val="40"/>
        </w:rPr>
        <w:t> </w:t>
      </w:r>
      <w:r>
        <w:rPr/>
        <w:t>used investment in machinery and equipment and working capital at another time, the capital cost and turnover were also used (Umar, 2008). The National association of small and medium scale enterprise (NASME) defines a small sized firm as an organization</w:t>
      </w:r>
      <w:r>
        <w:rPr>
          <w:spacing w:val="6"/>
        </w:rPr>
        <w:t> </w:t>
      </w:r>
      <w:r>
        <w:rPr/>
        <w:t>with</w:t>
      </w:r>
      <w:r>
        <w:rPr>
          <w:spacing w:val="8"/>
        </w:rPr>
        <w:t> </w:t>
      </w:r>
      <w:r>
        <w:rPr/>
        <w:t>less</w:t>
      </w:r>
      <w:r>
        <w:rPr>
          <w:spacing w:val="9"/>
        </w:rPr>
        <w:t> </w:t>
      </w:r>
      <w:r>
        <w:rPr/>
        <w:t>than</w:t>
      </w:r>
      <w:r>
        <w:rPr>
          <w:spacing w:val="8"/>
        </w:rPr>
        <w:t> </w:t>
      </w:r>
      <w:r>
        <w:rPr/>
        <w:t>100</w:t>
      </w:r>
      <w:r>
        <w:rPr>
          <w:spacing w:val="9"/>
        </w:rPr>
        <w:t> </w:t>
      </w:r>
      <w:r>
        <w:rPr/>
        <w:t>employees</w:t>
      </w:r>
      <w:r>
        <w:rPr>
          <w:spacing w:val="8"/>
        </w:rPr>
        <w:t> </w:t>
      </w:r>
      <w:r>
        <w:rPr/>
        <w:t>and</w:t>
      </w:r>
      <w:r>
        <w:rPr>
          <w:spacing w:val="12"/>
        </w:rPr>
        <w:t> </w:t>
      </w:r>
      <w:r>
        <w:rPr/>
        <w:t>an</w:t>
      </w:r>
      <w:r>
        <w:rPr>
          <w:spacing w:val="8"/>
        </w:rPr>
        <w:t> </w:t>
      </w:r>
      <w:r>
        <w:rPr/>
        <w:t>annual</w:t>
      </w:r>
      <w:r>
        <w:rPr>
          <w:spacing w:val="9"/>
        </w:rPr>
        <w:t> </w:t>
      </w:r>
      <w:r>
        <w:rPr/>
        <w:t>turnover</w:t>
      </w:r>
      <w:r>
        <w:rPr>
          <w:spacing w:val="8"/>
        </w:rPr>
        <w:t> </w:t>
      </w:r>
      <w:r>
        <w:rPr/>
        <w:t>of</w:t>
      </w:r>
      <w:r>
        <w:rPr>
          <w:spacing w:val="10"/>
        </w:rPr>
        <w:t> </w:t>
      </w:r>
      <w:r>
        <w:rPr>
          <w:dstrike/>
        </w:rPr>
        <w:t>N</w:t>
      </w:r>
      <w:r>
        <w:rPr>
          <w:strike w:val="0"/>
        </w:rPr>
        <w:t>500</w:t>
      </w:r>
      <w:r>
        <w:rPr>
          <w:strike w:val="0"/>
          <w:spacing w:val="9"/>
        </w:rPr>
        <w:t> </w:t>
      </w:r>
      <w:r>
        <w:rPr>
          <w:strike w:val="0"/>
        </w:rPr>
        <w:t>million.</w:t>
      </w:r>
      <w:r>
        <w:rPr>
          <w:strike w:val="0"/>
          <w:spacing w:val="8"/>
        </w:rPr>
        <w:t> </w:t>
      </w:r>
      <w:r>
        <w:rPr>
          <w:strike w:val="0"/>
        </w:rPr>
        <w:t>The</w:t>
      </w:r>
      <w:r>
        <w:rPr>
          <w:strike w:val="0"/>
          <w:spacing w:val="8"/>
        </w:rPr>
        <w:t> </w:t>
      </w:r>
      <w:r>
        <w:rPr>
          <w:strike w:val="0"/>
          <w:spacing w:val="-2"/>
        </w:rPr>
        <w:t>Central</w:t>
      </w:r>
    </w:p>
    <w:p>
      <w:pPr>
        <w:pStyle w:val="BodyText"/>
        <w:ind w:left="400"/>
      </w:pPr>
      <w:r>
        <w:rPr/>
        <w:t>Bank</w:t>
      </w:r>
      <w:r>
        <w:rPr>
          <w:spacing w:val="19"/>
        </w:rPr>
        <w:t> </w:t>
      </w:r>
      <w:r>
        <w:rPr/>
        <w:t>of</w:t>
      </w:r>
      <w:r>
        <w:rPr>
          <w:spacing w:val="19"/>
        </w:rPr>
        <w:t> </w:t>
      </w:r>
      <w:r>
        <w:rPr/>
        <w:t>Nigeria</w:t>
      </w:r>
      <w:r>
        <w:rPr>
          <w:spacing w:val="19"/>
        </w:rPr>
        <w:t> </w:t>
      </w:r>
      <w:r>
        <w:rPr/>
        <w:t>defines</w:t>
      </w:r>
      <w:r>
        <w:rPr>
          <w:spacing w:val="22"/>
        </w:rPr>
        <w:t> </w:t>
      </w:r>
      <w:r>
        <w:rPr/>
        <w:t>SMCFs</w:t>
      </w:r>
      <w:r>
        <w:rPr>
          <w:spacing w:val="20"/>
        </w:rPr>
        <w:t> </w:t>
      </w:r>
      <w:r>
        <w:rPr/>
        <w:t>as</w:t>
      </w:r>
      <w:r>
        <w:rPr>
          <w:spacing w:val="19"/>
        </w:rPr>
        <w:t> </w:t>
      </w:r>
      <w:r>
        <w:rPr/>
        <w:t>an</w:t>
      </w:r>
      <w:r>
        <w:rPr>
          <w:spacing w:val="20"/>
        </w:rPr>
        <w:t> </w:t>
      </w:r>
      <w:r>
        <w:rPr/>
        <w:t>enterprise</w:t>
      </w:r>
      <w:r>
        <w:rPr>
          <w:spacing w:val="22"/>
        </w:rPr>
        <w:t> </w:t>
      </w:r>
      <w:r>
        <w:rPr/>
        <w:t>with</w:t>
      </w:r>
      <w:r>
        <w:rPr>
          <w:spacing w:val="19"/>
        </w:rPr>
        <w:t> </w:t>
      </w:r>
      <w:r>
        <w:rPr/>
        <w:t>an</w:t>
      </w:r>
      <w:r>
        <w:rPr>
          <w:spacing w:val="20"/>
        </w:rPr>
        <w:t> </w:t>
      </w:r>
      <w:r>
        <w:rPr/>
        <w:t>asset</w:t>
      </w:r>
      <w:r>
        <w:rPr>
          <w:spacing w:val="21"/>
        </w:rPr>
        <w:t> </w:t>
      </w:r>
      <w:r>
        <w:rPr/>
        <w:t>base</w:t>
      </w:r>
      <w:r>
        <w:rPr>
          <w:spacing w:val="18"/>
        </w:rPr>
        <w:t> </w:t>
      </w:r>
      <w:r>
        <w:rPr/>
        <w:t>of</w:t>
      </w:r>
      <w:r>
        <w:rPr>
          <w:spacing w:val="19"/>
        </w:rPr>
        <w:t> </w:t>
      </w:r>
      <w:r>
        <w:rPr>
          <w:dstrike/>
        </w:rPr>
        <w:t>N</w:t>
      </w:r>
      <w:r>
        <w:rPr>
          <w:strike w:val="0"/>
        </w:rPr>
        <w:t>200</w:t>
      </w:r>
      <w:r>
        <w:rPr>
          <w:strike w:val="0"/>
          <w:spacing w:val="20"/>
        </w:rPr>
        <w:t> </w:t>
      </w:r>
      <w:r>
        <w:rPr>
          <w:strike w:val="0"/>
        </w:rPr>
        <w:t>million</w:t>
      </w:r>
      <w:r>
        <w:rPr>
          <w:strike w:val="0"/>
          <w:spacing w:val="18"/>
        </w:rPr>
        <w:t> </w:t>
      </w:r>
      <w:r>
        <w:rPr>
          <w:strike w:val="0"/>
          <w:spacing w:val="-2"/>
        </w:rPr>
        <w:t>excluding</w:t>
      </w:r>
    </w:p>
    <w:p>
      <w:pPr>
        <w:spacing w:after="0"/>
        <w:sectPr>
          <w:pgSz w:w="12240" w:h="15840"/>
          <w:pgMar w:header="0" w:footer="1017" w:top="1360" w:bottom="1200" w:left="1040" w:right="120"/>
        </w:sectPr>
      </w:pPr>
    </w:p>
    <w:p>
      <w:pPr>
        <w:pStyle w:val="BodyText"/>
        <w:spacing w:line="480" w:lineRule="auto" w:before="72"/>
        <w:ind w:left="400" w:right="1316"/>
        <w:jc w:val="both"/>
      </w:pPr>
      <w:r>
        <w:rPr/>
        <w:t>land and working capital</w:t>
      </w:r>
      <w:r>
        <w:rPr>
          <w:spacing w:val="63"/>
        </w:rPr>
        <w:t> </w:t>
      </w:r>
      <w:r>
        <w:rPr/>
        <w:t>with staff</w:t>
      </w:r>
      <w:r>
        <w:rPr>
          <w:spacing w:val="-1"/>
        </w:rPr>
        <w:t> </w:t>
      </w:r>
      <w:r>
        <w:rPr/>
        <w:t>employed by</w:t>
      </w:r>
      <w:r>
        <w:rPr>
          <w:spacing w:val="-5"/>
        </w:rPr>
        <w:t> </w:t>
      </w:r>
      <w:r>
        <w:rPr/>
        <w:t>the</w:t>
      </w:r>
      <w:r>
        <w:rPr>
          <w:spacing w:val="-1"/>
        </w:rPr>
        <w:t> </w:t>
      </w:r>
      <w:r>
        <w:rPr/>
        <w:t>firm not less than 10 and not more</w:t>
      </w:r>
      <w:r>
        <w:rPr>
          <w:spacing w:val="-1"/>
        </w:rPr>
        <w:t> </w:t>
      </w:r>
      <w:r>
        <w:rPr/>
        <w:t>than 300 ( Kelly, 2006).</w:t>
      </w:r>
    </w:p>
    <w:p>
      <w:pPr>
        <w:pStyle w:val="BodyText"/>
        <w:spacing w:line="480" w:lineRule="auto" w:before="91"/>
        <w:ind w:left="400" w:right="1319"/>
        <w:jc w:val="both"/>
      </w:pPr>
      <w:r>
        <w:rPr/>
        <w:t>The definition of MSMEs in Nigeria as contained in the National Policy on Micro, Small and Medium Enterprises (SMEDAN, 2007) is adopted in this study (Table 2.2)</w:t>
      </w:r>
    </w:p>
    <w:p>
      <w:pPr>
        <w:pStyle w:val="BodyText"/>
        <w:spacing w:line="480" w:lineRule="auto"/>
        <w:ind w:left="399" w:right="1317"/>
        <w:jc w:val="both"/>
      </w:pPr>
      <w:r>
        <w:rPr/>
        <w:t>The National Policy document states that, where there is a conflict in classification between employment</w:t>
      </w:r>
      <w:r>
        <w:rPr>
          <w:spacing w:val="-1"/>
        </w:rPr>
        <w:t> </w:t>
      </w:r>
      <w:r>
        <w:rPr/>
        <w:t>and</w:t>
      </w:r>
      <w:r>
        <w:rPr>
          <w:spacing w:val="-1"/>
        </w:rPr>
        <w:t> </w:t>
      </w:r>
      <w:r>
        <w:rPr/>
        <w:t>assets</w:t>
      </w:r>
      <w:r>
        <w:rPr>
          <w:spacing w:val="-1"/>
        </w:rPr>
        <w:t> </w:t>
      </w:r>
      <w:r>
        <w:rPr/>
        <w:t>criteria</w:t>
      </w:r>
      <w:r>
        <w:rPr>
          <w:spacing w:val="-2"/>
        </w:rPr>
        <w:t> </w:t>
      </w:r>
      <w:r>
        <w:rPr/>
        <w:t>(for</w:t>
      </w:r>
      <w:r>
        <w:rPr>
          <w:spacing w:val="-2"/>
        </w:rPr>
        <w:t> </w:t>
      </w:r>
      <w:r>
        <w:rPr/>
        <w:t>example,</w:t>
      </w:r>
      <w:r>
        <w:rPr>
          <w:spacing w:val="-1"/>
        </w:rPr>
        <w:t> </w:t>
      </w:r>
      <w:r>
        <w:rPr/>
        <w:t>if</w:t>
      </w:r>
      <w:r>
        <w:rPr>
          <w:spacing w:val="-2"/>
        </w:rPr>
        <w:t> </w:t>
      </w:r>
      <w:r>
        <w:rPr/>
        <w:t>an enterprise</w:t>
      </w:r>
      <w:r>
        <w:rPr>
          <w:spacing w:val="-2"/>
        </w:rPr>
        <w:t> </w:t>
      </w:r>
      <w:r>
        <w:rPr/>
        <w:t>has</w:t>
      </w:r>
      <w:r>
        <w:rPr>
          <w:spacing w:val="-1"/>
        </w:rPr>
        <w:t> </w:t>
      </w:r>
      <w:r>
        <w:rPr/>
        <w:t>assets</w:t>
      </w:r>
      <w:r>
        <w:rPr>
          <w:spacing w:val="-1"/>
        </w:rPr>
        <w:t> </w:t>
      </w:r>
      <w:r>
        <w:rPr/>
        <w:t>worth</w:t>
      </w:r>
      <w:r>
        <w:rPr>
          <w:spacing w:val="-1"/>
        </w:rPr>
        <w:t> </w:t>
      </w:r>
      <w:r>
        <w:rPr/>
        <w:t>seven</w:t>
      </w:r>
      <w:r>
        <w:rPr>
          <w:spacing w:val="-1"/>
        </w:rPr>
        <w:t> </w:t>
      </w:r>
      <w:r>
        <w:rPr/>
        <w:t>million</w:t>
      </w:r>
      <w:r>
        <w:rPr>
          <w:spacing w:val="-3"/>
        </w:rPr>
        <w:t> </w:t>
      </w:r>
      <w:r>
        <w:rPr/>
        <w:t>naira (N7m)</w:t>
      </w:r>
      <w:r>
        <w:rPr>
          <w:spacing w:val="-4"/>
        </w:rPr>
        <w:t> </w:t>
      </w:r>
      <w:r>
        <w:rPr/>
        <w:t>but</w:t>
      </w:r>
      <w:r>
        <w:rPr>
          <w:spacing w:val="-3"/>
        </w:rPr>
        <w:t> </w:t>
      </w:r>
      <w:r>
        <w:rPr/>
        <w:t>employs</w:t>
      </w:r>
      <w:r>
        <w:rPr>
          <w:spacing w:val="-3"/>
        </w:rPr>
        <w:t> </w:t>
      </w:r>
      <w:r>
        <w:rPr/>
        <w:t>7</w:t>
      </w:r>
      <w:r>
        <w:rPr>
          <w:spacing w:val="-1"/>
        </w:rPr>
        <w:t> </w:t>
      </w:r>
      <w:r>
        <w:rPr/>
        <w:t>persons),</w:t>
      </w:r>
      <w:r>
        <w:rPr>
          <w:spacing w:val="-3"/>
        </w:rPr>
        <w:t> </w:t>
      </w:r>
      <w:r>
        <w:rPr/>
        <w:t>the</w:t>
      </w:r>
      <w:r>
        <w:rPr>
          <w:spacing w:val="-4"/>
        </w:rPr>
        <w:t> </w:t>
      </w:r>
      <w:r>
        <w:rPr/>
        <w:t>employment-based</w:t>
      </w:r>
      <w:r>
        <w:rPr>
          <w:spacing w:val="-3"/>
        </w:rPr>
        <w:t> </w:t>
      </w:r>
      <w:r>
        <w:rPr/>
        <w:t>classification</w:t>
      </w:r>
      <w:r>
        <w:rPr>
          <w:spacing w:val="-3"/>
        </w:rPr>
        <w:t> </w:t>
      </w:r>
      <w:r>
        <w:rPr/>
        <w:t>will</w:t>
      </w:r>
      <w:r>
        <w:rPr>
          <w:spacing w:val="-3"/>
        </w:rPr>
        <w:t> </w:t>
      </w:r>
      <w:r>
        <w:rPr/>
        <w:t>take</w:t>
      </w:r>
      <w:r>
        <w:rPr>
          <w:spacing w:val="-4"/>
        </w:rPr>
        <w:t> </w:t>
      </w:r>
      <w:r>
        <w:rPr/>
        <w:t>precedence</w:t>
      </w:r>
      <w:r>
        <w:rPr>
          <w:spacing w:val="-2"/>
        </w:rPr>
        <w:t> </w:t>
      </w:r>
      <w:r>
        <w:rPr/>
        <w:t>and</w:t>
      </w:r>
      <w:r>
        <w:rPr>
          <w:spacing w:val="-3"/>
        </w:rPr>
        <w:t> </w:t>
      </w:r>
      <w:r>
        <w:rPr/>
        <w:t>the enterprise would be regarded as micro (SMEDAN, 2007). This is because employment-based classification tends to be relatively more stable definition, given that inflationary pressures may compromise the asset-based definition.</w:t>
      </w:r>
    </w:p>
    <w:p>
      <w:pPr>
        <w:pStyle w:val="BodyText"/>
        <w:spacing w:before="52"/>
      </w:pPr>
    </w:p>
    <w:p>
      <w:pPr>
        <w:spacing w:before="1"/>
        <w:ind w:left="400" w:right="0" w:firstLine="0"/>
        <w:jc w:val="both"/>
        <w:rPr>
          <w:b/>
          <w:sz w:val="22"/>
        </w:rPr>
      </w:pPr>
      <w:r>
        <w:rPr>
          <w:b/>
          <w:sz w:val="22"/>
        </w:rPr>
        <w:t>Table</w:t>
      </w:r>
      <w:r>
        <w:rPr>
          <w:b/>
          <w:spacing w:val="-3"/>
          <w:sz w:val="22"/>
        </w:rPr>
        <w:t> </w:t>
      </w:r>
      <w:r>
        <w:rPr>
          <w:b/>
          <w:sz w:val="22"/>
        </w:rPr>
        <w:t>2.2.</w:t>
      </w:r>
      <w:r>
        <w:rPr>
          <w:b/>
          <w:spacing w:val="-5"/>
          <w:sz w:val="22"/>
        </w:rPr>
        <w:t> </w:t>
      </w:r>
      <w:r>
        <w:rPr>
          <w:b/>
          <w:sz w:val="22"/>
        </w:rPr>
        <w:t>Classification</w:t>
      </w:r>
      <w:r>
        <w:rPr>
          <w:b/>
          <w:spacing w:val="-3"/>
          <w:sz w:val="22"/>
        </w:rPr>
        <w:t> </w:t>
      </w:r>
      <w:r>
        <w:rPr>
          <w:b/>
          <w:sz w:val="22"/>
        </w:rPr>
        <w:t>of</w:t>
      </w:r>
      <w:r>
        <w:rPr>
          <w:b/>
          <w:spacing w:val="-2"/>
          <w:sz w:val="22"/>
        </w:rPr>
        <w:t> </w:t>
      </w:r>
      <w:r>
        <w:rPr>
          <w:b/>
          <w:sz w:val="22"/>
        </w:rPr>
        <w:t>MSMsE</w:t>
      </w:r>
      <w:r>
        <w:rPr>
          <w:b/>
          <w:spacing w:val="-3"/>
          <w:sz w:val="22"/>
        </w:rPr>
        <w:t> </w:t>
      </w:r>
      <w:r>
        <w:rPr>
          <w:b/>
          <w:sz w:val="22"/>
        </w:rPr>
        <w:t>in</w:t>
      </w:r>
      <w:r>
        <w:rPr>
          <w:b/>
          <w:spacing w:val="-3"/>
          <w:sz w:val="22"/>
        </w:rPr>
        <w:t> </w:t>
      </w:r>
      <w:r>
        <w:rPr>
          <w:b/>
          <w:spacing w:val="-2"/>
          <w:sz w:val="22"/>
        </w:rPr>
        <w:t>Nigeria</w:t>
      </w:r>
    </w:p>
    <w:p>
      <w:pPr>
        <w:pStyle w:val="BodyText"/>
        <w:rPr>
          <w:b/>
          <w:sz w:val="20"/>
        </w:rPr>
      </w:pPr>
    </w:p>
    <w:p>
      <w:pPr>
        <w:pStyle w:val="BodyText"/>
        <w:spacing w:before="77"/>
        <w:rPr>
          <w:b/>
          <w:sz w:val="20"/>
        </w:rPr>
      </w:pPr>
    </w:p>
    <w:tbl>
      <w:tblPr>
        <w:tblW w:w="0" w:type="auto"/>
        <w:jc w:val="left"/>
        <w:tblInd w:w="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
        <w:gridCol w:w="2543"/>
        <w:gridCol w:w="2034"/>
        <w:gridCol w:w="4394"/>
      </w:tblGrid>
      <w:tr>
        <w:trPr>
          <w:trHeight w:val="1142" w:hRule="atLeast"/>
        </w:trPr>
        <w:tc>
          <w:tcPr>
            <w:tcW w:w="785" w:type="dxa"/>
          </w:tcPr>
          <w:p>
            <w:pPr>
              <w:pStyle w:val="TableParagraph"/>
              <w:spacing w:line="266" w:lineRule="exact"/>
              <w:ind w:left="50"/>
              <w:rPr>
                <w:b/>
                <w:sz w:val="24"/>
              </w:rPr>
            </w:pPr>
            <w:r>
              <w:rPr>
                <w:b/>
                <w:spacing w:val="-5"/>
                <w:sz w:val="24"/>
              </w:rPr>
              <w:t>S/N</w:t>
            </w:r>
          </w:p>
        </w:tc>
        <w:tc>
          <w:tcPr>
            <w:tcW w:w="2543" w:type="dxa"/>
          </w:tcPr>
          <w:p>
            <w:pPr>
              <w:pStyle w:val="TableParagraph"/>
              <w:spacing w:line="266" w:lineRule="exact"/>
              <w:ind w:left="88" w:right="1"/>
              <w:jc w:val="center"/>
              <w:rPr>
                <w:b/>
                <w:sz w:val="24"/>
              </w:rPr>
            </w:pPr>
            <w:r>
              <w:rPr>
                <w:b/>
                <w:sz w:val="24"/>
              </w:rPr>
              <w:t>Size</w:t>
            </w:r>
            <w:r>
              <w:rPr>
                <w:b/>
                <w:spacing w:val="-2"/>
                <w:sz w:val="24"/>
              </w:rPr>
              <w:t> category</w:t>
            </w:r>
          </w:p>
        </w:tc>
        <w:tc>
          <w:tcPr>
            <w:tcW w:w="2034" w:type="dxa"/>
          </w:tcPr>
          <w:p>
            <w:pPr>
              <w:pStyle w:val="TableParagraph"/>
              <w:spacing w:line="266" w:lineRule="exact"/>
              <w:ind w:right="439"/>
              <w:jc w:val="right"/>
              <w:rPr>
                <w:b/>
                <w:sz w:val="24"/>
              </w:rPr>
            </w:pPr>
            <w:r>
              <w:rPr>
                <w:b/>
                <w:spacing w:val="-2"/>
                <w:sz w:val="24"/>
              </w:rPr>
              <w:t>Employment</w:t>
            </w:r>
          </w:p>
        </w:tc>
        <w:tc>
          <w:tcPr>
            <w:tcW w:w="4394" w:type="dxa"/>
          </w:tcPr>
          <w:p>
            <w:pPr>
              <w:pStyle w:val="TableParagraph"/>
              <w:spacing w:line="480" w:lineRule="auto"/>
              <w:ind w:left="1878" w:right="48" w:hanging="1438"/>
              <w:rPr>
                <w:b/>
                <w:sz w:val="24"/>
              </w:rPr>
            </w:pPr>
            <w:r>
              <w:rPr>
                <w:b/>
                <w:sz w:val="24"/>
              </w:rPr>
              <w:t>Assets</w:t>
            </w:r>
            <w:r>
              <w:rPr>
                <w:b/>
                <w:spacing w:val="-7"/>
                <w:sz w:val="24"/>
              </w:rPr>
              <w:t> </w:t>
            </w:r>
            <w:r>
              <w:rPr>
                <w:b/>
                <w:sz w:val="24"/>
              </w:rPr>
              <w:t>(N</w:t>
            </w:r>
            <w:r>
              <w:rPr>
                <w:b/>
                <w:spacing w:val="-6"/>
                <w:sz w:val="24"/>
              </w:rPr>
              <w:t> </w:t>
            </w:r>
            <w:r>
              <w:rPr>
                <w:b/>
                <w:sz w:val="24"/>
              </w:rPr>
              <w:t>million)</w:t>
            </w:r>
            <w:r>
              <w:rPr>
                <w:b/>
                <w:spacing w:val="-8"/>
                <w:sz w:val="24"/>
              </w:rPr>
              <w:t> </w:t>
            </w:r>
            <w:r>
              <w:rPr>
                <w:b/>
                <w:sz w:val="24"/>
              </w:rPr>
              <w:t>(excluding</w:t>
            </w:r>
            <w:r>
              <w:rPr>
                <w:b/>
                <w:spacing w:val="-10"/>
                <w:sz w:val="24"/>
              </w:rPr>
              <w:t> </w:t>
            </w:r>
            <w:r>
              <w:rPr>
                <w:b/>
                <w:sz w:val="24"/>
              </w:rPr>
              <w:t>land</w:t>
            </w:r>
            <w:r>
              <w:rPr>
                <w:b/>
                <w:spacing w:val="-7"/>
                <w:sz w:val="24"/>
              </w:rPr>
              <w:t> </w:t>
            </w:r>
            <w:r>
              <w:rPr>
                <w:b/>
                <w:sz w:val="24"/>
              </w:rPr>
              <w:t>and </w:t>
            </w:r>
            <w:r>
              <w:rPr>
                <w:b/>
                <w:spacing w:val="-2"/>
                <w:sz w:val="24"/>
              </w:rPr>
              <w:t>buildings)</w:t>
            </w:r>
          </w:p>
        </w:tc>
      </w:tr>
      <w:tr>
        <w:trPr>
          <w:trHeight w:val="733" w:hRule="atLeast"/>
        </w:trPr>
        <w:tc>
          <w:tcPr>
            <w:tcW w:w="785" w:type="dxa"/>
          </w:tcPr>
          <w:p>
            <w:pPr>
              <w:pStyle w:val="TableParagraph"/>
              <w:spacing w:before="38"/>
              <w:rPr>
                <w:b/>
                <w:sz w:val="24"/>
              </w:rPr>
            </w:pPr>
          </w:p>
          <w:p>
            <w:pPr>
              <w:pStyle w:val="TableParagraph"/>
              <w:ind w:left="50"/>
              <w:rPr>
                <w:sz w:val="24"/>
              </w:rPr>
            </w:pPr>
            <w:r>
              <w:rPr>
                <w:spacing w:val="-5"/>
                <w:sz w:val="24"/>
              </w:rPr>
              <w:t>1.</w:t>
            </w:r>
          </w:p>
        </w:tc>
        <w:tc>
          <w:tcPr>
            <w:tcW w:w="2543" w:type="dxa"/>
          </w:tcPr>
          <w:p>
            <w:pPr>
              <w:pStyle w:val="TableParagraph"/>
              <w:spacing w:before="38"/>
              <w:rPr>
                <w:b/>
                <w:sz w:val="24"/>
              </w:rPr>
            </w:pPr>
          </w:p>
          <w:p>
            <w:pPr>
              <w:pStyle w:val="TableParagraph"/>
              <w:ind w:left="88" w:right="4"/>
              <w:jc w:val="center"/>
              <w:rPr>
                <w:sz w:val="24"/>
              </w:rPr>
            </w:pPr>
            <w:r>
              <w:rPr>
                <w:sz w:val="24"/>
              </w:rPr>
              <w:t>Micro</w:t>
            </w:r>
            <w:r>
              <w:rPr>
                <w:spacing w:val="-2"/>
                <w:sz w:val="24"/>
              </w:rPr>
              <w:t> enterprises</w:t>
            </w:r>
          </w:p>
        </w:tc>
        <w:tc>
          <w:tcPr>
            <w:tcW w:w="2034" w:type="dxa"/>
          </w:tcPr>
          <w:p>
            <w:pPr>
              <w:pStyle w:val="TableParagraph"/>
              <w:spacing w:before="38"/>
              <w:rPr>
                <w:b/>
                <w:sz w:val="24"/>
              </w:rPr>
            </w:pPr>
          </w:p>
          <w:p>
            <w:pPr>
              <w:pStyle w:val="TableParagraph"/>
              <w:ind w:right="493"/>
              <w:jc w:val="right"/>
              <w:rPr>
                <w:sz w:val="24"/>
              </w:rPr>
            </w:pPr>
            <w:r>
              <w:rPr>
                <w:sz w:val="24"/>
              </w:rPr>
              <w:t>Less</w:t>
            </w:r>
            <w:r>
              <w:rPr>
                <w:spacing w:val="-3"/>
                <w:sz w:val="24"/>
              </w:rPr>
              <w:t> </w:t>
            </w:r>
            <w:r>
              <w:rPr>
                <w:sz w:val="24"/>
              </w:rPr>
              <w:t>than </w:t>
            </w:r>
            <w:r>
              <w:rPr>
                <w:spacing w:val="-5"/>
                <w:sz w:val="24"/>
              </w:rPr>
              <w:t>10</w:t>
            </w:r>
          </w:p>
        </w:tc>
        <w:tc>
          <w:tcPr>
            <w:tcW w:w="4394" w:type="dxa"/>
          </w:tcPr>
          <w:p>
            <w:pPr>
              <w:pStyle w:val="TableParagraph"/>
              <w:spacing w:before="38"/>
              <w:rPr>
                <w:b/>
                <w:sz w:val="24"/>
              </w:rPr>
            </w:pPr>
          </w:p>
          <w:p>
            <w:pPr>
              <w:pStyle w:val="TableParagraph"/>
              <w:ind w:left="389" w:right="2"/>
              <w:jc w:val="center"/>
              <w:rPr>
                <w:sz w:val="24"/>
              </w:rPr>
            </w:pPr>
            <w:r>
              <w:rPr>
                <w:sz w:val="24"/>
              </w:rPr>
              <w:t>Less</w:t>
            </w:r>
            <w:r>
              <w:rPr>
                <w:spacing w:val="-3"/>
                <w:sz w:val="24"/>
              </w:rPr>
              <w:t> </w:t>
            </w:r>
            <w:r>
              <w:rPr>
                <w:sz w:val="24"/>
              </w:rPr>
              <w:t>than </w:t>
            </w:r>
            <w:r>
              <w:rPr>
                <w:spacing w:val="-10"/>
                <w:sz w:val="24"/>
              </w:rPr>
              <w:t>5</w:t>
            </w:r>
          </w:p>
        </w:tc>
      </w:tr>
      <w:tr>
        <w:trPr>
          <w:trHeight w:val="551" w:hRule="atLeast"/>
        </w:trPr>
        <w:tc>
          <w:tcPr>
            <w:tcW w:w="785" w:type="dxa"/>
          </w:tcPr>
          <w:p>
            <w:pPr>
              <w:pStyle w:val="TableParagraph"/>
              <w:spacing w:before="133"/>
              <w:ind w:left="50"/>
              <w:rPr>
                <w:sz w:val="24"/>
              </w:rPr>
            </w:pPr>
            <w:r>
              <w:rPr>
                <w:spacing w:val="-5"/>
                <w:sz w:val="24"/>
              </w:rPr>
              <w:t>2.</w:t>
            </w:r>
          </w:p>
        </w:tc>
        <w:tc>
          <w:tcPr>
            <w:tcW w:w="2543" w:type="dxa"/>
          </w:tcPr>
          <w:p>
            <w:pPr>
              <w:pStyle w:val="TableParagraph"/>
              <w:spacing w:before="133"/>
              <w:ind w:left="88"/>
              <w:jc w:val="center"/>
              <w:rPr>
                <w:sz w:val="24"/>
              </w:rPr>
            </w:pPr>
            <w:r>
              <w:rPr>
                <w:sz w:val="24"/>
              </w:rPr>
              <w:t>Small</w:t>
            </w:r>
            <w:r>
              <w:rPr>
                <w:spacing w:val="-1"/>
                <w:sz w:val="24"/>
              </w:rPr>
              <w:t> </w:t>
            </w:r>
            <w:r>
              <w:rPr>
                <w:spacing w:val="-2"/>
                <w:sz w:val="24"/>
              </w:rPr>
              <w:t>enterprises</w:t>
            </w:r>
          </w:p>
        </w:tc>
        <w:tc>
          <w:tcPr>
            <w:tcW w:w="2034" w:type="dxa"/>
          </w:tcPr>
          <w:p>
            <w:pPr>
              <w:pStyle w:val="TableParagraph"/>
              <w:spacing w:before="133"/>
              <w:ind w:left="624"/>
              <w:rPr>
                <w:sz w:val="24"/>
              </w:rPr>
            </w:pPr>
            <w:r>
              <w:rPr>
                <w:sz w:val="24"/>
              </w:rPr>
              <w:t>10</w:t>
            </w:r>
            <w:r>
              <w:rPr>
                <w:spacing w:val="-1"/>
                <w:sz w:val="24"/>
              </w:rPr>
              <w:t> </w:t>
            </w:r>
            <w:r>
              <w:rPr>
                <w:sz w:val="24"/>
              </w:rPr>
              <w:t>-</w:t>
            </w:r>
            <w:r>
              <w:rPr>
                <w:spacing w:val="-5"/>
                <w:sz w:val="24"/>
              </w:rPr>
              <w:t>49</w:t>
            </w:r>
          </w:p>
        </w:tc>
        <w:tc>
          <w:tcPr>
            <w:tcW w:w="4394" w:type="dxa"/>
          </w:tcPr>
          <w:p>
            <w:pPr>
              <w:pStyle w:val="TableParagraph"/>
              <w:spacing w:before="133"/>
              <w:ind w:left="389" w:right="2"/>
              <w:jc w:val="center"/>
              <w:rPr>
                <w:sz w:val="24"/>
              </w:rPr>
            </w:pPr>
            <w:r>
              <w:rPr>
                <w:sz w:val="24"/>
              </w:rPr>
              <w:t>5</w:t>
            </w:r>
            <w:r>
              <w:rPr>
                <w:spacing w:val="-1"/>
                <w:sz w:val="24"/>
              </w:rPr>
              <w:t> </w:t>
            </w:r>
            <w:r>
              <w:rPr>
                <w:sz w:val="24"/>
              </w:rPr>
              <w:t>less</w:t>
            </w:r>
            <w:r>
              <w:rPr>
                <w:spacing w:val="-1"/>
                <w:sz w:val="24"/>
              </w:rPr>
              <w:t> </w:t>
            </w:r>
            <w:r>
              <w:rPr>
                <w:sz w:val="24"/>
              </w:rPr>
              <w:t>than </w:t>
            </w:r>
            <w:r>
              <w:rPr>
                <w:spacing w:val="-5"/>
                <w:sz w:val="24"/>
              </w:rPr>
              <w:t>50</w:t>
            </w:r>
          </w:p>
        </w:tc>
      </w:tr>
      <w:tr>
        <w:trPr>
          <w:trHeight w:val="408" w:hRule="atLeast"/>
        </w:trPr>
        <w:tc>
          <w:tcPr>
            <w:tcW w:w="785" w:type="dxa"/>
          </w:tcPr>
          <w:p>
            <w:pPr>
              <w:pStyle w:val="TableParagraph"/>
              <w:spacing w:line="256" w:lineRule="exact" w:before="133"/>
              <w:ind w:left="50"/>
              <w:rPr>
                <w:sz w:val="24"/>
              </w:rPr>
            </w:pPr>
            <w:r>
              <w:rPr>
                <w:spacing w:val="-5"/>
                <w:sz w:val="24"/>
              </w:rPr>
              <w:t>3.</w:t>
            </w:r>
          </w:p>
        </w:tc>
        <w:tc>
          <w:tcPr>
            <w:tcW w:w="2543" w:type="dxa"/>
          </w:tcPr>
          <w:p>
            <w:pPr>
              <w:pStyle w:val="TableParagraph"/>
              <w:spacing w:line="256" w:lineRule="exact" w:before="133"/>
              <w:ind w:left="88" w:right="4"/>
              <w:jc w:val="center"/>
              <w:rPr>
                <w:sz w:val="24"/>
              </w:rPr>
            </w:pPr>
            <w:r>
              <w:rPr>
                <w:sz w:val="24"/>
              </w:rPr>
              <w:t>Medium</w:t>
            </w:r>
            <w:r>
              <w:rPr>
                <w:spacing w:val="-1"/>
                <w:sz w:val="24"/>
              </w:rPr>
              <w:t> </w:t>
            </w:r>
            <w:r>
              <w:rPr>
                <w:spacing w:val="-2"/>
                <w:sz w:val="24"/>
              </w:rPr>
              <w:t>enterprises</w:t>
            </w:r>
          </w:p>
        </w:tc>
        <w:tc>
          <w:tcPr>
            <w:tcW w:w="2034" w:type="dxa"/>
          </w:tcPr>
          <w:p>
            <w:pPr>
              <w:pStyle w:val="TableParagraph"/>
              <w:spacing w:line="256" w:lineRule="exact" w:before="133"/>
              <w:ind w:left="564"/>
              <w:rPr>
                <w:sz w:val="24"/>
              </w:rPr>
            </w:pPr>
            <w:r>
              <w:rPr>
                <w:sz w:val="24"/>
              </w:rPr>
              <w:t>50</w:t>
            </w:r>
            <w:r>
              <w:rPr>
                <w:spacing w:val="-1"/>
                <w:sz w:val="24"/>
              </w:rPr>
              <w:t> </w:t>
            </w:r>
            <w:r>
              <w:rPr>
                <w:sz w:val="24"/>
              </w:rPr>
              <w:t>-</w:t>
            </w:r>
            <w:r>
              <w:rPr>
                <w:spacing w:val="-5"/>
                <w:sz w:val="24"/>
              </w:rPr>
              <w:t>199</w:t>
            </w:r>
          </w:p>
        </w:tc>
        <w:tc>
          <w:tcPr>
            <w:tcW w:w="4394" w:type="dxa"/>
          </w:tcPr>
          <w:p>
            <w:pPr>
              <w:pStyle w:val="TableParagraph"/>
              <w:spacing w:line="256" w:lineRule="exact" w:before="133"/>
              <w:ind w:left="389"/>
              <w:jc w:val="center"/>
              <w:rPr>
                <w:sz w:val="24"/>
              </w:rPr>
            </w:pPr>
            <w:r>
              <w:rPr>
                <w:sz w:val="24"/>
              </w:rPr>
              <w:t>50</w:t>
            </w:r>
            <w:r>
              <w:rPr>
                <w:spacing w:val="-1"/>
                <w:sz w:val="24"/>
              </w:rPr>
              <w:t> </w:t>
            </w:r>
            <w:r>
              <w:rPr>
                <w:sz w:val="24"/>
              </w:rPr>
              <w:t>– less</w:t>
            </w:r>
            <w:r>
              <w:rPr>
                <w:spacing w:val="-1"/>
                <w:sz w:val="24"/>
              </w:rPr>
              <w:t> </w:t>
            </w:r>
            <w:r>
              <w:rPr>
                <w:sz w:val="24"/>
              </w:rPr>
              <w:t>than </w:t>
            </w:r>
            <w:r>
              <w:rPr>
                <w:spacing w:val="-5"/>
                <w:sz w:val="24"/>
              </w:rPr>
              <w:t>500</w:t>
            </w:r>
          </w:p>
        </w:tc>
      </w:tr>
    </w:tbl>
    <w:p>
      <w:pPr>
        <w:pStyle w:val="BodyText"/>
        <w:rPr>
          <w:b/>
        </w:rPr>
      </w:pPr>
    </w:p>
    <w:p>
      <w:pPr>
        <w:pStyle w:val="BodyText"/>
        <w:rPr>
          <w:b/>
        </w:rPr>
      </w:pPr>
    </w:p>
    <w:p>
      <w:pPr>
        <w:pStyle w:val="BodyText"/>
        <w:spacing w:before="9"/>
        <w:rPr>
          <w:b/>
        </w:rPr>
      </w:pPr>
    </w:p>
    <w:p>
      <w:pPr>
        <w:pStyle w:val="Heading2"/>
        <w:spacing w:line="360" w:lineRule="auto"/>
        <w:ind w:right="1318"/>
      </w:pPr>
      <w:r>
        <w:rPr/>
        <w:t>Source: Small and medium enterprises development agency of Nigeria (SMEDAN), Abuja, </w:t>
      </w:r>
      <w:r>
        <w:rPr>
          <w:spacing w:val="-2"/>
        </w:rPr>
        <w:t>2007.</w:t>
      </w:r>
    </w:p>
    <w:p>
      <w:pPr>
        <w:pStyle w:val="BodyText"/>
        <w:spacing w:line="480" w:lineRule="auto"/>
        <w:ind w:left="400" w:right="1317"/>
        <w:jc w:val="both"/>
      </w:pPr>
      <w:r>
        <w:rPr/>
        <w:t>Abudullah </w:t>
      </w:r>
      <w:r>
        <w:rPr>
          <w:i/>
        </w:rPr>
        <w:t>et al. </w:t>
      </w:r>
      <w:r>
        <w:rPr/>
        <w:t>(2012) opine that Small and medium construction firms play an important role</w:t>
      </w:r>
      <w:r>
        <w:rPr>
          <w:spacing w:val="40"/>
        </w:rPr>
        <w:t> </w:t>
      </w:r>
      <w:r>
        <w:rPr/>
        <w:t>in the construction by fostering income stability, growth in the industry and also the provision of infrastructure</w:t>
      </w:r>
      <w:r>
        <w:rPr>
          <w:spacing w:val="18"/>
        </w:rPr>
        <w:t> </w:t>
      </w:r>
      <w:r>
        <w:rPr/>
        <w:t>for</w:t>
      </w:r>
      <w:r>
        <w:rPr>
          <w:spacing w:val="19"/>
        </w:rPr>
        <w:t> </w:t>
      </w:r>
      <w:r>
        <w:rPr/>
        <w:t>the</w:t>
      </w:r>
      <w:r>
        <w:rPr>
          <w:spacing w:val="19"/>
        </w:rPr>
        <w:t> </w:t>
      </w:r>
      <w:r>
        <w:rPr/>
        <w:t>economy.</w:t>
      </w:r>
      <w:r>
        <w:rPr>
          <w:spacing w:val="19"/>
        </w:rPr>
        <w:t> </w:t>
      </w:r>
      <w:r>
        <w:rPr/>
        <w:t>Ajagbe</w:t>
      </w:r>
      <w:r>
        <w:rPr>
          <w:spacing w:val="22"/>
        </w:rPr>
        <w:t> </w:t>
      </w:r>
      <w:r>
        <w:rPr>
          <w:i/>
        </w:rPr>
        <w:t>et</w:t>
      </w:r>
      <w:r>
        <w:rPr>
          <w:i/>
          <w:spacing w:val="21"/>
        </w:rPr>
        <w:t> </w:t>
      </w:r>
      <w:r>
        <w:rPr>
          <w:i/>
        </w:rPr>
        <w:t>al</w:t>
      </w:r>
      <w:r>
        <w:rPr/>
        <w:t>.</w:t>
      </w:r>
      <w:r>
        <w:rPr>
          <w:spacing w:val="19"/>
        </w:rPr>
        <w:t> </w:t>
      </w:r>
      <w:r>
        <w:rPr/>
        <w:t>(2012)</w:t>
      </w:r>
      <w:r>
        <w:rPr>
          <w:spacing w:val="19"/>
        </w:rPr>
        <w:t> </w:t>
      </w:r>
      <w:r>
        <w:rPr/>
        <w:t>mentioned</w:t>
      </w:r>
      <w:r>
        <w:rPr>
          <w:spacing w:val="20"/>
        </w:rPr>
        <w:t> </w:t>
      </w:r>
      <w:r>
        <w:rPr/>
        <w:t>some</w:t>
      </w:r>
      <w:r>
        <w:rPr>
          <w:spacing w:val="18"/>
        </w:rPr>
        <w:t> </w:t>
      </w:r>
      <w:r>
        <w:rPr/>
        <w:t>of</w:t>
      </w:r>
      <w:r>
        <w:rPr>
          <w:spacing w:val="19"/>
        </w:rPr>
        <w:t> </w:t>
      </w:r>
      <w:r>
        <w:rPr/>
        <w:t>the</w:t>
      </w:r>
      <w:r>
        <w:rPr>
          <w:spacing w:val="19"/>
        </w:rPr>
        <w:t> </w:t>
      </w:r>
      <w:r>
        <w:rPr/>
        <w:t>characteristics</w:t>
      </w:r>
      <w:r>
        <w:rPr>
          <w:spacing w:val="20"/>
        </w:rPr>
        <w:t> </w:t>
      </w:r>
      <w:r>
        <w:rPr>
          <w:spacing w:val="-4"/>
        </w:rPr>
        <w:t>that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have distinguished small firms from larger firms. They added that large firms often times have direct access to international and local capital markets. Whereas SMCFs do not oftentimes have such global connections due to the high cost intermediation for smaller projects. Additionally,</w:t>
      </w:r>
      <w:r>
        <w:rPr>
          <w:spacing w:val="40"/>
        </w:rPr>
        <w:t> </w:t>
      </w:r>
      <w:r>
        <w:rPr/>
        <w:t>the fixed costs of complying with regulations, a limited capacity to market products abroad, and limited access to policy makers weigh against the SMCFs more than the larger firm. Ismail </w:t>
      </w:r>
      <w:r>
        <w:rPr>
          <w:i/>
        </w:rPr>
        <w:t>et al. </w:t>
      </w:r>
      <w:r>
        <w:rPr/>
        <w:t>(2012) added that small enterprises largely operate at a threshold which falls below the</w:t>
      </w:r>
      <w:r>
        <w:rPr>
          <w:spacing w:val="40"/>
        </w:rPr>
        <w:t> </w:t>
      </w:r>
      <w:r>
        <w:rPr/>
        <w:t>regulatory and institutional constraints that inhibit other SMCFs.</w:t>
      </w:r>
      <w:r>
        <w:rPr>
          <w:spacing w:val="80"/>
        </w:rPr>
        <w:t> </w:t>
      </w:r>
      <w:r>
        <w:rPr/>
        <w:t>Gushibet (2011) mentioned that an important feature of SMCFs in Nigeria have to do with the organisational structure,</w:t>
      </w:r>
      <w:r>
        <w:rPr>
          <w:spacing w:val="40"/>
        </w:rPr>
        <w:t> </w:t>
      </w:r>
      <w:r>
        <w:rPr/>
        <w:t>owing</w:t>
      </w:r>
      <w:r>
        <w:rPr>
          <w:spacing w:val="-5"/>
        </w:rPr>
        <w:t> </w:t>
      </w:r>
      <w:r>
        <w:rPr/>
        <w:t>to</w:t>
      </w:r>
      <w:r>
        <w:rPr>
          <w:spacing w:val="-2"/>
        </w:rPr>
        <w:t> </w:t>
      </w:r>
      <w:r>
        <w:rPr/>
        <w:t>its</w:t>
      </w:r>
      <w:r>
        <w:rPr>
          <w:spacing w:val="-2"/>
        </w:rPr>
        <w:t> </w:t>
      </w:r>
      <w:r>
        <w:rPr/>
        <w:t>ownership</w:t>
      </w:r>
      <w:r>
        <w:rPr>
          <w:spacing w:val="-2"/>
        </w:rPr>
        <w:t> </w:t>
      </w:r>
      <w:r>
        <w:rPr/>
        <w:t>status</w:t>
      </w:r>
      <w:r>
        <w:rPr>
          <w:spacing w:val="-2"/>
        </w:rPr>
        <w:t> </w:t>
      </w:r>
      <w:r>
        <w:rPr/>
        <w:t>revolving</w:t>
      </w:r>
      <w:r>
        <w:rPr>
          <w:spacing w:val="-5"/>
        </w:rPr>
        <w:t> </w:t>
      </w:r>
      <w:r>
        <w:rPr/>
        <w:t>around a</w:t>
      </w:r>
      <w:r>
        <w:rPr>
          <w:spacing w:val="-1"/>
        </w:rPr>
        <w:t> </w:t>
      </w:r>
      <w:r>
        <w:rPr/>
        <w:t>family</w:t>
      </w:r>
      <w:r>
        <w:rPr>
          <w:spacing w:val="-7"/>
        </w:rPr>
        <w:t> </w:t>
      </w:r>
      <w:r>
        <w:rPr/>
        <w:t>and as</w:t>
      </w:r>
      <w:r>
        <w:rPr>
          <w:spacing w:val="-2"/>
        </w:rPr>
        <w:t> </w:t>
      </w:r>
      <w:r>
        <w:rPr/>
        <w:t>a</w:t>
      </w:r>
      <w:r>
        <w:rPr>
          <w:spacing w:val="-1"/>
        </w:rPr>
        <w:t> </w:t>
      </w:r>
      <w:r>
        <w:rPr/>
        <w:t>result</w:t>
      </w:r>
      <w:r>
        <w:rPr>
          <w:spacing w:val="-2"/>
        </w:rPr>
        <w:t> </w:t>
      </w:r>
      <w:r>
        <w:rPr/>
        <w:t>of</w:t>
      </w:r>
      <w:r>
        <w:rPr>
          <w:spacing w:val="-1"/>
        </w:rPr>
        <w:t> </w:t>
      </w:r>
      <w:r>
        <w:rPr/>
        <w:t>which</w:t>
      </w:r>
      <w:r>
        <w:rPr>
          <w:spacing w:val="-2"/>
        </w:rPr>
        <w:t> </w:t>
      </w:r>
      <w:r>
        <w:rPr/>
        <w:t>it</w:t>
      </w:r>
      <w:r>
        <w:rPr>
          <w:spacing w:val="-2"/>
        </w:rPr>
        <w:t> </w:t>
      </w:r>
      <w:r>
        <w:rPr/>
        <w:t>is</w:t>
      </w:r>
      <w:r>
        <w:rPr>
          <w:spacing w:val="-2"/>
        </w:rPr>
        <w:t> </w:t>
      </w:r>
      <w:r>
        <w:rPr/>
        <w:t>either</w:t>
      </w:r>
      <w:r>
        <w:rPr>
          <w:spacing w:val="-3"/>
        </w:rPr>
        <w:t> </w:t>
      </w:r>
      <w:r>
        <w:rPr/>
        <w:t>run as a sole enterprise or partnership. Due to this, most of the firm’s organizational structure is pyramidal and as such decision making and information dissemination in the firm.</w:t>
      </w:r>
    </w:p>
    <w:p>
      <w:pPr>
        <w:spacing w:after="0" w:line="480" w:lineRule="auto"/>
        <w:jc w:val="both"/>
        <w:sectPr>
          <w:pgSz w:w="12240" w:h="15840"/>
          <w:pgMar w:header="0" w:footer="1017" w:top="1360" w:bottom="1200" w:left="1040" w:right="120"/>
        </w:sectPr>
      </w:pPr>
    </w:p>
    <w:p>
      <w:pPr>
        <w:pStyle w:val="Heading2"/>
        <w:spacing w:line="482" w:lineRule="auto" w:before="76"/>
        <w:ind w:left="3755" w:right="4675" w:firstLine="1"/>
        <w:jc w:val="center"/>
      </w:pPr>
      <w:r>
        <w:rPr/>
        <w:t>CHAPTER THREE LITERATURE</w:t>
      </w:r>
      <w:r>
        <w:rPr>
          <w:spacing w:val="-15"/>
        </w:rPr>
        <w:t> </w:t>
      </w:r>
      <w:r>
        <w:rPr/>
        <w:t>REVIEW</w:t>
      </w:r>
    </w:p>
    <w:p>
      <w:pPr>
        <w:pStyle w:val="ListParagraph"/>
        <w:numPr>
          <w:ilvl w:val="1"/>
          <w:numId w:val="16"/>
        </w:numPr>
        <w:tabs>
          <w:tab w:pos="1180" w:val="left" w:leader="none"/>
        </w:tabs>
        <w:spacing w:line="240" w:lineRule="auto" w:before="197" w:after="0"/>
        <w:ind w:left="1180" w:right="0" w:hanging="780"/>
        <w:jc w:val="both"/>
        <w:rPr>
          <w:b/>
          <w:sz w:val="24"/>
        </w:rPr>
      </w:pPr>
      <w:r>
        <w:rPr>
          <w:b/>
          <w:spacing w:val="-2"/>
          <w:sz w:val="24"/>
        </w:rPr>
        <w:t>Introduction</w:t>
      </w:r>
    </w:p>
    <w:p>
      <w:pPr>
        <w:pStyle w:val="BodyText"/>
        <w:spacing w:before="194"/>
        <w:rPr>
          <w:b/>
        </w:rPr>
      </w:pPr>
    </w:p>
    <w:p>
      <w:pPr>
        <w:pStyle w:val="BodyText"/>
        <w:spacing w:line="480" w:lineRule="auto"/>
        <w:ind w:left="400" w:right="1318"/>
        <w:jc w:val="both"/>
      </w:pPr>
      <w:r>
        <w:rPr/>
        <w:t>The</w:t>
      </w:r>
      <w:r>
        <w:rPr>
          <w:spacing w:val="40"/>
        </w:rPr>
        <w:t> </w:t>
      </w:r>
      <w:r>
        <w:rPr/>
        <w:t>literature</w:t>
      </w:r>
      <w:r>
        <w:rPr>
          <w:spacing w:val="40"/>
        </w:rPr>
        <w:t> </w:t>
      </w:r>
      <w:r>
        <w:rPr/>
        <w:t>review</w:t>
      </w:r>
      <w:r>
        <w:rPr>
          <w:spacing w:val="40"/>
        </w:rPr>
        <w:t> </w:t>
      </w:r>
      <w:r>
        <w:rPr/>
        <w:t>gives</w:t>
      </w:r>
      <w:r>
        <w:rPr>
          <w:spacing w:val="40"/>
        </w:rPr>
        <w:t> </w:t>
      </w:r>
      <w:r>
        <w:rPr/>
        <w:t>an</w:t>
      </w:r>
      <w:r>
        <w:rPr>
          <w:spacing w:val="40"/>
        </w:rPr>
        <w:t> </w:t>
      </w:r>
      <w:r>
        <w:rPr/>
        <w:t>insight</w:t>
      </w:r>
      <w:r>
        <w:rPr>
          <w:spacing w:val="40"/>
        </w:rPr>
        <w:t> </w:t>
      </w:r>
      <w:r>
        <w:rPr/>
        <w:t>into</w:t>
      </w:r>
      <w:r>
        <w:rPr>
          <w:spacing w:val="40"/>
        </w:rPr>
        <w:t> </w:t>
      </w:r>
      <w:r>
        <w:rPr/>
        <w:t>the</w:t>
      </w:r>
      <w:r>
        <w:rPr>
          <w:spacing w:val="40"/>
        </w:rPr>
        <w:t> </w:t>
      </w:r>
      <w:r>
        <w:rPr/>
        <w:t>work</w:t>
      </w:r>
      <w:r>
        <w:rPr>
          <w:spacing w:val="40"/>
        </w:rPr>
        <w:t> </w:t>
      </w:r>
      <w:r>
        <w:rPr/>
        <w:t>and</w:t>
      </w:r>
      <w:r>
        <w:rPr>
          <w:spacing w:val="40"/>
        </w:rPr>
        <w:t> </w:t>
      </w:r>
      <w:r>
        <w:rPr/>
        <w:t>findings</w:t>
      </w:r>
      <w:r>
        <w:rPr>
          <w:spacing w:val="40"/>
        </w:rPr>
        <w:t> </w:t>
      </w:r>
      <w:r>
        <w:rPr/>
        <w:t>already available within</w:t>
      </w:r>
      <w:r>
        <w:rPr>
          <w:spacing w:val="80"/>
        </w:rPr>
        <w:t> </w:t>
      </w:r>
      <w:r>
        <w:rPr/>
        <w:t>the research area. Therefore, the discussions were weaved around the following sub-headings: TQM evolution; TQM implementation in Nigerian construction industry; Benefits and Obstacles of TQM practices; the Critical Success Factors of TQM; Challenges faced by</w:t>
      </w:r>
      <w:r>
        <w:rPr>
          <w:spacing w:val="-3"/>
        </w:rPr>
        <w:t> </w:t>
      </w:r>
      <w:r>
        <w:rPr/>
        <w:t>SMCFs; Strategies in construction firms; SWOT analysis of SMCFs; Interrelationships between SMCFs, TQM and Competitive Advantage ;TQM Models and frame works and Previous research on TQM.</w:t>
      </w:r>
    </w:p>
    <w:p>
      <w:pPr>
        <w:pStyle w:val="Heading2"/>
        <w:numPr>
          <w:ilvl w:val="1"/>
          <w:numId w:val="16"/>
        </w:numPr>
        <w:tabs>
          <w:tab w:pos="1180" w:val="left" w:leader="none"/>
        </w:tabs>
        <w:spacing w:line="240" w:lineRule="auto" w:before="207" w:after="0"/>
        <w:ind w:left="1180" w:right="0" w:hanging="780"/>
        <w:jc w:val="both"/>
      </w:pPr>
      <w:r>
        <w:rPr/>
        <w:t>Total</w:t>
      </w:r>
      <w:r>
        <w:rPr>
          <w:spacing w:val="-2"/>
        </w:rPr>
        <w:t> </w:t>
      </w:r>
      <w:r>
        <w:rPr/>
        <w:t>Quality</w:t>
      </w:r>
      <w:r>
        <w:rPr>
          <w:spacing w:val="-2"/>
        </w:rPr>
        <w:t> </w:t>
      </w:r>
      <w:r>
        <w:rPr/>
        <w:t>Management</w:t>
      </w:r>
      <w:r>
        <w:rPr>
          <w:spacing w:val="-3"/>
        </w:rPr>
        <w:t> </w:t>
      </w:r>
      <w:r>
        <w:rPr/>
        <w:t>Evolution</w:t>
      </w:r>
      <w:r>
        <w:rPr>
          <w:spacing w:val="-2"/>
        </w:rPr>
        <w:t> </w:t>
      </w:r>
      <w:r>
        <w:rPr/>
        <w:t>(From</w:t>
      </w:r>
      <w:r>
        <w:rPr>
          <w:spacing w:val="-3"/>
        </w:rPr>
        <w:t> </w:t>
      </w:r>
      <w:r>
        <w:rPr/>
        <w:t>Inspection</w:t>
      </w:r>
      <w:r>
        <w:rPr>
          <w:spacing w:val="-2"/>
        </w:rPr>
        <w:t> </w:t>
      </w:r>
      <w:r>
        <w:rPr/>
        <w:t>to</w:t>
      </w:r>
      <w:r>
        <w:rPr>
          <w:spacing w:val="-1"/>
        </w:rPr>
        <w:t> </w:t>
      </w:r>
      <w:r>
        <w:rPr>
          <w:spacing w:val="-4"/>
        </w:rPr>
        <w:t>TQM)</w:t>
      </w:r>
    </w:p>
    <w:p>
      <w:pPr>
        <w:pStyle w:val="BodyText"/>
        <w:spacing w:line="480" w:lineRule="auto" w:before="233"/>
        <w:ind w:left="400" w:right="1317" w:firstLine="60"/>
        <w:jc w:val="both"/>
      </w:pPr>
      <w:r>
        <w:rPr/>
        <w:t>During the early days of manufacturing, work was inspected and a decision made whether to accept or reject it. As business became larger, so, too, did this role and full time inspection jobs were created. However, accompanying the creation of inspection functions, other problems</w:t>
      </w:r>
      <w:r>
        <w:rPr>
          <w:spacing w:val="40"/>
        </w:rPr>
        <w:t> </w:t>
      </w:r>
      <w:r>
        <w:rPr/>
        <w:t>arose, such as more technical problems occurring requiring specialized skills which were often not</w:t>
      </w:r>
      <w:r>
        <w:rPr>
          <w:spacing w:val="-1"/>
        </w:rPr>
        <w:t> </w:t>
      </w:r>
      <w:r>
        <w:rPr/>
        <w:t>possessed</w:t>
      </w:r>
      <w:r>
        <w:rPr>
          <w:spacing w:val="-1"/>
        </w:rPr>
        <w:t> </w:t>
      </w:r>
      <w:r>
        <w:rPr/>
        <w:t>by</w:t>
      </w:r>
      <w:r>
        <w:rPr>
          <w:spacing w:val="-5"/>
        </w:rPr>
        <w:t> </w:t>
      </w:r>
      <w:r>
        <w:rPr/>
        <w:t>production</w:t>
      </w:r>
      <w:r>
        <w:rPr>
          <w:spacing w:val="-1"/>
        </w:rPr>
        <w:t> </w:t>
      </w:r>
      <w:r>
        <w:rPr/>
        <w:t>workers;</w:t>
      </w:r>
      <w:r>
        <w:rPr>
          <w:spacing w:val="-1"/>
        </w:rPr>
        <w:t> </w:t>
      </w:r>
      <w:r>
        <w:rPr/>
        <w:t>the</w:t>
      </w:r>
      <w:r>
        <w:rPr>
          <w:spacing w:val="-2"/>
        </w:rPr>
        <w:t> </w:t>
      </w:r>
      <w:r>
        <w:rPr/>
        <w:t>inspection</w:t>
      </w:r>
      <w:r>
        <w:rPr>
          <w:spacing w:val="-1"/>
        </w:rPr>
        <w:t> </w:t>
      </w:r>
      <w:r>
        <w:rPr/>
        <w:t>lacked</w:t>
      </w:r>
      <w:r>
        <w:rPr>
          <w:spacing w:val="-1"/>
        </w:rPr>
        <w:t> </w:t>
      </w:r>
      <w:r>
        <w:rPr/>
        <w:t>training;</w:t>
      </w:r>
      <w:r>
        <w:rPr>
          <w:spacing w:val="-1"/>
        </w:rPr>
        <w:t> </w:t>
      </w:r>
      <w:r>
        <w:rPr/>
        <w:t>and</w:t>
      </w:r>
      <w:r>
        <w:rPr>
          <w:spacing w:val="-1"/>
        </w:rPr>
        <w:t> </w:t>
      </w:r>
      <w:r>
        <w:rPr/>
        <w:t>inspectors</w:t>
      </w:r>
      <w:r>
        <w:rPr>
          <w:spacing w:val="-1"/>
        </w:rPr>
        <w:t> </w:t>
      </w:r>
      <w:r>
        <w:rPr/>
        <w:t>were</w:t>
      </w:r>
      <w:r>
        <w:rPr>
          <w:spacing w:val="-2"/>
        </w:rPr>
        <w:t> </w:t>
      </w:r>
      <w:r>
        <w:rPr/>
        <w:t>ordered to accept defective goods to increase output. These changes led to the birth of the separate department</w:t>
      </w:r>
      <w:r>
        <w:rPr>
          <w:spacing w:val="-1"/>
        </w:rPr>
        <w:t> </w:t>
      </w:r>
      <w:r>
        <w:rPr/>
        <w:t>with</w:t>
      </w:r>
      <w:r>
        <w:rPr>
          <w:spacing w:val="-1"/>
        </w:rPr>
        <w:t> </w:t>
      </w:r>
      <w:r>
        <w:rPr/>
        <w:t>a</w:t>
      </w:r>
      <w:r>
        <w:rPr>
          <w:spacing w:val="-2"/>
        </w:rPr>
        <w:t> </w:t>
      </w:r>
      <w:r>
        <w:rPr/>
        <w:t>chief</w:t>
      </w:r>
      <w:r>
        <w:rPr>
          <w:spacing w:val="-2"/>
        </w:rPr>
        <w:t> </w:t>
      </w:r>
      <w:r>
        <w:rPr/>
        <w:t>inspector</w:t>
      </w:r>
      <w:r>
        <w:rPr>
          <w:spacing w:val="-2"/>
        </w:rPr>
        <w:t> </w:t>
      </w:r>
      <w:r>
        <w:rPr/>
        <w:t>reporting</w:t>
      </w:r>
      <w:r>
        <w:rPr>
          <w:spacing w:val="-3"/>
        </w:rPr>
        <w:t> </w:t>
      </w:r>
      <w:r>
        <w:rPr/>
        <w:t>to</w:t>
      </w:r>
      <w:r>
        <w:rPr>
          <w:spacing w:val="-1"/>
        </w:rPr>
        <w:t> </w:t>
      </w:r>
      <w:r>
        <w:rPr/>
        <w:t>either</w:t>
      </w:r>
      <w:r>
        <w:rPr>
          <w:spacing w:val="-2"/>
        </w:rPr>
        <w:t> </w:t>
      </w:r>
      <w:r>
        <w:rPr/>
        <w:t>the</w:t>
      </w:r>
      <w:r>
        <w:rPr>
          <w:spacing w:val="-2"/>
        </w:rPr>
        <w:t> </w:t>
      </w:r>
      <w:r>
        <w:rPr/>
        <w:t>person</w:t>
      </w:r>
      <w:r>
        <w:rPr>
          <w:spacing w:val="-1"/>
        </w:rPr>
        <w:t> </w:t>
      </w:r>
      <w:r>
        <w:rPr/>
        <w:t>in charge</w:t>
      </w:r>
      <w:r>
        <w:rPr>
          <w:spacing w:val="-2"/>
        </w:rPr>
        <w:t> </w:t>
      </w:r>
      <w:r>
        <w:rPr/>
        <w:t>of manufacturing</w:t>
      </w:r>
      <w:r>
        <w:rPr>
          <w:spacing w:val="-3"/>
        </w:rPr>
        <w:t> </w:t>
      </w:r>
      <w:r>
        <w:rPr/>
        <w:t>or</w:t>
      </w:r>
      <w:r>
        <w:rPr>
          <w:spacing w:val="-2"/>
        </w:rPr>
        <w:t> </w:t>
      </w:r>
      <w:r>
        <w:rPr/>
        <w:t>the works manager. With the creation of the new department, there came new services and issues, such as standard of training, recording of</w:t>
      </w:r>
      <w:r>
        <w:rPr>
          <w:spacing w:val="-1"/>
        </w:rPr>
        <w:t> </w:t>
      </w:r>
      <w:r>
        <w:rPr/>
        <w:t>data</w:t>
      </w:r>
      <w:r>
        <w:rPr>
          <w:spacing w:val="-1"/>
        </w:rPr>
        <w:t> </w:t>
      </w:r>
      <w:r>
        <w:rPr/>
        <w:t>and the</w:t>
      </w:r>
      <w:r>
        <w:rPr>
          <w:spacing w:val="-1"/>
        </w:rPr>
        <w:t> </w:t>
      </w:r>
      <w:r>
        <w:rPr/>
        <w:t>accuracy</w:t>
      </w:r>
      <w:r>
        <w:rPr>
          <w:spacing w:val="-5"/>
        </w:rPr>
        <w:t> </w:t>
      </w:r>
      <w:r>
        <w:rPr/>
        <w:t>of measuring equipment. Thus, it became clear</w:t>
      </w:r>
      <w:r>
        <w:rPr>
          <w:spacing w:val="-1"/>
        </w:rPr>
        <w:t> </w:t>
      </w:r>
      <w:r>
        <w:rPr/>
        <w:t>that the</w:t>
      </w:r>
      <w:r>
        <w:rPr>
          <w:spacing w:val="-1"/>
        </w:rPr>
        <w:t> </w:t>
      </w:r>
      <w:r>
        <w:rPr/>
        <w:t>responsibility</w:t>
      </w:r>
      <w:r>
        <w:rPr>
          <w:spacing w:val="-6"/>
        </w:rPr>
        <w:t> </w:t>
      </w:r>
      <w:r>
        <w:rPr/>
        <w:t>of</w:t>
      </w:r>
      <w:r>
        <w:rPr>
          <w:spacing w:val="-1"/>
        </w:rPr>
        <w:t> </w:t>
      </w:r>
      <w:r>
        <w:rPr/>
        <w:t>the</w:t>
      </w:r>
      <w:r>
        <w:rPr>
          <w:spacing w:val="-1"/>
        </w:rPr>
        <w:t> </w:t>
      </w:r>
      <w:r>
        <w:rPr/>
        <w:t>chief</w:t>
      </w:r>
      <w:r>
        <w:rPr>
          <w:spacing w:val="-1"/>
        </w:rPr>
        <w:t> </w:t>
      </w:r>
      <w:r>
        <w:rPr/>
        <w:t>inspector</w:t>
      </w:r>
      <w:r>
        <w:rPr>
          <w:spacing w:val="-1"/>
        </w:rPr>
        <w:t> </w:t>
      </w:r>
      <w:r>
        <w:rPr/>
        <w:t>was more</w:t>
      </w:r>
      <w:r>
        <w:rPr>
          <w:spacing w:val="-1"/>
        </w:rPr>
        <w:t> </w:t>
      </w:r>
      <w:r>
        <w:rPr/>
        <w:t>than just product acceptance, and a</w:t>
      </w:r>
      <w:r>
        <w:rPr>
          <w:spacing w:val="2"/>
        </w:rPr>
        <w:t> </w:t>
      </w:r>
      <w:r>
        <w:rPr/>
        <w:t>need</w:t>
      </w:r>
      <w:r>
        <w:rPr>
          <w:spacing w:val="3"/>
        </w:rPr>
        <w:t> </w:t>
      </w:r>
      <w:r>
        <w:rPr/>
        <w:t>to</w:t>
      </w:r>
      <w:r>
        <w:rPr>
          <w:spacing w:val="2"/>
        </w:rPr>
        <w:t> </w:t>
      </w:r>
      <w:r>
        <w:rPr/>
        <w:t>address</w:t>
      </w:r>
      <w:r>
        <w:rPr>
          <w:spacing w:val="4"/>
        </w:rPr>
        <w:t> </w:t>
      </w:r>
      <w:r>
        <w:rPr/>
        <w:t>defect</w:t>
      </w:r>
      <w:r>
        <w:rPr>
          <w:spacing w:val="4"/>
        </w:rPr>
        <w:t> </w:t>
      </w:r>
      <w:r>
        <w:rPr/>
        <w:t>prevention</w:t>
      </w:r>
      <w:r>
        <w:rPr>
          <w:spacing w:val="2"/>
        </w:rPr>
        <w:t> </w:t>
      </w:r>
      <w:r>
        <w:rPr/>
        <w:t>emerged.</w:t>
      </w:r>
      <w:r>
        <w:rPr>
          <w:spacing w:val="6"/>
        </w:rPr>
        <w:t> </w:t>
      </w:r>
      <w:r>
        <w:rPr/>
        <w:t>Hence,</w:t>
      </w:r>
      <w:r>
        <w:rPr>
          <w:spacing w:val="3"/>
        </w:rPr>
        <w:t> </w:t>
      </w:r>
      <w:r>
        <w:rPr/>
        <w:t>the</w:t>
      </w:r>
      <w:r>
        <w:rPr>
          <w:spacing w:val="1"/>
        </w:rPr>
        <w:t> </w:t>
      </w:r>
      <w:r>
        <w:rPr/>
        <w:t>quality</w:t>
      </w:r>
      <w:r>
        <w:rPr>
          <w:spacing w:val="-1"/>
        </w:rPr>
        <w:t> </w:t>
      </w:r>
      <w:r>
        <w:rPr/>
        <w:t>control</w:t>
      </w:r>
      <w:r>
        <w:rPr>
          <w:spacing w:val="4"/>
        </w:rPr>
        <w:t> </w:t>
      </w:r>
      <w:r>
        <w:rPr/>
        <w:t>department</w:t>
      </w:r>
      <w:r>
        <w:rPr>
          <w:spacing w:val="4"/>
        </w:rPr>
        <w:t> </w:t>
      </w:r>
      <w:r>
        <w:rPr>
          <w:spacing w:val="-2"/>
        </w:rPr>
        <w:t>evolved,</w:t>
      </w:r>
    </w:p>
    <w:p>
      <w:pPr>
        <w:spacing w:after="0" w:line="480" w:lineRule="auto"/>
        <w:jc w:val="both"/>
        <w:sectPr>
          <w:pgSz w:w="12240" w:h="15840"/>
          <w:pgMar w:header="0" w:footer="1017" w:top="1360" w:bottom="1200" w:left="1040" w:right="120"/>
        </w:sectPr>
      </w:pPr>
    </w:p>
    <w:p>
      <w:pPr>
        <w:pStyle w:val="BodyText"/>
        <w:spacing w:line="482" w:lineRule="auto" w:before="72"/>
        <w:ind w:left="399" w:right="1318"/>
        <w:jc w:val="both"/>
      </w:pPr>
      <w:r>
        <w:rPr/>
        <w:t>in charge of which was a quality control manager with responsibility for the inspection services and quality control engineering.</w:t>
      </w:r>
    </w:p>
    <w:p>
      <w:pPr>
        <w:pStyle w:val="BodyText"/>
        <w:spacing w:line="480" w:lineRule="auto" w:before="193"/>
        <w:ind w:left="399" w:right="1313"/>
        <w:jc w:val="both"/>
      </w:pPr>
      <w:r>
        <w:rPr/>
        <w:t>In the 1920’s, statistical theory began to be applied effectively to quality control and, in 1924, Shewhart made the first sketch of a modern control chart. His work was later developed by Deming and the early work of Shewhart, Deming, Dodge and Romig constitutes much of what today comprises the theory of statistical process control (SPC). However, there was little use for these techniques in manufacturing companies until the late 1940’s. At that time, Japan’s industrial system was virtually</w:t>
      </w:r>
      <w:r>
        <w:rPr>
          <w:spacing w:val="-2"/>
        </w:rPr>
        <w:t> </w:t>
      </w:r>
      <w:r>
        <w:rPr/>
        <w:t>destroyed, and it had a reputation of cheap imitation products and an illiterate workforce. The Japanese recognised these problems and set about solving them with the help of some notable quality gurus: Juran, Deming and Feigenbaum. In the 1950’s, quality management practices developed rapidly in Japanese plants and become a major theme in Japanese management philosophy. By the late 1960’s and early 1970’s, Japan’s imports into the USA</w:t>
      </w:r>
      <w:r>
        <w:rPr>
          <w:spacing w:val="-1"/>
        </w:rPr>
        <w:t> </w:t>
      </w:r>
      <w:r>
        <w:rPr/>
        <w:t>and Europe</w:t>
      </w:r>
      <w:r>
        <w:rPr>
          <w:spacing w:val="-1"/>
        </w:rPr>
        <w:t> </w:t>
      </w:r>
      <w:r>
        <w:rPr/>
        <w:t>increased significantly, due</w:t>
      </w:r>
      <w:r>
        <w:rPr>
          <w:spacing w:val="-1"/>
        </w:rPr>
        <w:t> </w:t>
      </w:r>
      <w:r>
        <w:rPr/>
        <w:t>to its cheaper, higher</w:t>
      </w:r>
      <w:r>
        <w:rPr>
          <w:spacing w:val="-1"/>
        </w:rPr>
        <w:t> </w:t>
      </w:r>
      <w:r>
        <w:rPr/>
        <w:t>quality</w:t>
      </w:r>
      <w:r>
        <w:rPr>
          <w:spacing w:val="-2"/>
        </w:rPr>
        <w:t> </w:t>
      </w:r>
      <w:r>
        <w:rPr/>
        <w:t>products, compared to Western counterparts.</w:t>
      </w:r>
    </w:p>
    <w:p>
      <w:pPr>
        <w:pStyle w:val="BodyText"/>
        <w:spacing w:line="480" w:lineRule="auto" w:before="200"/>
        <w:ind w:left="399" w:right="1315"/>
        <w:jc w:val="both"/>
      </w:pPr>
      <w:r>
        <w:rPr/>
        <w:t>In 1969, the first international conference on quality control sponsored by Japan, America and Europe, was held in Tokyo. Feigenbaum states that the term “total quality” was used for the first time and referred to wider issues such as planning, organisation and management responsibility. Ishikawa (1985) explains how “total quality control” in Japan was different, as it was referred to as “company wider quality control” and describes how all employees and management must study and participate in quality control. However, the quality revolution in the west was slow to follow and did not begin until the early 1980’s when companies introduced their own quality programmes and initiatives to counter the Japanese success. According to the UK Department of Trade</w:t>
      </w:r>
      <w:r>
        <w:rPr>
          <w:spacing w:val="40"/>
        </w:rPr>
        <w:t> </w:t>
      </w:r>
      <w:r>
        <w:rPr/>
        <w:t>and</w:t>
      </w:r>
      <w:r>
        <w:rPr>
          <w:spacing w:val="49"/>
        </w:rPr>
        <w:t> </w:t>
      </w:r>
      <w:r>
        <w:rPr/>
        <w:t>Industry</w:t>
      </w:r>
      <w:r>
        <w:rPr>
          <w:spacing w:val="39"/>
        </w:rPr>
        <w:t> </w:t>
      </w:r>
      <w:r>
        <w:rPr/>
        <w:t>(1982),</w:t>
      </w:r>
      <w:r>
        <w:rPr>
          <w:spacing w:val="44"/>
        </w:rPr>
        <w:t> </w:t>
      </w:r>
      <w:r>
        <w:rPr/>
        <w:t>Britain’s</w:t>
      </w:r>
      <w:r>
        <w:rPr>
          <w:spacing w:val="44"/>
        </w:rPr>
        <w:t> </w:t>
      </w:r>
      <w:r>
        <w:rPr/>
        <w:t>world</w:t>
      </w:r>
      <w:r>
        <w:rPr>
          <w:spacing w:val="44"/>
        </w:rPr>
        <w:t> </w:t>
      </w:r>
      <w:r>
        <w:rPr/>
        <w:t>trade</w:t>
      </w:r>
      <w:r>
        <w:rPr>
          <w:spacing w:val="43"/>
        </w:rPr>
        <w:t> </w:t>
      </w:r>
      <w:r>
        <w:rPr/>
        <w:t>share</w:t>
      </w:r>
      <w:r>
        <w:rPr>
          <w:spacing w:val="43"/>
        </w:rPr>
        <w:t> </w:t>
      </w:r>
      <w:r>
        <w:rPr/>
        <w:t>was</w:t>
      </w:r>
      <w:r>
        <w:rPr>
          <w:spacing w:val="44"/>
        </w:rPr>
        <w:t> </w:t>
      </w:r>
      <w:r>
        <w:rPr/>
        <w:t>declining</w:t>
      </w:r>
      <w:r>
        <w:rPr>
          <w:spacing w:val="44"/>
        </w:rPr>
        <w:t> </w:t>
      </w:r>
      <w:r>
        <w:rPr/>
        <w:t>and</w:t>
      </w:r>
      <w:r>
        <w:rPr>
          <w:spacing w:val="44"/>
        </w:rPr>
        <w:t> </w:t>
      </w:r>
      <w:r>
        <w:rPr/>
        <w:t>this</w:t>
      </w:r>
      <w:r>
        <w:rPr>
          <w:spacing w:val="44"/>
        </w:rPr>
        <w:t> </w:t>
      </w:r>
      <w:r>
        <w:rPr/>
        <w:t>was</w:t>
      </w:r>
      <w:r>
        <w:rPr>
          <w:spacing w:val="44"/>
        </w:rPr>
        <w:t> </w:t>
      </w:r>
      <w:r>
        <w:rPr/>
        <w:t>having</w:t>
      </w:r>
      <w:r>
        <w:rPr>
          <w:spacing w:val="44"/>
        </w:rPr>
        <w:t> </w:t>
      </w:r>
      <w:r>
        <w:rPr>
          <w:spacing w:val="-10"/>
        </w:rPr>
        <w:t>a</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dramatic effect on the standard of living in the country. There was intense global competition</w:t>
      </w:r>
      <w:r>
        <w:rPr>
          <w:spacing w:val="40"/>
        </w:rPr>
        <w:t> </w:t>
      </w:r>
      <w:r>
        <w:rPr/>
        <w:t>and any country’s economic performance and reputation for quality was made up of the reputation and performance of its individual companies and products/services.</w:t>
      </w:r>
    </w:p>
    <w:p>
      <w:pPr>
        <w:pStyle w:val="BodyText"/>
        <w:spacing w:line="480" w:lineRule="auto" w:before="199"/>
        <w:ind w:left="399" w:right="1315"/>
        <w:jc w:val="both"/>
      </w:pPr>
      <w:r>
        <w:rPr/>
        <w:t>The British Standard (BS) 5750 for quality systems had been published in 1979 and in 1983 the National Quality Campaign was launched, using BS5750 as its main theme. The aim was to</w:t>
      </w:r>
      <w:r>
        <w:rPr>
          <w:spacing w:val="40"/>
        </w:rPr>
        <w:t> </w:t>
      </w:r>
      <w:r>
        <w:rPr/>
        <w:t>bring to the attention of industry the importance of quality for competitiveness and survival in</w:t>
      </w:r>
      <w:r>
        <w:rPr>
          <w:spacing w:val="40"/>
        </w:rPr>
        <w:t> </w:t>
      </w:r>
      <w:r>
        <w:rPr/>
        <w:t>the world market place. Since then, the International Standardization Organization (ISO) 9000 has become the internationally recognized standard for quality management systems. It</w:t>
      </w:r>
      <w:r>
        <w:rPr>
          <w:spacing w:val="40"/>
        </w:rPr>
        <w:t> </w:t>
      </w:r>
      <w:r>
        <w:rPr/>
        <w:t>comprises a number of standards that specify the requirements for the documentation, implementation and maintenance of quality systems. TQM is now part of a much wider concept that addresses overall organizational performance and recognizes the importance of process.</w:t>
      </w:r>
    </w:p>
    <w:p>
      <w:pPr>
        <w:pStyle w:val="BodyText"/>
        <w:spacing w:line="480" w:lineRule="auto" w:before="200"/>
        <w:ind w:left="400" w:right="1316"/>
        <w:jc w:val="both"/>
      </w:pPr>
      <w:r>
        <w:rPr/>
        <w:t>Some researchers have defined different levels of TQM evolution. For instance, Chin </w:t>
      </w:r>
      <w:r>
        <w:rPr>
          <w:i/>
        </w:rPr>
        <w:t>et al. </w:t>
      </w:r>
      <w:r>
        <w:rPr/>
        <w:t>(2002) identify TQM evolution as five stages: could be better; room for improvement;</w:t>
      </w:r>
      <w:r>
        <w:rPr>
          <w:spacing w:val="40"/>
        </w:rPr>
        <w:t> </w:t>
      </w:r>
      <w:r>
        <w:rPr/>
        <w:t>promising;</w:t>
      </w:r>
      <w:r>
        <w:rPr>
          <w:spacing w:val="-3"/>
        </w:rPr>
        <w:t> </w:t>
      </w:r>
      <w:r>
        <w:rPr/>
        <w:t>vulnerable;</w:t>
      </w:r>
      <w:r>
        <w:rPr>
          <w:spacing w:val="-3"/>
        </w:rPr>
        <w:t> </w:t>
      </w:r>
      <w:r>
        <w:rPr/>
        <w:t>potential</w:t>
      </w:r>
      <w:r>
        <w:rPr>
          <w:spacing w:val="-3"/>
        </w:rPr>
        <w:t> </w:t>
      </w:r>
      <w:r>
        <w:rPr/>
        <w:t>winners;</w:t>
      </w:r>
      <w:r>
        <w:rPr>
          <w:spacing w:val="-3"/>
        </w:rPr>
        <w:t> </w:t>
      </w:r>
      <w:r>
        <w:rPr/>
        <w:t>and</w:t>
      </w:r>
      <w:r>
        <w:rPr>
          <w:spacing w:val="-3"/>
        </w:rPr>
        <w:t> </w:t>
      </w:r>
      <w:r>
        <w:rPr/>
        <w:t>world</w:t>
      </w:r>
      <w:r>
        <w:rPr>
          <w:spacing w:val="-3"/>
        </w:rPr>
        <w:t> </w:t>
      </w:r>
      <w:r>
        <w:rPr/>
        <w:t>class.</w:t>
      </w:r>
      <w:r>
        <w:rPr>
          <w:spacing w:val="-1"/>
        </w:rPr>
        <w:t> </w:t>
      </w:r>
      <w:r>
        <w:rPr/>
        <w:t>Lau</w:t>
      </w:r>
      <w:r>
        <w:rPr>
          <w:spacing w:val="-3"/>
        </w:rPr>
        <w:t> </w:t>
      </w:r>
      <w:r>
        <w:rPr>
          <w:i/>
        </w:rPr>
        <w:t>et</w:t>
      </w:r>
      <w:r>
        <w:rPr>
          <w:i/>
          <w:spacing w:val="-3"/>
        </w:rPr>
        <w:t> </w:t>
      </w:r>
      <w:r>
        <w:rPr>
          <w:i/>
        </w:rPr>
        <w:t>al.</w:t>
      </w:r>
      <w:r>
        <w:rPr>
          <w:i/>
          <w:spacing w:val="-3"/>
        </w:rPr>
        <w:t> </w:t>
      </w:r>
      <w:r>
        <w:rPr/>
        <w:t>(2004)</w:t>
      </w:r>
      <w:r>
        <w:rPr>
          <w:spacing w:val="-2"/>
        </w:rPr>
        <w:t> </w:t>
      </w:r>
      <w:r>
        <w:rPr/>
        <w:t>classify</w:t>
      </w:r>
      <w:r>
        <w:rPr>
          <w:spacing w:val="-8"/>
        </w:rPr>
        <w:t> </w:t>
      </w:r>
      <w:r>
        <w:rPr/>
        <w:t>five</w:t>
      </w:r>
      <w:r>
        <w:rPr>
          <w:spacing w:val="-4"/>
        </w:rPr>
        <w:t> </w:t>
      </w:r>
      <w:r>
        <w:rPr/>
        <w:t>levels</w:t>
      </w:r>
      <w:r>
        <w:rPr>
          <w:spacing w:val="-3"/>
        </w:rPr>
        <w:t> </w:t>
      </w:r>
      <w:r>
        <w:rPr/>
        <w:t>of development: unaware; uncommitted; initiator; improver; and achiever. However, Crosby,</w:t>
      </w:r>
      <w:r>
        <w:rPr>
          <w:spacing w:val="80"/>
        </w:rPr>
        <w:t> </w:t>
      </w:r>
      <w:r>
        <w:rPr/>
        <w:t>Weeb, Bryant and others categorize the TQM evolution into four stages within this progression as: Quality Inspection, Quality Control, Quality Assurance and Total Quality Management, as </w:t>
      </w:r>
      <w:r>
        <w:rPr>
          <w:spacing w:val="-2"/>
        </w:rPr>
        <w:t>follows:</w:t>
      </w:r>
    </w:p>
    <w:p>
      <w:pPr>
        <w:pStyle w:val="Heading2"/>
        <w:numPr>
          <w:ilvl w:val="2"/>
          <w:numId w:val="16"/>
        </w:numPr>
        <w:tabs>
          <w:tab w:pos="1180" w:val="left" w:leader="none"/>
        </w:tabs>
        <w:spacing w:line="240" w:lineRule="auto" w:before="209" w:after="0"/>
        <w:ind w:left="1180" w:right="0" w:hanging="780"/>
        <w:jc w:val="both"/>
      </w:pPr>
      <w:r>
        <w:rPr/>
        <w:t>Quality</w:t>
      </w:r>
      <w:r>
        <w:rPr>
          <w:spacing w:val="-4"/>
        </w:rPr>
        <w:t> </w:t>
      </w:r>
      <w:r>
        <w:rPr/>
        <w:t>inspection</w:t>
      </w:r>
      <w:r>
        <w:rPr>
          <w:spacing w:val="-3"/>
        </w:rPr>
        <w:t> </w:t>
      </w:r>
      <w:r>
        <w:rPr>
          <w:spacing w:val="-4"/>
        </w:rPr>
        <w:t>(QI)</w:t>
      </w:r>
    </w:p>
    <w:p>
      <w:pPr>
        <w:pStyle w:val="BodyText"/>
        <w:spacing w:line="480" w:lineRule="auto" w:before="233"/>
        <w:ind w:left="400" w:right="1319"/>
        <w:jc w:val="both"/>
      </w:pPr>
      <w:r>
        <w:rPr/>
        <w:t>Quality Inspection is defined by Dale and Bunney (1999) as “activity such as measuring, examining, testing or gauging one or more characteristic of an entity and comparing the results with</w:t>
      </w:r>
      <w:r>
        <w:rPr>
          <w:spacing w:val="63"/>
        </w:rPr>
        <w:t> </w:t>
      </w:r>
      <w:r>
        <w:rPr/>
        <w:t>specified</w:t>
      </w:r>
      <w:r>
        <w:rPr>
          <w:spacing w:val="65"/>
        </w:rPr>
        <w:t> </w:t>
      </w:r>
      <w:r>
        <w:rPr/>
        <w:t>requirements</w:t>
      </w:r>
      <w:r>
        <w:rPr>
          <w:spacing w:val="66"/>
        </w:rPr>
        <w:t> </w:t>
      </w:r>
      <w:r>
        <w:rPr/>
        <w:t>in</w:t>
      </w:r>
      <w:r>
        <w:rPr>
          <w:spacing w:val="65"/>
        </w:rPr>
        <w:t> </w:t>
      </w:r>
      <w:r>
        <w:rPr/>
        <w:t>order</w:t>
      </w:r>
      <w:r>
        <w:rPr>
          <w:spacing w:val="65"/>
        </w:rPr>
        <w:t> </w:t>
      </w:r>
      <w:r>
        <w:rPr/>
        <w:t>to</w:t>
      </w:r>
      <w:r>
        <w:rPr>
          <w:spacing w:val="65"/>
        </w:rPr>
        <w:t> </w:t>
      </w:r>
      <w:r>
        <w:rPr/>
        <w:t>establish</w:t>
      </w:r>
      <w:r>
        <w:rPr>
          <w:spacing w:val="65"/>
        </w:rPr>
        <w:t> </w:t>
      </w:r>
      <w:r>
        <w:rPr/>
        <w:t>whether</w:t>
      </w:r>
      <w:r>
        <w:rPr>
          <w:spacing w:val="65"/>
        </w:rPr>
        <w:t> </w:t>
      </w:r>
      <w:r>
        <w:rPr/>
        <w:t>conformity</w:t>
      </w:r>
      <w:r>
        <w:rPr>
          <w:spacing w:val="62"/>
        </w:rPr>
        <w:t> </w:t>
      </w:r>
      <w:r>
        <w:rPr/>
        <w:t>is</w:t>
      </w:r>
      <w:r>
        <w:rPr>
          <w:spacing w:val="66"/>
        </w:rPr>
        <w:t> </w:t>
      </w:r>
      <w:r>
        <w:rPr/>
        <w:t>achieved</w:t>
      </w:r>
      <w:r>
        <w:rPr>
          <w:spacing w:val="65"/>
        </w:rPr>
        <w:t> </w:t>
      </w:r>
      <w:r>
        <w:rPr/>
        <w:t>for</w:t>
      </w:r>
      <w:r>
        <w:rPr>
          <w:spacing w:val="67"/>
        </w:rPr>
        <w:t> </w:t>
      </w:r>
      <w:r>
        <w:rPr>
          <w:spacing w:val="-4"/>
        </w:rPr>
        <w:t>each</w:t>
      </w:r>
    </w:p>
    <w:p>
      <w:pPr>
        <w:spacing w:after="0" w:line="480" w:lineRule="auto"/>
        <w:jc w:val="both"/>
        <w:sectPr>
          <w:pgSz w:w="12240" w:h="15840"/>
          <w:pgMar w:header="0" w:footer="1017" w:top="1360" w:bottom="1200" w:left="1040" w:right="120"/>
        </w:sectPr>
      </w:pPr>
    </w:p>
    <w:p>
      <w:pPr>
        <w:pStyle w:val="BodyText"/>
        <w:spacing w:line="480" w:lineRule="auto" w:before="72"/>
        <w:ind w:left="399" w:right="1315"/>
        <w:jc w:val="both"/>
      </w:pPr>
      <w:r>
        <w:rPr/>
        <w:t>characteristic”. Feigbaum (1991) points out that quality inspection was adopted before the First World War and developed after the Second World War as a result of increasing worker numbers and job complexity which made it harder to keep quality at the required level and, thus, it was necessary to develop a quality inspection concept within factories or organisations. However, according</w:t>
      </w:r>
      <w:r>
        <w:rPr>
          <w:spacing w:val="-2"/>
        </w:rPr>
        <w:t> </w:t>
      </w:r>
      <w:r>
        <w:rPr/>
        <w:t>to Costin (1994), at one</w:t>
      </w:r>
      <w:r>
        <w:rPr>
          <w:spacing w:val="-1"/>
        </w:rPr>
        <w:t> </w:t>
      </w:r>
      <w:r>
        <w:rPr/>
        <w:t>time</w:t>
      </w:r>
      <w:r>
        <w:rPr>
          <w:spacing w:val="-1"/>
        </w:rPr>
        <w:t> </w:t>
      </w:r>
      <w:r>
        <w:rPr/>
        <w:t>products and services were</w:t>
      </w:r>
      <w:r>
        <w:rPr>
          <w:spacing w:val="-1"/>
        </w:rPr>
        <w:t> </w:t>
      </w:r>
      <w:r>
        <w:rPr/>
        <w:t>examined, measured or</w:t>
      </w:r>
      <w:r>
        <w:rPr>
          <w:spacing w:val="-1"/>
        </w:rPr>
        <w:t> </w:t>
      </w:r>
      <w:r>
        <w:rPr/>
        <w:t>tested under a simple inspection-based system to assess their conformity. Costin adds that inspection was a way of ensuring quality at an appropriate point, which differs between manufacturing, services or commercial types. Moreover, an inspection system was applied as an appraisal point by those responsible for a process of self-inspection or by experienced staff employed specifically for this purpose. During that period, any materials, products or components not conforming to specification used to be modified, reworked or passed on concession. In addition, inspection</w:t>
      </w:r>
      <w:r>
        <w:rPr>
          <w:spacing w:val="-3"/>
        </w:rPr>
        <w:t> </w:t>
      </w:r>
      <w:r>
        <w:rPr/>
        <w:t>used</w:t>
      </w:r>
      <w:r>
        <w:rPr>
          <w:spacing w:val="-3"/>
        </w:rPr>
        <w:t> </w:t>
      </w:r>
      <w:r>
        <w:rPr/>
        <w:t>to</w:t>
      </w:r>
      <w:r>
        <w:rPr>
          <w:spacing w:val="-3"/>
        </w:rPr>
        <w:t> </w:t>
      </w:r>
      <w:r>
        <w:rPr/>
        <w:t>grade</w:t>
      </w:r>
      <w:r>
        <w:rPr>
          <w:spacing w:val="-4"/>
        </w:rPr>
        <w:t> </w:t>
      </w:r>
      <w:r>
        <w:rPr/>
        <w:t>the</w:t>
      </w:r>
      <w:r>
        <w:rPr>
          <w:spacing w:val="-4"/>
        </w:rPr>
        <w:t> </w:t>
      </w:r>
      <w:r>
        <w:rPr/>
        <w:t>final</w:t>
      </w:r>
      <w:r>
        <w:rPr>
          <w:spacing w:val="-3"/>
        </w:rPr>
        <w:t> </w:t>
      </w:r>
      <w:r>
        <w:rPr/>
        <w:t>product</w:t>
      </w:r>
      <w:r>
        <w:rPr>
          <w:spacing w:val="-3"/>
        </w:rPr>
        <w:t> </w:t>
      </w:r>
      <w:r>
        <w:rPr/>
        <w:t>and</w:t>
      </w:r>
      <w:r>
        <w:rPr>
          <w:spacing w:val="-3"/>
        </w:rPr>
        <w:t> </w:t>
      </w:r>
      <w:r>
        <w:rPr/>
        <w:t>not</w:t>
      </w:r>
      <w:r>
        <w:rPr>
          <w:spacing w:val="-1"/>
        </w:rPr>
        <w:t> </w:t>
      </w:r>
      <w:r>
        <w:rPr/>
        <w:t>directly</w:t>
      </w:r>
      <w:r>
        <w:rPr>
          <w:spacing w:val="-7"/>
        </w:rPr>
        <w:t> </w:t>
      </w:r>
      <w:r>
        <w:rPr/>
        <w:t>involve</w:t>
      </w:r>
      <w:r>
        <w:rPr>
          <w:spacing w:val="-4"/>
        </w:rPr>
        <w:t> </w:t>
      </w:r>
      <w:r>
        <w:rPr/>
        <w:t>operation</w:t>
      </w:r>
      <w:r>
        <w:rPr>
          <w:spacing w:val="-3"/>
        </w:rPr>
        <w:t> </w:t>
      </w:r>
      <w:r>
        <w:rPr/>
        <w:t>processes,</w:t>
      </w:r>
      <w:r>
        <w:rPr>
          <w:spacing w:val="-1"/>
        </w:rPr>
        <w:t> </w:t>
      </w:r>
      <w:r>
        <w:rPr/>
        <w:t>customers or suppliers.</w:t>
      </w:r>
    </w:p>
    <w:p>
      <w:pPr>
        <w:pStyle w:val="Heading2"/>
        <w:numPr>
          <w:ilvl w:val="2"/>
          <w:numId w:val="16"/>
        </w:numPr>
        <w:tabs>
          <w:tab w:pos="1180" w:val="left" w:leader="none"/>
        </w:tabs>
        <w:spacing w:line="240" w:lineRule="auto" w:before="207" w:after="0"/>
        <w:ind w:left="1180" w:right="0" w:hanging="780"/>
        <w:jc w:val="both"/>
      </w:pPr>
      <w:r>
        <w:rPr/>
        <w:t>Quality</w:t>
      </w:r>
      <w:r>
        <w:rPr>
          <w:spacing w:val="-4"/>
        </w:rPr>
        <w:t> </w:t>
      </w:r>
      <w:r>
        <w:rPr/>
        <w:t>control</w:t>
      </w:r>
      <w:r>
        <w:rPr>
          <w:spacing w:val="-2"/>
        </w:rPr>
        <w:t> </w:t>
      </w:r>
      <w:r>
        <w:rPr>
          <w:spacing w:val="-4"/>
        </w:rPr>
        <w:t>(QC)</w:t>
      </w:r>
    </w:p>
    <w:p>
      <w:pPr>
        <w:pStyle w:val="BodyText"/>
        <w:spacing w:before="192"/>
        <w:rPr>
          <w:b/>
        </w:rPr>
      </w:pPr>
    </w:p>
    <w:p>
      <w:pPr>
        <w:pStyle w:val="BodyText"/>
        <w:spacing w:line="480" w:lineRule="auto"/>
        <w:ind w:left="399" w:right="1318"/>
        <w:jc w:val="both"/>
      </w:pPr>
      <w:r>
        <w:rPr/>
        <w:t>In (1946), the USA nominated General Douglas MacArthur to lead the re-building process of Japan. During this time, the General invited two key individuals to assist with the re-building process (Joseph Juran and Edward Deming) due to their role in the development of the modern quality concept. They promoted the quality control process to Japanese business and focused on the upper management rather than giving full attention to quality experts, which encouraged the Japanese to develop the culture of continuous improvement and integrate quality control throughout their organisations, Simpson </w:t>
      </w:r>
      <w:r>
        <w:rPr>
          <w:i/>
        </w:rPr>
        <w:t>et al. </w:t>
      </w:r>
      <w:r>
        <w:rPr/>
        <w:t>(2002).</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Quality Control is defined by the ISO (2009) as “Operational techniques and activities that are used to fulfill requirement for quality”. This definition implies that any activity, whether serving the control, management or improvement of quality, is considered as quality control activity involving</w:t>
      </w:r>
      <w:r>
        <w:rPr>
          <w:spacing w:val="-1"/>
        </w:rPr>
        <w:t> </w:t>
      </w:r>
      <w:r>
        <w:rPr/>
        <w:t>product design, operation process and outputs. Moreover, quality</w:t>
      </w:r>
      <w:r>
        <w:rPr>
          <w:spacing w:val="-1"/>
        </w:rPr>
        <w:t> </w:t>
      </w:r>
      <w:r>
        <w:rPr/>
        <w:t>control is that part of quality management related to achieving quality requirements using statistical methods. It is related to the inspection process of the finished products and services but it is more focused on preventing any defect and monitoring operation processes to check whether they meet the</w:t>
      </w:r>
      <w:r>
        <w:rPr>
          <w:spacing w:val="80"/>
        </w:rPr>
        <w:t> </w:t>
      </w:r>
      <w:r>
        <w:rPr/>
        <w:t>desired requirement (Genasan </w:t>
      </w:r>
      <w:r>
        <w:rPr>
          <w:i/>
        </w:rPr>
        <w:t>et al</w:t>
      </w:r>
      <w:r>
        <w:rPr/>
        <w:t>., 2009). Quality control is simply performed by inspection under which one or more properties of a product are examined, tested, measured or compared with specified criteria for assessing the conformity. Any product that does not meet the requirements is either scrapped, rework or passed. Quality control system is a screening process without prevention content.</w:t>
      </w:r>
    </w:p>
    <w:p>
      <w:pPr>
        <w:pStyle w:val="BodyText"/>
        <w:spacing w:before="142"/>
      </w:pPr>
    </w:p>
    <w:p>
      <w:pPr>
        <w:pStyle w:val="Heading2"/>
        <w:numPr>
          <w:ilvl w:val="2"/>
          <w:numId w:val="16"/>
        </w:numPr>
        <w:tabs>
          <w:tab w:pos="1180" w:val="left" w:leader="none"/>
        </w:tabs>
        <w:spacing w:line="240" w:lineRule="auto" w:before="0" w:after="0"/>
        <w:ind w:left="1180" w:right="0" w:hanging="780"/>
        <w:jc w:val="both"/>
      </w:pPr>
      <w:r>
        <w:rPr/>
        <w:t>Quality</w:t>
      </w:r>
      <w:r>
        <w:rPr>
          <w:spacing w:val="-4"/>
        </w:rPr>
        <w:t> </w:t>
      </w:r>
      <w:r>
        <w:rPr/>
        <w:t>assurance</w:t>
      </w:r>
      <w:r>
        <w:rPr>
          <w:spacing w:val="-2"/>
        </w:rPr>
        <w:t> </w:t>
      </w:r>
      <w:r>
        <w:rPr>
          <w:spacing w:val="-4"/>
        </w:rPr>
        <w:t>(QA)</w:t>
      </w:r>
    </w:p>
    <w:p>
      <w:pPr>
        <w:pStyle w:val="BodyText"/>
        <w:spacing w:line="480" w:lineRule="auto" w:before="271"/>
        <w:ind w:left="400" w:right="1316"/>
        <w:jc w:val="both"/>
      </w:pPr>
      <w:r>
        <w:rPr/>
        <w:t>Quality Assurance is defined by Zahir (2013) as the total of pre- programmed or systematic actions and procedures necessary for ensuring that a product or services fulfils and will continue to fulfill certain specifications. The basic components of QA are systems control, quality design, statistical quality control, certification by third parties, cost of no quality, and analysis for the</w:t>
      </w:r>
      <w:r>
        <w:rPr>
          <w:spacing w:val="40"/>
        </w:rPr>
        <w:t> </w:t>
      </w:r>
      <w:r>
        <w:rPr/>
        <w:t>root causes which are responsible for a failure. Moreover, quality assurance encompasses all actions and programmes that are designed to ensure that the final product or service will fulfill customer expectations and satisfaction such as design, distribution, development, production and </w:t>
      </w:r>
      <w:r>
        <w:rPr>
          <w:spacing w:val="-2"/>
        </w:rPr>
        <w:t>servicing.</w:t>
      </w:r>
    </w:p>
    <w:p>
      <w:pPr>
        <w:spacing w:after="0" w:line="480" w:lineRule="auto"/>
        <w:jc w:val="both"/>
        <w:sectPr>
          <w:pgSz w:w="12240" w:h="15840"/>
          <w:pgMar w:header="0" w:footer="1017" w:top="1360" w:bottom="1200" w:left="1040" w:right="120"/>
        </w:sectPr>
      </w:pPr>
    </w:p>
    <w:p>
      <w:pPr>
        <w:pStyle w:val="BodyText"/>
        <w:spacing w:line="480" w:lineRule="auto" w:before="72"/>
        <w:ind w:left="400" w:right="1314"/>
        <w:jc w:val="both"/>
      </w:pPr>
      <w:r>
        <w:rPr/>
        <w:t>Besterfield (2003) states that quality assurance is a set of activities done before the</w:t>
      </w:r>
      <w:r>
        <w:rPr>
          <w:spacing w:val="40"/>
        </w:rPr>
        <w:t> </w:t>
      </w:r>
      <w:r>
        <w:rPr/>
        <w:t>manufacturing or planning process of products and services to assure good quality to the customers. In addition, it emphasises defect prevention by improving production and associated processes to avoid or reduce chances that might cause defects in the first place, whereas quality control is a set of activities done during manufacturing products or delivering services to customers but testing and blocking the release of defective outputs; thus, it emphasises defect </w:t>
      </w:r>
      <w:r>
        <w:rPr>
          <w:spacing w:val="-2"/>
        </w:rPr>
        <w:t>detection.</w:t>
      </w:r>
    </w:p>
    <w:p>
      <w:pPr>
        <w:pStyle w:val="BodyText"/>
        <w:spacing w:before="5"/>
      </w:pPr>
    </w:p>
    <w:p>
      <w:pPr>
        <w:pStyle w:val="Heading2"/>
        <w:numPr>
          <w:ilvl w:val="2"/>
          <w:numId w:val="16"/>
        </w:numPr>
        <w:tabs>
          <w:tab w:pos="1180" w:val="left" w:leader="none"/>
        </w:tabs>
        <w:spacing w:line="240" w:lineRule="auto" w:before="0" w:after="0"/>
        <w:ind w:left="1180" w:right="0" w:hanging="780"/>
        <w:jc w:val="both"/>
      </w:pPr>
      <w:r>
        <w:rPr/>
        <w:t>Total</w:t>
      </w:r>
      <w:r>
        <w:rPr>
          <w:spacing w:val="-3"/>
        </w:rPr>
        <w:t> </w:t>
      </w:r>
      <w:r>
        <w:rPr/>
        <w:t>quality</w:t>
      </w:r>
      <w:r>
        <w:rPr>
          <w:spacing w:val="-2"/>
        </w:rPr>
        <w:t> </w:t>
      </w:r>
      <w:r>
        <w:rPr/>
        <w:t>management</w:t>
      </w:r>
      <w:r>
        <w:rPr>
          <w:spacing w:val="-3"/>
        </w:rPr>
        <w:t> </w:t>
      </w:r>
      <w:r>
        <w:rPr>
          <w:spacing w:val="-4"/>
        </w:rPr>
        <w:t>(TQM)</w:t>
      </w:r>
    </w:p>
    <w:p>
      <w:pPr>
        <w:pStyle w:val="BodyText"/>
        <w:spacing w:line="480" w:lineRule="auto" w:before="271"/>
        <w:ind w:left="400" w:right="1317"/>
        <w:jc w:val="both"/>
      </w:pPr>
      <w:r>
        <w:rPr/>
        <w:t>The origin of the phrase TQM began to emerge by the end of the 1970s by the US Naval Air System Command but, according to the American Society for Quality, the phrase was first adopted as Total Quality Control in 1980 to portray the Japanese style management which was implemented by American companies during that period. In the 1980s, the expression was changed to Total Quality Management, suggested by one of the employees (Nancy Warren) because she noticed that her colleagues did not like the word control. Following that, in 1981, Nancy started to research the philosophy of Edward Deming and the work of Juran, Crosby and Ishikawa to make performance improvement. By 1982, American corporations were in a near panic due to the high productivity of Japanese companies who spread their products throughout America and they gained a high market share as a result of low labour costs in Japan, the Japanese work ethic, conflict between labour and management and burdensome government regulations in the USA (Mele and Colurcio, 2006).</w:t>
      </w:r>
    </w:p>
    <w:p>
      <w:pPr>
        <w:pStyle w:val="BodyText"/>
        <w:spacing w:line="480" w:lineRule="auto" w:before="200"/>
        <w:ind w:left="400" w:right="1316"/>
        <w:jc w:val="both"/>
      </w:pPr>
      <w:r>
        <w:rPr/>
        <w:t>Crosby</w:t>
      </w:r>
      <w:r>
        <w:rPr>
          <w:spacing w:val="-5"/>
        </w:rPr>
        <w:t> </w:t>
      </w:r>
      <w:r>
        <w:rPr/>
        <w:t>(1979)</w:t>
      </w:r>
      <w:r>
        <w:rPr>
          <w:spacing w:val="-1"/>
        </w:rPr>
        <w:t> </w:t>
      </w:r>
      <w:r>
        <w:rPr/>
        <w:t>mentions that TQM applies the</w:t>
      </w:r>
      <w:r>
        <w:rPr>
          <w:spacing w:val="-1"/>
        </w:rPr>
        <w:t> </w:t>
      </w:r>
      <w:r>
        <w:rPr/>
        <w:t>idea</w:t>
      </w:r>
      <w:r>
        <w:rPr>
          <w:spacing w:val="-1"/>
        </w:rPr>
        <w:t> </w:t>
      </w:r>
      <w:r>
        <w:rPr/>
        <w:t>of</w:t>
      </w:r>
      <w:r>
        <w:rPr>
          <w:spacing w:val="-1"/>
        </w:rPr>
        <w:t> </w:t>
      </w:r>
      <w:r>
        <w:rPr/>
        <w:t>quality</w:t>
      </w:r>
      <w:r>
        <w:rPr>
          <w:spacing w:val="-3"/>
        </w:rPr>
        <w:t> </w:t>
      </w:r>
      <w:r>
        <w:rPr/>
        <w:t>assurance</w:t>
      </w:r>
      <w:r>
        <w:rPr>
          <w:spacing w:val="-1"/>
        </w:rPr>
        <w:t> </w:t>
      </w:r>
      <w:r>
        <w:rPr/>
        <w:t>to the</w:t>
      </w:r>
      <w:r>
        <w:rPr>
          <w:spacing w:val="-1"/>
        </w:rPr>
        <w:t> </w:t>
      </w:r>
      <w:r>
        <w:rPr/>
        <w:t>whole</w:t>
      </w:r>
      <w:r>
        <w:rPr>
          <w:spacing w:val="-1"/>
        </w:rPr>
        <w:t> </w:t>
      </w:r>
      <w:r>
        <w:rPr/>
        <w:t>product and service range by emphasising doing the job right first time, every time, on time. In addition, customer</w:t>
      </w:r>
      <w:r>
        <w:rPr>
          <w:spacing w:val="24"/>
        </w:rPr>
        <w:t> </w:t>
      </w:r>
      <w:r>
        <w:rPr/>
        <w:t>views</w:t>
      </w:r>
      <w:r>
        <w:rPr>
          <w:spacing w:val="27"/>
        </w:rPr>
        <w:t> </w:t>
      </w:r>
      <w:r>
        <w:rPr/>
        <w:t>and</w:t>
      </w:r>
      <w:r>
        <w:rPr>
          <w:spacing w:val="27"/>
        </w:rPr>
        <w:t> </w:t>
      </w:r>
      <w:r>
        <w:rPr/>
        <w:t>ideas</w:t>
      </w:r>
      <w:r>
        <w:rPr>
          <w:spacing w:val="27"/>
        </w:rPr>
        <w:t> </w:t>
      </w:r>
      <w:r>
        <w:rPr/>
        <w:t>are</w:t>
      </w:r>
      <w:r>
        <w:rPr>
          <w:spacing w:val="25"/>
        </w:rPr>
        <w:t> </w:t>
      </w:r>
      <w:r>
        <w:rPr/>
        <w:t>sought</w:t>
      </w:r>
      <w:r>
        <w:rPr>
          <w:spacing w:val="28"/>
        </w:rPr>
        <w:t> </w:t>
      </w:r>
      <w:r>
        <w:rPr/>
        <w:t>and</w:t>
      </w:r>
      <w:r>
        <w:rPr>
          <w:spacing w:val="26"/>
        </w:rPr>
        <w:t> </w:t>
      </w:r>
      <w:r>
        <w:rPr/>
        <w:t>fed</w:t>
      </w:r>
      <w:r>
        <w:rPr>
          <w:spacing w:val="26"/>
        </w:rPr>
        <w:t> </w:t>
      </w:r>
      <w:r>
        <w:rPr/>
        <w:t>into</w:t>
      </w:r>
      <w:r>
        <w:rPr>
          <w:spacing w:val="27"/>
        </w:rPr>
        <w:t> </w:t>
      </w:r>
      <w:r>
        <w:rPr/>
        <w:t>the</w:t>
      </w:r>
      <w:r>
        <w:rPr>
          <w:spacing w:val="25"/>
        </w:rPr>
        <w:t> </w:t>
      </w:r>
      <w:r>
        <w:rPr/>
        <w:t>organisation</w:t>
      </w:r>
      <w:r>
        <w:rPr>
          <w:spacing w:val="26"/>
        </w:rPr>
        <w:t> </w:t>
      </w:r>
      <w:r>
        <w:rPr/>
        <w:t>system</w:t>
      </w:r>
      <w:r>
        <w:rPr>
          <w:spacing w:val="28"/>
        </w:rPr>
        <w:t> </w:t>
      </w:r>
      <w:r>
        <w:rPr/>
        <w:t>to</w:t>
      </w:r>
      <w:r>
        <w:rPr>
          <w:spacing w:val="26"/>
        </w:rPr>
        <w:t> </w:t>
      </w:r>
      <w:r>
        <w:rPr/>
        <w:t>ensure</w:t>
      </w:r>
      <w:r>
        <w:rPr>
          <w:spacing w:val="26"/>
        </w:rPr>
        <w:t> </w:t>
      </w:r>
      <w:r>
        <w:rPr>
          <w:spacing w:val="-2"/>
        </w:rPr>
        <w:t>achieving</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customer satisfaction continuously. TQM is defined by Gunasekaran and McGaughey (2003) as</w:t>
      </w:r>
      <w:r>
        <w:rPr>
          <w:spacing w:val="40"/>
        </w:rPr>
        <w:t> </w:t>
      </w:r>
      <w:r>
        <w:rPr/>
        <w:t>a</w:t>
      </w:r>
      <w:r>
        <w:rPr>
          <w:spacing w:val="-4"/>
        </w:rPr>
        <w:t> </w:t>
      </w:r>
      <w:r>
        <w:rPr/>
        <w:t>“management</w:t>
      </w:r>
      <w:r>
        <w:rPr>
          <w:spacing w:val="-3"/>
        </w:rPr>
        <w:t> </w:t>
      </w:r>
      <w:r>
        <w:rPr/>
        <w:t>philosophy</w:t>
      </w:r>
      <w:r>
        <w:rPr>
          <w:spacing w:val="-8"/>
        </w:rPr>
        <w:t> </w:t>
      </w:r>
      <w:r>
        <w:rPr/>
        <w:t>that</w:t>
      </w:r>
      <w:r>
        <w:rPr>
          <w:spacing w:val="-1"/>
        </w:rPr>
        <w:t> </w:t>
      </w:r>
      <w:r>
        <w:rPr/>
        <w:t>encourages</w:t>
      </w:r>
      <w:r>
        <w:rPr>
          <w:spacing w:val="-3"/>
        </w:rPr>
        <w:t> </w:t>
      </w:r>
      <w:r>
        <w:rPr/>
        <w:t>cost</w:t>
      </w:r>
      <w:r>
        <w:rPr>
          <w:spacing w:val="-1"/>
        </w:rPr>
        <w:t> </w:t>
      </w:r>
      <w:r>
        <w:rPr/>
        <w:t>reduction,</w:t>
      </w:r>
      <w:r>
        <w:rPr>
          <w:spacing w:val="-3"/>
        </w:rPr>
        <w:t> </w:t>
      </w:r>
      <w:r>
        <w:rPr/>
        <w:t>the</w:t>
      </w:r>
      <w:r>
        <w:rPr>
          <w:spacing w:val="-4"/>
        </w:rPr>
        <w:t> </w:t>
      </w:r>
      <w:r>
        <w:rPr/>
        <w:t>creation</w:t>
      </w:r>
      <w:r>
        <w:rPr>
          <w:spacing w:val="-3"/>
        </w:rPr>
        <w:t> </w:t>
      </w:r>
      <w:r>
        <w:rPr/>
        <w:t>of</w:t>
      </w:r>
      <w:r>
        <w:rPr>
          <w:spacing w:val="-2"/>
        </w:rPr>
        <w:t> </w:t>
      </w:r>
      <w:r>
        <w:rPr/>
        <w:t>high</w:t>
      </w:r>
      <w:r>
        <w:rPr>
          <w:spacing w:val="-3"/>
        </w:rPr>
        <w:t> </w:t>
      </w:r>
      <w:r>
        <w:rPr/>
        <w:t>quality</w:t>
      </w:r>
      <w:r>
        <w:rPr>
          <w:spacing w:val="-6"/>
        </w:rPr>
        <w:t> </w:t>
      </w:r>
      <w:r>
        <w:rPr/>
        <w:t>goods</w:t>
      </w:r>
      <w:r>
        <w:rPr>
          <w:spacing w:val="-3"/>
        </w:rPr>
        <w:t> </w:t>
      </w:r>
      <w:r>
        <w:rPr/>
        <w:t>and services, customer satisfaction, employee empowerment, and the measurement of results”.</w:t>
      </w:r>
      <w:r>
        <w:rPr>
          <w:spacing w:val="40"/>
        </w:rPr>
        <w:t> </w:t>
      </w:r>
      <w:r>
        <w:rPr/>
        <w:t>This idea is supported by Antony (2009) in stating that TQM seeks to fulfill customer needs and expectations continuously by producing and servicing what they desire at the lowest cost and at the</w:t>
      </w:r>
      <w:r>
        <w:rPr>
          <w:spacing w:val="-1"/>
        </w:rPr>
        <w:t> </w:t>
      </w:r>
      <w:r>
        <w:rPr/>
        <w:t>right time</w:t>
      </w:r>
      <w:r>
        <w:rPr>
          <w:spacing w:val="-1"/>
        </w:rPr>
        <w:t> </w:t>
      </w:r>
      <w:r>
        <w:rPr/>
        <w:t>by</w:t>
      </w:r>
      <w:r>
        <w:rPr>
          <w:spacing w:val="-5"/>
        </w:rPr>
        <w:t> </w:t>
      </w:r>
      <w:r>
        <w:rPr/>
        <w:t>emphasising</w:t>
      </w:r>
      <w:r>
        <w:rPr>
          <w:spacing w:val="-2"/>
        </w:rPr>
        <w:t> </w:t>
      </w:r>
      <w:r>
        <w:rPr/>
        <w:t>involving</w:t>
      </w:r>
      <w:r>
        <w:rPr>
          <w:spacing w:val="-2"/>
        </w:rPr>
        <w:t> </w:t>
      </w:r>
      <w:r>
        <w:rPr/>
        <w:t>the</w:t>
      </w:r>
      <w:r>
        <w:rPr>
          <w:spacing w:val="-1"/>
        </w:rPr>
        <w:t> </w:t>
      </w:r>
      <w:r>
        <w:rPr/>
        <w:t>vital mass of</w:t>
      </w:r>
      <w:r>
        <w:rPr>
          <w:spacing w:val="-1"/>
        </w:rPr>
        <w:t> </w:t>
      </w:r>
      <w:r>
        <w:rPr/>
        <w:t>human resources. As discussed by</w:t>
      </w:r>
      <w:r>
        <w:rPr>
          <w:spacing w:val="-2"/>
        </w:rPr>
        <w:t> </w:t>
      </w:r>
      <w:r>
        <w:rPr/>
        <w:t>Li </w:t>
      </w:r>
      <w:r>
        <w:rPr>
          <w:i/>
        </w:rPr>
        <w:t>et al. </w:t>
      </w:r>
      <w:r>
        <w:rPr/>
        <w:t>(2006), TQM requires that an organisation has to apply all the principles of quality management at every level and by everyone in the organisation.</w:t>
      </w:r>
    </w:p>
    <w:p>
      <w:pPr>
        <w:pStyle w:val="BodyText"/>
        <w:spacing w:line="480" w:lineRule="auto" w:before="199"/>
        <w:ind w:left="400" w:right="1319"/>
        <w:jc w:val="both"/>
      </w:pPr>
      <w:r>
        <w:rPr/>
        <w:t>Andrew and Tang (2009) mention that the complex and dynamic technology, resources and task environment, and customer expectations and orientation are the primary factors behind adopting TQM in today's organisations. They add that TQM has shifted management style away from traditional thinking in terms of process control and organisation aims to giving more attention to the organisational culture as the essential driver of process control. There are some differences between TQM and traditional management, for instance:</w:t>
      </w:r>
    </w:p>
    <w:p>
      <w:pPr>
        <w:pStyle w:val="ListParagraph"/>
        <w:numPr>
          <w:ilvl w:val="3"/>
          <w:numId w:val="16"/>
        </w:numPr>
        <w:tabs>
          <w:tab w:pos="1118" w:val="left" w:leader="none"/>
        </w:tabs>
        <w:spacing w:line="240" w:lineRule="auto" w:before="200" w:after="0"/>
        <w:ind w:left="1118" w:right="0" w:hanging="486"/>
        <w:jc w:val="both"/>
        <w:rPr>
          <w:sz w:val="24"/>
        </w:rPr>
      </w:pPr>
      <w:r>
        <w:rPr>
          <w:sz w:val="24"/>
        </w:rPr>
        <w:t>TQM</w:t>
      </w:r>
      <w:r>
        <w:rPr>
          <w:spacing w:val="-4"/>
          <w:sz w:val="24"/>
        </w:rPr>
        <w:t> </w:t>
      </w:r>
      <w:r>
        <w:rPr>
          <w:sz w:val="24"/>
        </w:rPr>
        <w:t>emphasises</w:t>
      </w:r>
      <w:r>
        <w:rPr>
          <w:spacing w:val="-1"/>
          <w:sz w:val="24"/>
        </w:rPr>
        <w:t> </w:t>
      </w:r>
      <w:r>
        <w:rPr>
          <w:sz w:val="24"/>
        </w:rPr>
        <w:t>that</w:t>
      </w:r>
      <w:r>
        <w:rPr>
          <w:spacing w:val="-1"/>
          <w:sz w:val="24"/>
        </w:rPr>
        <w:t> </w:t>
      </w:r>
      <w:r>
        <w:rPr>
          <w:sz w:val="24"/>
        </w:rPr>
        <w:t>profits</w:t>
      </w:r>
      <w:r>
        <w:rPr>
          <w:spacing w:val="-1"/>
          <w:sz w:val="24"/>
        </w:rPr>
        <w:t> </w:t>
      </w:r>
      <w:r>
        <w:rPr>
          <w:sz w:val="24"/>
        </w:rPr>
        <w:t>follow</w:t>
      </w:r>
      <w:r>
        <w:rPr>
          <w:spacing w:val="-2"/>
          <w:sz w:val="24"/>
        </w:rPr>
        <w:t> </w:t>
      </w:r>
      <w:r>
        <w:rPr>
          <w:sz w:val="24"/>
        </w:rPr>
        <w:t>quality,</w:t>
      </w:r>
      <w:r>
        <w:rPr>
          <w:spacing w:val="-1"/>
          <w:sz w:val="24"/>
        </w:rPr>
        <w:t> </w:t>
      </w:r>
      <w:r>
        <w:rPr>
          <w:sz w:val="24"/>
        </w:rPr>
        <w:t>not</w:t>
      </w:r>
      <w:r>
        <w:rPr>
          <w:spacing w:val="-1"/>
          <w:sz w:val="24"/>
        </w:rPr>
        <w:t> </w:t>
      </w:r>
      <w:r>
        <w:rPr>
          <w:sz w:val="24"/>
        </w:rPr>
        <w:t>the</w:t>
      </w:r>
      <w:r>
        <w:rPr>
          <w:spacing w:val="-2"/>
          <w:sz w:val="24"/>
        </w:rPr>
        <w:t> </w:t>
      </w:r>
      <w:r>
        <w:rPr>
          <w:sz w:val="24"/>
        </w:rPr>
        <w:t>other</w:t>
      </w:r>
      <w:r>
        <w:rPr>
          <w:spacing w:val="-2"/>
          <w:sz w:val="24"/>
        </w:rPr>
        <w:t> </w:t>
      </w:r>
      <w:r>
        <w:rPr>
          <w:sz w:val="24"/>
        </w:rPr>
        <w:t>way</w:t>
      </w:r>
      <w:r>
        <w:rPr>
          <w:spacing w:val="-3"/>
          <w:sz w:val="24"/>
        </w:rPr>
        <w:t> </w:t>
      </w:r>
      <w:r>
        <w:rPr>
          <w:spacing w:val="-2"/>
          <w:sz w:val="24"/>
        </w:rPr>
        <w:t>around.</w:t>
      </w:r>
    </w:p>
    <w:p>
      <w:pPr>
        <w:pStyle w:val="BodyText"/>
      </w:pPr>
    </w:p>
    <w:p>
      <w:pPr>
        <w:pStyle w:val="ListParagraph"/>
        <w:numPr>
          <w:ilvl w:val="3"/>
          <w:numId w:val="16"/>
        </w:numPr>
        <w:tabs>
          <w:tab w:pos="1118" w:val="left" w:leader="none"/>
        </w:tabs>
        <w:spacing w:line="240" w:lineRule="auto" w:before="0" w:after="0"/>
        <w:ind w:left="1118" w:right="0" w:hanging="553"/>
        <w:jc w:val="both"/>
        <w:rPr>
          <w:sz w:val="24"/>
        </w:rPr>
      </w:pPr>
      <w:r>
        <w:rPr>
          <w:sz w:val="24"/>
        </w:rPr>
        <w:t>TQM</w:t>
      </w:r>
      <w:r>
        <w:rPr>
          <w:spacing w:val="-4"/>
          <w:sz w:val="24"/>
        </w:rPr>
        <w:t> </w:t>
      </w:r>
      <w:r>
        <w:rPr>
          <w:sz w:val="24"/>
        </w:rPr>
        <w:t>focuses</w:t>
      </w:r>
      <w:r>
        <w:rPr>
          <w:spacing w:val="-2"/>
          <w:sz w:val="24"/>
        </w:rPr>
        <w:t> </w:t>
      </w:r>
      <w:r>
        <w:rPr>
          <w:sz w:val="24"/>
        </w:rPr>
        <w:t>on</w:t>
      </w:r>
      <w:r>
        <w:rPr>
          <w:spacing w:val="1"/>
          <w:sz w:val="24"/>
        </w:rPr>
        <w:t> </w:t>
      </w:r>
      <w:r>
        <w:rPr>
          <w:sz w:val="24"/>
        </w:rPr>
        <w:t>customers</w:t>
      </w:r>
      <w:r>
        <w:rPr>
          <w:spacing w:val="-2"/>
          <w:sz w:val="24"/>
        </w:rPr>
        <w:t> </w:t>
      </w:r>
      <w:r>
        <w:rPr>
          <w:sz w:val="24"/>
        </w:rPr>
        <w:t>and</w:t>
      </w:r>
      <w:r>
        <w:rPr>
          <w:spacing w:val="-1"/>
          <w:sz w:val="24"/>
        </w:rPr>
        <w:t> </w:t>
      </w:r>
      <w:r>
        <w:rPr>
          <w:sz w:val="24"/>
        </w:rPr>
        <w:t>their</w:t>
      </w:r>
      <w:r>
        <w:rPr>
          <w:spacing w:val="-1"/>
          <w:sz w:val="24"/>
        </w:rPr>
        <w:t> </w:t>
      </w:r>
      <w:r>
        <w:rPr>
          <w:sz w:val="24"/>
        </w:rPr>
        <w:t>expectations</w:t>
      </w:r>
      <w:r>
        <w:rPr>
          <w:spacing w:val="-1"/>
          <w:sz w:val="24"/>
        </w:rPr>
        <w:t> </w:t>
      </w:r>
      <w:r>
        <w:rPr>
          <w:sz w:val="24"/>
        </w:rPr>
        <w:t>more</w:t>
      </w:r>
      <w:r>
        <w:rPr>
          <w:spacing w:val="-3"/>
          <w:sz w:val="24"/>
        </w:rPr>
        <w:t> </w:t>
      </w:r>
      <w:r>
        <w:rPr>
          <w:sz w:val="24"/>
        </w:rPr>
        <w:t>than</w:t>
      </w:r>
      <w:r>
        <w:rPr>
          <w:spacing w:val="-1"/>
          <w:sz w:val="24"/>
        </w:rPr>
        <w:t> </w:t>
      </w:r>
      <w:r>
        <w:rPr>
          <w:spacing w:val="-2"/>
          <w:sz w:val="24"/>
        </w:rPr>
        <w:t>profits.</w:t>
      </w:r>
    </w:p>
    <w:p>
      <w:pPr>
        <w:pStyle w:val="BodyText"/>
      </w:pPr>
    </w:p>
    <w:p>
      <w:pPr>
        <w:pStyle w:val="ListParagraph"/>
        <w:numPr>
          <w:ilvl w:val="3"/>
          <w:numId w:val="16"/>
        </w:numPr>
        <w:tabs>
          <w:tab w:pos="1117" w:val="left" w:leader="none"/>
          <w:tab w:pos="1120" w:val="left" w:leader="none"/>
        </w:tabs>
        <w:spacing w:line="480" w:lineRule="auto" w:before="0" w:after="0"/>
        <w:ind w:left="1120" w:right="1321" w:hanging="620"/>
        <w:jc w:val="both"/>
        <w:rPr>
          <w:sz w:val="24"/>
        </w:rPr>
      </w:pPr>
      <w:r>
        <w:rPr>
          <w:sz w:val="24"/>
        </w:rPr>
        <w:t>TQM creates goal-directed connections among managers, suppliers, customers and everyone in</w:t>
      </w:r>
      <w:r>
        <w:rPr>
          <w:spacing w:val="80"/>
          <w:w w:val="150"/>
          <w:sz w:val="24"/>
        </w:rPr>
        <w:t>  </w:t>
      </w:r>
      <w:r>
        <w:rPr>
          <w:sz w:val="24"/>
        </w:rPr>
        <w:t>the organisation.</w:t>
      </w:r>
    </w:p>
    <w:p>
      <w:pPr>
        <w:pStyle w:val="ListParagraph"/>
        <w:numPr>
          <w:ilvl w:val="3"/>
          <w:numId w:val="16"/>
        </w:numPr>
        <w:tabs>
          <w:tab w:pos="1118" w:val="left" w:leader="none"/>
          <w:tab w:pos="1120" w:val="left" w:leader="none"/>
        </w:tabs>
        <w:spacing w:line="480" w:lineRule="auto" w:before="0" w:after="0"/>
        <w:ind w:left="1120" w:right="1319" w:hanging="608"/>
        <w:jc w:val="both"/>
        <w:rPr>
          <w:sz w:val="24"/>
        </w:rPr>
      </w:pPr>
      <w:r>
        <w:rPr>
          <w:sz w:val="24"/>
        </w:rPr>
        <w:t>With the TQM system, everyone is motivated to contribute towards quality, while in contrast,</w:t>
      </w:r>
      <w:r>
        <w:rPr>
          <w:spacing w:val="-4"/>
          <w:sz w:val="24"/>
        </w:rPr>
        <w:t> </w:t>
      </w:r>
      <w:r>
        <w:rPr>
          <w:sz w:val="24"/>
        </w:rPr>
        <w:t>traditional</w:t>
      </w:r>
      <w:r>
        <w:rPr>
          <w:spacing w:val="-4"/>
          <w:sz w:val="24"/>
        </w:rPr>
        <w:t> </w:t>
      </w:r>
      <w:r>
        <w:rPr>
          <w:sz w:val="24"/>
        </w:rPr>
        <w:t>management</w:t>
      </w:r>
      <w:r>
        <w:rPr>
          <w:spacing w:val="-4"/>
          <w:sz w:val="24"/>
        </w:rPr>
        <w:t> </w:t>
      </w:r>
      <w:r>
        <w:rPr>
          <w:sz w:val="24"/>
        </w:rPr>
        <w:t>is</w:t>
      </w:r>
      <w:r>
        <w:rPr>
          <w:spacing w:val="-4"/>
          <w:sz w:val="24"/>
        </w:rPr>
        <w:t> </w:t>
      </w:r>
      <w:r>
        <w:rPr>
          <w:sz w:val="24"/>
        </w:rPr>
        <w:t>monolithic;</w:t>
      </w:r>
      <w:r>
        <w:rPr>
          <w:spacing w:val="-4"/>
          <w:sz w:val="24"/>
        </w:rPr>
        <w:t> </w:t>
      </w:r>
      <w:r>
        <w:rPr>
          <w:sz w:val="24"/>
        </w:rPr>
        <w:t>managers</w:t>
      </w:r>
      <w:r>
        <w:rPr>
          <w:spacing w:val="-4"/>
          <w:sz w:val="24"/>
        </w:rPr>
        <w:t> </w:t>
      </w:r>
      <w:r>
        <w:rPr>
          <w:sz w:val="24"/>
        </w:rPr>
        <w:t>just</w:t>
      </w:r>
      <w:r>
        <w:rPr>
          <w:spacing w:val="-4"/>
          <w:sz w:val="24"/>
        </w:rPr>
        <w:t> </w:t>
      </w:r>
      <w:r>
        <w:rPr>
          <w:sz w:val="24"/>
        </w:rPr>
        <w:t>manage</w:t>
      </w:r>
      <w:r>
        <w:rPr>
          <w:spacing w:val="-3"/>
          <w:sz w:val="24"/>
        </w:rPr>
        <w:t> </w:t>
      </w:r>
      <w:r>
        <w:rPr>
          <w:sz w:val="24"/>
        </w:rPr>
        <w:t>and</w:t>
      </w:r>
      <w:r>
        <w:rPr>
          <w:spacing w:val="-2"/>
          <w:sz w:val="24"/>
        </w:rPr>
        <w:t> </w:t>
      </w:r>
      <w:r>
        <w:rPr>
          <w:sz w:val="24"/>
        </w:rPr>
        <w:t>employees</w:t>
      </w:r>
      <w:r>
        <w:rPr>
          <w:spacing w:val="-2"/>
          <w:sz w:val="24"/>
        </w:rPr>
        <w:t> </w:t>
      </w:r>
      <w:r>
        <w:rPr>
          <w:sz w:val="24"/>
        </w:rPr>
        <w:t>just </w:t>
      </w:r>
      <w:r>
        <w:rPr>
          <w:spacing w:val="-2"/>
          <w:sz w:val="24"/>
        </w:rPr>
        <w:t>work.</w:t>
      </w:r>
    </w:p>
    <w:p>
      <w:pPr>
        <w:pStyle w:val="ListParagraph"/>
        <w:numPr>
          <w:ilvl w:val="3"/>
          <w:numId w:val="16"/>
        </w:numPr>
        <w:tabs>
          <w:tab w:pos="1120" w:val="left" w:leader="none"/>
        </w:tabs>
        <w:spacing w:line="480" w:lineRule="auto" w:before="0" w:after="0"/>
        <w:ind w:left="1120" w:right="1321" w:hanging="540"/>
        <w:jc w:val="both"/>
        <w:rPr>
          <w:sz w:val="24"/>
        </w:rPr>
      </w:pPr>
      <w:r>
        <w:rPr>
          <w:sz w:val="24"/>
        </w:rPr>
        <w:t>TQM involves everyone, regardless of level, in improving work patterns and </w:t>
      </w:r>
      <w:r>
        <w:rPr>
          <w:spacing w:val="-2"/>
          <w:sz w:val="24"/>
        </w:rPr>
        <w:t>environment.</w:t>
      </w:r>
    </w:p>
    <w:p>
      <w:pPr>
        <w:spacing w:after="0" w:line="480" w:lineRule="auto"/>
        <w:jc w:val="both"/>
        <w:rPr>
          <w:sz w:val="24"/>
        </w:rPr>
        <w:sectPr>
          <w:pgSz w:w="12240" w:h="15840"/>
          <w:pgMar w:header="0" w:footer="1017" w:top="1360" w:bottom="1200" w:left="1040" w:right="120"/>
        </w:sectPr>
      </w:pPr>
    </w:p>
    <w:p>
      <w:pPr>
        <w:pStyle w:val="ListParagraph"/>
        <w:numPr>
          <w:ilvl w:val="3"/>
          <w:numId w:val="16"/>
        </w:numPr>
        <w:tabs>
          <w:tab w:pos="1119" w:val="left" w:leader="none"/>
        </w:tabs>
        <w:spacing w:line="240" w:lineRule="auto" w:before="72" w:after="0"/>
        <w:ind w:left="1119" w:right="0" w:hanging="607"/>
        <w:jc w:val="left"/>
        <w:rPr>
          <w:sz w:val="24"/>
        </w:rPr>
      </w:pPr>
      <w:r>
        <w:rPr>
          <w:sz w:val="24"/>
        </w:rPr>
        <w:t>TQM</w:t>
      </w:r>
      <w:r>
        <w:rPr>
          <w:spacing w:val="-4"/>
          <w:sz w:val="24"/>
        </w:rPr>
        <w:t> </w:t>
      </w:r>
      <w:r>
        <w:rPr>
          <w:sz w:val="24"/>
        </w:rPr>
        <w:t>is</w:t>
      </w:r>
      <w:r>
        <w:rPr>
          <w:spacing w:val="-1"/>
          <w:sz w:val="24"/>
        </w:rPr>
        <w:t> </w:t>
      </w:r>
      <w:r>
        <w:rPr>
          <w:sz w:val="24"/>
        </w:rPr>
        <w:t>process</w:t>
      </w:r>
      <w:r>
        <w:rPr>
          <w:spacing w:val="-1"/>
          <w:sz w:val="24"/>
        </w:rPr>
        <w:t> </w:t>
      </w:r>
      <w:r>
        <w:rPr>
          <w:sz w:val="24"/>
        </w:rPr>
        <w:t>oriented, not</w:t>
      </w:r>
      <w:r>
        <w:rPr>
          <w:spacing w:val="-1"/>
          <w:sz w:val="24"/>
        </w:rPr>
        <w:t> </w:t>
      </w:r>
      <w:r>
        <w:rPr>
          <w:sz w:val="24"/>
        </w:rPr>
        <w:t>result</w:t>
      </w:r>
      <w:r>
        <w:rPr>
          <w:spacing w:val="-1"/>
          <w:sz w:val="24"/>
        </w:rPr>
        <w:t> </w:t>
      </w:r>
      <w:r>
        <w:rPr>
          <w:sz w:val="24"/>
        </w:rPr>
        <w:t>oriented</w:t>
      </w:r>
      <w:r>
        <w:rPr>
          <w:spacing w:val="-2"/>
          <w:sz w:val="24"/>
        </w:rPr>
        <w:t> </w:t>
      </w:r>
      <w:r>
        <w:rPr>
          <w:sz w:val="24"/>
        </w:rPr>
        <w:t>as</w:t>
      </w:r>
      <w:r>
        <w:rPr>
          <w:spacing w:val="-1"/>
          <w:sz w:val="24"/>
        </w:rPr>
        <w:t> </w:t>
      </w:r>
      <w:r>
        <w:rPr>
          <w:sz w:val="24"/>
        </w:rPr>
        <w:t>in</w:t>
      </w:r>
      <w:r>
        <w:rPr>
          <w:spacing w:val="-1"/>
          <w:sz w:val="24"/>
        </w:rPr>
        <w:t> </w:t>
      </w:r>
      <w:r>
        <w:rPr>
          <w:sz w:val="24"/>
        </w:rPr>
        <w:t>traditional</w:t>
      </w:r>
      <w:r>
        <w:rPr>
          <w:spacing w:val="-1"/>
          <w:sz w:val="24"/>
        </w:rPr>
        <w:t> </w:t>
      </w:r>
      <w:r>
        <w:rPr>
          <w:spacing w:val="-2"/>
          <w:sz w:val="24"/>
        </w:rPr>
        <w:t>management.</w:t>
      </w:r>
    </w:p>
    <w:p>
      <w:pPr>
        <w:pStyle w:val="ListParagraph"/>
        <w:numPr>
          <w:ilvl w:val="3"/>
          <w:numId w:val="16"/>
        </w:numPr>
        <w:tabs>
          <w:tab w:pos="1119" w:val="left" w:leader="none"/>
        </w:tabs>
        <w:spacing w:line="480" w:lineRule="auto" w:before="276" w:after="0"/>
        <w:ind w:left="1119" w:right="1317" w:hanging="675"/>
        <w:jc w:val="left"/>
        <w:rPr>
          <w:sz w:val="24"/>
        </w:rPr>
      </w:pPr>
      <w:r>
        <w:rPr>
          <w:sz w:val="24"/>
        </w:rPr>
        <w:t>TQM</w:t>
      </w:r>
      <w:r>
        <w:rPr>
          <w:spacing w:val="70"/>
          <w:sz w:val="24"/>
        </w:rPr>
        <w:t> </w:t>
      </w:r>
      <w:r>
        <w:rPr>
          <w:sz w:val="24"/>
        </w:rPr>
        <w:t>is</w:t>
      </w:r>
      <w:r>
        <w:rPr>
          <w:spacing w:val="70"/>
          <w:sz w:val="24"/>
        </w:rPr>
        <w:t> </w:t>
      </w:r>
      <w:r>
        <w:rPr>
          <w:sz w:val="24"/>
        </w:rPr>
        <w:t>against</w:t>
      </w:r>
      <w:r>
        <w:rPr>
          <w:spacing w:val="70"/>
          <w:sz w:val="24"/>
        </w:rPr>
        <w:t> </w:t>
      </w:r>
      <w:r>
        <w:rPr>
          <w:sz w:val="24"/>
        </w:rPr>
        <w:t>labour</w:t>
      </w:r>
      <w:r>
        <w:rPr>
          <w:spacing w:val="72"/>
          <w:sz w:val="24"/>
        </w:rPr>
        <w:t> </w:t>
      </w:r>
      <w:r>
        <w:rPr>
          <w:sz w:val="24"/>
        </w:rPr>
        <w:t>division</w:t>
      </w:r>
      <w:r>
        <w:rPr>
          <w:spacing w:val="70"/>
          <w:sz w:val="24"/>
        </w:rPr>
        <w:t> </w:t>
      </w:r>
      <w:r>
        <w:rPr>
          <w:sz w:val="24"/>
        </w:rPr>
        <w:t>and</w:t>
      </w:r>
      <w:r>
        <w:rPr>
          <w:spacing w:val="70"/>
          <w:sz w:val="24"/>
        </w:rPr>
        <w:t> </w:t>
      </w:r>
      <w:r>
        <w:rPr>
          <w:sz w:val="24"/>
        </w:rPr>
        <w:t>emphasises</w:t>
      </w:r>
      <w:r>
        <w:rPr>
          <w:spacing w:val="70"/>
          <w:sz w:val="24"/>
        </w:rPr>
        <w:t> </w:t>
      </w:r>
      <w:r>
        <w:rPr>
          <w:sz w:val="24"/>
        </w:rPr>
        <w:t>job</w:t>
      </w:r>
      <w:r>
        <w:rPr>
          <w:spacing w:val="70"/>
          <w:sz w:val="24"/>
        </w:rPr>
        <w:t> </w:t>
      </w:r>
      <w:r>
        <w:rPr>
          <w:sz w:val="24"/>
        </w:rPr>
        <w:t>rotation</w:t>
      </w:r>
      <w:r>
        <w:rPr>
          <w:spacing w:val="70"/>
          <w:sz w:val="24"/>
        </w:rPr>
        <w:t> </w:t>
      </w:r>
      <w:r>
        <w:rPr>
          <w:sz w:val="24"/>
        </w:rPr>
        <w:t>to</w:t>
      </w:r>
      <w:r>
        <w:rPr>
          <w:spacing w:val="68"/>
          <w:sz w:val="24"/>
        </w:rPr>
        <w:t> </w:t>
      </w:r>
      <w:r>
        <w:rPr>
          <w:sz w:val="24"/>
        </w:rPr>
        <w:t>improve</w:t>
      </w:r>
      <w:r>
        <w:rPr>
          <w:spacing w:val="69"/>
          <w:sz w:val="24"/>
        </w:rPr>
        <w:t> </w:t>
      </w:r>
      <w:r>
        <w:rPr>
          <w:sz w:val="24"/>
        </w:rPr>
        <w:t>employee performance and pushes them towards being multi-skilled workers.</w:t>
      </w:r>
    </w:p>
    <w:p>
      <w:pPr>
        <w:pStyle w:val="ListParagraph"/>
        <w:numPr>
          <w:ilvl w:val="3"/>
          <w:numId w:val="16"/>
        </w:numPr>
        <w:tabs>
          <w:tab w:pos="1119" w:val="left" w:leader="none"/>
        </w:tabs>
        <w:spacing w:line="480" w:lineRule="auto" w:before="0" w:after="0"/>
        <w:ind w:left="1119" w:right="1319" w:hanging="740"/>
        <w:jc w:val="left"/>
        <w:rPr>
          <w:sz w:val="24"/>
        </w:rPr>
      </w:pPr>
      <w:r>
        <w:rPr>
          <w:sz w:val="24"/>
        </w:rPr>
        <w:t>TQM</w:t>
      </w:r>
      <w:r>
        <w:rPr>
          <w:spacing w:val="40"/>
          <w:sz w:val="24"/>
        </w:rPr>
        <w:t> </w:t>
      </w:r>
      <w:r>
        <w:rPr>
          <w:sz w:val="24"/>
        </w:rPr>
        <w:t>stresses</w:t>
      </w:r>
      <w:r>
        <w:rPr>
          <w:spacing w:val="79"/>
          <w:sz w:val="24"/>
        </w:rPr>
        <w:t> </w:t>
      </w:r>
      <w:r>
        <w:rPr>
          <w:sz w:val="24"/>
        </w:rPr>
        <w:t>continuous</w:t>
      </w:r>
      <w:r>
        <w:rPr>
          <w:spacing w:val="40"/>
          <w:sz w:val="24"/>
        </w:rPr>
        <w:t> </w:t>
      </w:r>
      <w:r>
        <w:rPr>
          <w:sz w:val="24"/>
        </w:rPr>
        <w:t>improvement;</w:t>
      </w:r>
      <w:r>
        <w:rPr>
          <w:spacing w:val="77"/>
          <w:sz w:val="24"/>
        </w:rPr>
        <w:t> </w:t>
      </w:r>
      <w:r>
        <w:rPr>
          <w:sz w:val="24"/>
        </w:rPr>
        <w:t>in</w:t>
      </w:r>
      <w:r>
        <w:rPr>
          <w:spacing w:val="79"/>
          <w:sz w:val="24"/>
        </w:rPr>
        <w:t> </w:t>
      </w:r>
      <w:r>
        <w:rPr>
          <w:sz w:val="24"/>
        </w:rPr>
        <w:t>contrast,</w:t>
      </w:r>
      <w:r>
        <w:rPr>
          <w:spacing w:val="40"/>
          <w:sz w:val="24"/>
        </w:rPr>
        <w:t> </w:t>
      </w:r>
      <w:r>
        <w:rPr>
          <w:sz w:val="24"/>
        </w:rPr>
        <w:t>traditional</w:t>
      </w:r>
      <w:r>
        <w:rPr>
          <w:spacing w:val="77"/>
          <w:sz w:val="24"/>
        </w:rPr>
        <w:t> </w:t>
      </w:r>
      <w:r>
        <w:rPr>
          <w:sz w:val="24"/>
        </w:rPr>
        <w:t>management</w:t>
      </w:r>
      <w:r>
        <w:rPr>
          <w:spacing w:val="77"/>
          <w:sz w:val="24"/>
        </w:rPr>
        <w:t> </w:t>
      </w:r>
      <w:r>
        <w:rPr>
          <w:sz w:val="24"/>
        </w:rPr>
        <w:t>makes improvement when needed.</w:t>
      </w:r>
    </w:p>
    <w:p>
      <w:pPr>
        <w:pStyle w:val="ListParagraph"/>
        <w:numPr>
          <w:ilvl w:val="3"/>
          <w:numId w:val="16"/>
        </w:numPr>
        <w:tabs>
          <w:tab w:pos="1119" w:val="left" w:leader="none"/>
        </w:tabs>
        <w:spacing w:line="480" w:lineRule="auto" w:before="0" w:after="0"/>
        <w:ind w:left="1119" w:right="1315" w:hanging="608"/>
        <w:jc w:val="left"/>
        <w:rPr>
          <w:sz w:val="24"/>
        </w:rPr>
      </w:pPr>
      <w:r>
        <w:rPr>
          <w:sz w:val="24"/>
        </w:rPr>
        <w:t>TQM favours giving</w:t>
      </w:r>
      <w:r>
        <w:rPr>
          <w:spacing w:val="-1"/>
          <w:sz w:val="24"/>
        </w:rPr>
        <w:t> </w:t>
      </w:r>
      <w:r>
        <w:rPr>
          <w:sz w:val="24"/>
        </w:rPr>
        <w:t>more responsibility</w:t>
      </w:r>
      <w:r>
        <w:rPr>
          <w:spacing w:val="-3"/>
          <w:sz w:val="24"/>
        </w:rPr>
        <w:t> </w:t>
      </w:r>
      <w:r>
        <w:rPr>
          <w:sz w:val="24"/>
        </w:rPr>
        <w:t>and authority</w:t>
      </w:r>
      <w:r>
        <w:rPr>
          <w:spacing w:val="-3"/>
          <w:sz w:val="24"/>
        </w:rPr>
        <w:t> </w:t>
      </w:r>
      <w:r>
        <w:rPr>
          <w:sz w:val="24"/>
        </w:rPr>
        <w:t>at all levels, against short spans of control in traditional management and</w:t>
      </w:r>
    </w:p>
    <w:p>
      <w:pPr>
        <w:pStyle w:val="ListParagraph"/>
        <w:numPr>
          <w:ilvl w:val="3"/>
          <w:numId w:val="16"/>
        </w:numPr>
        <w:tabs>
          <w:tab w:pos="1119" w:val="left" w:leader="none"/>
        </w:tabs>
        <w:spacing w:line="240" w:lineRule="auto" w:before="0" w:after="0"/>
        <w:ind w:left="1119" w:right="0" w:hanging="540"/>
        <w:jc w:val="left"/>
        <w:rPr>
          <w:sz w:val="24"/>
        </w:rPr>
      </w:pPr>
      <w:r>
        <w:rPr>
          <w:sz w:val="24"/>
        </w:rPr>
        <w:t>TQM</w:t>
      </w:r>
      <w:r>
        <w:rPr>
          <w:spacing w:val="-4"/>
          <w:sz w:val="24"/>
        </w:rPr>
        <w:t> </w:t>
      </w:r>
      <w:r>
        <w:rPr>
          <w:sz w:val="24"/>
        </w:rPr>
        <w:t>stresses</w:t>
      </w:r>
      <w:r>
        <w:rPr>
          <w:spacing w:val="-3"/>
          <w:sz w:val="24"/>
        </w:rPr>
        <w:t> </w:t>
      </w:r>
      <w:r>
        <w:rPr>
          <w:sz w:val="24"/>
        </w:rPr>
        <w:t>defect</w:t>
      </w:r>
      <w:r>
        <w:rPr>
          <w:spacing w:val="-2"/>
          <w:sz w:val="24"/>
        </w:rPr>
        <w:t> </w:t>
      </w:r>
      <w:r>
        <w:rPr>
          <w:sz w:val="24"/>
        </w:rPr>
        <w:t>prevention</w:t>
      </w:r>
      <w:r>
        <w:rPr>
          <w:spacing w:val="-2"/>
          <w:sz w:val="24"/>
        </w:rPr>
        <w:t> </w:t>
      </w:r>
      <w:r>
        <w:rPr>
          <w:sz w:val="24"/>
        </w:rPr>
        <w:t>rather</w:t>
      </w:r>
      <w:r>
        <w:rPr>
          <w:spacing w:val="-2"/>
          <w:sz w:val="24"/>
        </w:rPr>
        <w:t> </w:t>
      </w:r>
      <w:r>
        <w:rPr>
          <w:sz w:val="24"/>
        </w:rPr>
        <w:t>than</w:t>
      </w:r>
      <w:r>
        <w:rPr>
          <w:spacing w:val="-2"/>
          <w:sz w:val="24"/>
        </w:rPr>
        <w:t> detection.</w:t>
      </w:r>
    </w:p>
    <w:p>
      <w:pPr>
        <w:pStyle w:val="BodyText"/>
      </w:pPr>
    </w:p>
    <w:p>
      <w:pPr>
        <w:pStyle w:val="BodyText"/>
        <w:spacing w:before="201"/>
      </w:pPr>
    </w:p>
    <w:p>
      <w:pPr>
        <w:pStyle w:val="BodyText"/>
        <w:tabs>
          <w:tab w:pos="4009" w:val="left" w:leader="none"/>
        </w:tabs>
        <w:spacing w:line="360" w:lineRule="auto" w:before="1"/>
        <w:ind w:left="400" w:right="1343"/>
      </w:pPr>
      <w:r>
        <w:rPr/>
        <w:t>Martinez-</w:t>
      </w:r>
      <w:r>
        <w:rPr>
          <w:spacing w:val="40"/>
        </w:rPr>
        <w:t> </w:t>
      </w:r>
      <w:r>
        <w:rPr/>
        <w:t>Lorente</w:t>
      </w:r>
      <w:r>
        <w:rPr>
          <w:spacing w:val="40"/>
        </w:rPr>
        <w:t> </w:t>
      </w:r>
      <w:r>
        <w:rPr>
          <w:i/>
        </w:rPr>
        <w:t>et</w:t>
      </w:r>
      <w:r>
        <w:rPr>
          <w:i/>
          <w:spacing w:val="40"/>
        </w:rPr>
        <w:t> </w:t>
      </w:r>
      <w:r>
        <w:rPr>
          <w:i/>
        </w:rPr>
        <w:t>al.</w:t>
      </w:r>
      <w:r>
        <w:rPr>
          <w:i/>
          <w:spacing w:val="40"/>
        </w:rPr>
        <w:t> </w:t>
      </w:r>
      <w:r>
        <w:rPr/>
        <w:t>(1998</w:t>
        <w:tab/>
        <w:t>In</w:t>
      </w:r>
      <w:r>
        <w:rPr>
          <w:spacing w:val="40"/>
        </w:rPr>
        <w:t> </w:t>
      </w:r>
      <w:r>
        <w:rPr/>
        <w:t>Ahmed,</w:t>
      </w:r>
      <w:r>
        <w:rPr>
          <w:spacing w:val="40"/>
        </w:rPr>
        <w:t> </w:t>
      </w:r>
      <w:r>
        <w:rPr/>
        <w:t>2010)</w:t>
      </w:r>
      <w:r>
        <w:rPr>
          <w:spacing w:val="40"/>
        </w:rPr>
        <w:t> </w:t>
      </w:r>
      <w:r>
        <w:rPr/>
        <w:t>summarized</w:t>
      </w:r>
      <w:r>
        <w:rPr>
          <w:spacing w:val="40"/>
        </w:rPr>
        <w:t> </w:t>
      </w:r>
      <w:r>
        <w:rPr/>
        <w:t>the</w:t>
      </w:r>
      <w:r>
        <w:rPr>
          <w:spacing w:val="40"/>
        </w:rPr>
        <w:t> </w:t>
      </w:r>
      <w:r>
        <w:rPr/>
        <w:t>chronology</w:t>
      </w:r>
      <w:r>
        <w:rPr>
          <w:spacing w:val="40"/>
        </w:rPr>
        <w:t> </w:t>
      </w:r>
      <w:r>
        <w:rPr/>
        <w:t>of</w:t>
      </w:r>
      <w:r>
        <w:rPr>
          <w:spacing w:val="40"/>
        </w:rPr>
        <w:t> </w:t>
      </w:r>
      <w:r>
        <w:rPr/>
        <w:t>TQM development as in Table (2.2).</w:t>
      </w:r>
    </w:p>
    <w:p>
      <w:pPr>
        <w:pStyle w:val="Heading2"/>
        <w:tabs>
          <w:tab w:pos="2559" w:val="left" w:leader="none"/>
          <w:tab w:pos="3999" w:val="left" w:leader="none"/>
        </w:tabs>
        <w:spacing w:line="655" w:lineRule="auto" w:before="204"/>
        <w:ind w:right="3757"/>
        <w:jc w:val="left"/>
      </w:pPr>
      <w:r>
        <w:rPr/>
        <w:t>Table 3.1:</w:t>
        <w:tab/>
        <w:t>Important</w:t>
      </w:r>
      <w:r>
        <w:rPr>
          <w:spacing w:val="-7"/>
        </w:rPr>
        <w:t> </w:t>
      </w:r>
      <w:r>
        <w:rPr/>
        <w:t>Events</w:t>
      </w:r>
      <w:r>
        <w:rPr>
          <w:spacing w:val="-6"/>
        </w:rPr>
        <w:t> </w:t>
      </w:r>
      <w:r>
        <w:rPr/>
        <w:t>in</w:t>
      </w:r>
      <w:r>
        <w:rPr>
          <w:spacing w:val="-6"/>
        </w:rPr>
        <w:t> </w:t>
      </w:r>
      <w:r>
        <w:rPr/>
        <w:t>the</w:t>
      </w:r>
      <w:r>
        <w:rPr>
          <w:spacing w:val="-7"/>
        </w:rPr>
        <w:t> </w:t>
      </w:r>
      <w:r>
        <w:rPr/>
        <w:t>Development</w:t>
      </w:r>
      <w:r>
        <w:rPr>
          <w:spacing w:val="-7"/>
        </w:rPr>
        <w:t> </w:t>
      </w:r>
      <w:r>
        <w:rPr/>
        <w:t>of</w:t>
      </w:r>
      <w:r>
        <w:rPr>
          <w:spacing w:val="-5"/>
        </w:rPr>
        <w:t> </w:t>
      </w:r>
      <w:r>
        <w:rPr/>
        <w:t>TQM </w:t>
      </w:r>
      <w:r>
        <w:rPr>
          <w:spacing w:val="-4"/>
        </w:rPr>
        <w:t>Year</w:t>
      </w:r>
      <w:r>
        <w:rPr/>
        <w:tab/>
        <w:tab/>
      </w:r>
      <w:r>
        <w:rPr>
          <w:spacing w:val="-2"/>
        </w:rPr>
        <w:t>Events</w:t>
      </w:r>
    </w:p>
    <w:p>
      <w:pPr>
        <w:pStyle w:val="BodyText"/>
        <w:tabs>
          <w:tab w:pos="2559" w:val="left" w:leader="none"/>
        </w:tabs>
        <w:spacing w:line="482" w:lineRule="auto"/>
        <w:ind w:left="2560" w:right="1343" w:hanging="2160"/>
      </w:pPr>
      <w:r>
        <w:rPr/>
        <w:t>1924- 32</w:t>
        <w:tab/>
        <w:t>Hawthorns</w:t>
      </w:r>
      <w:r>
        <w:rPr>
          <w:spacing w:val="80"/>
        </w:rPr>
        <w:t> </w:t>
      </w:r>
      <w:r>
        <w:rPr/>
        <w:t>studies</w:t>
      </w:r>
      <w:r>
        <w:rPr>
          <w:spacing w:val="80"/>
        </w:rPr>
        <w:t> </w:t>
      </w:r>
      <w:r>
        <w:rPr/>
        <w:t>demonstrated</w:t>
      </w:r>
      <w:r>
        <w:rPr>
          <w:spacing w:val="80"/>
        </w:rPr>
        <w:t> </w:t>
      </w:r>
      <w:r>
        <w:rPr/>
        <w:t>the</w:t>
      </w:r>
      <w:r>
        <w:rPr>
          <w:spacing w:val="80"/>
        </w:rPr>
        <w:t> </w:t>
      </w:r>
      <w:r>
        <w:rPr/>
        <w:t>importance</w:t>
      </w:r>
      <w:r>
        <w:rPr>
          <w:spacing w:val="80"/>
        </w:rPr>
        <w:t> </w:t>
      </w:r>
      <w:r>
        <w:rPr/>
        <w:t>of</w:t>
      </w:r>
      <w:r>
        <w:rPr>
          <w:spacing w:val="80"/>
        </w:rPr>
        <w:t> </w:t>
      </w:r>
      <w:r>
        <w:rPr/>
        <w:t>the</w:t>
      </w:r>
      <w:r>
        <w:rPr>
          <w:spacing w:val="80"/>
        </w:rPr>
        <w:t> </w:t>
      </w:r>
      <w:r>
        <w:rPr/>
        <w:t>social</w:t>
      </w:r>
      <w:r>
        <w:rPr>
          <w:spacing w:val="80"/>
        </w:rPr>
        <w:t> </w:t>
      </w:r>
      <w:r>
        <w:rPr/>
        <w:t>and</w:t>
      </w:r>
      <w:r>
        <w:rPr>
          <w:spacing w:val="80"/>
        </w:rPr>
        <w:t> </w:t>
      </w:r>
      <w:r>
        <w:rPr/>
        <w:t>psychological climate in work.</w:t>
      </w:r>
    </w:p>
    <w:p>
      <w:pPr>
        <w:pStyle w:val="BodyText"/>
        <w:tabs>
          <w:tab w:pos="2559" w:val="left" w:leader="none"/>
        </w:tabs>
        <w:spacing w:before="187"/>
        <w:ind w:left="400"/>
        <w:jc w:val="both"/>
      </w:pPr>
      <w:r>
        <w:rPr>
          <w:spacing w:val="-4"/>
        </w:rPr>
        <w:t>1924</w:t>
      </w:r>
      <w:r>
        <w:rPr/>
        <w:tab/>
        <w:t>Shewhart</w:t>
      </w:r>
      <w:r>
        <w:rPr>
          <w:spacing w:val="-5"/>
        </w:rPr>
        <w:t> </w:t>
      </w:r>
      <w:r>
        <w:rPr/>
        <w:t>developed</w:t>
      </w:r>
      <w:r>
        <w:rPr>
          <w:spacing w:val="-3"/>
        </w:rPr>
        <w:t> </w:t>
      </w:r>
      <w:r>
        <w:rPr/>
        <w:t>statistical</w:t>
      </w:r>
      <w:r>
        <w:rPr>
          <w:spacing w:val="-2"/>
        </w:rPr>
        <w:t> </w:t>
      </w:r>
      <w:r>
        <w:rPr/>
        <w:t>process</w:t>
      </w:r>
      <w:r>
        <w:rPr>
          <w:spacing w:val="-3"/>
        </w:rPr>
        <w:t> </w:t>
      </w:r>
      <w:r>
        <w:rPr/>
        <w:t>control. </w:t>
      </w:r>
      <w:r>
        <w:rPr>
          <w:spacing w:val="-2"/>
        </w:rPr>
        <w:t>(SPC)</w:t>
      </w:r>
    </w:p>
    <w:p>
      <w:pPr>
        <w:pStyle w:val="BodyText"/>
        <w:spacing w:before="199"/>
      </w:pPr>
    </w:p>
    <w:p>
      <w:pPr>
        <w:pStyle w:val="BodyText"/>
        <w:tabs>
          <w:tab w:pos="2559" w:val="left" w:leader="none"/>
        </w:tabs>
        <w:spacing w:line="482" w:lineRule="auto"/>
        <w:ind w:left="2560" w:right="1519" w:hanging="2160"/>
        <w:jc w:val="both"/>
      </w:pPr>
      <w:r>
        <w:rPr>
          <w:spacing w:val="-4"/>
        </w:rPr>
        <w:t>1926</w:t>
      </w:r>
      <w:r>
        <w:rPr/>
        <w:tab/>
        <w:t>Bell</w:t>
      </w:r>
      <w:r>
        <w:rPr>
          <w:spacing w:val="-4"/>
        </w:rPr>
        <w:t> </w:t>
      </w:r>
      <w:r>
        <w:rPr/>
        <w:t>Telephone</w:t>
      </w:r>
      <w:r>
        <w:rPr>
          <w:spacing w:val="-5"/>
        </w:rPr>
        <w:t> </w:t>
      </w:r>
      <w:r>
        <w:rPr/>
        <w:t>began</w:t>
      </w:r>
      <w:r>
        <w:rPr>
          <w:spacing w:val="-4"/>
        </w:rPr>
        <w:t> </w:t>
      </w:r>
      <w:r>
        <w:rPr/>
        <w:t>to</w:t>
      </w:r>
      <w:r>
        <w:rPr>
          <w:spacing w:val="-4"/>
        </w:rPr>
        <w:t> </w:t>
      </w:r>
      <w:r>
        <w:rPr/>
        <w:t>apply</w:t>
      </w:r>
      <w:r>
        <w:rPr>
          <w:spacing w:val="-9"/>
        </w:rPr>
        <w:t> </w:t>
      </w:r>
      <w:r>
        <w:rPr/>
        <w:t>statistical</w:t>
      </w:r>
      <w:r>
        <w:rPr>
          <w:spacing w:val="-4"/>
        </w:rPr>
        <w:t> </w:t>
      </w:r>
      <w:r>
        <w:rPr/>
        <w:t>process</w:t>
      </w:r>
      <w:r>
        <w:rPr>
          <w:spacing w:val="-4"/>
        </w:rPr>
        <w:t> </w:t>
      </w:r>
      <w:r>
        <w:rPr/>
        <w:t>control</w:t>
      </w:r>
      <w:r>
        <w:rPr>
          <w:spacing w:val="-4"/>
        </w:rPr>
        <w:t> </w:t>
      </w:r>
      <w:r>
        <w:rPr/>
        <w:t>methods.</w:t>
      </w:r>
      <w:r>
        <w:rPr>
          <w:spacing w:val="-4"/>
        </w:rPr>
        <w:t> </w:t>
      </w:r>
      <w:r>
        <w:rPr/>
        <w:t>1940s US army pushed the use of sampling methods during World War II.</w:t>
      </w:r>
    </w:p>
    <w:p>
      <w:pPr>
        <w:pStyle w:val="BodyText"/>
        <w:tabs>
          <w:tab w:pos="2559" w:val="left" w:leader="none"/>
        </w:tabs>
        <w:spacing w:line="480" w:lineRule="auto" w:before="194"/>
        <w:ind w:left="2560" w:right="1320" w:hanging="2160"/>
        <w:jc w:val="both"/>
      </w:pPr>
      <w:r>
        <w:rPr>
          <w:spacing w:val="-2"/>
        </w:rPr>
        <w:t>1950s</w:t>
      </w:r>
      <w:r>
        <w:rPr/>
        <w:tab/>
        <w:t>Many attempts at work improvement undertaken (e.g. job enrichment, work redesign, participative management, quality of work life, worker </w:t>
      </w:r>
      <w:r>
        <w:rPr>
          <w:spacing w:val="-2"/>
        </w:rPr>
        <w:t>involvement).</w:t>
      </w:r>
    </w:p>
    <w:p>
      <w:pPr>
        <w:pStyle w:val="BodyText"/>
        <w:tabs>
          <w:tab w:pos="2559" w:val="left" w:leader="none"/>
        </w:tabs>
        <w:spacing w:before="201"/>
        <w:ind w:left="460"/>
        <w:jc w:val="both"/>
      </w:pPr>
      <w:r>
        <w:rPr>
          <w:spacing w:val="-4"/>
        </w:rPr>
        <w:t>1950</w:t>
      </w:r>
      <w:r>
        <w:rPr/>
        <w:tab/>
        <w:t>Deming's</w:t>
      </w:r>
      <w:r>
        <w:rPr>
          <w:spacing w:val="-2"/>
        </w:rPr>
        <w:t> </w:t>
      </w:r>
      <w:r>
        <w:rPr/>
        <w:t>first</w:t>
      </w:r>
      <w:r>
        <w:rPr>
          <w:spacing w:val="-1"/>
        </w:rPr>
        <w:t> </w:t>
      </w:r>
      <w:r>
        <w:rPr/>
        <w:t>visit</w:t>
      </w:r>
      <w:r>
        <w:rPr>
          <w:spacing w:val="-1"/>
        </w:rPr>
        <w:t> </w:t>
      </w:r>
      <w:r>
        <w:rPr/>
        <w:t>to</w:t>
      </w:r>
      <w:r>
        <w:rPr>
          <w:spacing w:val="-4"/>
        </w:rPr>
        <w:t> </w:t>
      </w:r>
      <w:r>
        <w:rPr>
          <w:spacing w:val="-2"/>
        </w:rPr>
        <w:t>Japan.</w:t>
      </w:r>
    </w:p>
    <w:p>
      <w:pPr>
        <w:spacing w:after="0"/>
        <w:jc w:val="both"/>
        <w:sectPr>
          <w:pgSz w:w="12240" w:h="15840"/>
          <w:pgMar w:header="0" w:footer="1017" w:top="1360" w:bottom="1200" w:left="1040" w:right="120"/>
        </w:sectPr>
      </w:pPr>
    </w:p>
    <w:p>
      <w:pPr>
        <w:pStyle w:val="BodyText"/>
        <w:tabs>
          <w:tab w:pos="2559" w:val="left" w:leader="none"/>
        </w:tabs>
        <w:spacing w:line="276" w:lineRule="auto" w:before="74"/>
        <w:ind w:left="2560" w:right="1321" w:hanging="2100"/>
        <w:jc w:val="both"/>
      </w:pPr>
      <w:r>
        <w:rPr>
          <w:spacing w:val="-4"/>
        </w:rPr>
        <w:t>1951</w:t>
      </w:r>
      <w:r>
        <w:rPr/>
        <w:tab/>
        <w:t>Creation of Deming Application Prize in Japan. First edition of Juran's Quality Control Handbook published.</w:t>
      </w:r>
    </w:p>
    <w:p>
      <w:pPr>
        <w:pStyle w:val="BodyText"/>
        <w:tabs>
          <w:tab w:pos="2559" w:val="left" w:leader="none"/>
        </w:tabs>
        <w:spacing w:before="200"/>
        <w:ind w:left="474"/>
      </w:pPr>
      <w:r>
        <w:rPr>
          <w:spacing w:val="-4"/>
        </w:rPr>
        <w:t>1954</w:t>
      </w:r>
      <w:r>
        <w:rPr/>
        <w:tab/>
        <w:t>Juran's</w:t>
      </w:r>
      <w:r>
        <w:rPr>
          <w:spacing w:val="-4"/>
        </w:rPr>
        <w:t> </w:t>
      </w:r>
      <w:r>
        <w:rPr/>
        <w:t>first</w:t>
      </w:r>
      <w:r>
        <w:rPr>
          <w:spacing w:val="-2"/>
        </w:rPr>
        <w:t> </w:t>
      </w:r>
      <w:r>
        <w:rPr/>
        <w:t>visit</w:t>
      </w:r>
      <w:r>
        <w:rPr>
          <w:spacing w:val="-2"/>
        </w:rPr>
        <w:t> </w:t>
      </w:r>
      <w:r>
        <w:rPr/>
        <w:t>to</w:t>
      </w:r>
      <w:r>
        <w:rPr>
          <w:spacing w:val="-2"/>
        </w:rPr>
        <w:t> </w:t>
      </w:r>
      <w:r>
        <w:rPr/>
        <w:t>Japan.</w:t>
      </w:r>
      <w:r>
        <w:rPr>
          <w:spacing w:val="-1"/>
        </w:rPr>
        <w:t> </w:t>
      </w:r>
      <w:r>
        <w:rPr/>
        <w:t>Maslow's</w:t>
      </w:r>
      <w:r>
        <w:rPr>
          <w:spacing w:val="-2"/>
        </w:rPr>
        <w:t> </w:t>
      </w:r>
      <w:r>
        <w:rPr/>
        <w:t>theories</w:t>
      </w:r>
      <w:r>
        <w:rPr>
          <w:spacing w:val="-2"/>
        </w:rPr>
        <w:t> </w:t>
      </w:r>
      <w:r>
        <w:rPr/>
        <w:t>about human</w:t>
      </w:r>
      <w:r>
        <w:rPr>
          <w:spacing w:val="-1"/>
        </w:rPr>
        <w:t> </w:t>
      </w:r>
      <w:r>
        <w:rPr>
          <w:spacing w:val="-2"/>
        </w:rPr>
        <w:t>needs.</w:t>
      </w:r>
    </w:p>
    <w:p>
      <w:pPr>
        <w:pStyle w:val="BodyText"/>
        <w:tabs>
          <w:tab w:pos="2559" w:val="left" w:leader="none"/>
        </w:tabs>
        <w:spacing w:line="278" w:lineRule="auto" w:before="241"/>
        <w:ind w:left="2560" w:right="1318" w:hanging="2160"/>
        <w:jc w:val="both"/>
      </w:pPr>
      <w:r>
        <w:rPr>
          <w:spacing w:val="-4"/>
        </w:rPr>
        <w:t>1960</w:t>
      </w:r>
      <w:r>
        <w:rPr/>
        <w:tab/>
        <w:t>Liberalisation of economy in Japan with pressure to improve quality to compete with foreign companies. McGregor's X and Y theories.</w:t>
      </w:r>
    </w:p>
    <w:p>
      <w:pPr>
        <w:pStyle w:val="BodyText"/>
        <w:tabs>
          <w:tab w:pos="2559" w:val="left" w:leader="none"/>
        </w:tabs>
        <w:spacing w:before="194"/>
        <w:ind w:left="460"/>
      </w:pPr>
      <w:r>
        <w:rPr>
          <w:spacing w:val="-4"/>
        </w:rPr>
        <w:t>1961</w:t>
      </w:r>
      <w:r>
        <w:rPr/>
        <w:tab/>
        <w:t>First</w:t>
      </w:r>
      <w:r>
        <w:rPr>
          <w:spacing w:val="-3"/>
        </w:rPr>
        <w:t> </w:t>
      </w:r>
      <w:r>
        <w:rPr/>
        <w:t>edition</w:t>
      </w:r>
      <w:r>
        <w:rPr>
          <w:spacing w:val="-1"/>
        </w:rPr>
        <w:t> </w:t>
      </w:r>
      <w:r>
        <w:rPr/>
        <w:t>of</w:t>
      </w:r>
      <w:r>
        <w:rPr>
          <w:spacing w:val="-2"/>
        </w:rPr>
        <w:t> </w:t>
      </w:r>
      <w:r>
        <w:rPr/>
        <w:t>Feigenbaum's</w:t>
      </w:r>
      <w:r>
        <w:rPr>
          <w:spacing w:val="-1"/>
        </w:rPr>
        <w:t> </w:t>
      </w:r>
      <w:r>
        <w:rPr/>
        <w:t>Total</w:t>
      </w:r>
      <w:r>
        <w:rPr>
          <w:spacing w:val="-1"/>
        </w:rPr>
        <w:t> </w:t>
      </w:r>
      <w:r>
        <w:rPr/>
        <w:t>Quality</w:t>
      </w:r>
      <w:r>
        <w:rPr>
          <w:spacing w:val="-6"/>
        </w:rPr>
        <w:t> </w:t>
      </w:r>
      <w:r>
        <w:rPr/>
        <w:t>Control </w:t>
      </w:r>
      <w:r>
        <w:rPr>
          <w:spacing w:val="-2"/>
        </w:rPr>
        <w:t>published.</w:t>
      </w:r>
    </w:p>
    <w:p>
      <w:pPr>
        <w:pStyle w:val="BodyText"/>
        <w:tabs>
          <w:tab w:pos="2619" w:val="left" w:leader="none"/>
        </w:tabs>
        <w:spacing w:line="276" w:lineRule="auto" w:before="243"/>
        <w:ind w:left="2560" w:right="1320" w:hanging="2160"/>
        <w:jc w:val="both"/>
      </w:pPr>
      <w:r>
        <w:rPr>
          <w:spacing w:val="-4"/>
        </w:rPr>
        <w:t>1962</w:t>
      </w:r>
      <w:r>
        <w:rPr/>
        <w:tab/>
        <w:tab/>
        <w:t>The idea of quality circles appeared in the first issue of the Japanese Journal Quality Control for the Foreman.</w:t>
      </w:r>
    </w:p>
    <w:p>
      <w:pPr>
        <w:pStyle w:val="BodyText"/>
        <w:tabs>
          <w:tab w:pos="2559" w:val="left" w:leader="none"/>
          <w:tab w:pos="2619" w:val="left" w:leader="none"/>
        </w:tabs>
        <w:spacing w:line="448" w:lineRule="auto" w:before="200"/>
        <w:ind w:left="460" w:right="1721" w:hanging="60"/>
        <w:jc w:val="both"/>
      </w:pPr>
      <w:r>
        <w:rPr>
          <w:spacing w:val="-2"/>
        </w:rPr>
        <w:t>1970s</w:t>
      </w:r>
      <w:r>
        <w:rPr/>
        <w:tab/>
        <w:t>The</w:t>
      </w:r>
      <w:r>
        <w:rPr>
          <w:spacing w:val="-5"/>
        </w:rPr>
        <w:t> </w:t>
      </w:r>
      <w:r>
        <w:rPr/>
        <w:t>pressure</w:t>
      </w:r>
      <w:r>
        <w:rPr>
          <w:spacing w:val="-5"/>
        </w:rPr>
        <w:t> </w:t>
      </w:r>
      <w:r>
        <w:rPr/>
        <w:t>of</w:t>
      </w:r>
      <w:r>
        <w:rPr>
          <w:spacing w:val="-5"/>
        </w:rPr>
        <w:t> </w:t>
      </w:r>
      <w:r>
        <w:rPr/>
        <w:t>Japanese</w:t>
      </w:r>
      <w:r>
        <w:rPr>
          <w:spacing w:val="-3"/>
        </w:rPr>
        <w:t> </w:t>
      </w:r>
      <w:r>
        <w:rPr/>
        <w:t>companies</w:t>
      </w:r>
      <w:r>
        <w:rPr>
          <w:spacing w:val="-4"/>
        </w:rPr>
        <w:t> </w:t>
      </w:r>
      <w:r>
        <w:rPr/>
        <w:t>began</w:t>
      </w:r>
      <w:r>
        <w:rPr>
          <w:spacing w:val="-4"/>
        </w:rPr>
        <w:t> </w:t>
      </w:r>
      <w:r>
        <w:rPr/>
        <w:t>to</w:t>
      </w:r>
      <w:r>
        <w:rPr>
          <w:spacing w:val="-4"/>
        </w:rPr>
        <w:t> </w:t>
      </w:r>
      <w:r>
        <w:rPr/>
        <w:t>be</w:t>
      </w:r>
      <w:r>
        <w:rPr>
          <w:spacing w:val="-5"/>
        </w:rPr>
        <w:t> </w:t>
      </w:r>
      <w:r>
        <w:rPr/>
        <w:t>felt</w:t>
      </w:r>
      <w:r>
        <w:rPr>
          <w:spacing w:val="-4"/>
        </w:rPr>
        <w:t> </w:t>
      </w:r>
      <w:r>
        <w:rPr/>
        <w:t>in</w:t>
      </w:r>
      <w:r>
        <w:rPr>
          <w:spacing w:val="-4"/>
        </w:rPr>
        <w:t> </w:t>
      </w:r>
      <w:r>
        <w:rPr/>
        <w:t>US</w:t>
      </w:r>
      <w:r>
        <w:rPr>
          <w:spacing w:val="-4"/>
        </w:rPr>
        <w:t> </w:t>
      </w:r>
      <w:r>
        <w:rPr/>
        <w:t>companies. </w:t>
      </w:r>
      <w:r>
        <w:rPr>
          <w:spacing w:val="-4"/>
        </w:rPr>
        <w:t>1972</w:t>
      </w:r>
      <w:r>
        <w:rPr/>
        <w:tab/>
        <w:tab/>
        <w:t>QFD was developed at Mitsubishi's Kobe shipyard.</w:t>
      </w:r>
    </w:p>
    <w:p>
      <w:pPr>
        <w:pStyle w:val="BodyText"/>
        <w:tabs>
          <w:tab w:pos="2559" w:val="left" w:leader="none"/>
        </w:tabs>
        <w:spacing w:line="276" w:lineRule="auto" w:before="3"/>
        <w:ind w:left="2560" w:right="1320" w:hanging="2160"/>
        <w:jc w:val="both"/>
      </w:pPr>
      <w:r>
        <w:rPr>
          <w:spacing w:val="-4"/>
        </w:rPr>
        <w:t>1973</w:t>
      </w:r>
      <w:r>
        <w:rPr/>
        <w:tab/>
        <w:t>After the 1973 oil crisis the JIT system was adopted by a vast number of Japanese companies. A small number of US and European companies began to apply this system in the 1980s.</w:t>
      </w:r>
    </w:p>
    <w:p>
      <w:pPr>
        <w:pStyle w:val="BodyText"/>
        <w:tabs>
          <w:tab w:pos="2559" w:val="left" w:leader="none"/>
        </w:tabs>
        <w:spacing w:line="276" w:lineRule="auto" w:before="199"/>
        <w:ind w:left="2560" w:right="1316" w:hanging="2160"/>
        <w:jc w:val="both"/>
      </w:pPr>
      <w:r>
        <w:rPr>
          <w:spacing w:val="-4"/>
        </w:rPr>
        <w:t>1974</w:t>
      </w:r>
      <w:r>
        <w:rPr/>
        <w:tab/>
        <w:t>Quality circles began to be widely introduced in the USA; the first quality circle programme</w:t>
      </w:r>
      <w:r>
        <w:rPr>
          <w:spacing w:val="-1"/>
        </w:rPr>
        <w:t> </w:t>
      </w:r>
      <w:r>
        <w:rPr/>
        <w:t>was launched in Lockheed in 1974 and in the</w:t>
      </w:r>
      <w:r>
        <w:rPr>
          <w:spacing w:val="-1"/>
        </w:rPr>
        <w:t> </w:t>
      </w:r>
      <w:r>
        <w:rPr/>
        <w:t>UK</w:t>
      </w:r>
      <w:r>
        <w:rPr>
          <w:spacing w:val="-1"/>
        </w:rPr>
        <w:t> </w:t>
      </w:r>
      <w:r>
        <w:rPr/>
        <w:t>Rolls- Royce introduced the concept in 1979.</w:t>
      </w:r>
    </w:p>
    <w:p>
      <w:pPr>
        <w:pStyle w:val="BodyText"/>
        <w:tabs>
          <w:tab w:pos="2559" w:val="left" w:leader="none"/>
        </w:tabs>
        <w:spacing w:line="276" w:lineRule="auto" w:before="200"/>
        <w:ind w:left="2560" w:right="1318" w:hanging="2160"/>
        <w:jc w:val="both"/>
      </w:pPr>
      <w:r>
        <w:rPr>
          <w:spacing w:val="-4"/>
        </w:rPr>
        <w:t>1979</w:t>
      </w:r>
      <w:r>
        <w:rPr/>
        <w:tab/>
        <w:t>First edition of Crosby's Quality is free published. Xerox Corp. started to apply benchmarking concept to processes. Publication of the BS5750 quality management series.</w:t>
      </w:r>
    </w:p>
    <w:p>
      <w:pPr>
        <w:pStyle w:val="BodyText"/>
        <w:tabs>
          <w:tab w:pos="2559" w:val="left" w:leader="none"/>
        </w:tabs>
        <w:spacing w:line="276" w:lineRule="auto" w:before="200"/>
        <w:ind w:left="2560" w:right="1317" w:hanging="2160"/>
        <w:jc w:val="both"/>
      </w:pPr>
      <w:r>
        <w:rPr>
          <w:spacing w:val="-4"/>
        </w:rPr>
        <w:t>1980</w:t>
      </w:r>
      <w:r>
        <w:rPr/>
        <w:tab/>
        <w:t>An NBC television documentary about the "Japanese miracle" proposed Deming as a key element in this miracle.</w:t>
      </w:r>
    </w:p>
    <w:p>
      <w:pPr>
        <w:pStyle w:val="BodyText"/>
        <w:tabs>
          <w:tab w:pos="2559" w:val="left" w:leader="none"/>
        </w:tabs>
        <w:spacing w:line="276" w:lineRule="auto" w:before="201"/>
        <w:ind w:left="2560" w:right="1320" w:hanging="2086"/>
        <w:jc w:val="both"/>
      </w:pPr>
      <w:r>
        <w:rPr>
          <w:spacing w:val="-4"/>
        </w:rPr>
        <w:t>1981</w:t>
      </w:r>
      <w:r>
        <w:rPr/>
        <w:tab/>
        <w:t>Ouchi's Z theory 1982 First edition of Deming's Quality, productivity and competitive position published.</w:t>
      </w:r>
    </w:p>
    <w:p>
      <w:pPr>
        <w:pStyle w:val="BodyText"/>
        <w:tabs>
          <w:tab w:pos="2559" w:val="left" w:leader="none"/>
        </w:tabs>
        <w:spacing w:line="276" w:lineRule="auto" w:before="198"/>
        <w:ind w:left="2560" w:right="1318" w:hanging="2086"/>
        <w:jc w:val="both"/>
      </w:pPr>
      <w:r>
        <w:rPr>
          <w:spacing w:val="-4"/>
        </w:rPr>
        <w:t>1983</w:t>
      </w:r>
      <w:r>
        <w:rPr/>
        <w:tab/>
        <w:t>"Quality on the line", published by Garvin in Harvard Business Review, analysed the differences between Japanese and US companies, showing some of the reasons for the better performance of the Japanese. A paper about Taguchi's design of experiments was published in Harvard Business </w:t>
      </w:r>
      <w:r>
        <w:rPr>
          <w:spacing w:val="-2"/>
        </w:rPr>
        <w:t>Review.</w:t>
      </w:r>
    </w:p>
    <w:p>
      <w:pPr>
        <w:pStyle w:val="BodyText"/>
        <w:tabs>
          <w:tab w:pos="2559" w:val="left" w:leader="none"/>
        </w:tabs>
        <w:spacing w:line="276" w:lineRule="auto" w:before="201"/>
        <w:ind w:left="2560" w:right="1321" w:hanging="2160"/>
        <w:jc w:val="both"/>
      </w:pPr>
      <w:r>
        <w:rPr>
          <w:spacing w:val="-4"/>
        </w:rPr>
        <w:t>1985</w:t>
      </w:r>
      <w:r>
        <w:rPr/>
        <w:tab/>
        <w:t>Navel System Command named its Japanese- style management approach "total quality management".</w:t>
      </w:r>
    </w:p>
    <w:p>
      <w:pPr>
        <w:pStyle w:val="BodyText"/>
        <w:tabs>
          <w:tab w:pos="2619" w:val="left" w:leader="none"/>
        </w:tabs>
        <w:spacing w:line="276" w:lineRule="auto" w:before="200"/>
        <w:ind w:left="2560" w:right="1317" w:hanging="2160"/>
        <w:jc w:val="both"/>
      </w:pPr>
      <w:r>
        <w:rPr>
          <w:spacing w:val="-4"/>
        </w:rPr>
        <w:t>1986</w:t>
      </w:r>
      <w:r>
        <w:rPr/>
        <w:tab/>
        <w:tab/>
        <w:t>First edition of Deming's Out of the Crisis published. It became a </w:t>
      </w:r>
      <w:r>
        <w:rPr>
          <w:spacing w:val="-2"/>
        </w:rPr>
        <w:t>bestseller.</w:t>
      </w:r>
    </w:p>
    <w:p>
      <w:pPr>
        <w:spacing w:after="0" w:line="276" w:lineRule="auto"/>
        <w:jc w:val="both"/>
        <w:sectPr>
          <w:pgSz w:w="12240" w:h="15840"/>
          <w:pgMar w:header="0" w:footer="1017" w:top="1360" w:bottom="1200" w:left="1040" w:right="120"/>
        </w:sectPr>
      </w:pPr>
    </w:p>
    <w:p>
      <w:pPr>
        <w:pStyle w:val="BodyText"/>
        <w:tabs>
          <w:tab w:pos="2559" w:val="left" w:leader="none"/>
        </w:tabs>
        <w:spacing w:line="276" w:lineRule="auto" w:before="74"/>
        <w:ind w:left="2560" w:right="1315" w:hanging="2160"/>
      </w:pPr>
      <w:r>
        <w:rPr>
          <w:spacing w:val="-4"/>
        </w:rPr>
        <w:t>1987</w:t>
      </w:r>
      <w:r>
        <w:rPr/>
        <w:tab/>
        <w:t>First edition of ISO 9000 quality</w:t>
      </w:r>
      <w:r>
        <w:rPr>
          <w:spacing w:val="-4"/>
        </w:rPr>
        <w:t> </w:t>
      </w:r>
      <w:r>
        <w:rPr/>
        <w:t>management system series. PublicationK of the Malcolm Baldrige National Quality Award.</w:t>
      </w:r>
    </w:p>
    <w:p>
      <w:pPr>
        <w:pStyle w:val="Heading2"/>
        <w:tabs>
          <w:tab w:pos="1839" w:val="left" w:leader="none"/>
        </w:tabs>
        <w:spacing w:before="205"/>
      </w:pPr>
      <w:r>
        <w:rPr>
          <w:spacing w:val="-2"/>
        </w:rPr>
        <w:t>Source:</w:t>
      </w:r>
      <w:r>
        <w:rPr/>
        <w:tab/>
        <w:t>Martinez-</w:t>
      </w:r>
      <w:r>
        <w:rPr>
          <w:spacing w:val="-5"/>
        </w:rPr>
        <w:t> </w:t>
      </w:r>
      <w:r>
        <w:rPr/>
        <w:t>Lorente</w:t>
      </w:r>
      <w:r>
        <w:rPr>
          <w:spacing w:val="-1"/>
        </w:rPr>
        <w:t> </w:t>
      </w:r>
      <w:r>
        <w:rPr>
          <w:i/>
        </w:rPr>
        <w:t>et</w:t>
      </w:r>
      <w:r>
        <w:rPr>
          <w:i/>
          <w:spacing w:val="-2"/>
        </w:rPr>
        <w:t> </w:t>
      </w:r>
      <w:r>
        <w:rPr>
          <w:i/>
        </w:rPr>
        <w:t>al</w:t>
      </w:r>
      <w:r>
        <w:rPr/>
        <w:t>.</w:t>
      </w:r>
      <w:r>
        <w:rPr>
          <w:spacing w:val="-2"/>
        </w:rPr>
        <w:t> </w:t>
      </w:r>
      <w:r>
        <w:rPr/>
        <w:t>(1998,</w:t>
      </w:r>
      <w:r>
        <w:rPr>
          <w:spacing w:val="-2"/>
        </w:rPr>
        <w:t> </w:t>
      </w:r>
      <w:r>
        <w:rPr/>
        <w:t>In</w:t>
      </w:r>
      <w:r>
        <w:rPr>
          <w:spacing w:val="-2"/>
        </w:rPr>
        <w:t> </w:t>
      </w:r>
      <w:r>
        <w:rPr/>
        <w:t>Ahmed,</w:t>
      </w:r>
      <w:r>
        <w:rPr>
          <w:spacing w:val="-2"/>
        </w:rPr>
        <w:t> 2010)</w:t>
      </w:r>
    </w:p>
    <w:p>
      <w:pPr>
        <w:pStyle w:val="BodyText"/>
        <w:rPr>
          <w:b/>
        </w:rPr>
      </w:pPr>
    </w:p>
    <w:p>
      <w:pPr>
        <w:pStyle w:val="BodyText"/>
        <w:spacing w:before="72"/>
        <w:rPr>
          <w:b/>
        </w:rPr>
      </w:pPr>
    </w:p>
    <w:p>
      <w:pPr>
        <w:pStyle w:val="ListParagraph"/>
        <w:numPr>
          <w:ilvl w:val="1"/>
          <w:numId w:val="16"/>
        </w:numPr>
        <w:tabs>
          <w:tab w:pos="1119" w:val="left" w:leader="none"/>
        </w:tabs>
        <w:spacing w:line="240" w:lineRule="auto" w:before="0" w:after="0"/>
        <w:ind w:left="1119" w:right="0" w:hanging="719"/>
        <w:jc w:val="left"/>
        <w:rPr>
          <w:b/>
          <w:sz w:val="24"/>
        </w:rPr>
      </w:pPr>
      <w:r>
        <w:rPr>
          <w:b/>
          <w:sz w:val="24"/>
        </w:rPr>
        <w:t>Total</w:t>
      </w:r>
      <w:r>
        <w:rPr>
          <w:b/>
          <w:spacing w:val="-5"/>
          <w:sz w:val="24"/>
        </w:rPr>
        <w:t> </w:t>
      </w:r>
      <w:r>
        <w:rPr>
          <w:b/>
          <w:sz w:val="24"/>
        </w:rPr>
        <w:t>Quality</w:t>
      </w:r>
      <w:r>
        <w:rPr>
          <w:b/>
          <w:spacing w:val="-3"/>
          <w:sz w:val="24"/>
        </w:rPr>
        <w:t> </w:t>
      </w:r>
      <w:r>
        <w:rPr>
          <w:b/>
          <w:sz w:val="24"/>
        </w:rPr>
        <w:t>Management</w:t>
      </w:r>
      <w:r>
        <w:rPr>
          <w:b/>
          <w:spacing w:val="-4"/>
          <w:sz w:val="24"/>
        </w:rPr>
        <w:t> </w:t>
      </w:r>
      <w:r>
        <w:rPr>
          <w:b/>
          <w:sz w:val="24"/>
        </w:rPr>
        <w:t>Implementation</w:t>
      </w:r>
      <w:r>
        <w:rPr>
          <w:b/>
          <w:spacing w:val="-3"/>
          <w:sz w:val="24"/>
        </w:rPr>
        <w:t> </w:t>
      </w:r>
      <w:r>
        <w:rPr>
          <w:b/>
          <w:sz w:val="24"/>
        </w:rPr>
        <w:t>in</w:t>
      </w:r>
      <w:r>
        <w:rPr>
          <w:b/>
          <w:spacing w:val="-3"/>
          <w:sz w:val="24"/>
        </w:rPr>
        <w:t> </w:t>
      </w:r>
      <w:r>
        <w:rPr>
          <w:b/>
          <w:sz w:val="24"/>
        </w:rPr>
        <w:t>Nigerian</w:t>
      </w:r>
      <w:r>
        <w:rPr>
          <w:b/>
          <w:spacing w:val="-3"/>
          <w:sz w:val="24"/>
        </w:rPr>
        <w:t> </w:t>
      </w:r>
      <w:r>
        <w:rPr>
          <w:b/>
          <w:sz w:val="24"/>
        </w:rPr>
        <w:t>Construction</w:t>
      </w:r>
      <w:r>
        <w:rPr>
          <w:b/>
          <w:spacing w:val="-2"/>
          <w:sz w:val="24"/>
        </w:rPr>
        <w:t> Industry</w:t>
      </w:r>
    </w:p>
    <w:p>
      <w:pPr>
        <w:pStyle w:val="BodyText"/>
        <w:spacing w:before="195"/>
        <w:rPr>
          <w:b/>
        </w:rPr>
      </w:pPr>
    </w:p>
    <w:p>
      <w:pPr>
        <w:pStyle w:val="BodyText"/>
        <w:spacing w:line="480" w:lineRule="auto"/>
        <w:ind w:left="399" w:right="1316"/>
        <w:jc w:val="both"/>
      </w:pPr>
      <w:r>
        <w:rPr/>
        <w:t>Despite all effort made in the different fields in adapting new strategies and implementation procedures, sustainable development in industries has become a major concern in the last decade both in developed and developing countries. It is widely accepted that customer satisfaction is</w:t>
      </w:r>
      <w:r>
        <w:rPr>
          <w:spacing w:val="40"/>
        </w:rPr>
        <w:t> </w:t>
      </w:r>
      <w:r>
        <w:rPr/>
        <w:t>the</w:t>
      </w:r>
      <w:r>
        <w:rPr>
          <w:spacing w:val="-3"/>
        </w:rPr>
        <w:t> </w:t>
      </w:r>
      <w:r>
        <w:rPr/>
        <w:t>primary</w:t>
      </w:r>
      <w:r>
        <w:rPr>
          <w:spacing w:val="-5"/>
        </w:rPr>
        <w:t> </w:t>
      </w:r>
      <w:r>
        <w:rPr/>
        <w:t>focus</w:t>
      </w:r>
      <w:r>
        <w:rPr>
          <w:spacing w:val="-2"/>
        </w:rPr>
        <w:t> </w:t>
      </w:r>
      <w:r>
        <w:rPr/>
        <w:t>in</w:t>
      </w:r>
      <w:r>
        <w:rPr>
          <w:spacing w:val="-2"/>
        </w:rPr>
        <w:t> </w:t>
      </w:r>
      <w:r>
        <w:rPr/>
        <w:t>modern</w:t>
      </w:r>
      <w:r>
        <w:rPr>
          <w:spacing w:val="-2"/>
        </w:rPr>
        <w:t> </w:t>
      </w:r>
      <w:r>
        <w:rPr/>
        <w:t>business</w:t>
      </w:r>
      <w:r>
        <w:rPr>
          <w:spacing w:val="-2"/>
        </w:rPr>
        <w:t> </w:t>
      </w:r>
      <w:r>
        <w:rPr/>
        <w:t>success.</w:t>
      </w:r>
      <w:r>
        <w:rPr>
          <w:spacing w:val="-2"/>
        </w:rPr>
        <w:t> </w:t>
      </w:r>
      <w:r>
        <w:rPr/>
        <w:t>Companies</w:t>
      </w:r>
      <w:r>
        <w:rPr>
          <w:spacing w:val="-2"/>
        </w:rPr>
        <w:t> </w:t>
      </w:r>
      <w:r>
        <w:rPr/>
        <w:t>must</w:t>
      </w:r>
      <w:r>
        <w:rPr>
          <w:spacing w:val="-2"/>
        </w:rPr>
        <w:t> </w:t>
      </w:r>
      <w:r>
        <w:rPr/>
        <w:t>always</w:t>
      </w:r>
      <w:r>
        <w:rPr>
          <w:spacing w:val="-2"/>
        </w:rPr>
        <w:t> </w:t>
      </w:r>
      <w:r>
        <w:rPr/>
        <w:t>put the</w:t>
      </w:r>
      <w:r>
        <w:rPr>
          <w:spacing w:val="-3"/>
        </w:rPr>
        <w:t> </w:t>
      </w:r>
      <w:r>
        <w:rPr/>
        <w:t>customer</w:t>
      </w:r>
      <w:r>
        <w:rPr>
          <w:spacing w:val="-1"/>
        </w:rPr>
        <w:t> </w:t>
      </w:r>
      <w:r>
        <w:rPr/>
        <w:t>needs</w:t>
      </w:r>
      <w:r>
        <w:rPr>
          <w:spacing w:val="-2"/>
        </w:rPr>
        <w:t> </w:t>
      </w:r>
      <w:r>
        <w:rPr/>
        <w:t>in first place. This has resulted in the exercise of value creation. Therefore, with the concept of value,</w:t>
      </w:r>
      <w:r>
        <w:rPr>
          <w:spacing w:val="-2"/>
        </w:rPr>
        <w:t> </w:t>
      </w:r>
      <w:r>
        <w:rPr/>
        <w:t>customer</w:t>
      </w:r>
      <w:r>
        <w:rPr>
          <w:spacing w:val="-3"/>
        </w:rPr>
        <w:t> </w:t>
      </w:r>
      <w:r>
        <w:rPr/>
        <w:t>value</w:t>
      </w:r>
      <w:r>
        <w:rPr>
          <w:spacing w:val="-3"/>
        </w:rPr>
        <w:t> </w:t>
      </w:r>
      <w:r>
        <w:rPr/>
        <w:t>has</w:t>
      </w:r>
      <w:r>
        <w:rPr>
          <w:spacing w:val="-2"/>
        </w:rPr>
        <w:t> </w:t>
      </w:r>
      <w:r>
        <w:rPr/>
        <w:t>become</w:t>
      </w:r>
      <w:r>
        <w:rPr>
          <w:spacing w:val="-3"/>
        </w:rPr>
        <w:t> </w:t>
      </w:r>
      <w:r>
        <w:rPr/>
        <w:t>a</w:t>
      </w:r>
      <w:r>
        <w:rPr>
          <w:spacing w:val="-3"/>
        </w:rPr>
        <w:t> </w:t>
      </w:r>
      <w:r>
        <w:rPr/>
        <w:t>source</w:t>
      </w:r>
      <w:r>
        <w:rPr>
          <w:spacing w:val="-3"/>
        </w:rPr>
        <w:t> </w:t>
      </w:r>
      <w:r>
        <w:rPr/>
        <w:t>of</w:t>
      </w:r>
      <w:r>
        <w:rPr>
          <w:spacing w:val="-3"/>
        </w:rPr>
        <w:t> </w:t>
      </w:r>
      <w:r>
        <w:rPr/>
        <w:t>sustainable</w:t>
      </w:r>
      <w:r>
        <w:rPr>
          <w:spacing w:val="-3"/>
        </w:rPr>
        <w:t> </w:t>
      </w:r>
      <w:r>
        <w:rPr/>
        <w:t>competitiveness.</w:t>
      </w:r>
      <w:r>
        <w:rPr>
          <w:spacing w:val="-2"/>
        </w:rPr>
        <w:t> </w:t>
      </w:r>
      <w:r>
        <w:rPr/>
        <w:t>Therefore,</w:t>
      </w:r>
      <w:r>
        <w:rPr>
          <w:spacing w:val="-2"/>
        </w:rPr>
        <w:t> </w:t>
      </w:r>
      <w:r>
        <w:rPr/>
        <w:t>companies have adopted different platforms for value creation, such as; mass production, streamlined supplier networks, value in design, lean Construction/production, six sigma and, total quality management (TQM).</w:t>
      </w:r>
    </w:p>
    <w:p>
      <w:pPr>
        <w:pStyle w:val="BodyText"/>
        <w:spacing w:line="480" w:lineRule="auto" w:before="199"/>
        <w:ind w:left="399" w:right="1316"/>
        <w:jc w:val="both"/>
      </w:pPr>
      <w:r>
        <w:rPr/>
        <w:t>However, TQM represents a platform for marketing potentialities, and synergistic in facilitating efficient management of process for value creation and delivery in the highly dynamic and competitive market, Mele (2007). TQM is found to have a strong and positive impact on organisational performance (Mehmet and Lenny, 2006). TQM as a management approach focus on the early involvement of all construction project members at early stage of the procurement process, therefore, taking the</w:t>
      </w:r>
      <w:r>
        <w:rPr>
          <w:spacing w:val="-1"/>
        </w:rPr>
        <w:t> </w:t>
      </w:r>
      <w:r>
        <w:rPr/>
        <w:t>right decision at early</w:t>
      </w:r>
      <w:r>
        <w:rPr>
          <w:spacing w:val="-2"/>
        </w:rPr>
        <w:t> </w:t>
      </w:r>
      <w:r>
        <w:rPr/>
        <w:t>stage</w:t>
      </w:r>
      <w:r>
        <w:rPr>
          <w:spacing w:val="-1"/>
        </w:rPr>
        <w:t> </w:t>
      </w:r>
      <w:r>
        <w:rPr/>
        <w:t>will save a great deal of</w:t>
      </w:r>
      <w:r>
        <w:rPr>
          <w:spacing w:val="-1"/>
        </w:rPr>
        <w:t> </w:t>
      </w:r>
      <w:r>
        <w:rPr/>
        <w:t>time effort and money leading to more added value to the construction project.</w:t>
      </w:r>
    </w:p>
    <w:p>
      <w:pPr>
        <w:pStyle w:val="BodyText"/>
        <w:spacing w:line="480" w:lineRule="auto" w:before="200"/>
        <w:ind w:left="400" w:right="1320"/>
        <w:jc w:val="both"/>
      </w:pPr>
      <w:r>
        <w:rPr/>
        <w:t>Despite the fact that construction industry has lagged behind other industries in TQM implementation,</w:t>
      </w:r>
      <w:r>
        <w:rPr>
          <w:spacing w:val="15"/>
        </w:rPr>
        <w:t> </w:t>
      </w:r>
      <w:r>
        <w:rPr/>
        <w:t>TQM</w:t>
      </w:r>
      <w:r>
        <w:rPr>
          <w:spacing w:val="17"/>
        </w:rPr>
        <w:t> </w:t>
      </w:r>
      <w:r>
        <w:rPr/>
        <w:t>is</w:t>
      </w:r>
      <w:r>
        <w:rPr>
          <w:spacing w:val="16"/>
        </w:rPr>
        <w:t> </w:t>
      </w:r>
      <w:r>
        <w:rPr/>
        <w:t>widely</w:t>
      </w:r>
      <w:r>
        <w:rPr>
          <w:spacing w:val="12"/>
        </w:rPr>
        <w:t> </w:t>
      </w:r>
      <w:r>
        <w:rPr/>
        <w:t>recognised</w:t>
      </w:r>
      <w:r>
        <w:rPr>
          <w:spacing w:val="18"/>
        </w:rPr>
        <w:t> </w:t>
      </w:r>
      <w:r>
        <w:rPr/>
        <w:t>as</w:t>
      </w:r>
      <w:r>
        <w:rPr>
          <w:spacing w:val="17"/>
        </w:rPr>
        <w:t> </w:t>
      </w:r>
      <w:r>
        <w:rPr/>
        <w:t>an</w:t>
      </w:r>
      <w:r>
        <w:rPr>
          <w:spacing w:val="18"/>
        </w:rPr>
        <w:t> </w:t>
      </w:r>
      <w:r>
        <w:rPr/>
        <w:t>enabler</w:t>
      </w:r>
      <w:r>
        <w:rPr>
          <w:spacing w:val="16"/>
        </w:rPr>
        <w:t> </w:t>
      </w:r>
      <w:r>
        <w:rPr/>
        <w:t>for</w:t>
      </w:r>
      <w:r>
        <w:rPr>
          <w:spacing w:val="17"/>
        </w:rPr>
        <w:t> </w:t>
      </w:r>
      <w:r>
        <w:rPr/>
        <w:t>performance</w:t>
      </w:r>
      <w:r>
        <w:rPr>
          <w:spacing w:val="18"/>
        </w:rPr>
        <w:t> </w:t>
      </w:r>
      <w:r>
        <w:rPr/>
        <w:t>in</w:t>
      </w:r>
      <w:r>
        <w:rPr>
          <w:spacing w:val="18"/>
        </w:rPr>
        <w:t> </w:t>
      </w:r>
      <w:r>
        <w:rPr/>
        <w:t>the</w:t>
      </w:r>
      <w:r>
        <w:rPr>
          <w:spacing w:val="13"/>
        </w:rPr>
        <w:t> </w:t>
      </w:r>
      <w:r>
        <w:rPr/>
        <w:t>industry,</w:t>
      </w:r>
      <w:r>
        <w:rPr>
          <w:spacing w:val="18"/>
        </w:rPr>
        <w:t> </w:t>
      </w:r>
      <w:r>
        <w:rPr>
          <w:spacing w:val="-2"/>
        </w:rPr>
        <w:t>after</w:t>
      </w:r>
    </w:p>
    <w:p>
      <w:pPr>
        <w:spacing w:after="0" w:line="480" w:lineRule="auto"/>
        <w:jc w:val="both"/>
        <w:sectPr>
          <w:pgSz w:w="12240" w:h="15840"/>
          <w:pgMar w:header="0" w:footer="1017" w:top="1360" w:bottom="1200" w:left="1040" w:right="120"/>
        </w:sectPr>
      </w:pPr>
    </w:p>
    <w:p>
      <w:pPr>
        <w:pStyle w:val="BodyText"/>
        <w:spacing w:line="480" w:lineRule="auto" w:before="72"/>
        <w:ind w:left="399" w:right="1316"/>
        <w:jc w:val="both"/>
      </w:pPr>
      <w:r>
        <w:rPr/>
        <w:t>being successfully implemented worldwide by many highly competitive organisations to</w:t>
      </w:r>
      <w:r>
        <w:rPr>
          <w:spacing w:val="40"/>
        </w:rPr>
        <w:t> </w:t>
      </w:r>
      <w:r>
        <w:rPr/>
        <w:t>improve performance and productivity, especially within the services and manufacturing industries (Love </w:t>
      </w:r>
      <w:r>
        <w:rPr>
          <w:i/>
        </w:rPr>
        <w:t>et al. </w:t>
      </w:r>
      <w:r>
        <w:rPr/>
        <w:t>2004). According to Abas and Yaacob (2006), the success of TQM adoption in manufacturing and other industries has been forcing the construction industry to implement the TQM philosophy to be able to cope with the rapid changes in the business environment.</w:t>
      </w:r>
      <w:r>
        <w:rPr>
          <w:spacing w:val="-2"/>
        </w:rPr>
        <w:t> </w:t>
      </w:r>
      <w:r>
        <w:rPr/>
        <w:t>They</w:t>
      </w:r>
      <w:r>
        <w:rPr>
          <w:spacing w:val="-5"/>
        </w:rPr>
        <w:t> </w:t>
      </w:r>
      <w:r>
        <w:rPr/>
        <w:t>add</w:t>
      </w:r>
      <w:r>
        <w:rPr>
          <w:spacing w:val="-2"/>
        </w:rPr>
        <w:t> </w:t>
      </w:r>
      <w:r>
        <w:rPr/>
        <w:t>that</w:t>
      </w:r>
      <w:r>
        <w:rPr>
          <w:spacing w:val="-2"/>
        </w:rPr>
        <w:t> </w:t>
      </w:r>
      <w:r>
        <w:rPr/>
        <w:t>TQM</w:t>
      </w:r>
      <w:r>
        <w:rPr>
          <w:spacing w:val="-2"/>
        </w:rPr>
        <w:t> </w:t>
      </w:r>
      <w:r>
        <w:rPr/>
        <w:t>adoption</w:t>
      </w:r>
      <w:r>
        <w:rPr>
          <w:spacing w:val="-2"/>
        </w:rPr>
        <w:t> </w:t>
      </w:r>
      <w:r>
        <w:rPr/>
        <w:t>within</w:t>
      </w:r>
      <w:r>
        <w:rPr>
          <w:spacing w:val="-2"/>
        </w:rPr>
        <w:t> </w:t>
      </w:r>
      <w:r>
        <w:rPr/>
        <w:t>an</w:t>
      </w:r>
      <w:r>
        <w:rPr>
          <w:spacing w:val="-2"/>
        </w:rPr>
        <w:t> </w:t>
      </w:r>
      <w:r>
        <w:rPr/>
        <w:t>organisation</w:t>
      </w:r>
      <w:r>
        <w:rPr>
          <w:spacing w:val="-2"/>
        </w:rPr>
        <w:t> </w:t>
      </w:r>
      <w:r>
        <w:rPr/>
        <w:t>has</w:t>
      </w:r>
      <w:r>
        <w:rPr>
          <w:spacing w:val="-2"/>
        </w:rPr>
        <w:t> </w:t>
      </w:r>
      <w:r>
        <w:rPr/>
        <w:t>become</w:t>
      </w:r>
      <w:r>
        <w:rPr>
          <w:spacing w:val="-3"/>
        </w:rPr>
        <w:t> </w:t>
      </w:r>
      <w:r>
        <w:rPr/>
        <w:t>a</w:t>
      </w:r>
      <w:r>
        <w:rPr>
          <w:spacing w:val="-3"/>
        </w:rPr>
        <w:t> </w:t>
      </w:r>
      <w:r>
        <w:rPr/>
        <w:t>vital</w:t>
      </w:r>
      <w:r>
        <w:rPr>
          <w:spacing w:val="-2"/>
        </w:rPr>
        <w:t> </w:t>
      </w:r>
      <w:r>
        <w:rPr/>
        <w:t>strategy</w:t>
      </w:r>
      <w:r>
        <w:rPr>
          <w:spacing w:val="-7"/>
        </w:rPr>
        <w:t> </w:t>
      </w:r>
      <w:r>
        <w:rPr/>
        <w:t>for all organisational aspects after being considered an important operational-level element by some </w:t>
      </w:r>
      <w:r>
        <w:rPr>
          <w:spacing w:val="-2"/>
        </w:rPr>
        <w:t>firms.</w:t>
      </w:r>
    </w:p>
    <w:p>
      <w:pPr>
        <w:pStyle w:val="Heading2"/>
        <w:numPr>
          <w:ilvl w:val="1"/>
          <w:numId w:val="16"/>
        </w:numPr>
        <w:tabs>
          <w:tab w:pos="1119" w:val="left" w:leader="none"/>
        </w:tabs>
        <w:spacing w:line="240" w:lineRule="auto" w:before="206" w:after="0"/>
        <w:ind w:left="1119" w:right="0" w:hanging="720"/>
        <w:jc w:val="both"/>
      </w:pPr>
      <w:r>
        <w:rPr/>
        <w:t>Benefits</w:t>
      </w:r>
      <w:r>
        <w:rPr>
          <w:spacing w:val="-5"/>
        </w:rPr>
        <w:t> </w:t>
      </w:r>
      <w:r>
        <w:rPr/>
        <w:t>and</w:t>
      </w:r>
      <w:r>
        <w:rPr>
          <w:spacing w:val="-5"/>
        </w:rPr>
        <w:t> </w:t>
      </w:r>
      <w:r>
        <w:rPr/>
        <w:t>Obstacles</w:t>
      </w:r>
      <w:r>
        <w:rPr>
          <w:spacing w:val="-3"/>
        </w:rPr>
        <w:t> </w:t>
      </w:r>
      <w:r>
        <w:rPr/>
        <w:t>of</w:t>
      </w:r>
      <w:r>
        <w:rPr>
          <w:spacing w:val="-1"/>
        </w:rPr>
        <w:t> </w:t>
      </w:r>
      <w:r>
        <w:rPr/>
        <w:t>Total</w:t>
      </w:r>
      <w:r>
        <w:rPr>
          <w:spacing w:val="-3"/>
        </w:rPr>
        <w:t> </w:t>
      </w:r>
      <w:r>
        <w:rPr/>
        <w:t>Quality</w:t>
      </w:r>
      <w:r>
        <w:rPr>
          <w:spacing w:val="-3"/>
        </w:rPr>
        <w:t> </w:t>
      </w:r>
      <w:r>
        <w:rPr/>
        <w:t>Management</w:t>
      </w:r>
      <w:r>
        <w:rPr>
          <w:spacing w:val="-3"/>
        </w:rPr>
        <w:t> </w:t>
      </w:r>
      <w:r>
        <w:rPr>
          <w:spacing w:val="-2"/>
        </w:rPr>
        <w:t>Implementation</w:t>
      </w:r>
    </w:p>
    <w:p>
      <w:pPr>
        <w:pStyle w:val="ListParagraph"/>
        <w:numPr>
          <w:ilvl w:val="2"/>
          <w:numId w:val="16"/>
        </w:numPr>
        <w:tabs>
          <w:tab w:pos="1119" w:val="left" w:leader="none"/>
        </w:tabs>
        <w:spacing w:line="240" w:lineRule="auto" w:before="243" w:after="0"/>
        <w:ind w:left="1119" w:right="0" w:hanging="720"/>
        <w:jc w:val="both"/>
        <w:rPr>
          <w:b/>
          <w:sz w:val="24"/>
        </w:rPr>
      </w:pPr>
      <w:r>
        <w:rPr>
          <w:b/>
          <w:sz w:val="24"/>
        </w:rPr>
        <w:t>Benefits</w:t>
      </w:r>
      <w:r>
        <w:rPr>
          <w:b/>
          <w:spacing w:val="-3"/>
          <w:sz w:val="24"/>
        </w:rPr>
        <w:t> </w:t>
      </w:r>
      <w:r>
        <w:rPr>
          <w:b/>
          <w:sz w:val="24"/>
        </w:rPr>
        <w:t>of</w:t>
      </w:r>
      <w:r>
        <w:rPr>
          <w:b/>
          <w:spacing w:val="-1"/>
          <w:sz w:val="24"/>
        </w:rPr>
        <w:t> </w:t>
      </w:r>
      <w:r>
        <w:rPr>
          <w:b/>
          <w:sz w:val="24"/>
        </w:rPr>
        <w:t>total</w:t>
      </w:r>
      <w:r>
        <w:rPr>
          <w:b/>
          <w:spacing w:val="-3"/>
          <w:sz w:val="24"/>
        </w:rPr>
        <w:t> </w:t>
      </w:r>
      <w:r>
        <w:rPr>
          <w:b/>
          <w:sz w:val="24"/>
        </w:rPr>
        <w:t>quality</w:t>
      </w:r>
      <w:r>
        <w:rPr>
          <w:b/>
          <w:spacing w:val="-5"/>
          <w:sz w:val="24"/>
        </w:rPr>
        <w:t> </w:t>
      </w:r>
      <w:r>
        <w:rPr>
          <w:b/>
          <w:sz w:val="24"/>
        </w:rPr>
        <w:t>management</w:t>
      </w:r>
      <w:r>
        <w:rPr>
          <w:b/>
          <w:spacing w:val="-3"/>
          <w:sz w:val="24"/>
        </w:rPr>
        <w:t> </w:t>
      </w:r>
      <w:r>
        <w:rPr>
          <w:b/>
          <w:spacing w:val="-2"/>
          <w:sz w:val="24"/>
        </w:rPr>
        <w:t>implementation</w:t>
      </w:r>
    </w:p>
    <w:p>
      <w:pPr>
        <w:pStyle w:val="BodyText"/>
        <w:spacing w:before="235"/>
        <w:ind w:left="399"/>
        <w:jc w:val="both"/>
      </w:pPr>
      <w:r>
        <w:rPr/>
        <w:t>The</w:t>
      </w:r>
      <w:r>
        <w:rPr>
          <w:spacing w:val="-3"/>
        </w:rPr>
        <w:t> </w:t>
      </w:r>
      <w:r>
        <w:rPr/>
        <w:t>successful</w:t>
      </w:r>
      <w:r>
        <w:rPr>
          <w:spacing w:val="-2"/>
        </w:rPr>
        <w:t> </w:t>
      </w:r>
      <w:r>
        <w:rPr/>
        <w:t>implementation</w:t>
      </w:r>
      <w:r>
        <w:rPr>
          <w:spacing w:val="-1"/>
        </w:rPr>
        <w:t> </w:t>
      </w:r>
      <w:r>
        <w:rPr/>
        <w:t>of</w:t>
      </w:r>
      <w:r>
        <w:rPr>
          <w:spacing w:val="-3"/>
        </w:rPr>
        <w:t> </w:t>
      </w:r>
      <w:r>
        <w:rPr/>
        <w:t>TQM</w:t>
      </w:r>
      <w:r>
        <w:rPr>
          <w:spacing w:val="-1"/>
        </w:rPr>
        <w:t> </w:t>
      </w:r>
      <w:r>
        <w:rPr/>
        <w:t>will</w:t>
      </w:r>
      <w:r>
        <w:rPr>
          <w:spacing w:val="-2"/>
        </w:rPr>
        <w:t> </w:t>
      </w:r>
      <w:r>
        <w:rPr/>
        <w:t>result</w:t>
      </w:r>
      <w:r>
        <w:rPr>
          <w:spacing w:val="-1"/>
        </w:rPr>
        <w:t> </w:t>
      </w:r>
      <w:r>
        <w:rPr>
          <w:spacing w:val="-5"/>
        </w:rPr>
        <w:t>in:</w:t>
      </w:r>
    </w:p>
    <w:p>
      <w:pPr>
        <w:pStyle w:val="BodyText"/>
        <w:spacing w:before="199"/>
      </w:pPr>
    </w:p>
    <w:p>
      <w:pPr>
        <w:pStyle w:val="ListParagraph"/>
        <w:numPr>
          <w:ilvl w:val="3"/>
          <w:numId w:val="16"/>
        </w:numPr>
        <w:tabs>
          <w:tab w:pos="1117" w:val="left" w:leader="none"/>
          <w:tab w:pos="1119" w:val="left" w:leader="none"/>
        </w:tabs>
        <w:spacing w:line="480" w:lineRule="auto" w:before="0" w:after="0"/>
        <w:ind w:left="1119" w:right="1317" w:hanging="488"/>
        <w:jc w:val="both"/>
        <w:rPr>
          <w:sz w:val="24"/>
        </w:rPr>
      </w:pPr>
      <w:r>
        <w:rPr>
          <w:b/>
          <w:sz w:val="24"/>
        </w:rPr>
        <w:t>Improved employee involvement: </w:t>
      </w:r>
      <w:r>
        <w:rPr>
          <w:sz w:val="24"/>
        </w:rPr>
        <w:t>TQM ensures that everyone in the organisation has a clear understanding of what is required and how processes relate to the business as a whole. Through the practice of TQM, teamwork is employed and the employees are motivated and encouraged to control, manage and improve the processes, which are within their responsibility (Dale, 1994 cited by Antony </w:t>
      </w:r>
      <w:r>
        <w:rPr>
          <w:i/>
          <w:sz w:val="24"/>
        </w:rPr>
        <w:t>et.al</w:t>
      </w:r>
      <w:r>
        <w:rPr>
          <w:sz w:val="24"/>
        </w:rPr>
        <w:t>., 2002).</w:t>
      </w:r>
    </w:p>
    <w:p>
      <w:pPr>
        <w:pStyle w:val="ListParagraph"/>
        <w:numPr>
          <w:ilvl w:val="3"/>
          <w:numId w:val="16"/>
        </w:numPr>
        <w:tabs>
          <w:tab w:pos="1117" w:val="left" w:leader="none"/>
          <w:tab w:pos="1119" w:val="left" w:leader="none"/>
        </w:tabs>
        <w:spacing w:line="480" w:lineRule="auto" w:before="1" w:after="0"/>
        <w:ind w:left="1119" w:right="1317" w:hanging="555"/>
        <w:jc w:val="both"/>
        <w:rPr>
          <w:sz w:val="24"/>
        </w:rPr>
      </w:pPr>
      <w:r>
        <w:rPr>
          <w:b/>
          <w:sz w:val="24"/>
        </w:rPr>
        <w:t>Improved communication</w:t>
      </w:r>
      <w:r>
        <w:rPr>
          <w:sz w:val="24"/>
        </w:rPr>
        <w:t>: A better communication can be accomplished through the effective</w:t>
      </w:r>
      <w:r>
        <w:rPr>
          <w:spacing w:val="-1"/>
          <w:sz w:val="24"/>
        </w:rPr>
        <w:t> </w:t>
      </w:r>
      <w:r>
        <w:rPr>
          <w:sz w:val="24"/>
        </w:rPr>
        <w:t>implementation of TQM principles in any</w:t>
      </w:r>
      <w:r>
        <w:rPr>
          <w:spacing w:val="-2"/>
          <w:sz w:val="24"/>
        </w:rPr>
        <w:t> </w:t>
      </w:r>
      <w:r>
        <w:rPr>
          <w:sz w:val="24"/>
        </w:rPr>
        <w:t>organisation. More</w:t>
      </w:r>
      <w:r>
        <w:rPr>
          <w:spacing w:val="-1"/>
          <w:sz w:val="24"/>
        </w:rPr>
        <w:t> </w:t>
      </w:r>
      <w:r>
        <w:rPr>
          <w:sz w:val="24"/>
        </w:rPr>
        <w:t>open and frequent communication among people will be established, and they will view and treat one another as customers and suppliers (Anjard, 1998 cited by Antony </w:t>
      </w:r>
      <w:r>
        <w:rPr>
          <w:i/>
          <w:sz w:val="24"/>
        </w:rPr>
        <w:t>et al</w:t>
      </w:r>
      <w:r>
        <w:rPr>
          <w:sz w:val="24"/>
        </w:rPr>
        <w:t>., 2002).</w:t>
      </w:r>
    </w:p>
    <w:p>
      <w:pPr>
        <w:pStyle w:val="ListParagraph"/>
        <w:numPr>
          <w:ilvl w:val="3"/>
          <w:numId w:val="16"/>
        </w:numPr>
        <w:tabs>
          <w:tab w:pos="1117" w:val="left" w:leader="none"/>
          <w:tab w:pos="1120" w:val="left" w:leader="none"/>
        </w:tabs>
        <w:spacing w:line="480" w:lineRule="auto" w:before="0" w:after="0"/>
        <w:ind w:left="1120" w:right="1313" w:hanging="620"/>
        <w:jc w:val="both"/>
        <w:rPr>
          <w:sz w:val="24"/>
        </w:rPr>
      </w:pPr>
      <w:r>
        <w:rPr>
          <w:b/>
          <w:sz w:val="24"/>
        </w:rPr>
        <w:t>Increased productivity: </w:t>
      </w:r>
      <w:r>
        <w:rPr>
          <w:sz w:val="24"/>
        </w:rPr>
        <w:t>TQM changes the organisational culture and creates a happy working environment. Due to effective delegation, empowerment, and total staff involvement,</w:t>
      </w:r>
      <w:r>
        <w:rPr>
          <w:spacing w:val="33"/>
          <w:sz w:val="24"/>
        </w:rPr>
        <w:t> </w:t>
      </w:r>
      <w:r>
        <w:rPr>
          <w:sz w:val="24"/>
        </w:rPr>
        <w:t>problems</w:t>
      </w:r>
      <w:r>
        <w:rPr>
          <w:spacing w:val="35"/>
          <w:sz w:val="24"/>
        </w:rPr>
        <w:t> </w:t>
      </w:r>
      <w:r>
        <w:rPr>
          <w:sz w:val="24"/>
        </w:rPr>
        <w:t>are</w:t>
      </w:r>
      <w:r>
        <w:rPr>
          <w:spacing w:val="32"/>
          <w:sz w:val="24"/>
        </w:rPr>
        <w:t> </w:t>
      </w:r>
      <w:r>
        <w:rPr>
          <w:sz w:val="24"/>
        </w:rPr>
        <w:t>identified</w:t>
      </w:r>
      <w:r>
        <w:rPr>
          <w:spacing w:val="35"/>
          <w:sz w:val="24"/>
        </w:rPr>
        <w:t> </w:t>
      </w:r>
      <w:r>
        <w:rPr>
          <w:sz w:val="24"/>
        </w:rPr>
        <w:t>and</w:t>
      </w:r>
      <w:r>
        <w:rPr>
          <w:spacing w:val="35"/>
          <w:sz w:val="24"/>
        </w:rPr>
        <w:t> </w:t>
      </w:r>
      <w:r>
        <w:rPr>
          <w:sz w:val="24"/>
        </w:rPr>
        <w:t>solved</w:t>
      </w:r>
      <w:r>
        <w:rPr>
          <w:spacing w:val="35"/>
          <w:sz w:val="24"/>
        </w:rPr>
        <w:t> </w:t>
      </w:r>
      <w:r>
        <w:rPr>
          <w:sz w:val="24"/>
        </w:rPr>
        <w:t>at</w:t>
      </w:r>
      <w:r>
        <w:rPr>
          <w:spacing w:val="33"/>
          <w:sz w:val="24"/>
        </w:rPr>
        <w:t> </w:t>
      </w:r>
      <w:r>
        <w:rPr>
          <w:sz w:val="24"/>
        </w:rPr>
        <w:t>lower</w:t>
      </w:r>
      <w:r>
        <w:rPr>
          <w:spacing w:val="32"/>
          <w:sz w:val="24"/>
        </w:rPr>
        <w:t> </w:t>
      </w:r>
      <w:r>
        <w:rPr>
          <w:sz w:val="24"/>
        </w:rPr>
        <w:t>levels.</w:t>
      </w:r>
      <w:r>
        <w:rPr>
          <w:spacing w:val="33"/>
          <w:sz w:val="24"/>
        </w:rPr>
        <w:t> </w:t>
      </w:r>
      <w:r>
        <w:rPr>
          <w:sz w:val="24"/>
        </w:rPr>
        <w:t>The</w:t>
      </w:r>
      <w:r>
        <w:rPr>
          <w:spacing w:val="32"/>
          <w:sz w:val="24"/>
        </w:rPr>
        <w:t> </w:t>
      </w:r>
      <w:r>
        <w:rPr>
          <w:sz w:val="24"/>
        </w:rPr>
        <w:t>working</w:t>
      </w:r>
      <w:r>
        <w:rPr>
          <w:spacing w:val="33"/>
          <w:sz w:val="24"/>
        </w:rPr>
        <w:t> </w:t>
      </w:r>
      <w:r>
        <w:rPr>
          <w:sz w:val="24"/>
        </w:rPr>
        <w:t>process</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6"/>
        <w:jc w:val="both"/>
      </w:pPr>
      <w:r>
        <w:rPr/>
        <w:t>will become more efficient. Consequently, productivity can be increased by reducing cycle times (Antony </w:t>
      </w:r>
      <w:r>
        <w:rPr>
          <w:i/>
        </w:rPr>
        <w:t>et al., </w:t>
      </w:r>
      <w:r>
        <w:rPr/>
        <w:t>2002).</w:t>
      </w:r>
    </w:p>
    <w:p>
      <w:pPr>
        <w:pStyle w:val="ListParagraph"/>
        <w:numPr>
          <w:ilvl w:val="3"/>
          <w:numId w:val="16"/>
        </w:numPr>
        <w:tabs>
          <w:tab w:pos="1118" w:val="left" w:leader="none"/>
          <w:tab w:pos="1120" w:val="left" w:leader="none"/>
        </w:tabs>
        <w:spacing w:line="480" w:lineRule="auto" w:before="0" w:after="0"/>
        <w:ind w:left="1120" w:right="1315" w:hanging="608"/>
        <w:jc w:val="both"/>
        <w:rPr>
          <w:sz w:val="24"/>
        </w:rPr>
      </w:pPr>
      <w:r>
        <w:rPr>
          <w:b/>
          <w:sz w:val="24"/>
        </w:rPr>
        <w:t>Improved quality and less rework: </w:t>
      </w:r>
      <w:r>
        <w:rPr>
          <w:sz w:val="24"/>
        </w:rPr>
        <w:t>Within</w:t>
      </w:r>
      <w:r>
        <w:rPr>
          <w:spacing w:val="-1"/>
          <w:sz w:val="24"/>
        </w:rPr>
        <w:t> </w:t>
      </w:r>
      <w:r>
        <w:rPr>
          <w:sz w:val="24"/>
        </w:rPr>
        <w:t>the context of a TQM</w:t>
      </w:r>
      <w:r>
        <w:rPr>
          <w:spacing w:val="-1"/>
          <w:sz w:val="24"/>
        </w:rPr>
        <w:t> </w:t>
      </w:r>
      <w:r>
        <w:rPr>
          <w:sz w:val="24"/>
        </w:rPr>
        <w:t>implementation, work processes and improvements are focused upon. Employees will place more emphasis on the elimination of root cause relines rather than the correction of problems. In addition, more up-front effort is applied to clarify requirements and prevent proactively the, occurrence of defects and errors. Problems will be identified and tackled at lower levels, by the people closest to the work who are empowered to deal with the problems. As a result, the quality of the products/services will be improved and product rework will be reduced (Antony </w:t>
      </w:r>
      <w:r>
        <w:rPr>
          <w:i/>
          <w:sz w:val="24"/>
        </w:rPr>
        <w:t>et al</w:t>
      </w:r>
      <w:r>
        <w:rPr>
          <w:sz w:val="24"/>
        </w:rPr>
        <w:t>., 2002).</w:t>
      </w:r>
    </w:p>
    <w:p>
      <w:pPr>
        <w:pStyle w:val="ListParagraph"/>
        <w:numPr>
          <w:ilvl w:val="3"/>
          <w:numId w:val="16"/>
        </w:numPr>
        <w:tabs>
          <w:tab w:pos="1120" w:val="left" w:leader="none"/>
        </w:tabs>
        <w:spacing w:line="480" w:lineRule="auto" w:before="0" w:after="0"/>
        <w:ind w:left="1120" w:right="1317" w:hanging="540"/>
        <w:jc w:val="both"/>
        <w:rPr>
          <w:sz w:val="24"/>
        </w:rPr>
      </w:pPr>
      <w:r>
        <w:rPr>
          <w:b/>
          <w:sz w:val="24"/>
        </w:rPr>
        <w:t>Improved customer satisfaction: </w:t>
      </w:r>
      <w:r>
        <w:rPr>
          <w:sz w:val="24"/>
        </w:rPr>
        <w:t>Through open communication among employees, customers and suppliers, the true voice of the customers can be more readily understood. Since quality operations also focus more on the work process and improvement, the company will provide a better quality product/service to the market. As a result,</w:t>
      </w:r>
      <w:r>
        <w:rPr>
          <w:spacing w:val="40"/>
          <w:sz w:val="24"/>
        </w:rPr>
        <w:t> </w:t>
      </w:r>
      <w:r>
        <w:rPr>
          <w:sz w:val="24"/>
        </w:rPr>
        <w:t>enhanced customer satisfaction is achieved.</w:t>
      </w:r>
    </w:p>
    <w:p>
      <w:pPr>
        <w:pStyle w:val="ListParagraph"/>
        <w:numPr>
          <w:ilvl w:val="3"/>
          <w:numId w:val="16"/>
        </w:numPr>
        <w:tabs>
          <w:tab w:pos="1118" w:val="left" w:leader="none"/>
          <w:tab w:pos="1120" w:val="left" w:leader="none"/>
        </w:tabs>
        <w:spacing w:line="480" w:lineRule="auto" w:before="0" w:after="0"/>
        <w:ind w:left="1120" w:right="1318" w:hanging="608"/>
        <w:jc w:val="both"/>
        <w:rPr>
          <w:sz w:val="24"/>
        </w:rPr>
      </w:pPr>
      <w:r>
        <w:rPr>
          <w:b/>
          <w:sz w:val="24"/>
        </w:rPr>
        <w:t>Reduced costs of poor quality: </w:t>
      </w:r>
      <w:r>
        <w:rPr>
          <w:sz w:val="24"/>
        </w:rPr>
        <w:t>Effective implementation of TQM will lead to</w:t>
      </w:r>
      <w:r>
        <w:rPr>
          <w:spacing w:val="40"/>
          <w:sz w:val="24"/>
        </w:rPr>
        <w:t> </w:t>
      </w:r>
      <w:r>
        <w:rPr>
          <w:sz w:val="24"/>
        </w:rPr>
        <w:t>significant reduction in costs of poor quality such as scrap, rework, late deliveries, warranty, replacement, etc. (Antony </w:t>
      </w:r>
      <w:r>
        <w:rPr>
          <w:i/>
          <w:sz w:val="24"/>
        </w:rPr>
        <w:t>et al</w:t>
      </w:r>
      <w:r>
        <w:rPr>
          <w:sz w:val="24"/>
        </w:rPr>
        <w:t>., 2002).</w:t>
      </w:r>
    </w:p>
    <w:p>
      <w:pPr>
        <w:pStyle w:val="ListParagraph"/>
        <w:numPr>
          <w:ilvl w:val="3"/>
          <w:numId w:val="16"/>
        </w:numPr>
        <w:tabs>
          <w:tab w:pos="1118" w:val="left" w:leader="none"/>
          <w:tab w:pos="1120" w:val="left" w:leader="none"/>
        </w:tabs>
        <w:spacing w:line="480" w:lineRule="auto" w:before="0" w:after="0"/>
        <w:ind w:left="1120" w:right="1315" w:hanging="675"/>
        <w:jc w:val="both"/>
        <w:rPr>
          <w:sz w:val="24"/>
        </w:rPr>
      </w:pPr>
      <w:r>
        <w:rPr>
          <w:b/>
          <w:sz w:val="24"/>
        </w:rPr>
        <w:t>Improved competitive advantage: </w:t>
      </w:r>
      <w:r>
        <w:rPr>
          <w:sz w:val="24"/>
        </w:rPr>
        <w:t>A further, benefit is to strengthen the competitive advantage of the organisation to survive in the market. If TQM is successfully implemented, it will result in better customer satisfaction (Antony </w:t>
      </w:r>
      <w:r>
        <w:rPr>
          <w:i/>
          <w:sz w:val="24"/>
        </w:rPr>
        <w:t>et al., </w:t>
      </w:r>
      <w:r>
        <w:rPr>
          <w:sz w:val="24"/>
        </w:rPr>
        <w:t>2002).</w:t>
      </w:r>
    </w:p>
    <w:p>
      <w:pPr>
        <w:pStyle w:val="BodyText"/>
        <w:spacing w:before="202"/>
        <w:ind w:left="400"/>
        <w:jc w:val="both"/>
      </w:pPr>
      <w:r>
        <w:rPr/>
        <w:t>Bardoel</w:t>
      </w:r>
      <w:r>
        <w:rPr>
          <w:spacing w:val="-3"/>
        </w:rPr>
        <w:t> </w:t>
      </w:r>
      <w:r>
        <w:rPr/>
        <w:t>and</w:t>
      </w:r>
      <w:r>
        <w:rPr>
          <w:spacing w:val="-1"/>
        </w:rPr>
        <w:t> </w:t>
      </w:r>
      <w:r>
        <w:rPr/>
        <w:t>Sohal</w:t>
      </w:r>
      <w:r>
        <w:rPr>
          <w:spacing w:val="-1"/>
        </w:rPr>
        <w:t> </w:t>
      </w:r>
      <w:r>
        <w:rPr/>
        <w:t>(1996),</w:t>
      </w:r>
      <w:r>
        <w:rPr>
          <w:spacing w:val="-1"/>
        </w:rPr>
        <w:t> </w:t>
      </w:r>
      <w:r>
        <w:rPr/>
        <w:t>list the</w:t>
      </w:r>
      <w:r>
        <w:rPr>
          <w:spacing w:val="-2"/>
        </w:rPr>
        <w:t> </w:t>
      </w:r>
      <w:r>
        <w:rPr/>
        <w:t>following</w:t>
      </w:r>
      <w:r>
        <w:rPr>
          <w:spacing w:val="-4"/>
        </w:rPr>
        <w:t> </w:t>
      </w:r>
      <w:r>
        <w:rPr/>
        <w:t>benefits of</w:t>
      </w:r>
      <w:r>
        <w:rPr>
          <w:spacing w:val="-2"/>
        </w:rPr>
        <w:t> </w:t>
      </w:r>
      <w:r>
        <w:rPr/>
        <w:t>a</w:t>
      </w:r>
      <w:r>
        <w:rPr>
          <w:spacing w:val="-2"/>
        </w:rPr>
        <w:t> </w:t>
      </w:r>
      <w:r>
        <w:rPr/>
        <w:t>TQM</w:t>
      </w:r>
      <w:r>
        <w:rPr>
          <w:spacing w:val="-1"/>
        </w:rPr>
        <w:t> </w:t>
      </w:r>
      <w:r>
        <w:rPr/>
        <w:t>implementation, </w:t>
      </w:r>
      <w:r>
        <w:rPr>
          <w:spacing w:val="-2"/>
        </w:rPr>
        <w:t>namely:</w:t>
      </w:r>
    </w:p>
    <w:p>
      <w:pPr>
        <w:pStyle w:val="BodyText"/>
        <w:spacing w:before="199"/>
      </w:pPr>
    </w:p>
    <w:p>
      <w:pPr>
        <w:pStyle w:val="ListParagraph"/>
        <w:numPr>
          <w:ilvl w:val="4"/>
          <w:numId w:val="16"/>
        </w:numPr>
        <w:tabs>
          <w:tab w:pos="1119" w:val="left" w:leader="none"/>
        </w:tabs>
        <w:spacing w:line="240" w:lineRule="auto" w:before="0" w:after="0"/>
        <w:ind w:left="1119" w:right="0" w:hanging="359"/>
        <w:jc w:val="left"/>
        <w:rPr>
          <w:sz w:val="24"/>
        </w:rPr>
      </w:pPr>
      <w:r>
        <w:rPr>
          <w:sz w:val="24"/>
        </w:rPr>
        <w:t>Better</w:t>
      </w:r>
      <w:r>
        <w:rPr>
          <w:spacing w:val="-2"/>
          <w:sz w:val="24"/>
        </w:rPr>
        <w:t> </w:t>
      </w:r>
      <w:r>
        <w:rPr>
          <w:sz w:val="24"/>
        </w:rPr>
        <w:t>control</w:t>
      </w:r>
      <w:r>
        <w:rPr>
          <w:spacing w:val="-1"/>
          <w:sz w:val="24"/>
        </w:rPr>
        <w:t> </w:t>
      </w:r>
      <w:r>
        <w:rPr>
          <w:sz w:val="24"/>
        </w:rPr>
        <w:t>of</w:t>
      </w:r>
      <w:r>
        <w:rPr>
          <w:spacing w:val="-2"/>
          <w:sz w:val="24"/>
        </w:rPr>
        <w:t> </w:t>
      </w:r>
      <w:r>
        <w:rPr>
          <w:sz w:val="24"/>
        </w:rPr>
        <w:t>processes</w:t>
      </w:r>
      <w:r>
        <w:rPr>
          <w:spacing w:val="-1"/>
          <w:sz w:val="24"/>
        </w:rPr>
        <w:t> </w:t>
      </w:r>
      <w:r>
        <w:rPr>
          <w:sz w:val="24"/>
        </w:rPr>
        <w:t>resulting</w:t>
      </w:r>
      <w:r>
        <w:rPr>
          <w:spacing w:val="-4"/>
          <w:sz w:val="24"/>
        </w:rPr>
        <w:t> </w:t>
      </w:r>
      <w:r>
        <w:rPr>
          <w:sz w:val="24"/>
        </w:rPr>
        <w:t>in</w:t>
      </w:r>
      <w:r>
        <w:rPr>
          <w:spacing w:val="-1"/>
          <w:sz w:val="24"/>
        </w:rPr>
        <w:t> </w:t>
      </w:r>
      <w:r>
        <w:rPr>
          <w:sz w:val="24"/>
        </w:rPr>
        <w:t>consistency</w:t>
      </w:r>
      <w:r>
        <w:rPr>
          <w:spacing w:val="-4"/>
          <w:sz w:val="24"/>
        </w:rPr>
        <w:t> </w:t>
      </w:r>
      <w:r>
        <w:rPr>
          <w:sz w:val="24"/>
        </w:rPr>
        <w:t>from</w:t>
      </w:r>
      <w:r>
        <w:rPr>
          <w:spacing w:val="-1"/>
          <w:sz w:val="24"/>
        </w:rPr>
        <w:t> </w:t>
      </w:r>
      <w:r>
        <w:rPr>
          <w:sz w:val="24"/>
        </w:rPr>
        <w:t>design</w:t>
      </w:r>
      <w:r>
        <w:rPr>
          <w:spacing w:val="-1"/>
          <w:sz w:val="24"/>
        </w:rPr>
        <w:t> </w:t>
      </w:r>
      <w:r>
        <w:rPr>
          <w:sz w:val="24"/>
        </w:rPr>
        <w:t>to </w:t>
      </w:r>
      <w:r>
        <w:rPr>
          <w:spacing w:val="-2"/>
          <w:sz w:val="24"/>
        </w:rPr>
        <w:t>delivery;</w:t>
      </w:r>
    </w:p>
    <w:p>
      <w:pPr>
        <w:spacing w:after="0" w:line="240" w:lineRule="auto"/>
        <w:jc w:val="left"/>
        <w:rPr>
          <w:sz w:val="24"/>
        </w:rPr>
        <w:sectPr>
          <w:pgSz w:w="12240" w:h="15840"/>
          <w:pgMar w:header="0" w:footer="1017" w:top="1360" w:bottom="1200" w:left="1040" w:right="120"/>
        </w:sectPr>
      </w:pPr>
    </w:p>
    <w:p>
      <w:pPr>
        <w:pStyle w:val="ListParagraph"/>
        <w:numPr>
          <w:ilvl w:val="4"/>
          <w:numId w:val="16"/>
        </w:numPr>
        <w:tabs>
          <w:tab w:pos="1119" w:val="left" w:leader="none"/>
        </w:tabs>
        <w:spacing w:line="240" w:lineRule="auto" w:before="74" w:after="0"/>
        <w:ind w:left="1119" w:right="0" w:hanging="359"/>
        <w:jc w:val="left"/>
        <w:rPr>
          <w:sz w:val="24"/>
        </w:rPr>
      </w:pPr>
      <w:r>
        <w:rPr>
          <w:sz w:val="24"/>
        </w:rPr>
        <w:t>Reduced</w:t>
      </w:r>
      <w:r>
        <w:rPr>
          <w:spacing w:val="-2"/>
          <w:sz w:val="24"/>
        </w:rPr>
        <w:t> </w:t>
      </w:r>
      <w:r>
        <w:rPr>
          <w:sz w:val="24"/>
        </w:rPr>
        <w:t>production</w:t>
      </w:r>
      <w:r>
        <w:rPr>
          <w:spacing w:val="-1"/>
          <w:sz w:val="24"/>
        </w:rPr>
        <w:t> </w:t>
      </w:r>
      <w:r>
        <w:rPr>
          <w:spacing w:val="-2"/>
          <w:sz w:val="24"/>
        </w:rPr>
        <w:t>time;</w:t>
      </w:r>
    </w:p>
    <w:p>
      <w:pPr>
        <w:pStyle w:val="ListParagraph"/>
        <w:numPr>
          <w:ilvl w:val="4"/>
          <w:numId w:val="16"/>
        </w:numPr>
        <w:tabs>
          <w:tab w:pos="1119" w:val="left" w:leader="none"/>
        </w:tabs>
        <w:spacing w:line="240" w:lineRule="auto" w:before="137" w:after="0"/>
        <w:ind w:left="1119" w:right="0" w:hanging="359"/>
        <w:jc w:val="left"/>
        <w:rPr>
          <w:sz w:val="24"/>
        </w:rPr>
      </w:pPr>
      <w:r>
        <w:rPr>
          <w:sz w:val="24"/>
        </w:rPr>
        <w:t>Reduced</w:t>
      </w:r>
      <w:r>
        <w:rPr>
          <w:spacing w:val="-2"/>
          <w:sz w:val="24"/>
        </w:rPr>
        <w:t> </w:t>
      </w:r>
      <w:r>
        <w:rPr>
          <w:sz w:val="24"/>
        </w:rPr>
        <w:t>damaged </w:t>
      </w:r>
      <w:r>
        <w:rPr>
          <w:spacing w:val="-2"/>
          <w:sz w:val="24"/>
        </w:rPr>
        <w:t>goods;</w:t>
      </w:r>
    </w:p>
    <w:p>
      <w:pPr>
        <w:pStyle w:val="ListParagraph"/>
        <w:numPr>
          <w:ilvl w:val="4"/>
          <w:numId w:val="16"/>
        </w:numPr>
        <w:tabs>
          <w:tab w:pos="1179" w:val="left" w:leader="none"/>
        </w:tabs>
        <w:spacing w:line="240" w:lineRule="auto" w:before="139" w:after="0"/>
        <w:ind w:left="1179" w:right="0" w:hanging="419"/>
        <w:jc w:val="left"/>
        <w:rPr>
          <w:sz w:val="24"/>
        </w:rPr>
      </w:pPr>
      <w:r>
        <w:rPr>
          <w:sz w:val="24"/>
        </w:rPr>
        <w:t>Reduced delivery</w:t>
      </w:r>
      <w:r>
        <w:rPr>
          <w:spacing w:val="-4"/>
          <w:sz w:val="24"/>
        </w:rPr>
        <w:t> </w:t>
      </w:r>
      <w:r>
        <w:rPr>
          <w:spacing w:val="-2"/>
          <w:sz w:val="24"/>
        </w:rPr>
        <w:t>time;</w:t>
      </w:r>
    </w:p>
    <w:p>
      <w:pPr>
        <w:pStyle w:val="ListParagraph"/>
        <w:numPr>
          <w:ilvl w:val="4"/>
          <w:numId w:val="16"/>
        </w:numPr>
        <w:tabs>
          <w:tab w:pos="1179" w:val="left" w:leader="none"/>
        </w:tabs>
        <w:spacing w:line="240" w:lineRule="auto" w:before="137" w:after="0"/>
        <w:ind w:left="1179" w:right="0" w:hanging="419"/>
        <w:jc w:val="left"/>
        <w:rPr>
          <w:sz w:val="24"/>
        </w:rPr>
      </w:pPr>
      <w:r>
        <w:rPr>
          <w:sz w:val="24"/>
        </w:rPr>
        <w:t>Decreased</w:t>
      </w:r>
      <w:r>
        <w:rPr>
          <w:spacing w:val="-2"/>
          <w:sz w:val="24"/>
        </w:rPr>
        <w:t> </w:t>
      </w:r>
      <w:r>
        <w:rPr>
          <w:sz w:val="24"/>
        </w:rPr>
        <w:t>set</w:t>
      </w:r>
      <w:r>
        <w:rPr>
          <w:spacing w:val="-1"/>
          <w:sz w:val="24"/>
        </w:rPr>
        <w:t> </w:t>
      </w:r>
      <w:r>
        <w:rPr>
          <w:sz w:val="24"/>
        </w:rPr>
        <w:t>up</w:t>
      </w:r>
      <w:r>
        <w:rPr>
          <w:spacing w:val="-1"/>
          <w:sz w:val="24"/>
        </w:rPr>
        <w:t> </w:t>
      </w:r>
      <w:r>
        <w:rPr>
          <w:spacing w:val="-2"/>
          <w:sz w:val="24"/>
        </w:rPr>
        <w:t>time;</w:t>
      </w:r>
    </w:p>
    <w:p>
      <w:pPr>
        <w:pStyle w:val="ListParagraph"/>
        <w:numPr>
          <w:ilvl w:val="4"/>
          <w:numId w:val="16"/>
        </w:numPr>
        <w:tabs>
          <w:tab w:pos="1119" w:val="left" w:leader="none"/>
        </w:tabs>
        <w:spacing w:line="240" w:lineRule="auto" w:before="139" w:after="0"/>
        <w:ind w:left="1119" w:right="0" w:hanging="359"/>
        <w:jc w:val="left"/>
        <w:rPr>
          <w:sz w:val="24"/>
        </w:rPr>
      </w:pPr>
      <w:r>
        <w:rPr>
          <w:sz w:val="24"/>
        </w:rPr>
        <w:t>Increased</w:t>
      </w:r>
      <w:r>
        <w:rPr>
          <w:spacing w:val="-3"/>
          <w:sz w:val="24"/>
        </w:rPr>
        <w:t> </w:t>
      </w:r>
      <w:r>
        <w:rPr>
          <w:sz w:val="24"/>
        </w:rPr>
        <w:t>performance</w:t>
      </w:r>
      <w:r>
        <w:rPr>
          <w:spacing w:val="-3"/>
          <w:sz w:val="24"/>
        </w:rPr>
        <w:t> </w:t>
      </w:r>
      <w:r>
        <w:rPr>
          <w:sz w:val="24"/>
        </w:rPr>
        <w:t>measurements;</w:t>
      </w:r>
      <w:r>
        <w:rPr>
          <w:spacing w:val="56"/>
          <w:sz w:val="24"/>
        </w:rPr>
        <w:t> </w:t>
      </w:r>
      <w:r>
        <w:rPr>
          <w:spacing w:val="-4"/>
          <w:sz w:val="24"/>
        </w:rPr>
        <w:t>and,</w:t>
      </w:r>
    </w:p>
    <w:p>
      <w:pPr>
        <w:pStyle w:val="ListParagraph"/>
        <w:numPr>
          <w:ilvl w:val="4"/>
          <w:numId w:val="16"/>
        </w:numPr>
        <w:tabs>
          <w:tab w:pos="1118" w:val="left" w:leader="none"/>
        </w:tabs>
        <w:spacing w:line="240" w:lineRule="auto" w:before="137" w:after="0"/>
        <w:ind w:left="1118" w:right="0" w:hanging="358"/>
        <w:jc w:val="left"/>
        <w:rPr>
          <w:sz w:val="24"/>
        </w:rPr>
      </w:pPr>
      <w:r>
        <w:rPr>
          <w:sz w:val="24"/>
        </w:rPr>
        <w:t>Improved</w:t>
      </w:r>
      <w:r>
        <w:rPr>
          <w:spacing w:val="-1"/>
          <w:sz w:val="24"/>
        </w:rPr>
        <w:t> </w:t>
      </w:r>
      <w:r>
        <w:rPr>
          <w:sz w:val="24"/>
        </w:rPr>
        <w:t>customer</w:t>
      </w:r>
      <w:r>
        <w:rPr>
          <w:spacing w:val="-2"/>
          <w:sz w:val="24"/>
        </w:rPr>
        <w:t> </w:t>
      </w:r>
      <w:r>
        <w:rPr>
          <w:sz w:val="24"/>
        </w:rPr>
        <w:t>perception</w:t>
      </w:r>
      <w:r>
        <w:rPr>
          <w:spacing w:val="-1"/>
          <w:sz w:val="24"/>
        </w:rPr>
        <w:t> </w:t>
      </w:r>
      <w:r>
        <w:rPr>
          <w:sz w:val="24"/>
        </w:rPr>
        <w:t>to</w:t>
      </w:r>
      <w:r>
        <w:rPr>
          <w:spacing w:val="-1"/>
          <w:sz w:val="24"/>
        </w:rPr>
        <w:t> </w:t>
      </w:r>
      <w:r>
        <w:rPr>
          <w:spacing w:val="-2"/>
          <w:sz w:val="24"/>
        </w:rPr>
        <w:t>company.</w:t>
      </w:r>
    </w:p>
    <w:p>
      <w:pPr>
        <w:pStyle w:val="BodyText"/>
        <w:spacing w:before="60"/>
      </w:pPr>
    </w:p>
    <w:p>
      <w:pPr>
        <w:pStyle w:val="BodyText"/>
        <w:spacing w:line="482" w:lineRule="auto"/>
        <w:ind w:left="400" w:right="1316"/>
        <w:jc w:val="both"/>
      </w:pPr>
      <w:r>
        <w:rPr/>
        <w:t>According to Kotelnikov (2009), there are five main advantages of a TQM implementation, </w:t>
      </w:r>
      <w:r>
        <w:rPr>
          <w:spacing w:val="-2"/>
        </w:rPr>
        <w:t>namely:</w:t>
      </w:r>
    </w:p>
    <w:p>
      <w:pPr>
        <w:pStyle w:val="ListParagraph"/>
        <w:numPr>
          <w:ilvl w:val="0"/>
          <w:numId w:val="17"/>
        </w:numPr>
        <w:tabs>
          <w:tab w:pos="1120" w:val="left" w:leader="none"/>
        </w:tabs>
        <w:spacing w:line="360" w:lineRule="auto" w:before="199" w:after="0"/>
        <w:ind w:left="1120" w:right="1319" w:hanging="360"/>
        <w:jc w:val="both"/>
        <w:rPr>
          <w:sz w:val="24"/>
        </w:rPr>
      </w:pPr>
      <w:r>
        <w:rPr>
          <w:sz w:val="24"/>
        </w:rPr>
        <w:t>It encourages a strategic approach to management at the operational level, through involving multiple departments, in cross- functional improvement and systematic innovation processes.</w:t>
      </w:r>
    </w:p>
    <w:p>
      <w:pPr>
        <w:pStyle w:val="ListParagraph"/>
        <w:numPr>
          <w:ilvl w:val="0"/>
          <w:numId w:val="17"/>
        </w:numPr>
        <w:tabs>
          <w:tab w:pos="1119" w:val="left" w:leader="none"/>
        </w:tabs>
        <w:spacing w:line="275" w:lineRule="exact" w:before="0" w:after="0"/>
        <w:ind w:left="1119" w:right="0" w:hanging="359"/>
        <w:jc w:val="both"/>
        <w:rPr>
          <w:sz w:val="24"/>
        </w:rPr>
      </w:pPr>
      <w:r>
        <w:rPr>
          <w:sz w:val="24"/>
        </w:rPr>
        <w:t>It</w:t>
      </w:r>
      <w:r>
        <w:rPr>
          <w:spacing w:val="-4"/>
          <w:sz w:val="24"/>
        </w:rPr>
        <w:t> </w:t>
      </w:r>
      <w:r>
        <w:rPr>
          <w:sz w:val="24"/>
        </w:rPr>
        <w:t>provides</w:t>
      </w:r>
      <w:r>
        <w:rPr>
          <w:spacing w:val="-2"/>
          <w:sz w:val="24"/>
        </w:rPr>
        <w:t> </w:t>
      </w:r>
      <w:r>
        <w:rPr>
          <w:sz w:val="24"/>
        </w:rPr>
        <w:t>a</w:t>
      </w:r>
      <w:r>
        <w:rPr>
          <w:spacing w:val="-2"/>
          <w:sz w:val="24"/>
        </w:rPr>
        <w:t> </w:t>
      </w:r>
      <w:r>
        <w:rPr>
          <w:sz w:val="24"/>
        </w:rPr>
        <w:t>high</w:t>
      </w:r>
      <w:r>
        <w:rPr>
          <w:spacing w:val="-2"/>
          <w:sz w:val="24"/>
        </w:rPr>
        <w:t> </w:t>
      </w:r>
      <w:r>
        <w:rPr>
          <w:sz w:val="24"/>
        </w:rPr>
        <w:t>return</w:t>
      </w:r>
      <w:r>
        <w:rPr>
          <w:spacing w:val="1"/>
          <w:sz w:val="24"/>
        </w:rPr>
        <w:t> </w:t>
      </w:r>
      <w:r>
        <w:rPr>
          <w:sz w:val="24"/>
        </w:rPr>
        <w:t>on</w:t>
      </w:r>
      <w:r>
        <w:rPr>
          <w:spacing w:val="-2"/>
          <w:sz w:val="24"/>
        </w:rPr>
        <w:t> </w:t>
      </w:r>
      <w:r>
        <w:rPr>
          <w:sz w:val="24"/>
        </w:rPr>
        <w:t>investment</w:t>
      </w:r>
      <w:r>
        <w:rPr>
          <w:spacing w:val="-1"/>
          <w:sz w:val="24"/>
        </w:rPr>
        <w:t> </w:t>
      </w:r>
      <w:r>
        <w:rPr>
          <w:sz w:val="24"/>
        </w:rPr>
        <w:t>through</w:t>
      </w:r>
      <w:r>
        <w:rPr>
          <w:spacing w:val="-2"/>
          <w:sz w:val="24"/>
        </w:rPr>
        <w:t> </w:t>
      </w:r>
      <w:r>
        <w:rPr>
          <w:sz w:val="24"/>
        </w:rPr>
        <w:t>improved</w:t>
      </w:r>
      <w:r>
        <w:rPr>
          <w:spacing w:val="-1"/>
          <w:sz w:val="24"/>
        </w:rPr>
        <w:t> </w:t>
      </w:r>
      <w:r>
        <w:rPr>
          <w:spacing w:val="-2"/>
          <w:sz w:val="24"/>
        </w:rPr>
        <w:t>efficiency.</w:t>
      </w:r>
    </w:p>
    <w:p>
      <w:pPr>
        <w:pStyle w:val="ListParagraph"/>
        <w:numPr>
          <w:ilvl w:val="0"/>
          <w:numId w:val="17"/>
        </w:numPr>
        <w:tabs>
          <w:tab w:pos="1119" w:val="left" w:leader="none"/>
        </w:tabs>
        <w:spacing w:line="240" w:lineRule="auto" w:before="136" w:after="0"/>
        <w:ind w:left="1119" w:right="0" w:hanging="359"/>
        <w:jc w:val="both"/>
        <w:rPr>
          <w:sz w:val="24"/>
        </w:rPr>
      </w:pPr>
      <w:r>
        <w:rPr>
          <w:sz w:val="24"/>
        </w:rPr>
        <w:t>It</w:t>
      </w:r>
      <w:r>
        <w:rPr>
          <w:spacing w:val="-3"/>
          <w:sz w:val="24"/>
        </w:rPr>
        <w:t> </w:t>
      </w:r>
      <w:r>
        <w:rPr>
          <w:sz w:val="24"/>
        </w:rPr>
        <w:t>works</w:t>
      </w:r>
      <w:r>
        <w:rPr>
          <w:spacing w:val="-1"/>
          <w:sz w:val="24"/>
        </w:rPr>
        <w:t> </w:t>
      </w:r>
      <w:r>
        <w:rPr>
          <w:sz w:val="24"/>
        </w:rPr>
        <w:t>equally</w:t>
      </w:r>
      <w:r>
        <w:rPr>
          <w:spacing w:val="-6"/>
          <w:sz w:val="24"/>
        </w:rPr>
        <w:t> </w:t>
      </w:r>
      <w:r>
        <w:rPr>
          <w:sz w:val="24"/>
        </w:rPr>
        <w:t>well</w:t>
      </w:r>
      <w:r>
        <w:rPr>
          <w:spacing w:val="-1"/>
          <w:sz w:val="24"/>
        </w:rPr>
        <w:t> </w:t>
      </w:r>
      <w:r>
        <w:rPr>
          <w:sz w:val="24"/>
        </w:rPr>
        <w:t>for the</w:t>
      </w:r>
      <w:r>
        <w:rPr>
          <w:spacing w:val="-2"/>
          <w:sz w:val="24"/>
        </w:rPr>
        <w:t> </w:t>
      </w:r>
      <w:r>
        <w:rPr>
          <w:sz w:val="24"/>
        </w:rPr>
        <w:t>service and</w:t>
      </w:r>
      <w:r>
        <w:rPr>
          <w:spacing w:val="-1"/>
          <w:sz w:val="24"/>
        </w:rPr>
        <w:t> </w:t>
      </w:r>
      <w:r>
        <w:rPr>
          <w:sz w:val="24"/>
        </w:rPr>
        <w:t>manufacturing</w:t>
      </w:r>
      <w:r>
        <w:rPr>
          <w:spacing w:val="-3"/>
          <w:sz w:val="24"/>
        </w:rPr>
        <w:t> </w:t>
      </w:r>
      <w:r>
        <w:rPr>
          <w:spacing w:val="-2"/>
          <w:sz w:val="24"/>
        </w:rPr>
        <w:t>sector.</w:t>
      </w:r>
    </w:p>
    <w:p>
      <w:pPr>
        <w:pStyle w:val="ListParagraph"/>
        <w:numPr>
          <w:ilvl w:val="0"/>
          <w:numId w:val="17"/>
        </w:numPr>
        <w:tabs>
          <w:tab w:pos="1120" w:val="left" w:leader="none"/>
          <w:tab w:pos="1181" w:val="left" w:leader="none"/>
        </w:tabs>
        <w:spacing w:line="360" w:lineRule="auto" w:before="140" w:after="0"/>
        <w:ind w:left="1120" w:right="1319" w:hanging="360"/>
        <w:jc w:val="both"/>
        <w:rPr>
          <w:sz w:val="24"/>
        </w:rPr>
      </w:pPr>
      <w:r>
        <w:rPr>
          <w:sz w:val="24"/>
        </w:rPr>
        <w:tab/>
        <w:t>It allows organisations to take advantage of development that enables managing operations as a cross functional process.</w:t>
      </w:r>
    </w:p>
    <w:p>
      <w:pPr>
        <w:pStyle w:val="ListParagraph"/>
        <w:numPr>
          <w:ilvl w:val="0"/>
          <w:numId w:val="17"/>
        </w:numPr>
        <w:tabs>
          <w:tab w:pos="1120" w:val="left" w:leader="none"/>
        </w:tabs>
        <w:spacing w:line="360" w:lineRule="auto" w:before="0" w:after="0"/>
        <w:ind w:left="1120" w:right="1316" w:hanging="360"/>
        <w:jc w:val="both"/>
        <w:rPr>
          <w:sz w:val="24"/>
        </w:rPr>
      </w:pPr>
      <w:r>
        <w:rPr>
          <w:sz w:val="24"/>
        </w:rPr>
        <w:t>It fits an orientation towards inter- organizational collaboration and strategic alliances through establishing a culture of collaboration among different departments within </w:t>
      </w:r>
      <w:r>
        <w:rPr>
          <w:spacing w:val="-2"/>
          <w:sz w:val="24"/>
        </w:rPr>
        <w:t>organisations.</w:t>
      </w:r>
    </w:p>
    <w:p>
      <w:pPr>
        <w:pStyle w:val="Heading2"/>
        <w:numPr>
          <w:ilvl w:val="2"/>
          <w:numId w:val="16"/>
        </w:numPr>
        <w:tabs>
          <w:tab w:pos="1120" w:val="left" w:leader="none"/>
        </w:tabs>
        <w:spacing w:line="240" w:lineRule="auto" w:before="205" w:after="0"/>
        <w:ind w:left="1120" w:right="0" w:hanging="720"/>
        <w:jc w:val="both"/>
      </w:pPr>
      <w:r>
        <w:rPr/>
        <w:t>The</w:t>
      </w:r>
      <w:r>
        <w:rPr>
          <w:spacing w:val="-2"/>
        </w:rPr>
        <w:t> </w:t>
      </w:r>
      <w:r>
        <w:rPr/>
        <w:t>obstacles</w:t>
      </w:r>
      <w:r>
        <w:rPr>
          <w:spacing w:val="-1"/>
        </w:rPr>
        <w:t> </w:t>
      </w:r>
      <w:r>
        <w:rPr/>
        <w:t>to tqm</w:t>
      </w:r>
      <w:r>
        <w:rPr>
          <w:spacing w:val="-4"/>
        </w:rPr>
        <w:t> </w:t>
      </w:r>
      <w:r>
        <w:rPr>
          <w:spacing w:val="-2"/>
        </w:rPr>
        <w:t>implementation</w:t>
      </w:r>
    </w:p>
    <w:p>
      <w:pPr>
        <w:pStyle w:val="BodyText"/>
        <w:spacing w:before="192"/>
        <w:rPr>
          <w:b/>
        </w:rPr>
      </w:pPr>
    </w:p>
    <w:p>
      <w:pPr>
        <w:pStyle w:val="BodyText"/>
        <w:spacing w:line="480" w:lineRule="auto"/>
        <w:ind w:left="399" w:right="1315"/>
        <w:jc w:val="both"/>
      </w:pPr>
      <w:r>
        <w:rPr/>
        <w:t>When implementing a TQM program, many companies face unique problems resulting from</w:t>
      </w:r>
      <w:r>
        <w:rPr>
          <w:spacing w:val="40"/>
        </w:rPr>
        <w:t> </w:t>
      </w:r>
      <w:r>
        <w:rPr/>
        <w:t>their own specific external and internal environments (Ljungstrom and Klefsjo, 2002). Identifying the obstacles that hinder TQM implementation can be used to assist in guiding managers in performing self-audits of their current implementation of TQM program and to develop effective strategic policies and related action programmes planned to overcome the barriers(Jun </w:t>
      </w:r>
      <w:r>
        <w:rPr>
          <w:i/>
        </w:rPr>
        <w:t>et al</w:t>
      </w:r>
      <w:r>
        <w:rPr/>
        <w:t>., 2004).</w:t>
      </w:r>
    </w:p>
    <w:p>
      <w:pPr>
        <w:spacing w:after="0" w:line="480" w:lineRule="auto"/>
        <w:jc w:val="both"/>
        <w:sectPr>
          <w:pgSz w:w="12240" w:h="15840"/>
          <w:pgMar w:header="0" w:footer="1017" w:top="1360" w:bottom="1200" w:left="1040" w:right="120"/>
        </w:sectPr>
      </w:pPr>
    </w:p>
    <w:p>
      <w:pPr>
        <w:pStyle w:val="BodyText"/>
        <w:spacing w:line="480" w:lineRule="auto" w:before="72"/>
        <w:ind w:left="400" w:right="1314"/>
        <w:jc w:val="both"/>
      </w:pPr>
      <w:r>
        <w:rPr/>
        <w:t>It is generally accepted that TQM takes a long time to implement as it requires large organizational changes (Rallabandi </w:t>
      </w:r>
      <w:r>
        <w:rPr>
          <w:i/>
        </w:rPr>
        <w:t>et al</w:t>
      </w:r>
      <w:r>
        <w:rPr/>
        <w:t>., 2010). Rallabandi </w:t>
      </w:r>
      <w:r>
        <w:rPr>
          <w:i/>
        </w:rPr>
        <w:t>et al. </w:t>
      </w:r>
      <w:r>
        <w:rPr/>
        <w:t>(2010) argue that TQM can increase performance in the long run. However, in order to obtain the perceived benefits from TQM one must be patient. Johnson and Kleiner (2013) stress that organizations often do not show improvement in the bottom line until after a year or more following a wide-ranging TQM implementation. They furthermore argue that managers often feel disappointed when no immediate improvements in profitability or competitive advantages show. They underline that this may represent a serious obstacle to the continuing use of TQM practices, since managers might decide to discontinue TQM programs as a result hereof. In addition hereto they emphasize the need for managers to understand that a lack of immediate results is not tantamount to failure of implementation. In extention hereof, Ahire </w:t>
      </w:r>
      <w:r>
        <w:rPr>
          <w:i/>
        </w:rPr>
        <w:t>et al</w:t>
      </w:r>
      <w:r>
        <w:rPr/>
        <w:t>. (1995) stress that often cited reasons for TQM failures among others encompass unrealistic expectations regarding the time-frame and costs associated with TQM implementation, lack of top management commitment, over- or under-reliance on statistical methods, and failure to build and sustain a quality-oriented culture.</w:t>
      </w:r>
    </w:p>
    <w:p>
      <w:pPr>
        <w:pStyle w:val="BodyText"/>
        <w:spacing w:line="480" w:lineRule="auto" w:before="199"/>
        <w:ind w:left="400" w:right="1316" w:firstLine="60"/>
        <w:jc w:val="both"/>
      </w:pPr>
      <w:r>
        <w:rPr/>
        <w:t>Oakland, (1995) identified factors that hinder the implementation of TQM. These include the thought that its implementation can be time consuming, bureaucratic, formalistic, rigid and impersonal. Cao </w:t>
      </w:r>
      <w:r>
        <w:rPr>
          <w:i/>
        </w:rPr>
        <w:t>et al. </w:t>
      </w:r>
      <w:r>
        <w:rPr/>
        <w:t>(2000) argue that the reason for failures of TQM implementation may often be subscribed to a general lack of understanding of the TQM concept. When managers</w:t>
      </w:r>
      <w:r>
        <w:rPr>
          <w:spacing w:val="40"/>
        </w:rPr>
        <w:t> </w:t>
      </w:r>
      <w:r>
        <w:rPr/>
        <w:t>have difficulties in understanding and interpreting TQM, it is difficult to secure a successful implementation throughout the organization. On the contrary Dale </w:t>
      </w:r>
      <w:r>
        <w:rPr>
          <w:i/>
        </w:rPr>
        <w:t>et al</w:t>
      </w:r>
      <w:r>
        <w:rPr/>
        <w:t>. (2000) found that the lack of</w:t>
      </w:r>
      <w:r>
        <w:rPr>
          <w:spacing w:val="-1"/>
        </w:rPr>
        <w:t> </w:t>
      </w:r>
      <w:r>
        <w:rPr/>
        <w:t>success of</w:t>
      </w:r>
      <w:r>
        <w:rPr>
          <w:spacing w:val="-1"/>
        </w:rPr>
        <w:t> </w:t>
      </w:r>
      <w:r>
        <w:rPr/>
        <w:t>TQM is not as a</w:t>
      </w:r>
      <w:r>
        <w:rPr>
          <w:spacing w:val="-1"/>
        </w:rPr>
        <w:t> </w:t>
      </w:r>
      <w:r>
        <w:rPr/>
        <w:t>result of</w:t>
      </w:r>
      <w:r>
        <w:rPr>
          <w:spacing w:val="-1"/>
        </w:rPr>
        <w:t> </w:t>
      </w:r>
      <w:r>
        <w:rPr/>
        <w:t>the</w:t>
      </w:r>
      <w:r>
        <w:rPr>
          <w:spacing w:val="-1"/>
        </w:rPr>
        <w:t> </w:t>
      </w:r>
      <w:r>
        <w:rPr/>
        <w:t>concept but rather</w:t>
      </w:r>
      <w:r>
        <w:rPr>
          <w:spacing w:val="-1"/>
        </w:rPr>
        <w:t> </w:t>
      </w:r>
      <w:r>
        <w:rPr/>
        <w:t>the way</w:t>
      </w:r>
      <w:r>
        <w:rPr>
          <w:spacing w:val="-2"/>
        </w:rPr>
        <w:t> </w:t>
      </w:r>
      <w:r>
        <w:rPr/>
        <w:t>it had been introduced into an organization and used by managers; it is expected that many fundamental mistakes will</w:t>
      </w:r>
      <w:r>
        <w:rPr>
          <w:spacing w:val="40"/>
        </w:rPr>
        <w:t> </w:t>
      </w:r>
      <w:r>
        <w:rPr/>
        <w:t>be</w:t>
      </w:r>
      <w:r>
        <w:rPr>
          <w:spacing w:val="17"/>
        </w:rPr>
        <w:t> </w:t>
      </w:r>
      <w:r>
        <w:rPr/>
        <w:t>made</w:t>
      </w:r>
      <w:r>
        <w:rPr>
          <w:spacing w:val="23"/>
        </w:rPr>
        <w:t> </w:t>
      </w:r>
      <w:r>
        <w:rPr/>
        <w:t>by</w:t>
      </w:r>
      <w:r>
        <w:rPr>
          <w:spacing w:val="16"/>
        </w:rPr>
        <w:t> </w:t>
      </w:r>
      <w:r>
        <w:rPr/>
        <w:t>senior</w:t>
      </w:r>
      <w:r>
        <w:rPr>
          <w:spacing w:val="19"/>
        </w:rPr>
        <w:t> </w:t>
      </w:r>
      <w:r>
        <w:rPr/>
        <w:t>managers</w:t>
      </w:r>
      <w:r>
        <w:rPr>
          <w:spacing w:val="21"/>
        </w:rPr>
        <w:t> </w:t>
      </w:r>
      <w:r>
        <w:rPr/>
        <w:t>in</w:t>
      </w:r>
      <w:r>
        <w:rPr>
          <w:spacing w:val="24"/>
        </w:rPr>
        <w:t> </w:t>
      </w:r>
      <w:r>
        <w:rPr/>
        <w:t>additional</w:t>
      </w:r>
      <w:r>
        <w:rPr>
          <w:spacing w:val="22"/>
        </w:rPr>
        <w:t> </w:t>
      </w:r>
      <w:r>
        <w:rPr/>
        <w:t>to</w:t>
      </w:r>
      <w:r>
        <w:rPr>
          <w:spacing w:val="20"/>
        </w:rPr>
        <w:t> </w:t>
      </w:r>
      <w:r>
        <w:rPr/>
        <w:t>their</w:t>
      </w:r>
      <w:r>
        <w:rPr>
          <w:spacing w:val="20"/>
        </w:rPr>
        <w:t> </w:t>
      </w:r>
      <w:r>
        <w:rPr/>
        <w:t>advisers</w:t>
      </w:r>
      <w:r>
        <w:rPr>
          <w:spacing w:val="24"/>
        </w:rPr>
        <w:t> </w:t>
      </w:r>
      <w:r>
        <w:rPr/>
        <w:t>in</w:t>
      </w:r>
      <w:r>
        <w:rPr>
          <w:spacing w:val="20"/>
        </w:rPr>
        <w:t> </w:t>
      </w:r>
      <w:r>
        <w:rPr/>
        <w:t>issues</w:t>
      </w:r>
      <w:r>
        <w:rPr>
          <w:spacing w:val="24"/>
        </w:rPr>
        <w:t> </w:t>
      </w:r>
      <w:r>
        <w:rPr/>
        <w:t>related</w:t>
      </w:r>
      <w:r>
        <w:rPr>
          <w:spacing w:val="21"/>
        </w:rPr>
        <w:t> </w:t>
      </w:r>
      <w:r>
        <w:rPr/>
        <w:t>to</w:t>
      </w:r>
      <w:r>
        <w:rPr>
          <w:spacing w:val="21"/>
        </w:rPr>
        <w:t> </w:t>
      </w:r>
      <w:r>
        <w:rPr>
          <w:spacing w:val="-2"/>
        </w:rPr>
        <w:t>communication,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training, infrastructure, teams and projects, involvement, problem solving, and measurement. Overall, they</w:t>
      </w:r>
      <w:r>
        <w:rPr>
          <w:spacing w:val="-5"/>
        </w:rPr>
        <w:t> </w:t>
      </w:r>
      <w:r>
        <w:rPr/>
        <w:t>add that there</w:t>
      </w:r>
      <w:r>
        <w:rPr>
          <w:spacing w:val="-1"/>
        </w:rPr>
        <w:t> </w:t>
      </w:r>
      <w:r>
        <w:rPr/>
        <w:t>is a</w:t>
      </w:r>
      <w:r>
        <w:rPr>
          <w:spacing w:val="-1"/>
        </w:rPr>
        <w:t> </w:t>
      </w:r>
      <w:r>
        <w:rPr/>
        <w:t>fundamental failure</w:t>
      </w:r>
      <w:r>
        <w:rPr>
          <w:spacing w:val="-1"/>
        </w:rPr>
        <w:t> </w:t>
      </w:r>
      <w:r>
        <w:rPr/>
        <w:t>of</w:t>
      </w:r>
      <w:r>
        <w:rPr>
          <w:spacing w:val="-1"/>
        </w:rPr>
        <w:t> </w:t>
      </w:r>
      <w:r>
        <w:rPr/>
        <w:t>management to stick to the</w:t>
      </w:r>
      <w:r>
        <w:rPr>
          <w:spacing w:val="-1"/>
        </w:rPr>
        <w:t> </w:t>
      </w:r>
      <w:r>
        <w:rPr/>
        <w:t>basics (Dale</w:t>
      </w:r>
      <w:r>
        <w:rPr>
          <w:spacing w:val="-1"/>
        </w:rPr>
        <w:t> </w:t>
      </w:r>
      <w:r>
        <w:rPr>
          <w:i/>
        </w:rPr>
        <w:t>et al., </w:t>
      </w:r>
      <w:r>
        <w:rPr/>
        <w:t>2000)</w:t>
      </w:r>
    </w:p>
    <w:p>
      <w:pPr>
        <w:pStyle w:val="BodyText"/>
        <w:spacing w:line="480" w:lineRule="auto" w:before="199"/>
        <w:ind w:left="400" w:right="1309"/>
        <w:jc w:val="both"/>
      </w:pPr>
      <w:r>
        <w:rPr/>
        <w:t>According to Wilkinson </w:t>
      </w:r>
      <w:r>
        <w:rPr>
          <w:i/>
        </w:rPr>
        <w:t>et al. </w:t>
      </w:r>
      <w:r>
        <w:rPr/>
        <w:t>(1998), the lack of commitment from any particular group within the organisation can be a serious barrier in management of quality. Most especially the non- commitment by management to quality management is a major hindrance to the successful implementation of TQM. Ugboro and Obeng, (2000) in their research they found out that the halfhearted implementation of TQM is a major reason for its failure in most organisations. According</w:t>
      </w:r>
      <w:r>
        <w:rPr>
          <w:spacing w:val="-2"/>
        </w:rPr>
        <w:t> </w:t>
      </w:r>
      <w:r>
        <w:rPr/>
        <w:t>to them, organisations are</w:t>
      </w:r>
      <w:r>
        <w:rPr>
          <w:spacing w:val="-1"/>
        </w:rPr>
        <w:t> </w:t>
      </w:r>
      <w:r>
        <w:rPr/>
        <w:t>only</w:t>
      </w:r>
      <w:r>
        <w:rPr>
          <w:spacing w:val="-5"/>
        </w:rPr>
        <w:t> </w:t>
      </w:r>
      <w:r>
        <w:rPr/>
        <w:t>willing to implement just</w:t>
      </w:r>
      <w:r>
        <w:rPr>
          <w:spacing w:val="-2"/>
        </w:rPr>
        <w:t> </w:t>
      </w:r>
      <w:r>
        <w:rPr/>
        <w:t>those</w:t>
      </w:r>
      <w:r>
        <w:rPr>
          <w:spacing w:val="-3"/>
        </w:rPr>
        <w:t> </w:t>
      </w:r>
      <w:r>
        <w:rPr/>
        <w:t>aspects of</w:t>
      </w:r>
      <w:r>
        <w:rPr>
          <w:spacing w:val="-1"/>
        </w:rPr>
        <w:t> </w:t>
      </w:r>
      <w:r>
        <w:rPr/>
        <w:t>TQM which is supported by existing organisational culture. Their findings revealed that employees did not feel as part of the decision making process and their ability to make contributions to quality improvement were restricted due to the limited authority granted them to carry out their</w:t>
      </w:r>
      <w:r>
        <w:rPr>
          <w:spacing w:val="40"/>
        </w:rPr>
        <w:t> </w:t>
      </w:r>
      <w:r>
        <w:rPr/>
        <w:t>activities. Smith, (2004) explained that quality management programs have failed because they were ‘programs of the month’. According to him, implementing quality throughout an organisation</w:t>
      </w:r>
      <w:r>
        <w:rPr>
          <w:spacing w:val="-2"/>
        </w:rPr>
        <w:t> </w:t>
      </w:r>
      <w:r>
        <w:rPr/>
        <w:t>is</w:t>
      </w:r>
      <w:r>
        <w:rPr>
          <w:spacing w:val="-2"/>
        </w:rPr>
        <w:t> </w:t>
      </w:r>
      <w:r>
        <w:rPr/>
        <w:t>not</w:t>
      </w:r>
      <w:r>
        <w:rPr>
          <w:spacing w:val="-2"/>
        </w:rPr>
        <w:t> </w:t>
      </w:r>
      <w:r>
        <w:rPr/>
        <w:t>the</w:t>
      </w:r>
      <w:r>
        <w:rPr>
          <w:spacing w:val="-3"/>
        </w:rPr>
        <w:t> </w:t>
      </w:r>
      <w:r>
        <w:rPr/>
        <w:t>result</w:t>
      </w:r>
      <w:r>
        <w:rPr>
          <w:spacing w:val="-2"/>
        </w:rPr>
        <w:t> </w:t>
      </w:r>
      <w:r>
        <w:rPr/>
        <w:t>of</w:t>
      </w:r>
      <w:r>
        <w:rPr>
          <w:spacing w:val="-3"/>
        </w:rPr>
        <w:t> </w:t>
      </w:r>
      <w:r>
        <w:rPr/>
        <w:t>a</w:t>
      </w:r>
      <w:r>
        <w:rPr>
          <w:spacing w:val="-3"/>
        </w:rPr>
        <w:t> </w:t>
      </w:r>
      <w:r>
        <w:rPr/>
        <w:t>formalised</w:t>
      </w:r>
      <w:r>
        <w:rPr>
          <w:spacing w:val="-2"/>
        </w:rPr>
        <w:t> </w:t>
      </w:r>
      <w:r>
        <w:rPr/>
        <w:t>programme</w:t>
      </w:r>
      <w:r>
        <w:rPr>
          <w:spacing w:val="-3"/>
        </w:rPr>
        <w:t> </w:t>
      </w:r>
      <w:r>
        <w:rPr/>
        <w:t>but</w:t>
      </w:r>
      <w:r>
        <w:rPr>
          <w:spacing w:val="-2"/>
        </w:rPr>
        <w:t> </w:t>
      </w:r>
      <w:r>
        <w:rPr/>
        <w:t>requires a</w:t>
      </w:r>
      <w:r>
        <w:rPr>
          <w:spacing w:val="-3"/>
        </w:rPr>
        <w:t> </w:t>
      </w:r>
      <w:r>
        <w:rPr/>
        <w:t>cultural</w:t>
      </w:r>
      <w:r>
        <w:rPr>
          <w:spacing w:val="-2"/>
        </w:rPr>
        <w:t> </w:t>
      </w:r>
      <w:r>
        <w:rPr/>
        <w:t>change</w:t>
      </w:r>
      <w:r>
        <w:rPr>
          <w:spacing w:val="-3"/>
        </w:rPr>
        <w:t> </w:t>
      </w:r>
      <w:r>
        <w:rPr/>
        <w:t>in</w:t>
      </w:r>
      <w:r>
        <w:rPr>
          <w:spacing w:val="-2"/>
        </w:rPr>
        <w:t> </w:t>
      </w:r>
      <w:r>
        <w:rPr/>
        <w:t>the</w:t>
      </w:r>
      <w:r>
        <w:rPr>
          <w:spacing w:val="-3"/>
        </w:rPr>
        <w:t> </w:t>
      </w:r>
      <w:r>
        <w:rPr/>
        <w:t>way activities is conducted. Andrle, (1994) on his own assessment, claims that the adoption of incompatible quality approach by</w:t>
      </w:r>
      <w:r>
        <w:rPr>
          <w:spacing w:val="-1"/>
        </w:rPr>
        <w:t> </w:t>
      </w:r>
      <w:r>
        <w:rPr/>
        <w:t>organisations results in the failure of TQM implementation, he further stressed that the delegation of quality leadership by managers might lead to the development of TQM bureaucracies that are ineffective like other functional departments.</w:t>
      </w:r>
    </w:p>
    <w:p>
      <w:pPr>
        <w:pStyle w:val="BodyText"/>
        <w:spacing w:line="480" w:lineRule="auto" w:before="200"/>
        <w:ind w:left="400" w:right="1316" w:firstLine="60"/>
        <w:jc w:val="both"/>
      </w:pPr>
      <w:r>
        <w:rPr/>
        <w:t>Another study carried out by Amar and Zain (2002) to examine the barriers faced by manufacturing organization in implementation of TQM identified 11 pertinent factors acting as barriers that are most frequently faced by Indonesian Organisations. These are issues relating to employees,</w:t>
      </w:r>
      <w:r>
        <w:rPr>
          <w:spacing w:val="76"/>
        </w:rPr>
        <w:t> </w:t>
      </w:r>
      <w:r>
        <w:rPr/>
        <w:t>management,</w:t>
      </w:r>
      <w:r>
        <w:rPr>
          <w:spacing w:val="79"/>
        </w:rPr>
        <w:t> </w:t>
      </w:r>
      <w:r>
        <w:rPr/>
        <w:t>attitude</w:t>
      </w:r>
      <w:r>
        <w:rPr>
          <w:spacing w:val="77"/>
        </w:rPr>
        <w:t> </w:t>
      </w:r>
      <w:r>
        <w:rPr/>
        <w:t>towards</w:t>
      </w:r>
      <w:r>
        <w:rPr>
          <w:spacing w:val="79"/>
        </w:rPr>
        <w:t> </w:t>
      </w:r>
      <w:r>
        <w:rPr/>
        <w:t>quality,</w:t>
      </w:r>
      <w:r>
        <w:rPr>
          <w:spacing w:val="78"/>
        </w:rPr>
        <w:t> </w:t>
      </w:r>
      <w:r>
        <w:rPr/>
        <w:t>organizational</w:t>
      </w:r>
      <w:r>
        <w:rPr>
          <w:spacing w:val="50"/>
          <w:w w:val="150"/>
        </w:rPr>
        <w:t> </w:t>
      </w:r>
      <w:r>
        <w:rPr/>
        <w:t>culture,</w:t>
      </w:r>
      <w:r>
        <w:rPr>
          <w:spacing w:val="79"/>
        </w:rPr>
        <w:t> </w:t>
      </w:r>
      <w:r>
        <w:rPr>
          <w:spacing w:val="-2"/>
        </w:rPr>
        <w:t>interdepartmental</w:t>
      </w:r>
    </w:p>
    <w:p>
      <w:pPr>
        <w:spacing w:after="0" w:line="480" w:lineRule="auto"/>
        <w:jc w:val="both"/>
        <w:sectPr>
          <w:pgSz w:w="12240" w:h="15840"/>
          <w:pgMar w:header="0" w:footer="1017" w:top="1360" w:bottom="1200" w:left="1040" w:right="120"/>
        </w:sectPr>
      </w:pPr>
    </w:p>
    <w:p>
      <w:pPr>
        <w:pStyle w:val="BodyText"/>
        <w:spacing w:line="480" w:lineRule="auto" w:before="72"/>
        <w:ind w:left="399" w:right="1314"/>
        <w:jc w:val="both"/>
      </w:pPr>
      <w:r>
        <w:rPr/>
        <w:t>relations, raw materials, machines and equipment, information, method and training. However, the most frequent barrier, according to results of the above study, pertains to human resource factor. Bayazit (2003) reported that lack of qualified Quality consultants, the conflict between management structure and TQM, the difficulty in developing company specific models, the difficulty in achieving teamwork among employees were the most frequent difficulties faced by Turkish manufacturing companies when implementing TQM. Red (2005) also investigated barriers that hamper the success of TQM implementation in a developing country and concluded that the failure of TQM may be due to two key reasons: methodology and implementation. Methodology refers to the techniques and tools being employed to improve a process; these should be suitable and sufficient to improve a process.</w:t>
      </w:r>
    </w:p>
    <w:p>
      <w:pPr>
        <w:pStyle w:val="BodyText"/>
      </w:pPr>
    </w:p>
    <w:p>
      <w:pPr>
        <w:pStyle w:val="BodyText"/>
        <w:spacing w:before="5"/>
      </w:pPr>
    </w:p>
    <w:p>
      <w:pPr>
        <w:pStyle w:val="Heading2"/>
        <w:numPr>
          <w:ilvl w:val="1"/>
          <w:numId w:val="16"/>
        </w:numPr>
        <w:tabs>
          <w:tab w:pos="1120" w:val="left" w:leader="none"/>
        </w:tabs>
        <w:spacing w:line="240" w:lineRule="auto" w:before="0" w:after="0"/>
        <w:ind w:left="1120" w:right="0" w:hanging="720"/>
        <w:jc w:val="both"/>
      </w:pPr>
      <w:r>
        <w:rPr/>
        <w:t>The</w:t>
      </w:r>
      <w:r>
        <w:rPr>
          <w:spacing w:val="-5"/>
        </w:rPr>
        <w:t> </w:t>
      </w:r>
      <w:r>
        <w:rPr/>
        <w:t>Critical</w:t>
      </w:r>
      <w:r>
        <w:rPr>
          <w:spacing w:val="-2"/>
        </w:rPr>
        <w:t> </w:t>
      </w:r>
      <w:r>
        <w:rPr/>
        <w:t>Success Factors</w:t>
      </w:r>
      <w:r>
        <w:rPr>
          <w:spacing w:val="-2"/>
        </w:rPr>
        <w:t> </w:t>
      </w:r>
      <w:r>
        <w:rPr/>
        <w:t>(CSFs)</w:t>
      </w:r>
      <w:r>
        <w:rPr>
          <w:spacing w:val="-3"/>
        </w:rPr>
        <w:t> </w:t>
      </w:r>
      <w:r>
        <w:rPr/>
        <w:t>of</w:t>
      </w:r>
      <w:r>
        <w:rPr>
          <w:spacing w:val="-1"/>
        </w:rPr>
        <w:t> </w:t>
      </w:r>
      <w:r>
        <w:rPr/>
        <w:t>Total</w:t>
      </w:r>
      <w:r>
        <w:rPr>
          <w:spacing w:val="-2"/>
        </w:rPr>
        <w:t> </w:t>
      </w:r>
      <w:r>
        <w:rPr/>
        <w:t>Quality</w:t>
      </w:r>
      <w:r>
        <w:rPr>
          <w:spacing w:val="-1"/>
        </w:rPr>
        <w:t> </w:t>
      </w:r>
      <w:r>
        <w:rPr>
          <w:spacing w:val="-2"/>
        </w:rPr>
        <w:t>Management</w:t>
      </w:r>
    </w:p>
    <w:p>
      <w:pPr>
        <w:pStyle w:val="BodyText"/>
        <w:spacing w:line="480" w:lineRule="auto" w:before="271"/>
        <w:ind w:left="400" w:right="1314"/>
        <w:jc w:val="both"/>
      </w:pPr>
      <w:r>
        <w:rPr/>
        <w:t>Critical Success Factors can be defined as “the limited number of areas in which results, if they are</w:t>
      </w:r>
      <w:r>
        <w:rPr>
          <w:spacing w:val="-2"/>
        </w:rPr>
        <w:t> </w:t>
      </w:r>
      <w:r>
        <w:rPr/>
        <w:t>satisfactory,</w:t>
      </w:r>
      <w:r>
        <w:rPr>
          <w:spacing w:val="-1"/>
        </w:rPr>
        <w:t> </w:t>
      </w:r>
      <w:r>
        <w:rPr/>
        <w:t>will</w:t>
      </w:r>
      <w:r>
        <w:rPr>
          <w:spacing w:val="-1"/>
        </w:rPr>
        <w:t> </w:t>
      </w:r>
      <w:r>
        <w:rPr/>
        <w:t>ensure</w:t>
      </w:r>
      <w:r>
        <w:rPr>
          <w:spacing w:val="-2"/>
        </w:rPr>
        <w:t> </w:t>
      </w:r>
      <w:r>
        <w:rPr/>
        <w:t>successful</w:t>
      </w:r>
      <w:r>
        <w:rPr>
          <w:spacing w:val="-1"/>
        </w:rPr>
        <w:t> </w:t>
      </w:r>
      <w:r>
        <w:rPr/>
        <w:t>competitive</w:t>
      </w:r>
      <w:r>
        <w:rPr>
          <w:spacing w:val="-2"/>
        </w:rPr>
        <w:t> </w:t>
      </w:r>
      <w:r>
        <w:rPr/>
        <w:t>performance</w:t>
      </w:r>
      <w:r>
        <w:rPr>
          <w:spacing w:val="-2"/>
        </w:rPr>
        <w:t> </w:t>
      </w:r>
      <w:r>
        <w:rPr/>
        <w:t>for</w:t>
      </w:r>
      <w:r>
        <w:rPr>
          <w:spacing w:val="-2"/>
        </w:rPr>
        <w:t> </w:t>
      </w:r>
      <w:r>
        <w:rPr/>
        <w:t>the</w:t>
      </w:r>
      <w:r>
        <w:rPr>
          <w:spacing w:val="-2"/>
        </w:rPr>
        <w:t> </w:t>
      </w:r>
      <w:r>
        <w:rPr/>
        <w:t>organization,</w:t>
      </w:r>
      <w:r>
        <w:rPr>
          <w:spacing w:val="-1"/>
        </w:rPr>
        <w:t> </w:t>
      </w:r>
      <w:r>
        <w:rPr/>
        <w:t>they</w:t>
      </w:r>
      <w:r>
        <w:rPr>
          <w:spacing w:val="-6"/>
        </w:rPr>
        <w:t> </w:t>
      </w:r>
      <w:r>
        <w:rPr/>
        <w:t>are</w:t>
      </w:r>
      <w:r>
        <w:rPr>
          <w:spacing w:val="-2"/>
        </w:rPr>
        <w:t> </w:t>
      </w:r>
      <w:r>
        <w:rPr/>
        <w:t>the critical key area where 'things must go right' for the business to flourish.</w:t>
      </w:r>
    </w:p>
    <w:p>
      <w:pPr>
        <w:pStyle w:val="BodyText"/>
        <w:spacing w:line="480" w:lineRule="auto" w:before="200"/>
        <w:ind w:left="400" w:right="1315"/>
        <w:jc w:val="both"/>
      </w:pPr>
      <w:r>
        <w:rPr/>
        <w:t>The following sections investigate the implementation of TQM as well as its critical Success Factors (CSFs) empirically</w:t>
      </w:r>
      <w:r>
        <w:rPr>
          <w:spacing w:val="-1"/>
        </w:rPr>
        <w:t> </w:t>
      </w:r>
      <w:r>
        <w:rPr/>
        <w:t>identified in studies conducted by a number of authors. For example, Saraph, Benson </w:t>
      </w:r>
      <w:r>
        <w:rPr>
          <w:i/>
        </w:rPr>
        <w:t>et al</w:t>
      </w:r>
      <w:r>
        <w:rPr/>
        <w:t>., 1989; Flynn, Schoeder</w:t>
      </w:r>
      <w:r>
        <w:rPr>
          <w:spacing w:val="-1"/>
        </w:rPr>
        <w:t> </w:t>
      </w:r>
      <w:r>
        <w:rPr>
          <w:i/>
        </w:rPr>
        <w:t>et al., </w:t>
      </w:r>
      <w:r>
        <w:rPr/>
        <w:t>1994; Powell, 1995; Terziovski and Samson, 1998; Bayazit, 2003; Rad , 2005; JU, Binshan </w:t>
      </w:r>
      <w:r>
        <w:rPr>
          <w:i/>
        </w:rPr>
        <w:t>et al</w:t>
      </w:r>
      <w:r>
        <w:rPr/>
        <w:t>.,2006; Karuppusami and Gandhinathan,</w:t>
      </w:r>
      <w:r>
        <w:rPr>
          <w:spacing w:val="40"/>
        </w:rPr>
        <w:t> </w:t>
      </w:r>
      <w:r>
        <w:rPr/>
        <w:t>2006; Bartley, Gomibuchi </w:t>
      </w:r>
      <w:r>
        <w:rPr>
          <w:i/>
        </w:rPr>
        <w:t>et al</w:t>
      </w:r>
      <w:r>
        <w:rPr/>
        <w:t>., 2007; Chowdhury, Paul </w:t>
      </w:r>
      <w:r>
        <w:rPr>
          <w:i/>
        </w:rPr>
        <w:t>et al</w:t>
      </w:r>
      <w:r>
        <w:rPr/>
        <w:t>., 2007; Abdullah, Uli </w:t>
      </w:r>
      <w:r>
        <w:rPr>
          <w:i/>
        </w:rPr>
        <w:t>et al.</w:t>
      </w:r>
      <w:r>
        <w:rPr/>
        <w:t>, 2008; and Salaheldian, 2009. Saraph </w:t>
      </w:r>
      <w:r>
        <w:rPr>
          <w:i/>
        </w:rPr>
        <w:t>et al. </w:t>
      </w:r>
      <w:r>
        <w:rPr/>
        <w:t>(1989) examined the development of qm practices in</w:t>
      </w:r>
      <w:r>
        <w:rPr>
          <w:spacing w:val="40"/>
        </w:rPr>
        <w:t> </w:t>
      </w:r>
      <w:r>
        <w:rPr/>
        <w:t>twenty- two manufacturing and service organizations in the USA and developed eight CSFS of QM.</w:t>
      </w:r>
      <w:r>
        <w:rPr>
          <w:spacing w:val="21"/>
        </w:rPr>
        <w:t> </w:t>
      </w:r>
      <w:r>
        <w:rPr/>
        <w:t>They</w:t>
      </w:r>
      <w:r>
        <w:rPr>
          <w:spacing w:val="18"/>
        </w:rPr>
        <w:t> </w:t>
      </w:r>
      <w:r>
        <w:rPr/>
        <w:t>consists</w:t>
      </w:r>
      <w:r>
        <w:rPr>
          <w:spacing w:val="23"/>
        </w:rPr>
        <w:t> </w:t>
      </w:r>
      <w:r>
        <w:rPr/>
        <w:t>of</w:t>
      </w:r>
      <w:r>
        <w:rPr>
          <w:spacing w:val="22"/>
        </w:rPr>
        <w:t> </w:t>
      </w:r>
      <w:r>
        <w:rPr/>
        <w:t>the</w:t>
      </w:r>
      <w:r>
        <w:rPr>
          <w:spacing w:val="23"/>
        </w:rPr>
        <w:t> </w:t>
      </w:r>
      <w:r>
        <w:rPr/>
        <w:t>roles</w:t>
      </w:r>
      <w:r>
        <w:rPr>
          <w:spacing w:val="23"/>
        </w:rPr>
        <w:t> </w:t>
      </w:r>
      <w:r>
        <w:rPr/>
        <w:t>of</w:t>
      </w:r>
      <w:r>
        <w:rPr>
          <w:spacing w:val="22"/>
        </w:rPr>
        <w:t> </w:t>
      </w:r>
      <w:r>
        <w:rPr/>
        <w:t>leadership</w:t>
      </w:r>
      <w:r>
        <w:rPr>
          <w:spacing w:val="23"/>
        </w:rPr>
        <w:t> </w:t>
      </w:r>
      <w:r>
        <w:rPr/>
        <w:t>and</w:t>
      </w:r>
      <w:r>
        <w:rPr>
          <w:spacing w:val="26"/>
        </w:rPr>
        <w:t> </w:t>
      </w:r>
      <w:r>
        <w:rPr/>
        <w:t>quality</w:t>
      </w:r>
      <w:r>
        <w:rPr>
          <w:spacing w:val="15"/>
        </w:rPr>
        <w:t> </w:t>
      </w:r>
      <w:r>
        <w:rPr/>
        <w:t>policies,</w:t>
      </w:r>
      <w:r>
        <w:rPr>
          <w:spacing w:val="23"/>
        </w:rPr>
        <w:t> </w:t>
      </w:r>
      <w:r>
        <w:rPr/>
        <w:t>quality</w:t>
      </w:r>
      <w:r>
        <w:rPr>
          <w:spacing w:val="20"/>
        </w:rPr>
        <w:t> </w:t>
      </w:r>
      <w:r>
        <w:rPr/>
        <w:t>department,</w:t>
      </w:r>
      <w:r>
        <w:rPr>
          <w:spacing w:val="24"/>
        </w:rPr>
        <w:t> </w:t>
      </w:r>
      <w:r>
        <w:rPr>
          <w:spacing w:val="-2"/>
        </w:rPr>
        <w:t>training,</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product/services design, supplier quality management, process management, quality data and reporting, and reporting, and employee relations. It further suggested that these CSFs of QM can be used by decision-makers to evaluate the status of QM efforts and identify possible areas for improvement</w:t>
      </w:r>
      <w:r>
        <w:rPr>
          <w:spacing w:val="-3"/>
        </w:rPr>
        <w:t> </w:t>
      </w:r>
      <w:r>
        <w:rPr/>
        <w:t>in</w:t>
      </w:r>
      <w:r>
        <w:rPr>
          <w:spacing w:val="-3"/>
        </w:rPr>
        <w:t> </w:t>
      </w:r>
      <w:r>
        <w:rPr/>
        <w:t>the</w:t>
      </w:r>
      <w:r>
        <w:rPr>
          <w:spacing w:val="-4"/>
        </w:rPr>
        <w:t> </w:t>
      </w:r>
      <w:r>
        <w:rPr/>
        <w:t>quality</w:t>
      </w:r>
      <w:r>
        <w:rPr>
          <w:spacing w:val="-7"/>
        </w:rPr>
        <w:t> </w:t>
      </w:r>
      <w:r>
        <w:rPr/>
        <w:t>(Seraph,</w:t>
      </w:r>
      <w:r>
        <w:rPr>
          <w:spacing w:val="-1"/>
        </w:rPr>
        <w:t> </w:t>
      </w:r>
      <w:r>
        <w:rPr/>
        <w:t>Benson</w:t>
      </w:r>
      <w:r>
        <w:rPr>
          <w:spacing w:val="-3"/>
        </w:rPr>
        <w:t> </w:t>
      </w:r>
      <w:r>
        <w:rPr>
          <w:i/>
        </w:rPr>
        <w:t>et</w:t>
      </w:r>
      <w:r>
        <w:rPr>
          <w:i/>
          <w:spacing w:val="-3"/>
        </w:rPr>
        <w:t> </w:t>
      </w:r>
      <w:r>
        <w:rPr>
          <w:i/>
        </w:rPr>
        <w:t>al.,</w:t>
      </w:r>
      <w:r>
        <w:rPr>
          <w:i/>
          <w:spacing w:val="-1"/>
        </w:rPr>
        <w:t> </w:t>
      </w:r>
      <w:r>
        <w:rPr/>
        <w:t>1989).</w:t>
      </w:r>
      <w:r>
        <w:rPr>
          <w:spacing w:val="-3"/>
        </w:rPr>
        <w:t> </w:t>
      </w:r>
      <w:r>
        <w:rPr/>
        <w:t>Flynn,</w:t>
      </w:r>
      <w:r>
        <w:rPr>
          <w:spacing w:val="-3"/>
        </w:rPr>
        <w:t> </w:t>
      </w:r>
      <w:r>
        <w:rPr/>
        <w:t>Schoeder</w:t>
      </w:r>
      <w:r>
        <w:rPr>
          <w:spacing w:val="-2"/>
        </w:rPr>
        <w:t> </w:t>
      </w:r>
      <w:r>
        <w:rPr>
          <w:i/>
        </w:rPr>
        <w:t>et</w:t>
      </w:r>
      <w:r>
        <w:rPr>
          <w:i/>
          <w:spacing w:val="-3"/>
        </w:rPr>
        <w:t> </w:t>
      </w:r>
      <w:r>
        <w:rPr>
          <w:i/>
        </w:rPr>
        <w:t>al.,</w:t>
      </w:r>
      <w:r>
        <w:rPr>
          <w:i/>
          <w:spacing w:val="-3"/>
        </w:rPr>
        <w:t> </w:t>
      </w:r>
      <w:r>
        <w:rPr/>
        <w:t>1994</w:t>
      </w:r>
      <w:r>
        <w:rPr>
          <w:spacing w:val="-3"/>
        </w:rPr>
        <w:t> </w:t>
      </w:r>
      <w:r>
        <w:rPr/>
        <w:t>added</w:t>
      </w:r>
      <w:r>
        <w:rPr>
          <w:spacing w:val="-3"/>
        </w:rPr>
        <w:t> </w:t>
      </w:r>
      <w:r>
        <w:rPr/>
        <w:t>that top management support creates an environment in which quality activities are rewarded. The CSFs identified in their study were quality Information System (IS/s); process management; product</w:t>
      </w:r>
      <w:r>
        <w:rPr>
          <w:spacing w:val="-1"/>
        </w:rPr>
        <w:t> </w:t>
      </w:r>
      <w:r>
        <w:rPr/>
        <w:t>design;</w:t>
      </w:r>
      <w:r>
        <w:rPr>
          <w:spacing w:val="-1"/>
        </w:rPr>
        <w:t> </w:t>
      </w:r>
      <w:r>
        <w:rPr/>
        <w:t>workforce</w:t>
      </w:r>
      <w:r>
        <w:rPr>
          <w:spacing w:val="-2"/>
        </w:rPr>
        <w:t> </w:t>
      </w:r>
      <w:r>
        <w:rPr/>
        <w:t>management,</w:t>
      </w:r>
      <w:r>
        <w:rPr>
          <w:spacing w:val="-1"/>
        </w:rPr>
        <w:t> </w:t>
      </w:r>
      <w:r>
        <w:rPr/>
        <w:t>supplier involvement,</w:t>
      </w:r>
      <w:r>
        <w:rPr>
          <w:spacing w:val="-1"/>
        </w:rPr>
        <w:t> </w:t>
      </w:r>
      <w:r>
        <w:rPr/>
        <w:t>and customer</w:t>
      </w:r>
      <w:r>
        <w:rPr>
          <w:spacing w:val="-2"/>
        </w:rPr>
        <w:t> </w:t>
      </w:r>
      <w:r>
        <w:rPr/>
        <w:t>involvement.</w:t>
      </w:r>
      <w:r>
        <w:rPr>
          <w:spacing w:val="-1"/>
        </w:rPr>
        <w:t> </w:t>
      </w:r>
      <w:r>
        <w:rPr/>
        <w:t>These CSFs</w:t>
      </w:r>
      <w:r>
        <w:rPr>
          <w:spacing w:val="-3"/>
        </w:rPr>
        <w:t> </w:t>
      </w:r>
      <w:r>
        <w:rPr/>
        <w:t>need</w:t>
      </w:r>
      <w:r>
        <w:rPr>
          <w:spacing w:val="-3"/>
        </w:rPr>
        <w:t> </w:t>
      </w:r>
      <w:r>
        <w:rPr/>
        <w:t>to</w:t>
      </w:r>
      <w:r>
        <w:rPr>
          <w:spacing w:val="-3"/>
        </w:rPr>
        <w:t> </w:t>
      </w:r>
      <w:r>
        <w:rPr/>
        <w:t>be</w:t>
      </w:r>
      <w:r>
        <w:rPr>
          <w:spacing w:val="-4"/>
        </w:rPr>
        <w:t> </w:t>
      </w:r>
      <w:r>
        <w:rPr/>
        <w:t>used</w:t>
      </w:r>
      <w:r>
        <w:rPr>
          <w:spacing w:val="-1"/>
        </w:rPr>
        <w:t> </w:t>
      </w:r>
      <w:r>
        <w:rPr/>
        <w:t>together</w:t>
      </w:r>
      <w:r>
        <w:rPr>
          <w:spacing w:val="-4"/>
        </w:rPr>
        <w:t> </w:t>
      </w:r>
      <w:r>
        <w:rPr/>
        <w:t>to</w:t>
      </w:r>
      <w:r>
        <w:rPr>
          <w:spacing w:val="-3"/>
        </w:rPr>
        <w:t> </w:t>
      </w:r>
      <w:r>
        <w:rPr/>
        <w:t>sustain</w:t>
      </w:r>
      <w:r>
        <w:rPr>
          <w:spacing w:val="-3"/>
        </w:rPr>
        <w:t> </w:t>
      </w:r>
      <w:r>
        <w:rPr/>
        <w:t>manufacturing</w:t>
      </w:r>
      <w:r>
        <w:rPr>
          <w:spacing w:val="-3"/>
        </w:rPr>
        <w:t> </w:t>
      </w:r>
      <w:r>
        <w:rPr/>
        <w:t>capabilities.</w:t>
      </w:r>
      <w:r>
        <w:rPr>
          <w:spacing w:val="-3"/>
        </w:rPr>
        <w:t> </w:t>
      </w:r>
      <w:r>
        <w:rPr/>
        <w:t>As</w:t>
      </w:r>
      <w:r>
        <w:rPr>
          <w:spacing w:val="-3"/>
        </w:rPr>
        <w:t> </w:t>
      </w:r>
      <w:r>
        <w:rPr/>
        <w:t>manufacturing</w:t>
      </w:r>
      <w:r>
        <w:rPr>
          <w:spacing w:val="-3"/>
        </w:rPr>
        <w:t> </w:t>
      </w:r>
      <w:r>
        <w:rPr/>
        <w:t>capability and quality improve, the organization attains and sustains a competitive advantage. This in</w:t>
      </w:r>
      <w:r>
        <w:rPr>
          <w:spacing w:val="40"/>
        </w:rPr>
        <w:t> </w:t>
      </w:r>
      <w:r>
        <w:rPr/>
        <w:t>return, gives feedback, support and information to top management which stimulate continuous </w:t>
      </w:r>
      <w:r>
        <w:rPr>
          <w:spacing w:val="-2"/>
        </w:rPr>
        <w:t>improvement.</w:t>
      </w:r>
    </w:p>
    <w:p>
      <w:pPr>
        <w:pStyle w:val="BodyText"/>
        <w:spacing w:line="480" w:lineRule="auto" w:before="199"/>
        <w:ind w:left="399" w:right="1313"/>
        <w:jc w:val="both"/>
      </w:pPr>
      <w:r>
        <w:rPr/>
        <w:t>Ahire </w:t>
      </w:r>
      <w:r>
        <w:rPr>
          <w:i/>
        </w:rPr>
        <w:t>et al, </w:t>
      </w:r>
      <w:r>
        <w:rPr/>
        <w:t>(1996) expanded the practices even further and identified 12 factors that are critical for the implementation of TQM</w:t>
      </w:r>
      <w:r>
        <w:rPr>
          <w:spacing w:val="80"/>
        </w:rPr>
        <w:t> </w:t>
      </w:r>
      <w:r>
        <w:rPr/>
        <w:t>derived mainly from the literature, these factors are: Top management commitment, Customer focus, Supplier quality management, Design quality management, Benchmarking, use of statistical process control, internal quality information, Employee empowerment, Employee involvement, Employee training, Product quality, and Supplier performance. Karuppusami and Gandhinathan (2006), analysed, sorted and proposed a list of 56 CSFs of TQM based on 37 TQM empirical studies conducted between 1989 and 2003, Their</w:t>
      </w:r>
      <w:r>
        <w:rPr>
          <w:spacing w:val="-4"/>
        </w:rPr>
        <w:t> </w:t>
      </w:r>
      <w:r>
        <w:rPr/>
        <w:t>results</w:t>
      </w:r>
      <w:r>
        <w:rPr>
          <w:spacing w:val="-3"/>
        </w:rPr>
        <w:t> </w:t>
      </w:r>
      <w:r>
        <w:rPr/>
        <w:t>showed</w:t>
      </w:r>
      <w:r>
        <w:rPr>
          <w:spacing w:val="-3"/>
        </w:rPr>
        <w:t> </w:t>
      </w:r>
      <w:r>
        <w:rPr/>
        <w:t>that</w:t>
      </w:r>
      <w:r>
        <w:rPr>
          <w:spacing w:val="-3"/>
        </w:rPr>
        <w:t> </w:t>
      </w:r>
      <w:r>
        <w:rPr/>
        <w:t>the</w:t>
      </w:r>
      <w:r>
        <w:rPr>
          <w:spacing w:val="-4"/>
        </w:rPr>
        <w:t> </w:t>
      </w:r>
      <w:r>
        <w:rPr/>
        <w:t>first</w:t>
      </w:r>
      <w:r>
        <w:rPr>
          <w:spacing w:val="-3"/>
        </w:rPr>
        <w:t> </w:t>
      </w:r>
      <w:r>
        <w:rPr/>
        <w:t>five</w:t>
      </w:r>
      <w:r>
        <w:rPr>
          <w:spacing w:val="-4"/>
        </w:rPr>
        <w:t> </w:t>
      </w:r>
      <w:r>
        <w:rPr/>
        <w:t>CSFs</w:t>
      </w:r>
      <w:r>
        <w:rPr>
          <w:spacing w:val="-3"/>
        </w:rPr>
        <w:t> </w:t>
      </w:r>
      <w:r>
        <w:rPr/>
        <w:t>included</w:t>
      </w:r>
      <w:r>
        <w:rPr>
          <w:spacing w:val="-3"/>
        </w:rPr>
        <w:t> </w:t>
      </w:r>
      <w:r>
        <w:rPr/>
        <w:t>employee</w:t>
      </w:r>
      <w:r>
        <w:rPr>
          <w:spacing w:val="-2"/>
        </w:rPr>
        <w:t> </w:t>
      </w:r>
      <w:r>
        <w:rPr/>
        <w:t>relations;</w:t>
      </w:r>
      <w:r>
        <w:rPr>
          <w:spacing w:val="-1"/>
        </w:rPr>
        <w:t> </w:t>
      </w:r>
      <w:r>
        <w:rPr/>
        <w:t>product/service</w:t>
      </w:r>
      <w:r>
        <w:rPr>
          <w:spacing w:val="-2"/>
        </w:rPr>
        <w:t> </w:t>
      </w:r>
      <w:r>
        <w:rPr/>
        <w:t>design; quality data; role of quality department; Human Resources Management (HRM) and Development (HRD); design and conformance (JU, Binshan </w:t>
      </w:r>
      <w:r>
        <w:rPr>
          <w:i/>
        </w:rPr>
        <w:t>et al</w:t>
      </w:r>
      <w:r>
        <w:rPr/>
        <w:t>., 2006) studied the possible effects of TQM and Knowledge Management (KM) interaction and confirmed that there exist multiple</w:t>
      </w:r>
      <w:r>
        <w:rPr>
          <w:spacing w:val="12"/>
        </w:rPr>
        <w:t> </w:t>
      </w:r>
      <w:r>
        <w:rPr/>
        <w:t>positive</w:t>
      </w:r>
      <w:r>
        <w:rPr>
          <w:spacing w:val="15"/>
        </w:rPr>
        <w:t> </w:t>
      </w:r>
      <w:r>
        <w:rPr/>
        <w:t>effects</w:t>
      </w:r>
      <w:r>
        <w:rPr>
          <w:spacing w:val="18"/>
        </w:rPr>
        <w:t> </w:t>
      </w:r>
      <w:r>
        <w:rPr/>
        <w:t>between</w:t>
      </w:r>
      <w:r>
        <w:rPr>
          <w:spacing w:val="19"/>
        </w:rPr>
        <w:t> </w:t>
      </w:r>
      <w:r>
        <w:rPr/>
        <w:t>them.</w:t>
      </w:r>
      <w:r>
        <w:rPr>
          <w:spacing w:val="16"/>
        </w:rPr>
        <w:t> </w:t>
      </w:r>
      <w:r>
        <w:rPr/>
        <w:t>Companies</w:t>
      </w:r>
      <w:r>
        <w:rPr>
          <w:spacing w:val="17"/>
        </w:rPr>
        <w:t> </w:t>
      </w:r>
      <w:r>
        <w:rPr/>
        <w:t>may</w:t>
      </w:r>
      <w:r>
        <w:rPr>
          <w:spacing w:val="12"/>
        </w:rPr>
        <w:t> </w:t>
      </w:r>
      <w:r>
        <w:rPr/>
        <w:t>implement</w:t>
      </w:r>
      <w:r>
        <w:rPr>
          <w:spacing w:val="16"/>
        </w:rPr>
        <w:t> </w:t>
      </w:r>
      <w:r>
        <w:rPr/>
        <w:t>one</w:t>
      </w:r>
      <w:r>
        <w:rPr>
          <w:spacing w:val="15"/>
        </w:rPr>
        <w:t> </w:t>
      </w:r>
      <w:r>
        <w:rPr/>
        <w:t>of</w:t>
      </w:r>
      <w:r>
        <w:rPr>
          <w:spacing w:val="15"/>
        </w:rPr>
        <w:t> </w:t>
      </w:r>
      <w:r>
        <w:rPr/>
        <w:t>them</w:t>
      </w:r>
      <w:r>
        <w:rPr>
          <w:spacing w:val="17"/>
        </w:rPr>
        <w:t> </w:t>
      </w:r>
      <w:r>
        <w:rPr/>
        <w:t>first</w:t>
      </w:r>
      <w:r>
        <w:rPr>
          <w:spacing w:val="18"/>
        </w:rPr>
        <w:t> </w:t>
      </w:r>
      <w:r>
        <w:rPr/>
        <w:t>or</w:t>
      </w:r>
      <w:r>
        <w:rPr>
          <w:spacing w:val="16"/>
        </w:rPr>
        <w:t> </w:t>
      </w:r>
      <w:r>
        <w:rPr/>
        <w:t>both</w:t>
      </w:r>
      <w:r>
        <w:rPr>
          <w:spacing w:val="19"/>
        </w:rPr>
        <w:t> </w:t>
      </w:r>
      <w:r>
        <w:rPr>
          <w:spacing w:val="-5"/>
        </w:rPr>
        <w:t>at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the same time depending on circumstances of the companies. The CSFs of TQM identified in their study were top management ; benchmarking; process management; product design; employee training; empowerment, supplier quality management and customer satisfaction. Although supplier quality management was identified as a critical success factor of TQM, it was notsuggested; like others that it would work as practical directions KM implementation (JU Binshan </w:t>
      </w:r>
      <w:r>
        <w:rPr>
          <w:i/>
        </w:rPr>
        <w:t>et al</w:t>
      </w:r>
      <w:r>
        <w:rPr/>
        <w:t>., 2006).</w:t>
      </w:r>
    </w:p>
    <w:p>
      <w:pPr>
        <w:pStyle w:val="BodyText"/>
        <w:spacing w:line="480" w:lineRule="auto" w:before="199"/>
        <w:ind w:left="399" w:right="1316"/>
        <w:jc w:val="both"/>
      </w:pPr>
      <w:r>
        <w:rPr/>
        <w:t>For successful implementation of TQM, an organisation’s culture needs to be focused on its customers. An organization can move towards a customer- focused culture by listening to customers’ view; analyzing; understanding; integrating and developing their expectation. Customer focused strategies, procedures, and processes need to be regularly reviewed and improved (Bartly, Gomibuchi </w:t>
      </w:r>
      <w:r>
        <w:rPr>
          <w:i/>
        </w:rPr>
        <w:t>et al., </w:t>
      </w:r>
      <w:r>
        <w:rPr/>
        <w:t>2007) .Chowdhury </w:t>
      </w:r>
      <w:r>
        <w:rPr>
          <w:i/>
        </w:rPr>
        <w:t>et al</w:t>
      </w:r>
      <w:r>
        <w:rPr/>
        <w:t>., (2007) employed ten critical factors of quality practices to investigate the effect of top management commitment in TQM implementation in a Thai manufacturing industry. Their results showed that companies with stronger commitment of top management will exhibit a more effective quality effort.</w:t>
      </w:r>
    </w:p>
    <w:p>
      <w:pPr>
        <w:pStyle w:val="BodyText"/>
      </w:pPr>
    </w:p>
    <w:p>
      <w:pPr>
        <w:pStyle w:val="BodyText"/>
        <w:spacing w:line="480" w:lineRule="auto" w:before="1"/>
        <w:ind w:left="400" w:right="1319"/>
        <w:jc w:val="both"/>
      </w:pPr>
      <w:r>
        <w:rPr/>
        <w:t>Investigating the empirical literature, it becomes evident that the critical success factors of TQM differ somewhat in scope from one study to another. This being said, several common elements and practices are observed throughout the literature, as documented in the section above. The table below provides an overview of the critical success factors according to the empirical </w:t>
      </w:r>
      <w:r>
        <w:rPr>
          <w:spacing w:val="-2"/>
        </w:rPr>
        <w:t>literature:</w:t>
      </w:r>
    </w:p>
    <w:p>
      <w:pPr>
        <w:spacing w:after="0" w:line="480" w:lineRule="auto"/>
        <w:jc w:val="both"/>
        <w:sectPr>
          <w:pgSz w:w="12240" w:h="15840"/>
          <w:pgMar w:header="0" w:footer="1017" w:top="1360" w:bottom="1200" w:left="1040" w:right="120"/>
        </w:sectPr>
      </w:pPr>
    </w:p>
    <w:p>
      <w:pPr>
        <w:pStyle w:val="Heading2"/>
        <w:spacing w:before="79"/>
        <w:jc w:val="left"/>
      </w:pPr>
      <w:r>
        <w:rPr/>
        <w:t>Table</w:t>
      </w:r>
      <w:r>
        <w:rPr>
          <w:spacing w:val="-6"/>
        </w:rPr>
        <w:t> </w:t>
      </w:r>
      <w:r>
        <w:rPr/>
        <w:t>3.2:</w:t>
      </w:r>
      <w:r>
        <w:rPr>
          <w:spacing w:val="-3"/>
        </w:rPr>
        <w:t> </w:t>
      </w:r>
      <w:r>
        <w:rPr/>
        <w:t>Summary</w:t>
      </w:r>
      <w:r>
        <w:rPr>
          <w:spacing w:val="-3"/>
        </w:rPr>
        <w:t> </w:t>
      </w:r>
      <w:r>
        <w:rPr/>
        <w:t>of</w:t>
      </w:r>
      <w:r>
        <w:rPr>
          <w:spacing w:val="-1"/>
        </w:rPr>
        <w:t> </w:t>
      </w:r>
      <w:r>
        <w:rPr/>
        <w:t>empirically</w:t>
      </w:r>
      <w:r>
        <w:rPr>
          <w:spacing w:val="-4"/>
        </w:rPr>
        <w:t> </w:t>
      </w:r>
      <w:r>
        <w:rPr/>
        <w:t>identified</w:t>
      </w:r>
      <w:r>
        <w:rPr>
          <w:spacing w:val="-2"/>
        </w:rPr>
        <w:t> </w:t>
      </w:r>
      <w:r>
        <w:rPr/>
        <w:t>critical</w:t>
      </w:r>
      <w:r>
        <w:rPr>
          <w:spacing w:val="-3"/>
        </w:rPr>
        <w:t> </w:t>
      </w:r>
      <w:r>
        <w:rPr/>
        <w:t>success</w:t>
      </w:r>
      <w:r>
        <w:rPr>
          <w:spacing w:val="-2"/>
        </w:rPr>
        <w:t> </w:t>
      </w:r>
      <w:r>
        <w:rPr/>
        <w:t>factors</w:t>
      </w:r>
      <w:r>
        <w:rPr>
          <w:spacing w:val="-3"/>
        </w:rPr>
        <w:t> </w:t>
      </w:r>
      <w:r>
        <w:rPr/>
        <w:t>of</w:t>
      </w:r>
      <w:r>
        <w:rPr>
          <w:spacing w:val="2"/>
        </w:rPr>
        <w:t> </w:t>
      </w:r>
      <w:r>
        <w:rPr>
          <w:spacing w:val="-5"/>
        </w:rPr>
        <w:t>TQM</w:t>
      </w:r>
    </w:p>
    <w:p>
      <w:pPr>
        <w:pStyle w:val="BodyText"/>
        <w:rPr>
          <w:b/>
          <w:sz w:val="20"/>
        </w:rPr>
      </w:pPr>
    </w:p>
    <w:p>
      <w:pPr>
        <w:pStyle w:val="BodyText"/>
        <w:spacing w:before="16"/>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5"/>
        <w:gridCol w:w="6251"/>
      </w:tblGrid>
      <w:tr>
        <w:trPr>
          <w:trHeight w:val="551" w:hRule="atLeast"/>
        </w:trPr>
        <w:tc>
          <w:tcPr>
            <w:tcW w:w="3325" w:type="dxa"/>
            <w:shd w:val="clear" w:color="auto" w:fill="EEECE1"/>
          </w:tcPr>
          <w:p>
            <w:pPr>
              <w:pStyle w:val="TableParagraph"/>
              <w:spacing w:line="268" w:lineRule="exact"/>
              <w:ind w:left="108"/>
              <w:rPr>
                <w:sz w:val="24"/>
              </w:rPr>
            </w:pPr>
            <w:r>
              <w:rPr>
                <w:sz w:val="24"/>
              </w:rPr>
              <w:t>Critical</w:t>
            </w:r>
            <w:r>
              <w:rPr>
                <w:spacing w:val="-4"/>
                <w:sz w:val="24"/>
              </w:rPr>
              <w:t> </w:t>
            </w:r>
            <w:r>
              <w:rPr>
                <w:sz w:val="24"/>
              </w:rPr>
              <w:t>success</w:t>
            </w:r>
            <w:r>
              <w:rPr>
                <w:spacing w:val="-2"/>
                <w:sz w:val="24"/>
              </w:rPr>
              <w:t> </w:t>
            </w:r>
            <w:r>
              <w:rPr>
                <w:sz w:val="24"/>
              </w:rPr>
              <w:t>factors</w:t>
            </w:r>
            <w:r>
              <w:rPr>
                <w:spacing w:val="-1"/>
                <w:sz w:val="24"/>
              </w:rPr>
              <w:t> </w:t>
            </w:r>
            <w:r>
              <w:rPr>
                <w:sz w:val="24"/>
              </w:rPr>
              <w:t>of</w:t>
            </w:r>
            <w:r>
              <w:rPr>
                <w:spacing w:val="-2"/>
                <w:sz w:val="24"/>
              </w:rPr>
              <w:t> </w:t>
            </w:r>
            <w:r>
              <w:rPr>
                <w:spacing w:val="-5"/>
                <w:sz w:val="24"/>
              </w:rPr>
              <w:t>TQM</w:t>
            </w:r>
          </w:p>
        </w:tc>
        <w:tc>
          <w:tcPr>
            <w:tcW w:w="6251" w:type="dxa"/>
            <w:shd w:val="clear" w:color="auto" w:fill="EEECE1"/>
          </w:tcPr>
          <w:p>
            <w:pPr>
              <w:pStyle w:val="TableParagraph"/>
              <w:spacing w:line="268" w:lineRule="exact"/>
              <w:ind w:left="152"/>
              <w:rPr>
                <w:sz w:val="24"/>
              </w:rPr>
            </w:pPr>
            <w:r>
              <w:rPr>
                <w:sz w:val="24"/>
              </w:rPr>
              <w:t>Supportive</w:t>
            </w:r>
            <w:r>
              <w:rPr>
                <w:spacing w:val="-2"/>
                <w:sz w:val="24"/>
              </w:rPr>
              <w:t> literature</w:t>
            </w:r>
          </w:p>
        </w:tc>
      </w:tr>
      <w:tr>
        <w:trPr>
          <w:trHeight w:val="1207" w:hRule="atLeast"/>
        </w:trPr>
        <w:tc>
          <w:tcPr>
            <w:tcW w:w="3325" w:type="dxa"/>
          </w:tcPr>
          <w:p>
            <w:pPr>
              <w:pStyle w:val="TableParagraph"/>
              <w:spacing w:line="270" w:lineRule="exact"/>
              <w:ind w:left="108"/>
              <w:rPr>
                <w:sz w:val="24"/>
              </w:rPr>
            </w:pPr>
            <w:r>
              <w:rPr>
                <w:sz w:val="24"/>
              </w:rPr>
              <w:t>Top</w:t>
            </w:r>
            <w:r>
              <w:rPr>
                <w:spacing w:val="-3"/>
                <w:sz w:val="24"/>
              </w:rPr>
              <w:t> </w:t>
            </w:r>
            <w:r>
              <w:rPr>
                <w:sz w:val="24"/>
              </w:rPr>
              <w:t>management</w:t>
            </w:r>
            <w:r>
              <w:rPr>
                <w:spacing w:val="-3"/>
                <w:sz w:val="24"/>
              </w:rPr>
              <w:t> </w:t>
            </w:r>
            <w:r>
              <w:rPr>
                <w:spacing w:val="-2"/>
                <w:sz w:val="24"/>
              </w:rPr>
              <w:t>commitment</w:t>
            </w:r>
          </w:p>
        </w:tc>
        <w:tc>
          <w:tcPr>
            <w:tcW w:w="6251" w:type="dxa"/>
          </w:tcPr>
          <w:p>
            <w:pPr>
              <w:pStyle w:val="TableParagraph"/>
              <w:spacing w:line="276" w:lineRule="auto"/>
              <w:ind w:left="152" w:right="106"/>
              <w:jc w:val="both"/>
              <w:rPr>
                <w:sz w:val="24"/>
              </w:rPr>
            </w:pPr>
            <w:r>
              <w:rPr>
                <w:sz w:val="24"/>
              </w:rPr>
              <w:t>Saraph et al. (1989); Flynn </w:t>
            </w:r>
            <w:r>
              <w:rPr>
                <w:i/>
                <w:sz w:val="24"/>
              </w:rPr>
              <w:t>et al</w:t>
            </w:r>
            <w:r>
              <w:rPr>
                <w:sz w:val="24"/>
              </w:rPr>
              <w:t>. (1989); Salaheldin (2009); Turkyilmaz </w:t>
            </w:r>
            <w:r>
              <w:rPr>
                <w:i/>
                <w:sz w:val="24"/>
              </w:rPr>
              <w:t>et al. </w:t>
            </w:r>
            <w:r>
              <w:rPr>
                <w:sz w:val="24"/>
              </w:rPr>
              <w:t>(2010); Demirbag </w:t>
            </w:r>
            <w:r>
              <w:rPr>
                <w:i/>
                <w:sz w:val="24"/>
              </w:rPr>
              <w:t>et al. </w:t>
            </w:r>
            <w:r>
              <w:rPr>
                <w:sz w:val="24"/>
              </w:rPr>
              <w:t>(2006); Fuentes </w:t>
            </w:r>
            <w:r>
              <w:rPr>
                <w:i/>
                <w:sz w:val="24"/>
              </w:rPr>
              <w:t>et al. </w:t>
            </w:r>
            <w:r>
              <w:rPr>
                <w:sz w:val="24"/>
              </w:rPr>
              <w:t>(2006); Ahire </w:t>
            </w:r>
            <w:r>
              <w:rPr>
                <w:i/>
                <w:sz w:val="24"/>
              </w:rPr>
              <w:t>et a</w:t>
            </w:r>
            <w:r>
              <w:rPr>
                <w:sz w:val="24"/>
              </w:rPr>
              <w:t>l. (1996); Powell (1995)</w:t>
            </w:r>
          </w:p>
        </w:tc>
      </w:tr>
      <w:tr>
        <w:trPr>
          <w:trHeight w:val="1341" w:hRule="atLeast"/>
        </w:trPr>
        <w:tc>
          <w:tcPr>
            <w:tcW w:w="3325" w:type="dxa"/>
            <w:shd w:val="clear" w:color="auto" w:fill="EEECE1"/>
          </w:tcPr>
          <w:p>
            <w:pPr>
              <w:pStyle w:val="TableParagraph"/>
              <w:spacing w:line="270" w:lineRule="exact"/>
              <w:ind w:left="108"/>
              <w:rPr>
                <w:sz w:val="24"/>
              </w:rPr>
            </w:pPr>
            <w:r>
              <w:rPr>
                <w:sz w:val="24"/>
              </w:rPr>
              <w:t>Supplier</w:t>
            </w:r>
            <w:r>
              <w:rPr>
                <w:spacing w:val="-2"/>
                <w:sz w:val="24"/>
              </w:rPr>
              <w:t> management</w:t>
            </w:r>
          </w:p>
        </w:tc>
        <w:tc>
          <w:tcPr>
            <w:tcW w:w="6251" w:type="dxa"/>
            <w:shd w:val="clear" w:color="auto" w:fill="EEECE1"/>
          </w:tcPr>
          <w:p>
            <w:pPr>
              <w:pStyle w:val="TableParagraph"/>
              <w:spacing w:line="276" w:lineRule="auto"/>
              <w:ind w:left="152"/>
              <w:rPr>
                <w:sz w:val="24"/>
              </w:rPr>
            </w:pPr>
            <w:r>
              <w:rPr>
                <w:sz w:val="24"/>
              </w:rPr>
              <w:t>Karuppusami</w:t>
            </w:r>
            <w:r>
              <w:rPr>
                <w:spacing w:val="80"/>
                <w:sz w:val="24"/>
              </w:rPr>
              <w:t> </w:t>
            </w:r>
            <w:r>
              <w:rPr>
                <w:sz w:val="24"/>
              </w:rPr>
              <w:t>(2006);</w:t>
            </w:r>
            <w:r>
              <w:rPr>
                <w:spacing w:val="80"/>
                <w:sz w:val="24"/>
              </w:rPr>
              <w:t> </w:t>
            </w:r>
            <w:r>
              <w:rPr>
                <w:sz w:val="24"/>
              </w:rPr>
              <w:t>Saraph</w:t>
            </w:r>
            <w:r>
              <w:rPr>
                <w:spacing w:val="80"/>
                <w:sz w:val="24"/>
              </w:rPr>
              <w:t> </w:t>
            </w:r>
            <w:r>
              <w:rPr>
                <w:i/>
                <w:sz w:val="24"/>
              </w:rPr>
              <w:t>et</w:t>
            </w:r>
            <w:r>
              <w:rPr>
                <w:i/>
                <w:spacing w:val="80"/>
                <w:sz w:val="24"/>
              </w:rPr>
              <w:t> </w:t>
            </w:r>
            <w:r>
              <w:rPr>
                <w:i/>
                <w:sz w:val="24"/>
              </w:rPr>
              <w:t>al</w:t>
            </w:r>
            <w:r>
              <w:rPr>
                <w:sz w:val="24"/>
              </w:rPr>
              <w:t>.</w:t>
            </w:r>
            <w:r>
              <w:rPr>
                <w:spacing w:val="80"/>
                <w:sz w:val="24"/>
              </w:rPr>
              <w:t> </w:t>
            </w:r>
            <w:r>
              <w:rPr>
                <w:sz w:val="24"/>
              </w:rPr>
              <w:t>(1989);</w:t>
            </w:r>
            <w:r>
              <w:rPr>
                <w:spacing w:val="80"/>
                <w:sz w:val="24"/>
              </w:rPr>
              <w:t> </w:t>
            </w:r>
            <w:r>
              <w:rPr>
                <w:sz w:val="24"/>
              </w:rPr>
              <w:t>Flynn</w:t>
            </w:r>
            <w:r>
              <w:rPr>
                <w:spacing w:val="80"/>
                <w:sz w:val="24"/>
              </w:rPr>
              <w:t> </w:t>
            </w:r>
            <w:r>
              <w:rPr>
                <w:i/>
                <w:sz w:val="24"/>
              </w:rPr>
              <w:t>et</w:t>
            </w:r>
            <w:r>
              <w:rPr>
                <w:i/>
                <w:spacing w:val="80"/>
                <w:sz w:val="24"/>
              </w:rPr>
              <w:t> </w:t>
            </w:r>
            <w:r>
              <w:rPr>
                <w:i/>
                <w:sz w:val="24"/>
              </w:rPr>
              <w:t>al</w:t>
            </w:r>
            <w:r>
              <w:rPr>
                <w:sz w:val="24"/>
              </w:rPr>
              <w:t>. (1989);</w:t>
            </w:r>
            <w:r>
              <w:rPr>
                <w:spacing w:val="10"/>
                <w:sz w:val="24"/>
              </w:rPr>
              <w:t> </w:t>
            </w:r>
            <w:r>
              <w:rPr>
                <w:sz w:val="24"/>
              </w:rPr>
              <w:t>Demirbag</w:t>
            </w:r>
            <w:r>
              <w:rPr>
                <w:spacing w:val="10"/>
                <w:sz w:val="24"/>
              </w:rPr>
              <w:t> </w:t>
            </w:r>
            <w:r>
              <w:rPr>
                <w:i/>
                <w:sz w:val="24"/>
              </w:rPr>
              <w:t>et</w:t>
            </w:r>
            <w:r>
              <w:rPr>
                <w:i/>
                <w:spacing w:val="12"/>
                <w:sz w:val="24"/>
              </w:rPr>
              <w:t> </w:t>
            </w:r>
            <w:r>
              <w:rPr>
                <w:i/>
                <w:sz w:val="24"/>
              </w:rPr>
              <w:t>al</w:t>
            </w:r>
            <w:r>
              <w:rPr>
                <w:sz w:val="24"/>
              </w:rPr>
              <w:t>.</w:t>
            </w:r>
            <w:r>
              <w:rPr>
                <w:spacing w:val="11"/>
                <w:sz w:val="24"/>
              </w:rPr>
              <w:t> </w:t>
            </w:r>
            <w:r>
              <w:rPr>
                <w:sz w:val="24"/>
              </w:rPr>
              <w:t>(2006);</w:t>
            </w:r>
            <w:r>
              <w:rPr>
                <w:spacing w:val="12"/>
                <w:sz w:val="24"/>
              </w:rPr>
              <w:t> </w:t>
            </w:r>
            <w:r>
              <w:rPr>
                <w:sz w:val="24"/>
              </w:rPr>
              <w:t>Salaheldin</w:t>
            </w:r>
            <w:r>
              <w:rPr>
                <w:spacing w:val="12"/>
                <w:sz w:val="24"/>
              </w:rPr>
              <w:t> </w:t>
            </w:r>
            <w:r>
              <w:rPr>
                <w:sz w:val="24"/>
              </w:rPr>
              <w:t>(2009);</w:t>
            </w:r>
            <w:r>
              <w:rPr>
                <w:spacing w:val="12"/>
                <w:sz w:val="24"/>
              </w:rPr>
              <w:t> </w:t>
            </w:r>
            <w:r>
              <w:rPr>
                <w:sz w:val="24"/>
              </w:rPr>
              <w:t>Ahire</w:t>
            </w:r>
            <w:r>
              <w:rPr>
                <w:spacing w:val="12"/>
                <w:sz w:val="24"/>
              </w:rPr>
              <w:t> </w:t>
            </w:r>
            <w:r>
              <w:rPr>
                <w:spacing w:val="-5"/>
                <w:sz w:val="24"/>
              </w:rPr>
              <w:t>and</w:t>
            </w:r>
          </w:p>
          <w:p>
            <w:pPr>
              <w:pStyle w:val="TableParagraph"/>
              <w:spacing w:line="275" w:lineRule="exact"/>
              <w:ind w:left="152"/>
              <w:rPr>
                <w:sz w:val="24"/>
              </w:rPr>
            </w:pPr>
            <w:r>
              <w:rPr>
                <w:sz w:val="24"/>
              </w:rPr>
              <w:t>Golhar</w:t>
            </w:r>
            <w:r>
              <w:rPr>
                <w:spacing w:val="-3"/>
                <w:sz w:val="24"/>
              </w:rPr>
              <w:t> </w:t>
            </w:r>
            <w:r>
              <w:rPr>
                <w:spacing w:val="-2"/>
                <w:sz w:val="24"/>
              </w:rPr>
              <w:t>(1996)</w:t>
            </w:r>
          </w:p>
        </w:tc>
      </w:tr>
      <w:tr>
        <w:trPr>
          <w:trHeight w:val="1195" w:hRule="atLeast"/>
        </w:trPr>
        <w:tc>
          <w:tcPr>
            <w:tcW w:w="3325" w:type="dxa"/>
          </w:tcPr>
          <w:p>
            <w:pPr>
              <w:pStyle w:val="TableParagraph"/>
              <w:spacing w:line="270" w:lineRule="exact"/>
              <w:ind w:left="108"/>
              <w:rPr>
                <w:sz w:val="24"/>
              </w:rPr>
            </w:pPr>
            <w:r>
              <w:rPr>
                <w:sz w:val="24"/>
              </w:rPr>
              <w:t>People</w:t>
            </w:r>
            <w:r>
              <w:rPr>
                <w:spacing w:val="-2"/>
                <w:sz w:val="24"/>
              </w:rPr>
              <w:t> management</w:t>
            </w:r>
          </w:p>
        </w:tc>
        <w:tc>
          <w:tcPr>
            <w:tcW w:w="6251" w:type="dxa"/>
          </w:tcPr>
          <w:p>
            <w:pPr>
              <w:pStyle w:val="TableParagraph"/>
              <w:spacing w:line="276" w:lineRule="auto"/>
              <w:ind w:left="152" w:right="107"/>
              <w:jc w:val="both"/>
              <w:rPr>
                <w:sz w:val="24"/>
              </w:rPr>
            </w:pPr>
            <w:r>
              <w:rPr>
                <w:sz w:val="24"/>
              </w:rPr>
              <w:t>Terziovski </w:t>
            </w:r>
            <w:r>
              <w:rPr>
                <w:i/>
                <w:sz w:val="24"/>
              </w:rPr>
              <w:t>et al. </w:t>
            </w:r>
            <w:r>
              <w:rPr>
                <w:sz w:val="24"/>
              </w:rPr>
              <w:t>(1999); Saraph </w:t>
            </w:r>
            <w:r>
              <w:rPr>
                <w:i/>
                <w:sz w:val="24"/>
              </w:rPr>
              <w:t>et al</w:t>
            </w:r>
            <w:r>
              <w:rPr>
                <w:sz w:val="24"/>
              </w:rPr>
              <w:t>. (1989); Flynn </w:t>
            </w:r>
            <w:r>
              <w:rPr>
                <w:i/>
                <w:sz w:val="24"/>
              </w:rPr>
              <w:t>et al. </w:t>
            </w:r>
            <w:r>
              <w:rPr>
                <w:sz w:val="24"/>
              </w:rPr>
              <w:t>(1989);</w:t>
            </w:r>
            <w:r>
              <w:rPr>
                <w:spacing w:val="-2"/>
                <w:sz w:val="24"/>
              </w:rPr>
              <w:t> </w:t>
            </w:r>
            <w:r>
              <w:rPr>
                <w:sz w:val="24"/>
              </w:rPr>
              <w:t>Sun</w:t>
            </w:r>
            <w:r>
              <w:rPr>
                <w:spacing w:val="-2"/>
                <w:sz w:val="24"/>
              </w:rPr>
              <w:t> </w:t>
            </w:r>
            <w:r>
              <w:rPr>
                <w:sz w:val="24"/>
              </w:rPr>
              <w:t>(2000);</w:t>
            </w:r>
            <w:r>
              <w:rPr>
                <w:spacing w:val="-2"/>
                <w:sz w:val="24"/>
              </w:rPr>
              <w:t> </w:t>
            </w:r>
            <w:r>
              <w:rPr>
                <w:sz w:val="24"/>
              </w:rPr>
              <w:t>Ahire</w:t>
            </w:r>
            <w:r>
              <w:rPr>
                <w:spacing w:val="-3"/>
                <w:sz w:val="24"/>
              </w:rPr>
              <w:t> </w:t>
            </w:r>
            <w:r>
              <w:rPr>
                <w:i/>
                <w:sz w:val="24"/>
              </w:rPr>
              <w:t>et al</w:t>
            </w:r>
            <w:r>
              <w:rPr>
                <w:sz w:val="24"/>
              </w:rPr>
              <w:t>.</w:t>
            </w:r>
            <w:r>
              <w:rPr>
                <w:spacing w:val="-2"/>
                <w:sz w:val="24"/>
              </w:rPr>
              <w:t> </w:t>
            </w:r>
            <w:r>
              <w:rPr>
                <w:sz w:val="24"/>
              </w:rPr>
              <w:t>(1996); Powell</w:t>
            </w:r>
            <w:r>
              <w:rPr>
                <w:spacing w:val="-2"/>
                <w:sz w:val="24"/>
              </w:rPr>
              <w:t> </w:t>
            </w:r>
            <w:r>
              <w:rPr>
                <w:sz w:val="24"/>
              </w:rPr>
              <w:t>(1995);</w:t>
            </w:r>
            <w:r>
              <w:rPr>
                <w:spacing w:val="-2"/>
                <w:sz w:val="24"/>
              </w:rPr>
              <w:t> </w:t>
            </w:r>
            <w:r>
              <w:rPr>
                <w:sz w:val="24"/>
              </w:rPr>
              <w:t>Yusof and Aspinwall (2000); Hendricks and Singhal (1997)</w:t>
            </w:r>
          </w:p>
        </w:tc>
      </w:tr>
      <w:tr>
        <w:trPr>
          <w:trHeight w:val="1586" w:hRule="atLeast"/>
        </w:trPr>
        <w:tc>
          <w:tcPr>
            <w:tcW w:w="3325" w:type="dxa"/>
            <w:shd w:val="clear" w:color="auto" w:fill="EEECE1"/>
          </w:tcPr>
          <w:p>
            <w:pPr>
              <w:pStyle w:val="TableParagraph"/>
              <w:spacing w:line="270" w:lineRule="exact"/>
              <w:ind w:left="108"/>
              <w:rPr>
                <w:sz w:val="24"/>
              </w:rPr>
            </w:pPr>
            <w:r>
              <w:rPr>
                <w:sz w:val="24"/>
              </w:rPr>
              <w:t>Customer</w:t>
            </w:r>
            <w:r>
              <w:rPr>
                <w:spacing w:val="-2"/>
                <w:sz w:val="24"/>
              </w:rPr>
              <w:t> focus</w:t>
            </w:r>
          </w:p>
        </w:tc>
        <w:tc>
          <w:tcPr>
            <w:tcW w:w="6251" w:type="dxa"/>
            <w:shd w:val="clear" w:color="auto" w:fill="EEECE1"/>
          </w:tcPr>
          <w:p>
            <w:pPr>
              <w:pStyle w:val="TableParagraph"/>
              <w:spacing w:line="276" w:lineRule="auto"/>
              <w:ind w:left="152" w:right="106"/>
              <w:jc w:val="both"/>
              <w:rPr>
                <w:sz w:val="24"/>
              </w:rPr>
            </w:pPr>
            <w:r>
              <w:rPr>
                <w:sz w:val="24"/>
              </w:rPr>
              <w:t>Salaheldin</w:t>
            </w:r>
            <w:r>
              <w:rPr>
                <w:spacing w:val="-3"/>
                <w:sz w:val="24"/>
              </w:rPr>
              <w:t> </w:t>
            </w:r>
            <w:r>
              <w:rPr>
                <w:sz w:val="24"/>
              </w:rPr>
              <w:t>(2009);</w:t>
            </w:r>
            <w:r>
              <w:rPr>
                <w:spacing w:val="-3"/>
                <w:sz w:val="24"/>
              </w:rPr>
              <w:t> </w:t>
            </w:r>
            <w:r>
              <w:rPr>
                <w:sz w:val="24"/>
              </w:rPr>
              <w:t>Karuppusami</w:t>
            </w:r>
            <w:r>
              <w:rPr>
                <w:spacing w:val="-3"/>
                <w:sz w:val="24"/>
              </w:rPr>
              <w:t> </w:t>
            </w:r>
            <w:r>
              <w:rPr>
                <w:sz w:val="24"/>
              </w:rPr>
              <w:t>(2006);</w:t>
            </w:r>
            <w:r>
              <w:rPr>
                <w:spacing w:val="-3"/>
                <w:sz w:val="24"/>
              </w:rPr>
              <w:t> </w:t>
            </w:r>
            <w:r>
              <w:rPr>
                <w:sz w:val="24"/>
              </w:rPr>
              <w:t>Bartley</w:t>
            </w:r>
            <w:r>
              <w:rPr>
                <w:spacing w:val="-6"/>
                <w:sz w:val="24"/>
              </w:rPr>
              <w:t> </w:t>
            </w:r>
            <w:r>
              <w:rPr>
                <w:i/>
                <w:sz w:val="24"/>
              </w:rPr>
              <w:t>et</w:t>
            </w:r>
            <w:r>
              <w:rPr>
                <w:i/>
                <w:spacing w:val="-3"/>
                <w:sz w:val="24"/>
              </w:rPr>
              <w:t> </w:t>
            </w:r>
            <w:r>
              <w:rPr>
                <w:i/>
                <w:sz w:val="24"/>
              </w:rPr>
              <w:t>al.</w:t>
            </w:r>
            <w:r>
              <w:rPr>
                <w:i/>
                <w:spacing w:val="-3"/>
                <w:sz w:val="24"/>
              </w:rPr>
              <w:t> </w:t>
            </w:r>
            <w:r>
              <w:rPr>
                <w:sz w:val="24"/>
              </w:rPr>
              <w:t>(2007); Saravanan and Rao (2006); Rahman and Bullock (2005); Flynn </w:t>
            </w:r>
            <w:r>
              <w:rPr>
                <w:i/>
                <w:sz w:val="24"/>
              </w:rPr>
              <w:t>et al. </w:t>
            </w:r>
            <w:r>
              <w:rPr>
                <w:sz w:val="24"/>
              </w:rPr>
              <w:t>(1989); Turkyilmaz </w:t>
            </w:r>
            <w:r>
              <w:rPr>
                <w:i/>
                <w:sz w:val="24"/>
              </w:rPr>
              <w:t>et al</w:t>
            </w:r>
            <w:r>
              <w:rPr>
                <w:sz w:val="24"/>
              </w:rPr>
              <w:t>. (2010), Karuppusami and Gandhinathan, 2006).</w:t>
            </w:r>
          </w:p>
        </w:tc>
      </w:tr>
      <w:tr>
        <w:trPr>
          <w:trHeight w:val="636" w:hRule="atLeast"/>
        </w:trPr>
        <w:tc>
          <w:tcPr>
            <w:tcW w:w="3325" w:type="dxa"/>
          </w:tcPr>
          <w:p>
            <w:pPr>
              <w:pStyle w:val="TableParagraph"/>
              <w:spacing w:line="270" w:lineRule="exact"/>
              <w:ind w:left="108"/>
              <w:rPr>
                <w:sz w:val="24"/>
              </w:rPr>
            </w:pPr>
            <w:r>
              <w:rPr>
                <w:sz w:val="24"/>
              </w:rPr>
              <w:t>Process</w:t>
            </w:r>
            <w:r>
              <w:rPr>
                <w:spacing w:val="-3"/>
                <w:sz w:val="24"/>
              </w:rPr>
              <w:t> </w:t>
            </w:r>
            <w:r>
              <w:rPr>
                <w:spacing w:val="-2"/>
                <w:sz w:val="24"/>
              </w:rPr>
              <w:t>management</w:t>
            </w:r>
          </w:p>
        </w:tc>
        <w:tc>
          <w:tcPr>
            <w:tcW w:w="6251" w:type="dxa"/>
          </w:tcPr>
          <w:p>
            <w:pPr>
              <w:pStyle w:val="TableParagraph"/>
              <w:spacing w:line="270" w:lineRule="exact"/>
              <w:ind w:left="152"/>
              <w:rPr>
                <w:i/>
                <w:sz w:val="24"/>
              </w:rPr>
            </w:pPr>
            <w:r>
              <w:rPr>
                <w:sz w:val="24"/>
              </w:rPr>
              <w:t>Ravichandran</w:t>
            </w:r>
            <w:r>
              <w:rPr>
                <w:spacing w:val="69"/>
                <w:sz w:val="24"/>
              </w:rPr>
              <w:t> </w:t>
            </w:r>
            <w:r>
              <w:rPr>
                <w:sz w:val="24"/>
              </w:rPr>
              <w:t>and</w:t>
            </w:r>
            <w:r>
              <w:rPr>
                <w:spacing w:val="70"/>
                <w:sz w:val="24"/>
              </w:rPr>
              <w:t> </w:t>
            </w:r>
            <w:r>
              <w:rPr>
                <w:sz w:val="24"/>
              </w:rPr>
              <w:t>Rai</w:t>
            </w:r>
            <w:r>
              <w:rPr>
                <w:spacing w:val="69"/>
                <w:sz w:val="24"/>
              </w:rPr>
              <w:t> </w:t>
            </w:r>
            <w:r>
              <w:rPr>
                <w:sz w:val="24"/>
              </w:rPr>
              <w:t>(2000);</w:t>
            </w:r>
            <w:r>
              <w:rPr>
                <w:spacing w:val="70"/>
                <w:sz w:val="24"/>
              </w:rPr>
              <w:t> </w:t>
            </w:r>
            <w:r>
              <w:rPr>
                <w:sz w:val="24"/>
              </w:rPr>
              <w:t>Kanji</w:t>
            </w:r>
            <w:r>
              <w:rPr>
                <w:spacing w:val="70"/>
                <w:sz w:val="24"/>
              </w:rPr>
              <w:t> </w:t>
            </w:r>
            <w:r>
              <w:rPr>
                <w:sz w:val="24"/>
              </w:rPr>
              <w:t>(2000);</w:t>
            </w:r>
            <w:r>
              <w:rPr>
                <w:spacing w:val="69"/>
                <w:sz w:val="24"/>
              </w:rPr>
              <w:t> </w:t>
            </w:r>
            <w:r>
              <w:rPr>
                <w:sz w:val="24"/>
              </w:rPr>
              <w:t>Flynn</w:t>
            </w:r>
            <w:r>
              <w:rPr>
                <w:spacing w:val="72"/>
                <w:sz w:val="24"/>
              </w:rPr>
              <w:t> </w:t>
            </w:r>
            <w:r>
              <w:rPr>
                <w:i/>
                <w:sz w:val="24"/>
              </w:rPr>
              <w:t>et</w:t>
            </w:r>
            <w:r>
              <w:rPr>
                <w:i/>
                <w:spacing w:val="70"/>
                <w:sz w:val="24"/>
              </w:rPr>
              <w:t> </w:t>
            </w:r>
            <w:r>
              <w:rPr>
                <w:i/>
                <w:spacing w:val="-5"/>
                <w:sz w:val="24"/>
              </w:rPr>
              <w:t>al.</w:t>
            </w:r>
          </w:p>
          <w:p>
            <w:pPr>
              <w:pStyle w:val="TableParagraph"/>
              <w:spacing w:before="43"/>
              <w:ind w:left="152"/>
              <w:rPr>
                <w:sz w:val="24"/>
              </w:rPr>
            </w:pPr>
            <w:r>
              <w:rPr>
                <w:sz w:val="24"/>
              </w:rPr>
              <w:t>(1989);</w:t>
            </w:r>
            <w:r>
              <w:rPr>
                <w:spacing w:val="-1"/>
                <w:sz w:val="24"/>
              </w:rPr>
              <w:t> </w:t>
            </w:r>
            <w:r>
              <w:rPr>
                <w:sz w:val="24"/>
              </w:rPr>
              <w:t>Claver</w:t>
            </w:r>
            <w:r>
              <w:rPr>
                <w:spacing w:val="-2"/>
                <w:sz w:val="24"/>
              </w:rPr>
              <w:t> </w:t>
            </w:r>
            <w:r>
              <w:rPr>
                <w:sz w:val="24"/>
              </w:rPr>
              <w:t>and</w:t>
            </w:r>
            <w:r>
              <w:rPr>
                <w:spacing w:val="-1"/>
                <w:sz w:val="24"/>
              </w:rPr>
              <w:t> </w:t>
            </w:r>
            <w:r>
              <w:rPr>
                <w:sz w:val="24"/>
              </w:rPr>
              <w:t>Tari</w:t>
            </w:r>
            <w:r>
              <w:rPr>
                <w:spacing w:val="-1"/>
                <w:sz w:val="24"/>
              </w:rPr>
              <w:t> </w:t>
            </w:r>
            <w:r>
              <w:rPr>
                <w:sz w:val="24"/>
              </w:rPr>
              <w:t>(2003);</w:t>
            </w:r>
            <w:r>
              <w:rPr>
                <w:spacing w:val="-1"/>
                <w:sz w:val="24"/>
              </w:rPr>
              <w:t> </w:t>
            </w:r>
            <w:r>
              <w:rPr>
                <w:sz w:val="24"/>
              </w:rPr>
              <w:t>Yusof</w:t>
            </w:r>
            <w:r>
              <w:rPr>
                <w:spacing w:val="-2"/>
                <w:sz w:val="24"/>
              </w:rPr>
              <w:t> </w:t>
            </w:r>
            <w:r>
              <w:rPr>
                <w:sz w:val="24"/>
              </w:rPr>
              <w:t>and</w:t>
            </w:r>
            <w:r>
              <w:rPr>
                <w:spacing w:val="-1"/>
                <w:sz w:val="24"/>
              </w:rPr>
              <w:t> </w:t>
            </w:r>
            <w:r>
              <w:rPr>
                <w:sz w:val="24"/>
              </w:rPr>
              <w:t>Aspinwall</w:t>
            </w:r>
            <w:r>
              <w:rPr>
                <w:spacing w:val="-1"/>
                <w:sz w:val="24"/>
              </w:rPr>
              <w:t> </w:t>
            </w:r>
            <w:r>
              <w:rPr>
                <w:spacing w:val="-2"/>
                <w:sz w:val="24"/>
              </w:rPr>
              <w:t>(2000)</w:t>
            </w:r>
          </w:p>
        </w:tc>
      </w:tr>
      <w:tr>
        <w:trPr>
          <w:trHeight w:val="837" w:hRule="atLeast"/>
        </w:trPr>
        <w:tc>
          <w:tcPr>
            <w:tcW w:w="3325" w:type="dxa"/>
            <w:shd w:val="clear" w:color="auto" w:fill="EEECE1"/>
          </w:tcPr>
          <w:p>
            <w:pPr>
              <w:pStyle w:val="TableParagraph"/>
              <w:spacing w:line="270" w:lineRule="exact"/>
              <w:ind w:left="108"/>
              <w:rPr>
                <w:sz w:val="24"/>
              </w:rPr>
            </w:pPr>
            <w:r>
              <w:rPr>
                <w:sz w:val="24"/>
              </w:rPr>
              <w:t>Quality</w:t>
            </w:r>
            <w:r>
              <w:rPr>
                <w:spacing w:val="-5"/>
                <w:sz w:val="24"/>
              </w:rPr>
              <w:t> </w:t>
            </w:r>
            <w:r>
              <w:rPr>
                <w:sz w:val="24"/>
              </w:rPr>
              <w:t>data</w:t>
            </w:r>
            <w:r>
              <w:rPr>
                <w:spacing w:val="-1"/>
                <w:sz w:val="24"/>
              </w:rPr>
              <w:t> </w:t>
            </w:r>
            <w:r>
              <w:rPr>
                <w:sz w:val="24"/>
              </w:rPr>
              <w:t>and </w:t>
            </w:r>
            <w:r>
              <w:rPr>
                <w:spacing w:val="-2"/>
                <w:sz w:val="24"/>
              </w:rPr>
              <w:t>reporting</w:t>
            </w:r>
          </w:p>
        </w:tc>
        <w:tc>
          <w:tcPr>
            <w:tcW w:w="6251" w:type="dxa"/>
            <w:shd w:val="clear" w:color="auto" w:fill="EEECE1"/>
          </w:tcPr>
          <w:p>
            <w:pPr>
              <w:pStyle w:val="TableParagraph"/>
              <w:spacing w:line="276" w:lineRule="auto"/>
              <w:ind w:left="152"/>
              <w:rPr>
                <w:sz w:val="24"/>
              </w:rPr>
            </w:pPr>
            <w:r>
              <w:rPr>
                <w:sz w:val="24"/>
              </w:rPr>
              <w:t>Saraph</w:t>
            </w:r>
            <w:r>
              <w:rPr>
                <w:spacing w:val="80"/>
                <w:sz w:val="24"/>
              </w:rPr>
              <w:t> </w:t>
            </w:r>
            <w:r>
              <w:rPr>
                <w:i/>
                <w:sz w:val="24"/>
              </w:rPr>
              <w:t>et</w:t>
            </w:r>
            <w:r>
              <w:rPr>
                <w:i/>
                <w:spacing w:val="80"/>
                <w:sz w:val="24"/>
              </w:rPr>
              <w:t> </w:t>
            </w:r>
            <w:r>
              <w:rPr>
                <w:i/>
                <w:sz w:val="24"/>
              </w:rPr>
              <w:t>al</w:t>
            </w:r>
            <w:r>
              <w:rPr>
                <w:sz w:val="24"/>
              </w:rPr>
              <w:t>.</w:t>
            </w:r>
            <w:r>
              <w:rPr>
                <w:spacing w:val="80"/>
                <w:sz w:val="24"/>
              </w:rPr>
              <w:t> </w:t>
            </w:r>
            <w:r>
              <w:rPr>
                <w:sz w:val="24"/>
              </w:rPr>
              <w:t>(1989);</w:t>
            </w:r>
            <w:r>
              <w:rPr>
                <w:spacing w:val="80"/>
                <w:sz w:val="24"/>
              </w:rPr>
              <w:t> </w:t>
            </w:r>
            <w:r>
              <w:rPr>
                <w:sz w:val="24"/>
              </w:rPr>
              <w:t>Kaynak</w:t>
            </w:r>
            <w:r>
              <w:rPr>
                <w:spacing w:val="80"/>
                <w:sz w:val="24"/>
              </w:rPr>
              <w:t> </w:t>
            </w:r>
            <w:r>
              <w:rPr>
                <w:sz w:val="24"/>
              </w:rPr>
              <w:t>(2003);</w:t>
            </w:r>
            <w:r>
              <w:rPr>
                <w:spacing w:val="80"/>
                <w:sz w:val="24"/>
              </w:rPr>
              <w:t> </w:t>
            </w:r>
            <w:r>
              <w:rPr>
                <w:sz w:val="24"/>
              </w:rPr>
              <w:t>Ahire</w:t>
            </w:r>
            <w:r>
              <w:rPr>
                <w:spacing w:val="80"/>
                <w:sz w:val="24"/>
              </w:rPr>
              <w:t> </w:t>
            </w:r>
            <w:r>
              <w:rPr>
                <w:sz w:val="24"/>
              </w:rPr>
              <w:t>and</w:t>
            </w:r>
            <w:r>
              <w:rPr>
                <w:spacing w:val="80"/>
                <w:sz w:val="24"/>
              </w:rPr>
              <w:t> </w:t>
            </w:r>
            <w:r>
              <w:rPr>
                <w:sz w:val="24"/>
              </w:rPr>
              <w:t>Golhar (2006); Flynn </w:t>
            </w:r>
            <w:r>
              <w:rPr>
                <w:i/>
                <w:sz w:val="24"/>
              </w:rPr>
              <w:t>et al</w:t>
            </w:r>
            <w:r>
              <w:rPr>
                <w:sz w:val="24"/>
              </w:rPr>
              <w:t>. (1989); Salaheldin (2009)</w:t>
            </w:r>
          </w:p>
        </w:tc>
      </w:tr>
    </w:tbl>
    <w:p>
      <w:pPr>
        <w:spacing w:before="0"/>
        <w:ind w:left="400" w:right="0" w:firstLine="0"/>
        <w:jc w:val="both"/>
        <w:rPr>
          <w:b/>
          <w:sz w:val="24"/>
        </w:rPr>
      </w:pPr>
      <w:r>
        <w:rPr>
          <w:b/>
          <w:sz w:val="24"/>
        </w:rPr>
        <w:t>Source:</w:t>
      </w:r>
      <w:r>
        <w:rPr>
          <w:b/>
          <w:spacing w:val="-4"/>
          <w:sz w:val="24"/>
        </w:rPr>
        <w:t> </w:t>
      </w:r>
      <w:r>
        <w:rPr>
          <w:b/>
          <w:sz w:val="24"/>
        </w:rPr>
        <w:t>Researcher</w:t>
      </w:r>
      <w:r>
        <w:rPr>
          <w:b/>
          <w:spacing w:val="-3"/>
          <w:sz w:val="24"/>
        </w:rPr>
        <w:t> </w:t>
      </w:r>
      <w:r>
        <w:rPr>
          <w:b/>
          <w:spacing w:val="-2"/>
          <w:sz w:val="24"/>
        </w:rPr>
        <w:t>(2017)</w:t>
      </w:r>
    </w:p>
    <w:p>
      <w:pPr>
        <w:pStyle w:val="BodyText"/>
        <w:spacing w:before="225"/>
        <w:rPr>
          <w:b/>
        </w:rPr>
      </w:pPr>
    </w:p>
    <w:p>
      <w:pPr>
        <w:pStyle w:val="BodyText"/>
        <w:spacing w:line="480" w:lineRule="auto"/>
        <w:ind w:left="399" w:right="1316"/>
        <w:jc w:val="both"/>
      </w:pPr>
      <w:r>
        <w:rPr/>
        <w:t>Although there are many studies in TQM literature, authors such as Idris and Zairi, 2006; Karuppusami and Gandhinathan, 2006; Prajogo and McDermott, 2005; Sila and Ebrahimpour, 2002; Singh and Smith, 2006; Vouzas and Gotzamani, 2005. It is recommend that further</w:t>
      </w:r>
      <w:r>
        <w:rPr>
          <w:spacing w:val="40"/>
        </w:rPr>
        <w:t> </w:t>
      </w:r>
      <w:r>
        <w:rPr/>
        <w:t>concern should be made for the evaluation of critical success factor of TQM, the results of their adoption and the type and extent of their relationships</w:t>
      </w:r>
    </w:p>
    <w:p>
      <w:pPr>
        <w:spacing w:after="0" w:line="480" w:lineRule="auto"/>
        <w:jc w:val="both"/>
        <w:sectPr>
          <w:pgSz w:w="12240" w:h="15840"/>
          <w:pgMar w:header="0" w:footer="1017" w:top="1360" w:bottom="1200" w:left="1040" w:right="120"/>
        </w:sectPr>
      </w:pPr>
    </w:p>
    <w:p>
      <w:pPr>
        <w:pStyle w:val="Heading2"/>
        <w:spacing w:before="79"/>
      </w:pPr>
      <w:r>
        <w:rPr/>
        <w:t>3.6.</w:t>
      </w:r>
      <w:r>
        <w:rPr>
          <w:spacing w:val="55"/>
        </w:rPr>
        <w:t>   </w:t>
      </w:r>
      <w:r>
        <w:rPr/>
        <w:t>Challenges</w:t>
      </w:r>
      <w:r>
        <w:rPr>
          <w:spacing w:val="-1"/>
        </w:rPr>
        <w:t> </w:t>
      </w:r>
      <w:r>
        <w:rPr/>
        <w:t>Faced</w:t>
      </w:r>
      <w:r>
        <w:rPr>
          <w:spacing w:val="-1"/>
        </w:rPr>
        <w:t> </w:t>
      </w:r>
      <w:r>
        <w:rPr/>
        <w:t>by</w:t>
      </w:r>
      <w:r>
        <w:rPr>
          <w:spacing w:val="-1"/>
        </w:rPr>
        <w:t> </w:t>
      </w:r>
      <w:r>
        <w:rPr/>
        <w:t>Small</w:t>
      </w:r>
      <w:r>
        <w:rPr>
          <w:spacing w:val="-2"/>
        </w:rPr>
        <w:t> </w:t>
      </w:r>
      <w:r>
        <w:rPr/>
        <w:t>and</w:t>
      </w:r>
      <w:r>
        <w:rPr>
          <w:spacing w:val="-1"/>
        </w:rPr>
        <w:t> </w:t>
      </w:r>
      <w:r>
        <w:rPr/>
        <w:t>Medium</w:t>
      </w:r>
      <w:r>
        <w:rPr>
          <w:spacing w:val="-5"/>
        </w:rPr>
        <w:t> </w:t>
      </w:r>
      <w:r>
        <w:rPr/>
        <w:t>Construction</w:t>
      </w:r>
      <w:r>
        <w:rPr>
          <w:spacing w:val="2"/>
        </w:rPr>
        <w:t> </w:t>
      </w:r>
      <w:r>
        <w:rPr>
          <w:spacing w:val="-2"/>
        </w:rPr>
        <w:t>Firms</w:t>
      </w:r>
    </w:p>
    <w:p>
      <w:pPr>
        <w:pStyle w:val="BodyText"/>
        <w:spacing w:line="480" w:lineRule="auto" w:before="235"/>
        <w:ind w:left="399" w:right="1315"/>
        <w:jc w:val="both"/>
      </w:pPr>
      <w:r>
        <w:rPr/>
        <w:t>Although SMEs are seen as veritable and viable engines of economic development, the growth and development of SMEs</w:t>
      </w:r>
      <w:r>
        <w:rPr>
          <w:spacing w:val="40"/>
        </w:rPr>
        <w:t> </w:t>
      </w:r>
      <w:r>
        <w:rPr/>
        <w:t>especially SMCF in Nigeria have been slow and in some cases even stunted, due to a number of problems and challenges confronting this all-important sub-sector of the economy. Some of the problems highlighted by Onugu (2005) include difficulties associated with complying with regulatory requirements in the specific areas of operations of the SMEs; problems of undercapitalization and difficulty with access to bank credits; bureaucratic bottlenecks; corruption and lack of transparency arising from government regulation and regulators; as well as government’s lack of interest or focus in addressing the specific factors responsible for the abysmal performance of the sub-sector. On the other hand, Oluboba (2011) blamed the poor performance of the Nigerian small scale enterprises on poor management practices, poor access to funds, low equity participation from stakeholders, poor infrastructural facilities, shortage of skilled manpower, multiplicity of regulating agencies and the over-bearing operating environment, societal and attitudinal problems, little access to markets and lack of access to information.</w:t>
      </w:r>
    </w:p>
    <w:p>
      <w:pPr>
        <w:pStyle w:val="BodyText"/>
        <w:spacing w:line="480" w:lineRule="auto" w:before="200"/>
        <w:ind w:left="399" w:right="1316"/>
        <w:jc w:val="both"/>
      </w:pPr>
      <w:r>
        <w:rPr/>
        <w:t>Various authors have researched into the problems facing small building contractors both in the construction industry and also in the business environment as a whole. Ihua and Siyanbola</w:t>
      </w:r>
      <w:r>
        <w:rPr>
          <w:spacing w:val="40"/>
        </w:rPr>
        <w:t> </w:t>
      </w:r>
      <w:r>
        <w:rPr/>
        <w:t>(2012) in their exploratory investigation of the critical challenges limiting small business performance in Nigeria revealed that five critical challenges hamper the operations of small building contractors in Nigeria, namely: limited access to credit, high cost of doing business, inadequate infrastructure, inconsistent economic policies, and corruption and multiple taxes. Agwu and Emeti (2014) in a similar view on the issues, challenges and prospects of small and Medium</w:t>
      </w:r>
      <w:r>
        <w:rPr>
          <w:spacing w:val="65"/>
        </w:rPr>
        <w:t> </w:t>
      </w:r>
      <w:r>
        <w:rPr/>
        <w:t>Scale</w:t>
      </w:r>
      <w:r>
        <w:rPr>
          <w:spacing w:val="67"/>
        </w:rPr>
        <w:t> </w:t>
      </w:r>
      <w:r>
        <w:rPr/>
        <w:t>Enterprises</w:t>
      </w:r>
      <w:r>
        <w:rPr>
          <w:spacing w:val="67"/>
        </w:rPr>
        <w:t> </w:t>
      </w:r>
      <w:r>
        <w:rPr/>
        <w:t>(SMEs)</w:t>
      </w:r>
      <w:r>
        <w:rPr>
          <w:spacing w:val="66"/>
        </w:rPr>
        <w:t> </w:t>
      </w:r>
      <w:r>
        <w:rPr/>
        <w:t>in</w:t>
      </w:r>
      <w:r>
        <w:rPr>
          <w:spacing w:val="67"/>
        </w:rPr>
        <w:t> </w:t>
      </w:r>
      <w:r>
        <w:rPr/>
        <w:t>Port</w:t>
      </w:r>
      <w:r>
        <w:rPr>
          <w:spacing w:val="65"/>
        </w:rPr>
        <w:t> </w:t>
      </w:r>
      <w:r>
        <w:rPr/>
        <w:t>Harcourt,</w:t>
      </w:r>
      <w:r>
        <w:rPr>
          <w:spacing w:val="67"/>
        </w:rPr>
        <w:t> </w:t>
      </w:r>
      <w:r>
        <w:rPr/>
        <w:t>Nigeria</w:t>
      </w:r>
      <w:r>
        <w:rPr>
          <w:spacing w:val="66"/>
        </w:rPr>
        <w:t> </w:t>
      </w:r>
      <w:r>
        <w:rPr/>
        <w:t>reported</w:t>
      </w:r>
      <w:r>
        <w:rPr>
          <w:spacing w:val="69"/>
        </w:rPr>
        <w:t> </w:t>
      </w:r>
      <w:r>
        <w:rPr/>
        <w:t>that</w:t>
      </w:r>
      <w:r>
        <w:rPr>
          <w:spacing w:val="67"/>
        </w:rPr>
        <w:t> </w:t>
      </w:r>
      <w:r>
        <w:rPr/>
        <w:t>poor</w:t>
      </w:r>
      <w:r>
        <w:rPr>
          <w:spacing w:val="67"/>
        </w:rPr>
        <w:t> </w:t>
      </w:r>
      <w:r>
        <w:rPr>
          <w:spacing w:val="-2"/>
        </w:rPr>
        <w:t>financing,</w:t>
      </w:r>
    </w:p>
    <w:p>
      <w:pPr>
        <w:spacing w:after="0" w:line="480" w:lineRule="auto"/>
        <w:jc w:val="both"/>
        <w:sectPr>
          <w:pgSz w:w="12240" w:h="15840"/>
          <w:pgMar w:header="0" w:footer="1017" w:top="1360" w:bottom="1200" w:left="1040" w:right="120"/>
        </w:sectPr>
      </w:pPr>
    </w:p>
    <w:p>
      <w:pPr>
        <w:pStyle w:val="BodyText"/>
        <w:spacing w:line="482" w:lineRule="auto" w:before="72"/>
        <w:ind w:left="400" w:right="1316"/>
        <w:jc w:val="both"/>
      </w:pPr>
      <w:r>
        <w:rPr/>
        <w:t>inadequate social infrastructures, lack of managerial skills and multiple taxation were major challenges confronting SMEs in Port-Harcourt city.</w:t>
      </w:r>
    </w:p>
    <w:p>
      <w:pPr>
        <w:pStyle w:val="BodyText"/>
        <w:spacing w:line="480" w:lineRule="auto" w:before="193"/>
        <w:ind w:left="400" w:right="1317"/>
        <w:jc w:val="both"/>
      </w:pPr>
      <w:r>
        <w:rPr/>
        <w:t>Fatai (2014) examined the problems and prospects of small building contractors in Nigeria and stated</w:t>
      </w:r>
      <w:r>
        <w:rPr>
          <w:spacing w:val="-2"/>
        </w:rPr>
        <w:t> </w:t>
      </w:r>
      <w:r>
        <w:rPr/>
        <w:t>that</w:t>
      </w:r>
      <w:r>
        <w:rPr>
          <w:spacing w:val="-2"/>
        </w:rPr>
        <w:t> </w:t>
      </w:r>
      <w:r>
        <w:rPr/>
        <w:t>the</w:t>
      </w:r>
      <w:r>
        <w:rPr>
          <w:spacing w:val="-3"/>
        </w:rPr>
        <w:t> </w:t>
      </w:r>
      <w:r>
        <w:rPr/>
        <w:t>challenges facing</w:t>
      </w:r>
      <w:r>
        <w:rPr>
          <w:spacing w:val="-5"/>
        </w:rPr>
        <w:t> </w:t>
      </w:r>
      <w:r>
        <w:rPr/>
        <w:t>small</w:t>
      </w:r>
      <w:r>
        <w:rPr>
          <w:spacing w:val="-2"/>
        </w:rPr>
        <w:t> </w:t>
      </w:r>
      <w:r>
        <w:rPr/>
        <w:t>building</w:t>
      </w:r>
      <w:r>
        <w:rPr>
          <w:spacing w:val="-2"/>
        </w:rPr>
        <w:t> </w:t>
      </w:r>
      <w:r>
        <w:rPr/>
        <w:t>contractors</w:t>
      </w:r>
      <w:r>
        <w:rPr>
          <w:spacing w:val="-2"/>
        </w:rPr>
        <w:t> </w:t>
      </w:r>
      <w:r>
        <w:rPr/>
        <w:t>can</w:t>
      </w:r>
      <w:r>
        <w:rPr>
          <w:spacing w:val="-2"/>
        </w:rPr>
        <w:t> </w:t>
      </w:r>
      <w:r>
        <w:rPr/>
        <w:t>either</w:t>
      </w:r>
      <w:r>
        <w:rPr>
          <w:spacing w:val="-3"/>
        </w:rPr>
        <w:t> </w:t>
      </w:r>
      <w:r>
        <w:rPr/>
        <w:t>be</w:t>
      </w:r>
      <w:r>
        <w:rPr>
          <w:spacing w:val="-3"/>
        </w:rPr>
        <w:t> </w:t>
      </w:r>
      <w:r>
        <w:rPr/>
        <w:t>induced</w:t>
      </w:r>
      <w:r>
        <w:rPr>
          <w:spacing w:val="-3"/>
        </w:rPr>
        <w:t> </w:t>
      </w:r>
      <w:r>
        <w:rPr/>
        <w:t>by</w:t>
      </w:r>
      <w:r>
        <w:rPr>
          <w:spacing w:val="-7"/>
        </w:rPr>
        <w:t> </w:t>
      </w:r>
      <w:r>
        <w:rPr/>
        <w:t>the</w:t>
      </w:r>
      <w:r>
        <w:rPr>
          <w:spacing w:val="-3"/>
        </w:rPr>
        <w:t> </w:t>
      </w:r>
      <w:r>
        <w:rPr/>
        <w:t>operating environment (financial problems, government unfavorable fiscal policy (government policy, globalization</w:t>
      </w:r>
      <w:r>
        <w:rPr>
          <w:spacing w:val="-1"/>
        </w:rPr>
        <w:t> </w:t>
      </w:r>
      <w:r>
        <w:rPr/>
        <w:t>effects,</w:t>
      </w:r>
      <w:r>
        <w:rPr>
          <w:spacing w:val="-1"/>
        </w:rPr>
        <w:t> </w:t>
      </w:r>
      <w:r>
        <w:rPr/>
        <w:t>infrastructural</w:t>
      </w:r>
      <w:r>
        <w:rPr>
          <w:spacing w:val="-1"/>
        </w:rPr>
        <w:t> </w:t>
      </w:r>
      <w:r>
        <w:rPr/>
        <w:t>facilities</w:t>
      </w:r>
      <w:r>
        <w:rPr>
          <w:spacing w:val="-1"/>
        </w:rPr>
        <w:t> </w:t>
      </w:r>
      <w:r>
        <w:rPr/>
        <w:t>financial</w:t>
      </w:r>
      <w:r>
        <w:rPr>
          <w:spacing w:val="-1"/>
        </w:rPr>
        <w:t> </w:t>
      </w:r>
      <w:r>
        <w:rPr/>
        <w:t>institutions</w:t>
      </w:r>
      <w:r>
        <w:rPr>
          <w:spacing w:val="-1"/>
        </w:rPr>
        <w:t> </w:t>
      </w:r>
      <w:r>
        <w:rPr/>
        <w:t>etc)</w:t>
      </w:r>
      <w:r>
        <w:rPr>
          <w:spacing w:val="-2"/>
        </w:rPr>
        <w:t> </w:t>
      </w:r>
      <w:r>
        <w:rPr/>
        <w:t>others</w:t>
      </w:r>
      <w:r>
        <w:rPr>
          <w:spacing w:val="-1"/>
        </w:rPr>
        <w:t> </w:t>
      </w:r>
      <w:r>
        <w:rPr/>
        <w:t>are</w:t>
      </w:r>
      <w:r>
        <w:rPr>
          <w:spacing w:val="-2"/>
        </w:rPr>
        <w:t> </w:t>
      </w:r>
      <w:r>
        <w:rPr/>
        <w:t>functions</w:t>
      </w:r>
      <w:r>
        <w:rPr>
          <w:spacing w:val="-1"/>
        </w:rPr>
        <w:t> </w:t>
      </w:r>
      <w:r>
        <w:rPr/>
        <w:t>of</w:t>
      </w:r>
      <w:r>
        <w:rPr>
          <w:spacing w:val="-2"/>
        </w:rPr>
        <w:t> </w:t>
      </w:r>
      <w:r>
        <w:rPr/>
        <w:t>the nature and character of SMEs themselves (poor management practice, poor accounting</w:t>
      </w:r>
      <w:r>
        <w:rPr>
          <w:spacing w:val="80"/>
        </w:rPr>
        <w:t> </w:t>
      </w:r>
      <w:r>
        <w:rPr/>
        <w:t>standards, shortage of manpower, financial indiscipline and corruption. These authors have covered the problems of SMEs and contractor in the business world in general.</w:t>
      </w:r>
    </w:p>
    <w:p>
      <w:pPr>
        <w:pStyle w:val="BodyText"/>
        <w:spacing w:line="480" w:lineRule="auto" w:before="200"/>
        <w:ind w:left="400" w:right="1315"/>
        <w:jc w:val="both"/>
      </w:pPr>
      <w:r>
        <w:rPr/>
        <w:t>In the construction industry likewise, researches have also be carried out on the problems and challenges of small building contractor both in Nigeria and in the world over. Chilipunde (2010) carried out a questionnaire survey on the constraints and challenges faced by small and medium sized building contractors in Malawi and reported that the operational challenges facing small were lack of finance, training and business skills; limited skills in construction information technology (IT), and prevalence of unethical conduct amongst some of the stakeholders. Nesan (2005) in his work on project finance model for small contractors in USA addressed the</w:t>
      </w:r>
      <w:r>
        <w:rPr>
          <w:spacing w:val="40"/>
        </w:rPr>
        <w:t> </w:t>
      </w:r>
      <w:r>
        <w:rPr/>
        <w:t>problems of small and start up contractors in funding their projects. He concluded that for small building contractors, there are very limited options available from the banks or other lending institutions to cover this large working capital requirement in the absence of sufficient collateral.</w:t>
      </w:r>
    </w:p>
    <w:p>
      <w:pPr>
        <w:pStyle w:val="BodyText"/>
        <w:spacing w:line="480" w:lineRule="auto" w:before="202"/>
        <w:ind w:left="400" w:right="1319"/>
        <w:jc w:val="both"/>
      </w:pPr>
      <w:r>
        <w:rPr/>
        <w:t>Adams (1997) identified he constraint on SMCFs performance in Nigeria as emanating from uncertainties in supplies and prices of materials, obtaining interim payment, procuring work, access</w:t>
      </w:r>
      <w:r>
        <w:rPr>
          <w:spacing w:val="33"/>
        </w:rPr>
        <w:t> </w:t>
      </w:r>
      <w:r>
        <w:rPr/>
        <w:t>to</w:t>
      </w:r>
      <w:r>
        <w:rPr>
          <w:spacing w:val="35"/>
        </w:rPr>
        <w:t> </w:t>
      </w:r>
      <w:r>
        <w:rPr/>
        <w:t>capital,</w:t>
      </w:r>
      <w:r>
        <w:rPr>
          <w:spacing w:val="35"/>
        </w:rPr>
        <w:t> </w:t>
      </w:r>
      <w:r>
        <w:rPr/>
        <w:t>negotiating</w:t>
      </w:r>
      <w:r>
        <w:rPr>
          <w:spacing w:val="32"/>
        </w:rPr>
        <w:t> </w:t>
      </w:r>
      <w:r>
        <w:rPr/>
        <w:t>variation</w:t>
      </w:r>
      <w:r>
        <w:rPr>
          <w:spacing w:val="35"/>
        </w:rPr>
        <w:t> </w:t>
      </w:r>
      <w:r>
        <w:rPr/>
        <w:t>payment,</w:t>
      </w:r>
      <w:r>
        <w:rPr>
          <w:spacing w:val="35"/>
        </w:rPr>
        <w:t> </w:t>
      </w:r>
      <w:r>
        <w:rPr/>
        <w:t>access</w:t>
      </w:r>
      <w:r>
        <w:rPr>
          <w:spacing w:val="35"/>
        </w:rPr>
        <w:t> </w:t>
      </w:r>
      <w:r>
        <w:rPr/>
        <w:t>to</w:t>
      </w:r>
      <w:r>
        <w:rPr>
          <w:spacing w:val="35"/>
        </w:rPr>
        <w:t> </w:t>
      </w:r>
      <w:r>
        <w:rPr/>
        <w:t>plant</w:t>
      </w:r>
      <w:r>
        <w:rPr>
          <w:spacing w:val="37"/>
        </w:rPr>
        <w:t> </w:t>
      </w:r>
      <w:r>
        <w:rPr/>
        <w:t>and</w:t>
      </w:r>
      <w:r>
        <w:rPr>
          <w:spacing w:val="35"/>
        </w:rPr>
        <w:t> </w:t>
      </w:r>
      <w:r>
        <w:rPr/>
        <w:t>equipment,</w:t>
      </w:r>
      <w:r>
        <w:rPr>
          <w:spacing w:val="36"/>
        </w:rPr>
        <w:t> </w:t>
      </w:r>
      <w:r>
        <w:rPr>
          <w:spacing w:val="-2"/>
        </w:rPr>
        <w:t>inappropriate</w:t>
      </w:r>
    </w:p>
    <w:p>
      <w:pPr>
        <w:spacing w:after="0" w:line="480" w:lineRule="auto"/>
        <w:jc w:val="both"/>
        <w:sectPr>
          <w:pgSz w:w="12240" w:h="15840"/>
          <w:pgMar w:header="0" w:footer="1017" w:top="1360" w:bottom="1200" w:left="1040" w:right="120"/>
        </w:sectPr>
      </w:pPr>
    </w:p>
    <w:p>
      <w:pPr>
        <w:pStyle w:val="BodyText"/>
        <w:spacing w:line="480" w:lineRule="auto" w:before="72"/>
        <w:ind w:left="399" w:right="1314"/>
        <w:jc w:val="both"/>
      </w:pPr>
      <w:r>
        <w:rPr/>
        <w:t>contract</w:t>
      </w:r>
      <w:r>
        <w:rPr>
          <w:spacing w:val="-2"/>
        </w:rPr>
        <w:t> </w:t>
      </w:r>
      <w:r>
        <w:rPr/>
        <w:t>conditions,</w:t>
      </w:r>
      <w:r>
        <w:rPr>
          <w:spacing w:val="-4"/>
        </w:rPr>
        <w:t> </w:t>
      </w:r>
      <w:r>
        <w:rPr/>
        <w:t>maintain</w:t>
      </w:r>
      <w:r>
        <w:rPr>
          <w:spacing w:val="-4"/>
        </w:rPr>
        <w:t> </w:t>
      </w:r>
      <w:r>
        <w:rPr/>
        <w:t>plan</w:t>
      </w:r>
      <w:r>
        <w:rPr>
          <w:spacing w:val="-4"/>
        </w:rPr>
        <w:t> </w:t>
      </w:r>
      <w:r>
        <w:rPr/>
        <w:t>and</w:t>
      </w:r>
      <w:r>
        <w:rPr>
          <w:spacing w:val="-4"/>
        </w:rPr>
        <w:t> </w:t>
      </w:r>
      <w:r>
        <w:rPr/>
        <w:t>equipment,</w:t>
      </w:r>
      <w:r>
        <w:rPr>
          <w:spacing w:val="-2"/>
        </w:rPr>
        <w:t> </w:t>
      </w:r>
      <w:r>
        <w:rPr/>
        <w:t>resolving</w:t>
      </w:r>
      <w:r>
        <w:rPr>
          <w:spacing w:val="-4"/>
        </w:rPr>
        <w:t> </w:t>
      </w:r>
      <w:r>
        <w:rPr/>
        <w:t>contract</w:t>
      </w:r>
      <w:r>
        <w:rPr>
          <w:spacing w:val="-4"/>
        </w:rPr>
        <w:t> </w:t>
      </w:r>
      <w:r>
        <w:rPr/>
        <w:t>disputes,</w:t>
      </w:r>
      <w:r>
        <w:rPr>
          <w:spacing w:val="-4"/>
        </w:rPr>
        <w:t> </w:t>
      </w:r>
      <w:r>
        <w:rPr/>
        <w:t>meeting</w:t>
      </w:r>
      <w:r>
        <w:rPr>
          <w:spacing w:val="-7"/>
        </w:rPr>
        <w:t> </w:t>
      </w:r>
      <w:r>
        <w:rPr/>
        <w:t>deadlines, design changes, incomplete contract documents, transporting materials and equipment, materials control in site, providing reliable tenders, communicating with client/representatives, shortages shortage of skilled labor, public image, accounting of financial management inadequate supervision by client project planning and site management, technical know-how, commitment</w:t>
      </w:r>
      <w:r>
        <w:rPr>
          <w:spacing w:val="80"/>
        </w:rPr>
        <w:t> </w:t>
      </w:r>
      <w:r>
        <w:rPr/>
        <w:t>to construction, company organization, personnel management and providing quality </w:t>
      </w:r>
      <w:r>
        <w:rPr>
          <w:spacing w:val="-2"/>
        </w:rPr>
        <w:t>workmanship.</w:t>
      </w:r>
    </w:p>
    <w:p>
      <w:pPr>
        <w:pStyle w:val="BodyText"/>
        <w:spacing w:line="480" w:lineRule="auto" w:before="199"/>
        <w:ind w:left="399" w:right="1315"/>
        <w:jc w:val="both"/>
      </w:pPr>
      <w:r>
        <w:rPr/>
        <w:t>Smith-Jackson </w:t>
      </w:r>
      <w:r>
        <w:rPr>
          <w:i/>
        </w:rPr>
        <w:t>et al</w:t>
      </w:r>
      <w:r>
        <w:rPr/>
        <w:t>. (2014) in their study of safety critical incidents among small building contractors posited that small building contractors tend to inherit the problems that were not resolved in the earlier construction planning stages. They added that the early work done by designers, planners, and larger contractors make it difficult for small contractors to provide</w:t>
      </w:r>
      <w:r>
        <w:rPr>
          <w:spacing w:val="40"/>
        </w:rPr>
        <w:t> </w:t>
      </w:r>
      <w:r>
        <w:rPr/>
        <w:t>inputs to ensure contract obligations are more compatible with their resource constraints and capabilities. Hagstedt and Thideman (2013) carried out a research on the growth challenges for small building contractors in the construction industry in Norway. Two categories of growth challenges were identified; the first one was related to liquidity</w:t>
      </w:r>
      <w:r>
        <w:rPr>
          <w:spacing w:val="-4"/>
        </w:rPr>
        <w:t> </w:t>
      </w:r>
      <w:r>
        <w:rPr/>
        <w:t>while the second one was related to the organization of the company. In summary, the challenges and problems facing small building contractors identified in literature are financial, infrastructural, managerial, technological, human resource, and safety problems etc.</w:t>
      </w:r>
    </w:p>
    <w:p>
      <w:pPr>
        <w:pStyle w:val="Heading2"/>
        <w:numPr>
          <w:ilvl w:val="1"/>
          <w:numId w:val="18"/>
        </w:numPr>
        <w:tabs>
          <w:tab w:pos="1119" w:val="left" w:leader="none"/>
        </w:tabs>
        <w:spacing w:line="240" w:lineRule="auto" w:before="5" w:after="0"/>
        <w:ind w:left="1119" w:right="0" w:hanging="720"/>
        <w:jc w:val="both"/>
      </w:pPr>
      <w:r>
        <w:rPr/>
        <w:t>Strategies</w:t>
      </w:r>
      <w:r>
        <w:rPr>
          <w:spacing w:val="-3"/>
        </w:rPr>
        <w:t> </w:t>
      </w:r>
      <w:r>
        <w:rPr/>
        <w:t>in</w:t>
      </w:r>
      <w:r>
        <w:rPr>
          <w:spacing w:val="-3"/>
        </w:rPr>
        <w:t> </w:t>
      </w:r>
      <w:r>
        <w:rPr/>
        <w:t>Construction</w:t>
      </w:r>
      <w:r>
        <w:rPr>
          <w:spacing w:val="-2"/>
        </w:rPr>
        <w:t> </w:t>
      </w:r>
      <w:r>
        <w:rPr>
          <w:spacing w:val="-4"/>
        </w:rPr>
        <w:t>Firms</w:t>
      </w:r>
    </w:p>
    <w:p>
      <w:pPr>
        <w:pStyle w:val="BodyText"/>
        <w:spacing w:line="480" w:lineRule="auto" w:before="272"/>
        <w:ind w:left="400" w:right="1318"/>
        <w:jc w:val="both"/>
      </w:pPr>
      <w:r>
        <w:rPr/>
        <w:t>Due</w:t>
      </w:r>
      <w:r>
        <w:rPr>
          <w:spacing w:val="40"/>
        </w:rPr>
        <w:t> </w:t>
      </w:r>
      <w:r>
        <w:rPr/>
        <w:t>to</w:t>
      </w:r>
      <w:r>
        <w:rPr>
          <w:spacing w:val="40"/>
        </w:rPr>
        <w:t> </w:t>
      </w:r>
      <w:r>
        <w:rPr/>
        <w:t>the</w:t>
      </w:r>
      <w:r>
        <w:rPr>
          <w:spacing w:val="40"/>
        </w:rPr>
        <w:t> </w:t>
      </w:r>
      <w:r>
        <w:rPr/>
        <w:t>uncertainty</w:t>
      </w:r>
      <w:r>
        <w:rPr>
          <w:spacing w:val="40"/>
        </w:rPr>
        <w:t> </w:t>
      </w:r>
      <w:r>
        <w:rPr/>
        <w:t>and complexity</w:t>
      </w:r>
      <w:r>
        <w:rPr>
          <w:spacing w:val="-2"/>
        </w:rPr>
        <w:t> </w:t>
      </w:r>
      <w:r>
        <w:rPr/>
        <w:t>of the sector, the construction has been considered as a unique industry (Holt,</w:t>
      </w:r>
      <w:r>
        <w:rPr>
          <w:spacing w:val="40"/>
        </w:rPr>
        <w:t> </w:t>
      </w:r>
      <w:r>
        <w:rPr/>
        <w:t>Love</w:t>
      </w:r>
      <w:r>
        <w:rPr>
          <w:spacing w:val="40"/>
        </w:rPr>
        <w:t> </w:t>
      </w:r>
      <w:r>
        <w:rPr/>
        <w:t>and</w:t>
      </w:r>
      <w:r>
        <w:rPr>
          <w:spacing w:val="40"/>
        </w:rPr>
        <w:t> </w:t>
      </w:r>
      <w:r>
        <w:rPr/>
        <w:t>Li,</w:t>
      </w:r>
      <w:r>
        <w:rPr>
          <w:spacing w:val="40"/>
        </w:rPr>
        <w:t> </w:t>
      </w:r>
      <w:r>
        <w:rPr/>
        <w:t>2000;</w:t>
      </w:r>
      <w:r>
        <w:rPr>
          <w:spacing w:val="40"/>
        </w:rPr>
        <w:t> </w:t>
      </w:r>
      <w:r>
        <w:rPr/>
        <w:t>Price,</w:t>
      </w:r>
      <w:r>
        <w:rPr>
          <w:spacing w:val="40"/>
        </w:rPr>
        <w:t> </w:t>
      </w:r>
      <w:r>
        <w:rPr/>
        <w:t>2003;</w:t>
      </w:r>
      <w:r>
        <w:rPr>
          <w:spacing w:val="40"/>
        </w:rPr>
        <w:t> </w:t>
      </w:r>
      <w:r>
        <w:rPr/>
        <w:t>Dansoh,</w:t>
      </w:r>
      <w:r>
        <w:rPr>
          <w:spacing w:val="40"/>
        </w:rPr>
        <w:t> </w:t>
      </w:r>
      <w:r>
        <w:rPr/>
        <w:t>2005).</w:t>
      </w:r>
      <w:r>
        <w:rPr>
          <w:spacing w:val="40"/>
        </w:rPr>
        <w:t> </w:t>
      </w:r>
      <w:r>
        <w:rPr/>
        <w:t>The uniqueness</w:t>
      </w:r>
      <w:r>
        <w:rPr>
          <w:spacing w:val="40"/>
        </w:rPr>
        <w:t> </w:t>
      </w:r>
      <w:r>
        <w:rPr/>
        <w:t>makes the construction industry vulnerable, difficult to manage, and less competitive. However, to</w:t>
      </w:r>
      <w:r>
        <w:rPr>
          <w:spacing w:val="59"/>
        </w:rPr>
        <w:t>  </w:t>
      </w:r>
      <w:r>
        <w:rPr/>
        <w:t>remain</w:t>
      </w:r>
      <w:r>
        <w:rPr>
          <w:spacing w:val="60"/>
        </w:rPr>
        <w:t>  </w:t>
      </w:r>
      <w:r>
        <w:rPr/>
        <w:t>competitive,</w:t>
      </w:r>
      <w:r>
        <w:rPr>
          <w:spacing w:val="61"/>
        </w:rPr>
        <w:t>  </w:t>
      </w:r>
      <w:r>
        <w:rPr/>
        <w:t>an</w:t>
      </w:r>
      <w:r>
        <w:rPr>
          <w:spacing w:val="60"/>
        </w:rPr>
        <w:t>  </w:t>
      </w:r>
      <w:r>
        <w:rPr/>
        <w:t>organisation</w:t>
      </w:r>
      <w:r>
        <w:rPr>
          <w:spacing w:val="61"/>
        </w:rPr>
        <w:t>  </w:t>
      </w:r>
      <w:r>
        <w:rPr/>
        <w:t>must</w:t>
      </w:r>
      <w:r>
        <w:rPr>
          <w:spacing w:val="60"/>
        </w:rPr>
        <w:t>  </w:t>
      </w:r>
      <w:r>
        <w:rPr/>
        <w:t>quickly</w:t>
      </w:r>
      <w:r>
        <w:rPr>
          <w:spacing w:val="59"/>
        </w:rPr>
        <w:t>  </w:t>
      </w:r>
      <w:r>
        <w:rPr/>
        <w:t>recognise</w:t>
      </w:r>
      <w:r>
        <w:rPr>
          <w:spacing w:val="59"/>
        </w:rPr>
        <w:t>  </w:t>
      </w:r>
      <w:r>
        <w:rPr/>
        <w:t>the</w:t>
      </w:r>
      <w:r>
        <w:rPr>
          <w:spacing w:val="61"/>
        </w:rPr>
        <w:t>  </w:t>
      </w:r>
      <w:r>
        <w:rPr/>
        <w:t>changes</w:t>
      </w:r>
      <w:r>
        <w:rPr>
          <w:spacing w:val="61"/>
        </w:rPr>
        <w:t>   </w:t>
      </w:r>
      <w:r>
        <w:rPr>
          <w:spacing w:val="-5"/>
        </w:rPr>
        <w:t>in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environment, be flexible enough to respond to the changes, and understand its own capabilities (Holt</w:t>
      </w:r>
      <w:r>
        <w:rPr>
          <w:spacing w:val="40"/>
        </w:rPr>
        <w:t> </w:t>
      </w:r>
      <w:r>
        <w:rPr/>
        <w:t>et</w:t>
      </w:r>
      <w:r>
        <w:rPr>
          <w:spacing w:val="40"/>
        </w:rPr>
        <w:t> </w:t>
      </w:r>
      <w:r>
        <w:rPr/>
        <w:t>al.,</w:t>
      </w:r>
      <w:r>
        <w:rPr>
          <w:spacing w:val="40"/>
        </w:rPr>
        <w:t> </w:t>
      </w:r>
      <w:r>
        <w:rPr/>
        <w:t>2000).</w:t>
      </w:r>
      <w:r>
        <w:rPr>
          <w:spacing w:val="40"/>
        </w:rPr>
        <w:t> </w:t>
      </w:r>
      <w:r>
        <w:rPr/>
        <w:t>Junnonen (1998) asserts that when dealing with a changing environment, strategy is important to organisations. The changing environment has occurred due to numerous variables that can influence the construction industry.</w:t>
      </w:r>
      <w:r>
        <w:rPr>
          <w:spacing w:val="40"/>
        </w:rPr>
        <w:t> </w:t>
      </w:r>
      <w:r>
        <w:rPr/>
        <w:t>Some of these influenced variables are technology, people or workers, government policies, and sustainability</w:t>
      </w:r>
      <w:r>
        <w:rPr>
          <w:spacing w:val="-1"/>
        </w:rPr>
        <w:t> </w:t>
      </w:r>
      <w:r>
        <w:rPr/>
        <w:t>issues (Lee, 1991; BDW, 2006; Chinowsky</w:t>
      </w:r>
      <w:r>
        <w:rPr>
          <w:spacing w:val="-5"/>
        </w:rPr>
        <w:t> </w:t>
      </w:r>
      <w:r>
        <w:rPr>
          <w:i/>
        </w:rPr>
        <w:t>et al</w:t>
      </w:r>
      <w:r>
        <w:rPr/>
        <w:t>., 2007; KPMG, 2008).</w:t>
      </w:r>
      <w:r>
        <w:rPr>
          <w:spacing w:val="40"/>
        </w:rPr>
        <w:t> </w:t>
      </w:r>
      <w:r>
        <w:rPr/>
        <w:t>However, these</w:t>
      </w:r>
      <w:r>
        <w:rPr>
          <w:spacing w:val="-1"/>
        </w:rPr>
        <w:t> </w:t>
      </w:r>
      <w:r>
        <w:rPr/>
        <w:t>four</w:t>
      </w:r>
      <w:r>
        <w:rPr>
          <w:spacing w:val="-1"/>
        </w:rPr>
        <w:t> </w:t>
      </w:r>
      <w:r>
        <w:rPr/>
        <w:t>(4)</w:t>
      </w:r>
      <w:r>
        <w:rPr>
          <w:spacing w:val="-1"/>
        </w:rPr>
        <w:t> </w:t>
      </w:r>
      <w:r>
        <w:rPr/>
        <w:t>influenced</w:t>
      </w:r>
      <w:r>
        <w:rPr>
          <w:spacing w:val="40"/>
        </w:rPr>
        <w:t> </w:t>
      </w:r>
      <w:r>
        <w:rPr/>
        <w:t>variables</w:t>
      </w:r>
      <w:r>
        <w:rPr>
          <w:spacing w:val="40"/>
        </w:rPr>
        <w:t> </w:t>
      </w:r>
      <w:r>
        <w:rPr/>
        <w:t>can be analysed, reduced, exploited, and addressed using strategic planning concept. Strategic planning should make the organisation becoming more ‘strategic’. That is being able to meet the challenges of a changing environment by stimulating strategic thinking and strategic analysis (Senge, 1990; LaPiana, 2004).</w:t>
      </w:r>
      <w:r>
        <w:rPr>
          <w:spacing w:val="40"/>
        </w:rPr>
        <w:t> </w:t>
      </w:r>
      <w:r>
        <w:rPr/>
        <w:t>For instance, construction organisations need to be vigilant to survive in the future due to the greater pace of technological changes than before.</w:t>
      </w:r>
    </w:p>
    <w:p>
      <w:pPr>
        <w:pStyle w:val="BodyText"/>
        <w:spacing w:line="480" w:lineRule="auto" w:before="159"/>
        <w:ind w:left="399" w:right="1316"/>
        <w:jc w:val="both"/>
      </w:pPr>
      <w:r>
        <w:rPr/>
        <w:t>Strategy is the scope and direction of the organization over the long</w:t>
      </w:r>
      <w:r>
        <w:rPr>
          <w:spacing w:val="40"/>
        </w:rPr>
        <w:t> </w:t>
      </w:r>
      <w:r>
        <w:rPr/>
        <w:t>term</w:t>
      </w:r>
      <w:r>
        <w:rPr>
          <w:spacing w:val="40"/>
        </w:rPr>
        <w:t> </w:t>
      </w:r>
      <w:r>
        <w:rPr/>
        <w:t>which</w:t>
      </w:r>
      <w:r>
        <w:rPr>
          <w:spacing w:val="40"/>
        </w:rPr>
        <w:t> </w:t>
      </w:r>
      <w:r>
        <w:rPr/>
        <w:t>achieves advantage for the organization through its configuration of resources within a changing environment</w:t>
      </w:r>
      <w:r>
        <w:rPr>
          <w:spacing w:val="40"/>
        </w:rPr>
        <w:t> </w:t>
      </w:r>
      <w:r>
        <w:rPr/>
        <w:t>to</w:t>
      </w:r>
      <w:r>
        <w:rPr>
          <w:spacing w:val="40"/>
        </w:rPr>
        <w:t> </w:t>
      </w:r>
      <w:r>
        <w:rPr/>
        <w:t>meet</w:t>
      </w:r>
      <w:r>
        <w:rPr>
          <w:spacing w:val="40"/>
        </w:rPr>
        <w:t> </w:t>
      </w:r>
      <w:r>
        <w:rPr/>
        <w:t>the</w:t>
      </w:r>
      <w:r>
        <w:rPr>
          <w:spacing w:val="40"/>
        </w:rPr>
        <w:t> </w:t>
      </w:r>
      <w:r>
        <w:rPr/>
        <w:t>needs</w:t>
      </w:r>
      <w:r>
        <w:rPr>
          <w:spacing w:val="40"/>
        </w:rPr>
        <w:t> </w:t>
      </w:r>
      <w:r>
        <w:rPr/>
        <w:t>of</w:t>
      </w:r>
      <w:r>
        <w:rPr>
          <w:spacing w:val="40"/>
        </w:rPr>
        <w:t> </w:t>
      </w:r>
      <w:r>
        <w:rPr/>
        <w:t>markets</w:t>
      </w:r>
      <w:r>
        <w:rPr>
          <w:spacing w:val="40"/>
        </w:rPr>
        <w:t> </w:t>
      </w:r>
      <w:r>
        <w:rPr/>
        <w:t>and</w:t>
      </w:r>
      <w:r>
        <w:rPr>
          <w:spacing w:val="40"/>
        </w:rPr>
        <w:t> </w:t>
      </w:r>
      <w:r>
        <w:rPr/>
        <w:t>to</w:t>
      </w:r>
      <w:r>
        <w:rPr>
          <w:spacing w:val="40"/>
        </w:rPr>
        <w:t> </w:t>
      </w:r>
      <w:r>
        <w:rPr/>
        <w:t>fulfil</w:t>
      </w:r>
      <w:r>
        <w:rPr>
          <w:spacing w:val="40"/>
        </w:rPr>
        <w:t> </w:t>
      </w:r>
      <w:r>
        <w:rPr/>
        <w:t>l</w:t>
      </w:r>
      <w:r>
        <w:rPr>
          <w:spacing w:val="-2"/>
        </w:rPr>
        <w:t> </w:t>
      </w:r>
      <w:r>
        <w:rPr/>
        <w:t>stakeholder</w:t>
      </w:r>
      <w:r>
        <w:rPr>
          <w:spacing w:val="-3"/>
        </w:rPr>
        <w:t> </w:t>
      </w:r>
      <w:r>
        <w:rPr/>
        <w:t>expectations.</w:t>
      </w:r>
      <w:r>
        <w:rPr>
          <w:spacing w:val="-2"/>
        </w:rPr>
        <w:t> </w:t>
      </w:r>
      <w:r>
        <w:rPr/>
        <w:t>(Johnson</w:t>
      </w:r>
      <w:r>
        <w:rPr>
          <w:spacing w:val="40"/>
        </w:rPr>
        <w:t> </w:t>
      </w:r>
      <w:r>
        <w:rPr/>
        <w:t>&amp;</w:t>
      </w:r>
      <w:r>
        <w:rPr>
          <w:spacing w:val="-4"/>
        </w:rPr>
        <w:t> </w:t>
      </w:r>
      <w:r>
        <w:rPr/>
        <w:t>Scholes,</w:t>
      </w:r>
      <w:r>
        <w:rPr>
          <w:spacing w:val="-2"/>
        </w:rPr>
        <w:t> </w:t>
      </w:r>
      <w:r>
        <w:rPr/>
        <w:t>2002). It</w:t>
      </w:r>
      <w:r>
        <w:rPr>
          <w:spacing w:val="-2"/>
        </w:rPr>
        <w:t> </w:t>
      </w:r>
      <w:r>
        <w:rPr/>
        <w:t>is</w:t>
      </w:r>
      <w:r>
        <w:rPr>
          <w:spacing w:val="-2"/>
        </w:rPr>
        <w:t> </w:t>
      </w:r>
      <w:r>
        <w:rPr/>
        <w:t>frequently</w:t>
      </w:r>
      <w:r>
        <w:rPr>
          <w:spacing w:val="-7"/>
        </w:rPr>
        <w:t> </w:t>
      </w:r>
      <w:r>
        <w:rPr/>
        <w:t>described</w:t>
      </w:r>
      <w:r>
        <w:rPr>
          <w:spacing w:val="-2"/>
        </w:rPr>
        <w:t> </w:t>
      </w:r>
      <w:r>
        <w:rPr/>
        <w:t>as</w:t>
      </w:r>
      <w:r>
        <w:rPr>
          <w:spacing w:val="-2"/>
        </w:rPr>
        <w:t> </w:t>
      </w:r>
      <w:r>
        <w:rPr/>
        <w:t>a</w:t>
      </w:r>
      <w:r>
        <w:rPr>
          <w:spacing w:val="-1"/>
        </w:rPr>
        <w:t> </w:t>
      </w:r>
      <w:r>
        <w:rPr/>
        <w:t>deliberate</w:t>
      </w:r>
      <w:r>
        <w:rPr>
          <w:spacing w:val="-3"/>
        </w:rPr>
        <w:t> </w:t>
      </w:r>
      <w:r>
        <w:rPr/>
        <w:t>set</w:t>
      </w:r>
      <w:r>
        <w:rPr>
          <w:spacing w:val="-2"/>
        </w:rPr>
        <w:t> </w:t>
      </w:r>
      <w:r>
        <w:rPr/>
        <w:t>of</w:t>
      </w:r>
      <w:r>
        <w:rPr>
          <w:spacing w:val="-3"/>
        </w:rPr>
        <w:t> </w:t>
      </w:r>
      <w:r>
        <w:rPr/>
        <w:t>actions</w:t>
      </w:r>
      <w:r>
        <w:rPr>
          <w:spacing w:val="40"/>
        </w:rPr>
        <w:t> </w:t>
      </w:r>
      <w:r>
        <w:rPr/>
        <w:t>to</w:t>
      </w:r>
      <w:r>
        <w:rPr>
          <w:spacing w:val="40"/>
        </w:rPr>
        <w:t> </w:t>
      </w:r>
      <w:r>
        <w:rPr/>
        <w:t>achieve</w:t>
      </w:r>
      <w:r>
        <w:rPr>
          <w:spacing w:val="40"/>
        </w:rPr>
        <w:t> </w:t>
      </w:r>
      <w:r>
        <w:rPr/>
        <w:t>competitive advantage,</w:t>
      </w:r>
      <w:r>
        <w:rPr>
          <w:spacing w:val="40"/>
        </w:rPr>
        <w:t> </w:t>
      </w:r>
      <w:r>
        <w:rPr/>
        <w:t>giving</w:t>
      </w:r>
      <w:r>
        <w:rPr>
          <w:spacing w:val="40"/>
        </w:rPr>
        <w:t> </w:t>
      </w:r>
      <w:r>
        <w:rPr/>
        <w:t>coherence</w:t>
      </w:r>
      <w:r>
        <w:rPr>
          <w:spacing w:val="40"/>
        </w:rPr>
        <w:t> </w:t>
      </w:r>
      <w:r>
        <w:rPr/>
        <w:t>and</w:t>
      </w:r>
      <w:r>
        <w:rPr>
          <w:spacing w:val="40"/>
        </w:rPr>
        <w:t> </w:t>
      </w:r>
      <w:r>
        <w:rPr/>
        <w:t>direction</w:t>
      </w:r>
      <w:r>
        <w:rPr>
          <w:spacing w:val="40"/>
        </w:rPr>
        <w:t> </w:t>
      </w:r>
      <w:r>
        <w:rPr/>
        <w:t>to</w:t>
      </w:r>
      <w:r>
        <w:rPr>
          <w:spacing w:val="40"/>
        </w:rPr>
        <w:t> </w:t>
      </w:r>
      <w:r>
        <w:rPr/>
        <w:t>the organization</w:t>
      </w:r>
      <w:r>
        <w:rPr>
          <w:spacing w:val="40"/>
        </w:rPr>
        <w:t> </w:t>
      </w:r>
      <w:r>
        <w:rPr/>
        <w:t>(O‟Regan and Ghobadian, 2005).</w:t>
      </w:r>
      <w:r>
        <w:rPr>
          <w:spacing w:val="40"/>
        </w:rPr>
        <w:t> </w:t>
      </w:r>
      <w:r>
        <w:rPr/>
        <w:t>Commonly, the strategy formation tends to be an analytical process for setting visions, missions, goals and action plans, separate from implementation (Johnson </w:t>
      </w:r>
      <w:r>
        <w:rPr>
          <w:i/>
        </w:rPr>
        <w:t>et al</w:t>
      </w:r>
      <w:r>
        <w:rPr/>
        <w:t>., 2011).</w:t>
      </w:r>
    </w:p>
    <w:p>
      <w:pPr>
        <w:pStyle w:val="BodyText"/>
        <w:spacing w:line="480" w:lineRule="auto" w:before="161"/>
        <w:ind w:left="399" w:right="1318"/>
        <w:jc w:val="both"/>
      </w:pPr>
      <w:r>
        <w:rPr/>
        <w:t>Strategy analysis is an approach to facilitating, researching, analysing, and mapping an organization's abilities to achieve a future envisioned state based on present reality and often</w:t>
      </w:r>
      <w:r>
        <w:rPr>
          <w:spacing w:val="40"/>
        </w:rPr>
        <w:t> </w:t>
      </w:r>
      <w:r>
        <w:rPr/>
        <w:t>with consideration of the organization's processes, technologies, business development and people's capabilities. It is process of conducting research on the business environment wherein</w:t>
      </w:r>
      <w:r>
        <w:rPr>
          <w:spacing w:val="80"/>
        </w:rPr>
        <w:t> </w:t>
      </w:r>
      <w:r>
        <w:rPr/>
        <w:t>an</w:t>
      </w:r>
      <w:r>
        <w:rPr>
          <w:spacing w:val="15"/>
        </w:rPr>
        <w:t> </w:t>
      </w:r>
      <w:r>
        <w:rPr/>
        <w:t>organization</w:t>
      </w:r>
      <w:r>
        <w:rPr>
          <w:spacing w:val="18"/>
        </w:rPr>
        <w:t> </w:t>
      </w:r>
      <w:r>
        <w:rPr/>
        <w:t>operates</w:t>
      </w:r>
      <w:r>
        <w:rPr>
          <w:spacing w:val="17"/>
        </w:rPr>
        <w:t> </w:t>
      </w:r>
      <w:r>
        <w:rPr/>
        <w:t>and</w:t>
      </w:r>
      <w:r>
        <w:rPr>
          <w:spacing w:val="18"/>
        </w:rPr>
        <w:t> </w:t>
      </w:r>
      <w:r>
        <w:rPr/>
        <w:t>on</w:t>
      </w:r>
      <w:r>
        <w:rPr>
          <w:spacing w:val="17"/>
        </w:rPr>
        <w:t> </w:t>
      </w:r>
      <w:r>
        <w:rPr/>
        <w:t>the</w:t>
      </w:r>
      <w:r>
        <w:rPr>
          <w:spacing w:val="17"/>
        </w:rPr>
        <w:t> </w:t>
      </w:r>
      <w:r>
        <w:rPr/>
        <w:t>organization</w:t>
      </w:r>
      <w:r>
        <w:rPr>
          <w:spacing w:val="17"/>
        </w:rPr>
        <w:t> </w:t>
      </w:r>
      <w:r>
        <w:rPr/>
        <w:t>itself,</w:t>
      </w:r>
      <w:r>
        <w:rPr>
          <w:spacing w:val="18"/>
        </w:rPr>
        <w:t> </w:t>
      </w:r>
      <w:r>
        <w:rPr/>
        <w:t>in</w:t>
      </w:r>
      <w:r>
        <w:rPr>
          <w:spacing w:val="17"/>
        </w:rPr>
        <w:t> </w:t>
      </w:r>
      <w:r>
        <w:rPr/>
        <w:t>order</w:t>
      </w:r>
      <w:r>
        <w:rPr>
          <w:spacing w:val="17"/>
        </w:rPr>
        <w:t> </w:t>
      </w:r>
      <w:r>
        <w:rPr/>
        <w:t>to</w:t>
      </w:r>
      <w:r>
        <w:rPr>
          <w:spacing w:val="17"/>
        </w:rPr>
        <w:t> </w:t>
      </w:r>
      <w:r>
        <w:rPr/>
        <w:t>formulate</w:t>
      </w:r>
      <w:r>
        <w:rPr>
          <w:spacing w:val="17"/>
        </w:rPr>
        <w:t> </w:t>
      </w:r>
      <w:r>
        <w:rPr/>
        <w:t>strategy.</w:t>
      </w:r>
      <w:r>
        <w:rPr>
          <w:spacing w:val="18"/>
        </w:rPr>
        <w:t> </w:t>
      </w:r>
      <w:r>
        <w:rPr>
          <w:spacing w:val="-2"/>
        </w:rPr>
        <w:t>Strategic</w:t>
      </w:r>
    </w:p>
    <w:p>
      <w:pPr>
        <w:spacing w:after="0" w:line="480" w:lineRule="auto"/>
        <w:jc w:val="both"/>
        <w:sectPr>
          <w:pgSz w:w="12240" w:h="15840"/>
          <w:pgMar w:header="0" w:footer="1017" w:top="1360" w:bottom="1200" w:left="1040" w:right="120"/>
        </w:sectPr>
      </w:pPr>
    </w:p>
    <w:p>
      <w:pPr>
        <w:pStyle w:val="BodyText"/>
        <w:spacing w:line="480" w:lineRule="auto" w:before="72"/>
        <w:ind w:left="399" w:right="1318"/>
        <w:jc w:val="both"/>
      </w:pPr>
      <w:r>
        <w:rPr/>
        <w:t>analysis is the use of tools such as SWOT analysis, PEST analysis, value chain analysis and</w:t>
      </w:r>
      <w:r>
        <w:rPr>
          <w:spacing w:val="40"/>
        </w:rPr>
        <w:t> </w:t>
      </w:r>
      <w:r>
        <w:rPr/>
        <w:t>other methods with an aim of determining the best way an organization can reach the desired goals and objectives using the available resources. Measuring the effectiveness of the use of</w:t>
      </w:r>
      <w:r>
        <w:rPr>
          <w:spacing w:val="40"/>
        </w:rPr>
        <w:t> </w:t>
      </w:r>
      <w:r>
        <w:rPr/>
        <w:t>these resources is possible using the presented analytical production function. Examples of analytical methods used in strategic analysis include: SWOT analysis; PEST analysis; Porter’s five forces analysis; four corner’s analysis; value chain analysis; early warning scans; war gaming (Downey, 2012).</w:t>
      </w:r>
    </w:p>
    <w:p>
      <w:pPr>
        <w:pStyle w:val="Heading2"/>
        <w:numPr>
          <w:ilvl w:val="1"/>
          <w:numId w:val="18"/>
        </w:numPr>
        <w:tabs>
          <w:tab w:pos="1120" w:val="left" w:leader="none"/>
        </w:tabs>
        <w:spacing w:line="240" w:lineRule="auto" w:before="142" w:after="0"/>
        <w:ind w:left="1120" w:right="0" w:hanging="720"/>
        <w:jc w:val="both"/>
      </w:pPr>
      <w:r>
        <w:rPr/>
        <w:t>Methods</w:t>
      </w:r>
      <w:r>
        <w:rPr>
          <w:spacing w:val="-3"/>
        </w:rPr>
        <w:t> </w:t>
      </w:r>
      <w:r>
        <w:rPr/>
        <w:t>of</w:t>
      </w:r>
      <w:r>
        <w:rPr>
          <w:spacing w:val="-1"/>
        </w:rPr>
        <w:t> </w:t>
      </w:r>
      <w:r>
        <w:rPr/>
        <w:t>Analysing</w:t>
      </w:r>
      <w:r>
        <w:rPr>
          <w:spacing w:val="-4"/>
        </w:rPr>
        <w:t> </w:t>
      </w:r>
      <w:r>
        <w:rPr/>
        <w:t>Strategic</w:t>
      </w:r>
      <w:r>
        <w:rPr>
          <w:spacing w:val="-3"/>
        </w:rPr>
        <w:t> </w:t>
      </w:r>
      <w:r>
        <w:rPr>
          <w:spacing w:val="-2"/>
        </w:rPr>
        <w:t>Environment</w:t>
      </w:r>
    </w:p>
    <w:p>
      <w:pPr>
        <w:pStyle w:val="BodyText"/>
        <w:spacing w:line="480" w:lineRule="auto" w:before="271"/>
        <w:ind w:left="400" w:right="1315"/>
        <w:jc w:val="both"/>
      </w:pPr>
      <w:r>
        <w:rPr/>
        <w:t>The Construction environment can be broadly classified into external and internal environment. According to Kotler and Armstrong (2012), marketing environment consists of actors and forces which</w:t>
      </w:r>
      <w:r>
        <w:rPr>
          <w:spacing w:val="40"/>
        </w:rPr>
        <w:t> </w:t>
      </w:r>
      <w:r>
        <w:rPr/>
        <w:t>affect</w:t>
      </w:r>
      <w:r>
        <w:rPr>
          <w:spacing w:val="40"/>
        </w:rPr>
        <w:t> </w:t>
      </w:r>
      <w:r>
        <w:rPr/>
        <w:t>marketing</w:t>
      </w:r>
      <w:r>
        <w:rPr>
          <w:spacing w:val="40"/>
        </w:rPr>
        <w:t> </w:t>
      </w:r>
      <w:r>
        <w:rPr/>
        <w:t>management’s</w:t>
      </w:r>
      <w:r>
        <w:rPr>
          <w:spacing w:val="40"/>
        </w:rPr>
        <w:t> </w:t>
      </w:r>
      <w:r>
        <w:rPr/>
        <w:t>capability</w:t>
      </w:r>
      <w:r>
        <w:rPr>
          <w:spacing w:val="40"/>
        </w:rPr>
        <w:t> </w:t>
      </w:r>
      <w:r>
        <w:rPr/>
        <w:t>to</w:t>
      </w:r>
      <w:r>
        <w:rPr>
          <w:spacing w:val="40"/>
        </w:rPr>
        <w:t> </w:t>
      </w:r>
      <w:r>
        <w:rPr/>
        <w:t>operate</w:t>
      </w:r>
      <w:r>
        <w:rPr>
          <w:spacing w:val="40"/>
        </w:rPr>
        <w:t> </w:t>
      </w:r>
      <w:r>
        <w:rPr/>
        <w:t>successfully</w:t>
      </w:r>
      <w:r>
        <w:rPr>
          <w:spacing w:val="40"/>
        </w:rPr>
        <w:t> </w:t>
      </w:r>
      <w:r>
        <w:rPr/>
        <w:t>in</w:t>
      </w:r>
      <w:r>
        <w:rPr>
          <w:spacing w:val="40"/>
        </w:rPr>
        <w:t> </w:t>
      </w:r>
      <w:r>
        <w:rPr/>
        <w:t>providing</w:t>
      </w:r>
      <w:r>
        <w:rPr>
          <w:spacing w:val="80"/>
        </w:rPr>
        <w:t> </w:t>
      </w:r>
      <w:r>
        <w:rPr/>
        <w:t>product and services to key clients. Blythe (2005) similarly classifies environmental factors into two areas: the external environment and the internal environment meaning factors happening outside the organisation and within it.</w:t>
      </w:r>
    </w:p>
    <w:p>
      <w:pPr>
        <w:pStyle w:val="BodyText"/>
        <w:spacing w:line="480" w:lineRule="auto" w:before="161"/>
        <w:ind w:left="400" w:right="1318"/>
        <w:jc w:val="both"/>
      </w:pPr>
      <w:r>
        <w:rPr/>
        <w:t>The</w:t>
      </w:r>
      <w:r>
        <w:rPr>
          <w:spacing w:val="80"/>
        </w:rPr>
        <w:t> </w:t>
      </w:r>
      <w:r>
        <w:rPr/>
        <w:t>external</w:t>
      </w:r>
      <w:r>
        <w:rPr>
          <w:spacing w:val="80"/>
        </w:rPr>
        <w:t> </w:t>
      </w:r>
      <w:r>
        <w:rPr/>
        <w:t>environment</w:t>
      </w:r>
      <w:r>
        <w:rPr>
          <w:spacing w:val="80"/>
        </w:rPr>
        <w:t> </w:t>
      </w:r>
      <w:r>
        <w:rPr/>
        <w:t>of</w:t>
      </w:r>
      <w:r>
        <w:rPr>
          <w:spacing w:val="80"/>
        </w:rPr>
        <w:t> </w:t>
      </w:r>
      <w:r>
        <w:rPr/>
        <w:t>an</w:t>
      </w:r>
      <w:r>
        <w:rPr>
          <w:spacing w:val="80"/>
        </w:rPr>
        <w:t> </w:t>
      </w:r>
      <w:r>
        <w:rPr/>
        <w:t>organization</w:t>
      </w:r>
      <w:r>
        <w:rPr>
          <w:spacing w:val="80"/>
        </w:rPr>
        <w:t> </w:t>
      </w:r>
      <w:r>
        <w:rPr/>
        <w:t>exists</w:t>
      </w:r>
      <w:r>
        <w:rPr>
          <w:spacing w:val="80"/>
        </w:rPr>
        <w:t> </w:t>
      </w:r>
      <w:r>
        <w:rPr/>
        <w:t>of</w:t>
      </w:r>
      <w:r>
        <w:rPr>
          <w:spacing w:val="80"/>
        </w:rPr>
        <w:t> </w:t>
      </w:r>
      <w:r>
        <w:rPr/>
        <w:t>the</w:t>
      </w:r>
      <w:r>
        <w:rPr>
          <w:spacing w:val="80"/>
        </w:rPr>
        <w:t> </w:t>
      </w:r>
      <w:r>
        <w:rPr/>
        <w:t>general</w:t>
      </w:r>
      <w:r>
        <w:rPr>
          <w:spacing w:val="80"/>
        </w:rPr>
        <w:t> </w:t>
      </w:r>
      <w:r>
        <w:rPr/>
        <w:t>environment</w:t>
      </w:r>
      <w:r>
        <w:rPr>
          <w:spacing w:val="80"/>
        </w:rPr>
        <w:t> </w:t>
      </w:r>
      <w:r>
        <w:rPr/>
        <w:t>and</w:t>
      </w:r>
      <w:r>
        <w:rPr>
          <w:spacing w:val="80"/>
        </w:rPr>
        <w:t> </w:t>
      </w:r>
      <w:r>
        <w:rPr/>
        <w:t>the task</w:t>
      </w:r>
      <w:r>
        <w:rPr>
          <w:spacing w:val="80"/>
        </w:rPr>
        <w:t> </w:t>
      </w:r>
      <w:r>
        <w:rPr/>
        <w:t>environment.</w:t>
      </w:r>
      <w:r>
        <w:rPr>
          <w:spacing w:val="80"/>
        </w:rPr>
        <w:t> </w:t>
      </w:r>
      <w:r>
        <w:rPr/>
        <w:t>While the internal</w:t>
      </w:r>
      <w:r>
        <w:rPr>
          <w:spacing w:val="80"/>
        </w:rPr>
        <w:t> </w:t>
      </w:r>
      <w:r>
        <w:rPr/>
        <w:t>environment</w:t>
      </w:r>
      <w:r>
        <w:rPr>
          <w:spacing w:val="80"/>
        </w:rPr>
        <w:t> </w:t>
      </w:r>
      <w:r>
        <w:rPr/>
        <w:t>of</w:t>
      </w:r>
      <w:r>
        <w:rPr>
          <w:spacing w:val="80"/>
        </w:rPr>
        <w:t> </w:t>
      </w:r>
      <w:r>
        <w:rPr/>
        <w:t>a</w:t>
      </w:r>
      <w:r>
        <w:rPr>
          <w:spacing w:val="80"/>
        </w:rPr>
        <w:t> </w:t>
      </w:r>
      <w:r>
        <w:rPr/>
        <w:t>company</w:t>
      </w:r>
      <w:r>
        <w:rPr>
          <w:spacing w:val="40"/>
        </w:rPr>
        <w:t> </w:t>
      </w:r>
      <w:r>
        <w:rPr/>
        <w:t>includes</w:t>
      </w:r>
      <w:r>
        <w:rPr>
          <w:spacing w:val="80"/>
        </w:rPr>
        <w:t> </w:t>
      </w:r>
      <w:r>
        <w:rPr/>
        <w:t>the</w:t>
      </w:r>
      <w:r>
        <w:rPr>
          <w:spacing w:val="80"/>
        </w:rPr>
        <w:t> </w:t>
      </w:r>
      <w:r>
        <w:rPr/>
        <w:t>elements within an organization its boundaries (Daft, 2003). We can think of the organization, the</w:t>
      </w:r>
      <w:r>
        <w:rPr>
          <w:spacing w:val="40"/>
        </w:rPr>
        <w:t> </w:t>
      </w:r>
      <w:r>
        <w:rPr/>
        <w:t>products</w:t>
      </w:r>
      <w:r>
        <w:rPr>
          <w:spacing w:val="40"/>
        </w:rPr>
        <w:t> </w:t>
      </w:r>
      <w:r>
        <w:rPr/>
        <w:t>of</w:t>
      </w:r>
      <w:r>
        <w:rPr>
          <w:spacing w:val="40"/>
        </w:rPr>
        <w:t> </w:t>
      </w:r>
      <w:r>
        <w:rPr/>
        <w:t>an organization and the competitive strategy which an organization uses.</w:t>
      </w:r>
    </w:p>
    <w:p>
      <w:pPr>
        <w:pStyle w:val="BodyText"/>
        <w:spacing w:line="480" w:lineRule="auto" w:before="158"/>
        <w:ind w:left="400" w:right="1317"/>
        <w:jc w:val="both"/>
      </w:pPr>
      <w:r>
        <w:rPr/>
        <w:t>Use of strategy tools is recommended, they can help to allocate the current position, to see possibilities, identify threats and help with making better choices. Managers</w:t>
      </w:r>
      <w:r>
        <w:rPr>
          <w:spacing w:val="40"/>
        </w:rPr>
        <w:t> </w:t>
      </w:r>
      <w:r>
        <w:rPr/>
        <w:t>can</w:t>
      </w:r>
      <w:r>
        <w:rPr>
          <w:spacing w:val="40"/>
        </w:rPr>
        <w:t> </w:t>
      </w:r>
      <w:r>
        <w:rPr/>
        <w:t>use</w:t>
      </w:r>
      <w:r>
        <w:rPr>
          <w:spacing w:val="40"/>
        </w:rPr>
        <w:t> </w:t>
      </w:r>
      <w:r>
        <w:rPr/>
        <w:t>different analytical</w:t>
      </w:r>
      <w:r>
        <w:rPr>
          <w:spacing w:val="40"/>
        </w:rPr>
        <w:t> </w:t>
      </w:r>
      <w:r>
        <w:rPr/>
        <w:t>tools</w:t>
      </w:r>
      <w:r>
        <w:rPr>
          <w:spacing w:val="40"/>
        </w:rPr>
        <w:t> </w:t>
      </w:r>
      <w:r>
        <w:rPr/>
        <w:t>to</w:t>
      </w:r>
      <w:r>
        <w:rPr>
          <w:spacing w:val="40"/>
        </w:rPr>
        <w:t> </w:t>
      </w:r>
      <w:r>
        <w:rPr/>
        <w:t>understand</w:t>
      </w:r>
      <w:r>
        <w:rPr>
          <w:spacing w:val="40"/>
        </w:rPr>
        <w:t> </w:t>
      </w:r>
      <w:r>
        <w:rPr/>
        <w:t>the</w:t>
      </w:r>
      <w:r>
        <w:rPr>
          <w:spacing w:val="40"/>
        </w:rPr>
        <w:t> </w:t>
      </w:r>
      <w:r>
        <w:rPr/>
        <w:t>firm's</w:t>
      </w:r>
      <w:r>
        <w:rPr>
          <w:spacing w:val="40"/>
        </w:rPr>
        <w:t> </w:t>
      </w:r>
      <w:r>
        <w:rPr/>
        <w:t>own</w:t>
      </w:r>
      <w:r>
        <w:rPr>
          <w:spacing w:val="40"/>
        </w:rPr>
        <w:t> </w:t>
      </w:r>
      <w:r>
        <w:rPr/>
        <w:t>capabilities, customers,</w:t>
      </w:r>
      <w:r>
        <w:rPr>
          <w:spacing w:val="40"/>
        </w:rPr>
        <w:t> </w:t>
      </w:r>
      <w:r>
        <w:rPr/>
        <w:t>and</w:t>
      </w:r>
      <w:r>
        <w:rPr>
          <w:spacing w:val="40"/>
        </w:rPr>
        <w:t> </w:t>
      </w:r>
      <w:r>
        <w:rPr/>
        <w:t>business environment.</w:t>
      </w:r>
      <w:r>
        <w:rPr>
          <w:spacing w:val="40"/>
        </w:rPr>
        <w:t> </w:t>
      </w:r>
      <w:r>
        <w:rPr/>
        <w:t>Afterwards, based on achieved results, strategy recommendations could be developed.</w:t>
      </w:r>
      <w:r>
        <w:rPr>
          <w:spacing w:val="9"/>
        </w:rPr>
        <w:t> </w:t>
      </w:r>
      <w:r>
        <w:rPr/>
        <w:t>There</w:t>
      </w:r>
      <w:r>
        <w:rPr>
          <w:spacing w:val="10"/>
        </w:rPr>
        <w:t> </w:t>
      </w:r>
      <w:r>
        <w:rPr/>
        <w:t>are</w:t>
      </w:r>
      <w:r>
        <w:rPr>
          <w:spacing w:val="10"/>
        </w:rPr>
        <w:t> </w:t>
      </w:r>
      <w:r>
        <w:rPr/>
        <w:t>various</w:t>
      </w:r>
      <w:r>
        <w:rPr>
          <w:spacing w:val="11"/>
        </w:rPr>
        <w:t> </w:t>
      </w:r>
      <w:r>
        <w:rPr/>
        <w:t>existing</w:t>
      </w:r>
      <w:r>
        <w:rPr>
          <w:spacing w:val="8"/>
        </w:rPr>
        <w:t> </w:t>
      </w:r>
      <w:r>
        <w:rPr/>
        <w:t>methods</w:t>
      </w:r>
      <w:r>
        <w:rPr>
          <w:spacing w:val="11"/>
        </w:rPr>
        <w:t> </w:t>
      </w:r>
      <w:r>
        <w:rPr/>
        <w:t>of</w:t>
      </w:r>
      <w:r>
        <w:rPr>
          <w:spacing w:val="10"/>
        </w:rPr>
        <w:t> </w:t>
      </w:r>
      <w:r>
        <w:rPr/>
        <w:t>strategic</w:t>
      </w:r>
      <w:r>
        <w:rPr>
          <w:spacing w:val="10"/>
        </w:rPr>
        <w:t> </w:t>
      </w:r>
      <w:r>
        <w:rPr/>
        <w:t>analysis,</w:t>
      </w:r>
      <w:r>
        <w:rPr>
          <w:spacing w:val="11"/>
        </w:rPr>
        <w:t> </w:t>
      </w:r>
      <w:r>
        <w:rPr/>
        <w:t>and</w:t>
      </w:r>
      <w:r>
        <w:rPr>
          <w:spacing w:val="11"/>
        </w:rPr>
        <w:t> </w:t>
      </w:r>
      <w:r>
        <w:rPr/>
        <w:t>each</w:t>
      </w:r>
      <w:r>
        <w:rPr>
          <w:spacing w:val="11"/>
        </w:rPr>
        <w:t> </w:t>
      </w:r>
      <w:r>
        <w:rPr/>
        <w:t>can</w:t>
      </w:r>
      <w:r>
        <w:rPr>
          <w:spacing w:val="11"/>
        </w:rPr>
        <w:t> </w:t>
      </w:r>
      <w:r>
        <w:rPr/>
        <w:t>be</w:t>
      </w:r>
      <w:r>
        <w:rPr>
          <w:spacing w:val="10"/>
        </w:rPr>
        <w:t> </w:t>
      </w:r>
      <w:r>
        <w:rPr/>
        <w:t>used</w:t>
      </w:r>
      <w:r>
        <w:rPr>
          <w:spacing w:val="11"/>
        </w:rPr>
        <w:t> </w:t>
      </w:r>
      <w:r>
        <w:rPr>
          <w:spacing w:val="-2"/>
        </w:rPr>
        <w:t>based</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pPr>
      <w:r>
        <w:rPr/>
        <w:t>on</w:t>
      </w:r>
      <w:r>
        <w:rPr>
          <w:spacing w:val="25"/>
        </w:rPr>
        <w:t> </w:t>
      </w:r>
      <w:r>
        <w:rPr/>
        <w:t>whether</w:t>
      </w:r>
      <w:r>
        <w:rPr>
          <w:spacing w:val="25"/>
        </w:rPr>
        <w:t> </w:t>
      </w:r>
      <w:r>
        <w:rPr/>
        <w:t>it</w:t>
      </w:r>
      <w:r>
        <w:rPr>
          <w:spacing w:val="26"/>
        </w:rPr>
        <w:t> </w:t>
      </w:r>
      <w:r>
        <w:rPr/>
        <w:t>is</w:t>
      </w:r>
      <w:r>
        <w:rPr>
          <w:spacing w:val="26"/>
        </w:rPr>
        <w:t> </w:t>
      </w:r>
      <w:r>
        <w:rPr/>
        <w:t>external</w:t>
      </w:r>
      <w:r>
        <w:rPr>
          <w:spacing w:val="28"/>
        </w:rPr>
        <w:t> </w:t>
      </w:r>
      <w:r>
        <w:rPr/>
        <w:t>or</w:t>
      </w:r>
      <w:r>
        <w:rPr>
          <w:spacing w:val="25"/>
        </w:rPr>
        <w:t> </w:t>
      </w:r>
      <w:r>
        <w:rPr/>
        <w:t>internal</w:t>
      </w:r>
      <w:r>
        <w:rPr>
          <w:spacing w:val="26"/>
        </w:rPr>
        <w:t> </w:t>
      </w:r>
      <w:r>
        <w:rPr/>
        <w:t>environment</w:t>
      </w:r>
      <w:r>
        <w:rPr>
          <w:spacing w:val="28"/>
        </w:rPr>
        <w:t> </w:t>
      </w:r>
      <w:r>
        <w:rPr/>
        <w:t>or</w:t>
      </w:r>
      <w:r>
        <w:rPr>
          <w:spacing w:val="25"/>
        </w:rPr>
        <w:t> </w:t>
      </w:r>
      <w:r>
        <w:rPr/>
        <w:t>both.</w:t>
      </w:r>
      <w:r>
        <w:rPr>
          <w:spacing w:val="25"/>
        </w:rPr>
        <w:t> </w:t>
      </w:r>
      <w:r>
        <w:rPr/>
        <w:t>Figure</w:t>
      </w:r>
      <w:r>
        <w:rPr>
          <w:spacing w:val="24"/>
        </w:rPr>
        <w:t> </w:t>
      </w:r>
      <w:r>
        <w:rPr/>
        <w:t>3.1</w:t>
      </w:r>
      <w:r>
        <w:rPr>
          <w:spacing w:val="25"/>
        </w:rPr>
        <w:t> </w:t>
      </w:r>
      <w:r>
        <w:rPr/>
        <w:t>below</w:t>
      </w:r>
      <w:r>
        <w:rPr>
          <w:spacing w:val="25"/>
        </w:rPr>
        <w:t> </w:t>
      </w:r>
      <w:r>
        <w:rPr/>
        <w:t>shows</w:t>
      </w:r>
      <w:r>
        <w:rPr>
          <w:spacing w:val="26"/>
        </w:rPr>
        <w:t> </w:t>
      </w:r>
      <w:r>
        <w:rPr/>
        <w:t>a</w:t>
      </w:r>
      <w:r>
        <w:rPr>
          <w:spacing w:val="27"/>
        </w:rPr>
        <w:t> </w:t>
      </w:r>
      <w:r>
        <w:rPr/>
        <w:t>graphical representation of it.</w:t>
      </w:r>
    </w:p>
    <w:p>
      <w:pPr>
        <w:pStyle w:val="BodyText"/>
        <w:spacing w:before="7"/>
        <w:rPr>
          <w:sz w:val="12"/>
        </w:rPr>
      </w:pPr>
      <w:r>
        <w:rPr/>
        <w:drawing>
          <wp:anchor distT="0" distB="0" distL="0" distR="0" allowOverlap="1" layoutInCell="1" locked="0" behindDoc="1" simplePos="0" relativeHeight="487598592">
            <wp:simplePos x="0" y="0"/>
            <wp:positionH relativeFrom="page">
              <wp:posOffset>914400</wp:posOffset>
            </wp:positionH>
            <wp:positionV relativeFrom="paragraph">
              <wp:posOffset>107374</wp:posOffset>
            </wp:positionV>
            <wp:extent cx="5429874" cy="4953000"/>
            <wp:effectExtent l="0" t="0" r="0" b="0"/>
            <wp:wrapTopAndBottom/>
            <wp:docPr id="158" name="Image 158" descr=""/>
            <wp:cNvGraphicFramePr>
              <a:graphicFrameLocks/>
            </wp:cNvGraphicFramePr>
            <a:graphic>
              <a:graphicData uri="http://schemas.openxmlformats.org/drawingml/2006/picture">
                <pic:pic>
                  <pic:nvPicPr>
                    <pic:cNvPr id="158" name="Image 158" descr=""/>
                    <pic:cNvPicPr/>
                  </pic:nvPicPr>
                  <pic:blipFill>
                    <a:blip r:embed="rId10" cstate="print"/>
                    <a:stretch>
                      <a:fillRect/>
                    </a:stretch>
                  </pic:blipFill>
                  <pic:spPr>
                    <a:xfrm>
                      <a:off x="0" y="0"/>
                      <a:ext cx="5429874" cy="4953000"/>
                    </a:xfrm>
                    <a:prstGeom prst="rect">
                      <a:avLst/>
                    </a:prstGeom>
                  </pic:spPr>
                </pic:pic>
              </a:graphicData>
            </a:graphic>
          </wp:anchor>
        </w:drawing>
      </w:r>
    </w:p>
    <w:p>
      <w:pPr>
        <w:pStyle w:val="BodyText"/>
        <w:spacing w:before="159"/>
      </w:pPr>
    </w:p>
    <w:p>
      <w:pPr>
        <w:pStyle w:val="Heading2"/>
        <w:spacing w:line="276" w:lineRule="auto"/>
        <w:ind w:right="6547"/>
        <w:jc w:val="left"/>
      </w:pPr>
      <w:r>
        <w:rPr/>
        <w:t>Figure</w:t>
      </w:r>
      <w:r>
        <w:rPr>
          <w:spacing w:val="-9"/>
        </w:rPr>
        <w:t> </w:t>
      </w:r>
      <w:r>
        <w:rPr/>
        <w:t>3.1.</w:t>
      </w:r>
      <w:r>
        <w:rPr>
          <w:spacing w:val="-7"/>
        </w:rPr>
        <w:t> </w:t>
      </w:r>
      <w:r>
        <w:rPr/>
        <w:t>Methods</w:t>
      </w:r>
      <w:r>
        <w:rPr>
          <w:spacing w:val="-8"/>
        </w:rPr>
        <w:t> </w:t>
      </w:r>
      <w:r>
        <w:rPr/>
        <w:t>of</w:t>
      </w:r>
      <w:r>
        <w:rPr>
          <w:spacing w:val="-7"/>
        </w:rPr>
        <w:t> </w:t>
      </w:r>
      <w:r>
        <w:rPr/>
        <w:t>strategic</w:t>
      </w:r>
      <w:r>
        <w:rPr>
          <w:spacing w:val="-9"/>
        </w:rPr>
        <w:t> </w:t>
      </w:r>
      <w:r>
        <w:rPr/>
        <w:t>analysis S o u r c e: Wasilij and Irina (2014)</w:t>
      </w:r>
    </w:p>
    <w:p>
      <w:pPr>
        <w:pStyle w:val="BodyText"/>
        <w:spacing w:before="158"/>
        <w:rPr>
          <w:b/>
        </w:rPr>
      </w:pPr>
    </w:p>
    <w:p>
      <w:pPr>
        <w:pStyle w:val="ListParagraph"/>
        <w:numPr>
          <w:ilvl w:val="2"/>
          <w:numId w:val="18"/>
        </w:numPr>
        <w:tabs>
          <w:tab w:pos="940" w:val="left" w:leader="none"/>
        </w:tabs>
        <w:spacing w:line="240" w:lineRule="auto" w:before="0" w:after="0"/>
        <w:ind w:left="940" w:right="0" w:hanging="540"/>
        <w:jc w:val="both"/>
        <w:rPr>
          <w:b/>
          <w:sz w:val="24"/>
        </w:rPr>
      </w:pPr>
      <w:r>
        <w:rPr>
          <w:b/>
          <w:sz w:val="24"/>
        </w:rPr>
        <w:t>Methods</w:t>
      </w:r>
      <w:r>
        <w:rPr>
          <w:b/>
          <w:spacing w:val="-4"/>
          <w:sz w:val="24"/>
        </w:rPr>
        <w:t> </w:t>
      </w:r>
      <w:r>
        <w:rPr>
          <w:b/>
          <w:sz w:val="24"/>
        </w:rPr>
        <w:t>of strategic</w:t>
      </w:r>
      <w:r>
        <w:rPr>
          <w:b/>
          <w:spacing w:val="-3"/>
          <w:sz w:val="24"/>
        </w:rPr>
        <w:t> </w:t>
      </w:r>
      <w:r>
        <w:rPr>
          <w:b/>
          <w:sz w:val="24"/>
        </w:rPr>
        <w:t>analysis</w:t>
      </w:r>
      <w:r>
        <w:rPr>
          <w:b/>
          <w:spacing w:val="-1"/>
          <w:sz w:val="24"/>
        </w:rPr>
        <w:t> </w:t>
      </w:r>
      <w:r>
        <w:rPr>
          <w:b/>
          <w:sz w:val="24"/>
        </w:rPr>
        <w:t>of</w:t>
      </w:r>
      <w:r>
        <w:rPr>
          <w:b/>
          <w:spacing w:val="-3"/>
          <w:sz w:val="24"/>
        </w:rPr>
        <w:t> </w:t>
      </w:r>
      <w:r>
        <w:rPr>
          <w:b/>
          <w:sz w:val="24"/>
        </w:rPr>
        <w:t>internal</w:t>
      </w:r>
      <w:r>
        <w:rPr>
          <w:b/>
          <w:spacing w:val="-3"/>
          <w:sz w:val="24"/>
        </w:rPr>
        <w:t> </w:t>
      </w:r>
      <w:r>
        <w:rPr>
          <w:b/>
          <w:sz w:val="24"/>
        </w:rPr>
        <w:t>environment</w:t>
      </w:r>
      <w:r>
        <w:rPr>
          <w:b/>
          <w:spacing w:val="-3"/>
          <w:sz w:val="24"/>
        </w:rPr>
        <w:t> </w:t>
      </w:r>
      <w:r>
        <w:rPr>
          <w:b/>
          <w:sz w:val="24"/>
        </w:rPr>
        <w:t>of the</w:t>
      </w:r>
      <w:r>
        <w:rPr>
          <w:b/>
          <w:spacing w:val="-2"/>
          <w:sz w:val="24"/>
        </w:rPr>
        <w:t> enterprise</w:t>
      </w:r>
    </w:p>
    <w:p>
      <w:pPr>
        <w:pStyle w:val="Heading3"/>
        <w:numPr>
          <w:ilvl w:val="3"/>
          <w:numId w:val="18"/>
        </w:numPr>
        <w:tabs>
          <w:tab w:pos="1180" w:val="left" w:leader="none"/>
        </w:tabs>
        <w:spacing w:line="240" w:lineRule="auto" w:before="201" w:after="0"/>
        <w:ind w:left="1180" w:right="0" w:hanging="780"/>
        <w:jc w:val="both"/>
      </w:pPr>
      <w:r>
        <w:rPr/>
        <w:t>The</w:t>
      </w:r>
      <w:r>
        <w:rPr>
          <w:spacing w:val="-5"/>
        </w:rPr>
        <w:t> </w:t>
      </w:r>
      <w:r>
        <w:rPr/>
        <w:t>method</w:t>
      </w:r>
      <w:r>
        <w:rPr>
          <w:spacing w:val="-1"/>
        </w:rPr>
        <w:t> </w:t>
      </w:r>
      <w:r>
        <w:rPr/>
        <w:t>‘tree</w:t>
      </w:r>
      <w:r>
        <w:rPr>
          <w:spacing w:val="-2"/>
        </w:rPr>
        <w:t> </w:t>
      </w:r>
      <w:r>
        <w:rPr/>
        <w:t>of</w:t>
      </w:r>
      <w:r>
        <w:rPr>
          <w:spacing w:val="-2"/>
        </w:rPr>
        <w:t> aims’</w:t>
      </w:r>
    </w:p>
    <w:p>
      <w:pPr>
        <w:pStyle w:val="BodyText"/>
        <w:spacing w:line="480" w:lineRule="auto" w:before="197"/>
        <w:ind w:left="399" w:right="1317"/>
        <w:jc w:val="both"/>
      </w:pPr>
      <w:r>
        <w:rPr/>
        <w:t>The method ‘tree of aims’ is a graphic chart that demonstrates change of general aims into sub- aims. The</w:t>
      </w:r>
      <w:r>
        <w:rPr>
          <w:spacing w:val="-1"/>
        </w:rPr>
        <w:t> </w:t>
      </w:r>
      <w:r>
        <w:rPr/>
        <w:t>top of</w:t>
      </w:r>
      <w:r>
        <w:rPr>
          <w:spacing w:val="-1"/>
        </w:rPr>
        <w:t> </w:t>
      </w:r>
      <w:r>
        <w:rPr/>
        <w:t>chart is interpreted as aims, ribs or</w:t>
      </w:r>
      <w:r>
        <w:rPr>
          <w:spacing w:val="-1"/>
        </w:rPr>
        <w:t> </w:t>
      </w:r>
      <w:r>
        <w:rPr/>
        <w:t>arches, as a</w:t>
      </w:r>
      <w:r>
        <w:rPr>
          <w:spacing w:val="-1"/>
        </w:rPr>
        <w:t> </w:t>
      </w:r>
      <w:r>
        <w:rPr/>
        <w:t>copula between the</w:t>
      </w:r>
      <w:r>
        <w:rPr>
          <w:spacing w:val="-1"/>
        </w:rPr>
        <w:t> </w:t>
      </w:r>
      <w:r>
        <w:rPr/>
        <w:t>aims. This is the</w:t>
      </w:r>
      <w:r>
        <w:rPr>
          <w:spacing w:val="72"/>
          <w:w w:val="150"/>
        </w:rPr>
        <w:t> </w:t>
      </w:r>
      <w:r>
        <w:rPr/>
        <w:t>main</w:t>
      </w:r>
      <w:r>
        <w:rPr>
          <w:spacing w:val="76"/>
          <w:w w:val="150"/>
        </w:rPr>
        <w:t> </w:t>
      </w:r>
      <w:r>
        <w:rPr/>
        <w:t>universal</w:t>
      </w:r>
      <w:r>
        <w:rPr>
          <w:spacing w:val="76"/>
          <w:w w:val="150"/>
        </w:rPr>
        <w:t> </w:t>
      </w:r>
      <w:r>
        <w:rPr/>
        <w:t>method</w:t>
      </w:r>
      <w:r>
        <w:rPr>
          <w:spacing w:val="76"/>
          <w:w w:val="150"/>
        </w:rPr>
        <w:t> </w:t>
      </w:r>
      <w:r>
        <w:rPr/>
        <w:t>of</w:t>
      </w:r>
      <w:r>
        <w:rPr>
          <w:spacing w:val="75"/>
          <w:w w:val="150"/>
        </w:rPr>
        <w:t> </w:t>
      </w:r>
      <w:r>
        <w:rPr/>
        <w:t>system</w:t>
      </w:r>
      <w:r>
        <w:rPr>
          <w:spacing w:val="76"/>
          <w:w w:val="150"/>
        </w:rPr>
        <w:t> </w:t>
      </w:r>
      <w:r>
        <w:rPr/>
        <w:t>analysis.</w:t>
      </w:r>
      <w:r>
        <w:rPr>
          <w:spacing w:val="76"/>
          <w:w w:val="150"/>
        </w:rPr>
        <w:t> </w:t>
      </w:r>
      <w:r>
        <w:rPr/>
        <w:t>The</w:t>
      </w:r>
      <w:r>
        <w:rPr>
          <w:spacing w:val="75"/>
          <w:w w:val="150"/>
        </w:rPr>
        <w:t> </w:t>
      </w:r>
      <w:r>
        <w:rPr/>
        <w:t>‘tree</w:t>
      </w:r>
      <w:r>
        <w:rPr>
          <w:spacing w:val="75"/>
          <w:w w:val="150"/>
        </w:rPr>
        <w:t> </w:t>
      </w:r>
      <w:r>
        <w:rPr/>
        <w:t>of</w:t>
      </w:r>
      <w:r>
        <w:rPr>
          <w:spacing w:val="75"/>
          <w:w w:val="150"/>
        </w:rPr>
        <w:t> </w:t>
      </w:r>
      <w:r>
        <w:rPr/>
        <w:t>aims’</w:t>
      </w:r>
      <w:r>
        <w:rPr>
          <w:spacing w:val="75"/>
          <w:w w:val="150"/>
        </w:rPr>
        <w:t> </w:t>
      </w:r>
      <w:r>
        <w:rPr/>
        <w:t>comes</w:t>
      </w:r>
      <w:r>
        <w:rPr>
          <w:spacing w:val="76"/>
          <w:w w:val="150"/>
        </w:rPr>
        <w:t> </w:t>
      </w:r>
      <w:r>
        <w:rPr/>
        <w:t>forward</w:t>
      </w:r>
      <w:r>
        <w:rPr>
          <w:spacing w:val="76"/>
          <w:w w:val="150"/>
        </w:rPr>
        <w:t> </w:t>
      </w:r>
      <w:r>
        <w:rPr>
          <w:spacing w:val="-5"/>
        </w:rPr>
        <w:t>as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systematization of hierarchy of aims that represents their collateral subordination and inter </w:t>
      </w:r>
      <w:r>
        <w:rPr>
          <w:spacing w:val="-2"/>
        </w:rPr>
        <w:t>conditionality.</w:t>
      </w:r>
    </w:p>
    <w:p>
      <w:pPr>
        <w:pStyle w:val="Heading3"/>
        <w:numPr>
          <w:ilvl w:val="3"/>
          <w:numId w:val="19"/>
        </w:numPr>
        <w:tabs>
          <w:tab w:pos="1180" w:val="left" w:leader="none"/>
        </w:tabs>
        <w:spacing w:line="240" w:lineRule="auto" w:before="235" w:after="0"/>
        <w:ind w:left="1180" w:right="0" w:hanging="780"/>
        <w:jc w:val="both"/>
      </w:pPr>
      <w:r>
        <w:rPr/>
        <w:t>LOTS</w:t>
      </w:r>
      <w:r>
        <w:rPr>
          <w:spacing w:val="-3"/>
        </w:rPr>
        <w:t> </w:t>
      </w:r>
      <w:r>
        <w:rPr>
          <w:spacing w:val="-2"/>
        </w:rPr>
        <w:t>method</w:t>
      </w:r>
    </w:p>
    <w:p>
      <w:pPr>
        <w:pStyle w:val="BodyText"/>
        <w:spacing w:line="480" w:lineRule="auto" w:before="271"/>
        <w:ind w:left="400" w:right="1319"/>
        <w:jc w:val="both"/>
      </w:pPr>
      <w:r>
        <w:rPr/>
        <w:t>LOTS method includes a detailed, sequential discussion of a number of business issues at different levels and varying degrees of complexity: from the corporate mission of the enterprise as a whole to the individual project in its middle. Discussion includes nine stages and refers to</w:t>
      </w:r>
      <w:r>
        <w:rPr>
          <w:spacing w:val="40"/>
        </w:rPr>
        <w:t> </w:t>
      </w:r>
      <w:r>
        <w:rPr/>
        <w:t>the existing state, strategy, long-term goals, short-term objectives, methods and objects of analysis, human resources, development plans, organization of management, reporting.</w:t>
      </w:r>
    </w:p>
    <w:p>
      <w:pPr>
        <w:pStyle w:val="Heading3"/>
        <w:numPr>
          <w:ilvl w:val="3"/>
          <w:numId w:val="19"/>
        </w:numPr>
        <w:tabs>
          <w:tab w:pos="1120" w:val="left" w:leader="none"/>
        </w:tabs>
        <w:spacing w:line="240" w:lineRule="auto" w:before="233" w:after="0"/>
        <w:ind w:left="1120" w:right="0" w:hanging="720"/>
        <w:jc w:val="both"/>
      </w:pPr>
      <w:r>
        <w:rPr/>
        <w:t>MOST</w:t>
      </w:r>
      <w:r>
        <w:rPr>
          <w:spacing w:val="-2"/>
        </w:rPr>
        <w:t> model</w:t>
      </w:r>
    </w:p>
    <w:p>
      <w:pPr>
        <w:pStyle w:val="BodyText"/>
        <w:spacing w:line="480" w:lineRule="auto" w:before="271"/>
        <w:ind w:left="400" w:right="1316"/>
        <w:jc w:val="both"/>
      </w:pPr>
      <w:r>
        <w:rPr/>
        <w:t>MOST</w:t>
      </w:r>
      <w:r>
        <w:rPr>
          <w:spacing w:val="-1"/>
        </w:rPr>
        <w:t> </w:t>
      </w:r>
      <w:r>
        <w:rPr/>
        <w:t>model</w:t>
      </w:r>
      <w:r>
        <w:rPr>
          <w:spacing w:val="-1"/>
        </w:rPr>
        <w:t> </w:t>
      </w:r>
      <w:r>
        <w:rPr/>
        <w:t>clarifies</w:t>
      </w:r>
      <w:r>
        <w:rPr>
          <w:spacing w:val="-1"/>
        </w:rPr>
        <w:t> </w:t>
      </w:r>
      <w:r>
        <w:rPr/>
        <w:t>to</w:t>
      </w:r>
      <w:r>
        <w:rPr>
          <w:spacing w:val="-3"/>
        </w:rPr>
        <w:t> </w:t>
      </w:r>
      <w:r>
        <w:rPr/>
        <w:t>the</w:t>
      </w:r>
      <w:r>
        <w:rPr>
          <w:spacing w:val="-2"/>
        </w:rPr>
        <w:t> </w:t>
      </w:r>
      <w:r>
        <w:rPr/>
        <w:t>hierarchy</w:t>
      </w:r>
      <w:r>
        <w:rPr>
          <w:spacing w:val="-8"/>
        </w:rPr>
        <w:t> </w:t>
      </w:r>
      <w:r>
        <w:rPr/>
        <w:t>between</w:t>
      </w:r>
      <w:r>
        <w:rPr>
          <w:spacing w:val="-1"/>
        </w:rPr>
        <w:t> </w:t>
      </w:r>
      <w:r>
        <w:rPr/>
        <w:t>the</w:t>
      </w:r>
      <w:r>
        <w:rPr>
          <w:spacing w:val="-2"/>
        </w:rPr>
        <w:t> </w:t>
      </w:r>
      <w:r>
        <w:rPr/>
        <w:t>mission,</w:t>
      </w:r>
      <w:r>
        <w:rPr>
          <w:spacing w:val="-1"/>
        </w:rPr>
        <w:t> </w:t>
      </w:r>
      <w:r>
        <w:rPr/>
        <w:t>strategies</w:t>
      </w:r>
      <w:r>
        <w:rPr>
          <w:spacing w:val="-1"/>
        </w:rPr>
        <w:t> </w:t>
      </w:r>
      <w:r>
        <w:rPr/>
        <w:t>and objectives.</w:t>
      </w:r>
      <w:r>
        <w:rPr>
          <w:spacing w:val="-1"/>
        </w:rPr>
        <w:t> </w:t>
      </w:r>
      <w:r>
        <w:rPr/>
        <w:t>According to this model, the position of a business entity is described with undefined criteria, which may include sales volume, profit margins or payment of dividends, a number of employees.</w:t>
      </w:r>
    </w:p>
    <w:p>
      <w:pPr>
        <w:pStyle w:val="Heading2"/>
        <w:numPr>
          <w:ilvl w:val="2"/>
          <w:numId w:val="18"/>
        </w:numPr>
        <w:tabs>
          <w:tab w:pos="1180" w:val="left" w:leader="none"/>
        </w:tabs>
        <w:spacing w:line="240" w:lineRule="auto" w:before="190" w:after="0"/>
        <w:ind w:left="1180" w:right="0" w:hanging="780"/>
        <w:jc w:val="both"/>
      </w:pPr>
      <w:r>
        <w:rPr/>
        <w:t>Methods</w:t>
      </w:r>
      <w:r>
        <w:rPr>
          <w:spacing w:val="-5"/>
        </w:rPr>
        <w:t> </w:t>
      </w:r>
      <w:r>
        <w:rPr/>
        <w:t>of</w:t>
      </w:r>
      <w:r>
        <w:rPr>
          <w:spacing w:val="-1"/>
        </w:rPr>
        <w:t> </w:t>
      </w:r>
      <w:r>
        <w:rPr/>
        <w:t>strategic</w:t>
      </w:r>
      <w:r>
        <w:rPr>
          <w:spacing w:val="-4"/>
        </w:rPr>
        <w:t> </w:t>
      </w:r>
      <w:r>
        <w:rPr/>
        <w:t>analysis</w:t>
      </w:r>
      <w:r>
        <w:rPr>
          <w:spacing w:val="-2"/>
        </w:rPr>
        <w:t> </w:t>
      </w:r>
      <w:r>
        <w:rPr/>
        <w:t>of</w:t>
      </w:r>
      <w:r>
        <w:rPr>
          <w:spacing w:val="-2"/>
        </w:rPr>
        <w:t> </w:t>
      </w:r>
      <w:r>
        <w:rPr/>
        <w:t>external</w:t>
      </w:r>
      <w:r>
        <w:rPr>
          <w:spacing w:val="-2"/>
        </w:rPr>
        <w:t> </w:t>
      </w:r>
      <w:r>
        <w:rPr/>
        <w:t>environment</w:t>
      </w:r>
      <w:r>
        <w:rPr>
          <w:spacing w:val="-4"/>
        </w:rPr>
        <w:t> </w:t>
      </w:r>
      <w:r>
        <w:rPr/>
        <w:t>of</w:t>
      </w:r>
      <w:r>
        <w:rPr>
          <w:spacing w:val="-1"/>
        </w:rPr>
        <w:t> </w:t>
      </w:r>
      <w:r>
        <w:rPr/>
        <w:t>the</w:t>
      </w:r>
      <w:r>
        <w:rPr>
          <w:spacing w:val="-3"/>
        </w:rPr>
        <w:t> </w:t>
      </w:r>
      <w:r>
        <w:rPr>
          <w:spacing w:val="-2"/>
        </w:rPr>
        <w:t>enterprise</w:t>
      </w:r>
    </w:p>
    <w:p>
      <w:pPr>
        <w:pStyle w:val="BodyText"/>
        <w:rPr>
          <w:b/>
        </w:rPr>
      </w:pPr>
    </w:p>
    <w:p>
      <w:pPr>
        <w:pStyle w:val="Heading3"/>
        <w:numPr>
          <w:ilvl w:val="3"/>
          <w:numId w:val="20"/>
        </w:numPr>
        <w:tabs>
          <w:tab w:pos="1120" w:val="left" w:leader="none"/>
        </w:tabs>
        <w:spacing w:line="240" w:lineRule="auto" w:before="0" w:after="0"/>
        <w:ind w:left="1120" w:right="0" w:hanging="720"/>
        <w:jc w:val="both"/>
      </w:pPr>
      <w:r>
        <w:rPr/>
        <w:t>The</w:t>
      </w:r>
      <w:r>
        <w:rPr>
          <w:spacing w:val="-3"/>
        </w:rPr>
        <w:t> </w:t>
      </w:r>
      <w:r>
        <w:rPr/>
        <w:t>Ansoff</w:t>
      </w:r>
      <w:r>
        <w:rPr>
          <w:spacing w:val="-3"/>
        </w:rPr>
        <w:t> </w:t>
      </w:r>
      <w:r>
        <w:rPr/>
        <w:t>growth</w:t>
      </w:r>
      <w:r>
        <w:rPr>
          <w:spacing w:val="-3"/>
        </w:rPr>
        <w:t> </w:t>
      </w:r>
      <w:r>
        <w:rPr>
          <w:spacing w:val="-2"/>
        </w:rPr>
        <w:t>matrix</w:t>
      </w:r>
    </w:p>
    <w:p>
      <w:pPr>
        <w:pStyle w:val="BodyText"/>
        <w:spacing w:before="156"/>
        <w:rPr>
          <w:b/>
          <w:i/>
        </w:rPr>
      </w:pPr>
    </w:p>
    <w:p>
      <w:pPr>
        <w:pStyle w:val="BodyText"/>
        <w:spacing w:line="480" w:lineRule="auto"/>
        <w:ind w:left="400" w:right="1317"/>
        <w:jc w:val="both"/>
      </w:pPr>
      <w:r>
        <w:rPr/>
        <w:t>The Ansoff Growth matrix is another marketing planning tool that helps a business determine its product and market growth strategy. Ansoff’s product/ market growth matrix suggests that a business’ attempts to grow depending on whether it markets new or existing products in new or existing markets. The output from the Ansoff product/ market matrix is a series of suggested growth strategies which set the direction for the business strategy. There are four ways: market penetration, market development, product development, and diversification.</w:t>
      </w:r>
    </w:p>
    <w:p>
      <w:pPr>
        <w:pStyle w:val="Heading3"/>
        <w:numPr>
          <w:ilvl w:val="3"/>
          <w:numId w:val="20"/>
        </w:numPr>
        <w:tabs>
          <w:tab w:pos="1180" w:val="left" w:leader="none"/>
        </w:tabs>
        <w:spacing w:line="240" w:lineRule="auto" w:before="5" w:after="0"/>
        <w:ind w:left="1180" w:right="0" w:hanging="780"/>
        <w:jc w:val="both"/>
      </w:pPr>
      <w:r>
        <w:rPr/>
        <w:t>Cooper</w:t>
      </w:r>
      <w:r>
        <w:rPr>
          <w:spacing w:val="-2"/>
        </w:rPr>
        <w:t> </w:t>
      </w:r>
      <w:r>
        <w:rPr/>
        <w:t>portfolio</w:t>
      </w:r>
      <w:r>
        <w:rPr>
          <w:spacing w:val="-3"/>
        </w:rPr>
        <w:t> </w:t>
      </w:r>
      <w:r>
        <w:rPr>
          <w:spacing w:val="-2"/>
        </w:rPr>
        <w:t>matrix</w:t>
      </w:r>
    </w:p>
    <w:p>
      <w:pPr>
        <w:pStyle w:val="BodyText"/>
        <w:spacing w:before="272"/>
        <w:ind w:left="400"/>
        <w:jc w:val="both"/>
      </w:pPr>
      <w:r>
        <w:rPr/>
        <w:t>Cooper</w:t>
      </w:r>
      <w:r>
        <w:rPr>
          <w:spacing w:val="-5"/>
        </w:rPr>
        <w:t> </w:t>
      </w:r>
      <w:r>
        <w:rPr/>
        <w:t>portfolio</w:t>
      </w:r>
      <w:r>
        <w:rPr>
          <w:spacing w:val="-1"/>
        </w:rPr>
        <w:t> </w:t>
      </w:r>
      <w:r>
        <w:rPr/>
        <w:t>matrix</w:t>
      </w:r>
      <w:r>
        <w:rPr>
          <w:spacing w:val="-1"/>
        </w:rPr>
        <w:t> </w:t>
      </w:r>
      <w:r>
        <w:rPr/>
        <w:t>defines</w:t>
      </w:r>
      <w:r>
        <w:rPr>
          <w:spacing w:val="-1"/>
        </w:rPr>
        <w:t> </w:t>
      </w:r>
      <w:r>
        <w:rPr/>
        <w:t>the</w:t>
      </w:r>
      <w:r>
        <w:rPr>
          <w:spacing w:val="-2"/>
        </w:rPr>
        <w:t> </w:t>
      </w:r>
      <w:r>
        <w:rPr/>
        <w:t>criteria</w:t>
      </w:r>
      <w:r>
        <w:rPr>
          <w:spacing w:val="-3"/>
        </w:rPr>
        <w:t> </w:t>
      </w:r>
      <w:r>
        <w:rPr/>
        <w:t>for</w:t>
      </w:r>
      <w:r>
        <w:rPr>
          <w:spacing w:val="-2"/>
        </w:rPr>
        <w:t> </w:t>
      </w:r>
      <w:r>
        <w:rPr/>
        <w:t>selection</w:t>
      </w:r>
      <w:r>
        <w:rPr>
          <w:spacing w:val="-1"/>
        </w:rPr>
        <w:t> </w:t>
      </w:r>
      <w:r>
        <w:rPr/>
        <w:t>of</w:t>
      </w:r>
      <w:r>
        <w:rPr>
          <w:spacing w:val="-2"/>
        </w:rPr>
        <w:t> </w:t>
      </w:r>
      <w:r>
        <w:rPr/>
        <w:t>the</w:t>
      </w:r>
      <w:r>
        <w:rPr>
          <w:spacing w:val="-2"/>
        </w:rPr>
        <w:t> </w:t>
      </w:r>
      <w:r>
        <w:rPr/>
        <w:t>enterprise</w:t>
      </w:r>
      <w:r>
        <w:rPr>
          <w:spacing w:val="-2"/>
        </w:rPr>
        <w:t> strategy:</w:t>
      </w:r>
    </w:p>
    <w:p>
      <w:pPr>
        <w:spacing w:after="0"/>
        <w:jc w:val="both"/>
        <w:sectPr>
          <w:pgSz w:w="12240" w:h="15840"/>
          <w:pgMar w:header="0" w:footer="1017" w:top="1360" w:bottom="1200" w:left="1040" w:right="120"/>
        </w:sectPr>
      </w:pPr>
    </w:p>
    <w:p>
      <w:pPr>
        <w:pStyle w:val="ListParagraph"/>
        <w:numPr>
          <w:ilvl w:val="4"/>
          <w:numId w:val="20"/>
        </w:numPr>
        <w:tabs>
          <w:tab w:pos="601" w:val="left" w:leader="none"/>
        </w:tabs>
        <w:spacing w:line="480" w:lineRule="auto" w:before="72" w:after="0"/>
        <w:ind w:left="400" w:right="1321" w:firstLine="0"/>
        <w:jc w:val="left"/>
        <w:rPr>
          <w:sz w:val="24"/>
        </w:rPr>
      </w:pPr>
      <w:r>
        <w:rPr>
          <w:sz w:val="24"/>
        </w:rPr>
        <w:t>The attractiveness of industry, which, in turn, is determined by the market attractiveness and</w:t>
      </w:r>
      <w:r>
        <w:rPr>
          <w:spacing w:val="40"/>
          <w:sz w:val="24"/>
        </w:rPr>
        <w:t> </w:t>
      </w:r>
      <w:r>
        <w:rPr>
          <w:sz w:val="24"/>
        </w:rPr>
        <w:t>technological level.</w:t>
      </w:r>
    </w:p>
    <w:p>
      <w:pPr>
        <w:pStyle w:val="ListParagraph"/>
        <w:numPr>
          <w:ilvl w:val="4"/>
          <w:numId w:val="20"/>
        </w:numPr>
        <w:tabs>
          <w:tab w:pos="604" w:val="left" w:leader="none"/>
        </w:tabs>
        <w:spacing w:line="480" w:lineRule="auto" w:before="161" w:after="0"/>
        <w:ind w:left="400" w:right="1317" w:firstLine="0"/>
        <w:jc w:val="left"/>
        <w:rPr>
          <w:sz w:val="24"/>
        </w:rPr>
      </w:pPr>
      <w:r>
        <w:rPr>
          <w:sz w:val="24"/>
        </w:rPr>
        <w:t>Business Force” that is also determined by market advantages of commodity and synergistic</w:t>
      </w:r>
      <w:r>
        <w:rPr>
          <w:spacing w:val="80"/>
          <w:sz w:val="24"/>
        </w:rPr>
        <w:t> </w:t>
      </w:r>
      <w:r>
        <w:rPr>
          <w:sz w:val="24"/>
        </w:rPr>
        <w:t>effect of the enterprise in technology of production and marketing.</w:t>
      </w:r>
    </w:p>
    <w:p>
      <w:pPr>
        <w:pStyle w:val="Heading3"/>
        <w:spacing w:before="163"/>
        <w:ind w:left="399" w:firstLine="0"/>
        <w:jc w:val="left"/>
      </w:pPr>
      <w:r>
        <w:rPr>
          <w:i w:val="0"/>
        </w:rPr>
        <w:t>3.8.2</w:t>
      </w:r>
      <w:r>
        <w:rPr>
          <w:i w:val="0"/>
          <w:spacing w:val="-3"/>
        </w:rPr>
        <w:t> </w:t>
      </w:r>
      <w:r>
        <w:rPr>
          <w:i w:val="0"/>
        </w:rPr>
        <w:t>3</w:t>
      </w:r>
      <w:r>
        <w:rPr>
          <w:i w:val="0"/>
          <w:spacing w:val="-1"/>
        </w:rPr>
        <w:t> </w:t>
      </w:r>
      <w:r>
        <w:rPr/>
        <w:t>Model</w:t>
      </w:r>
      <w:r>
        <w:rPr>
          <w:spacing w:val="-1"/>
        </w:rPr>
        <w:t> </w:t>
      </w:r>
      <w:r>
        <w:rPr/>
        <w:t>of</w:t>
      </w:r>
      <w:r>
        <w:rPr>
          <w:spacing w:val="-1"/>
        </w:rPr>
        <w:t> </w:t>
      </w:r>
      <w:r>
        <w:rPr/>
        <w:t>5</w:t>
      </w:r>
      <w:r>
        <w:rPr>
          <w:spacing w:val="-1"/>
        </w:rPr>
        <w:t> </w:t>
      </w:r>
      <w:r>
        <w:rPr/>
        <w:t>competitive</w:t>
      </w:r>
      <w:r>
        <w:rPr>
          <w:spacing w:val="-2"/>
        </w:rPr>
        <w:t> </w:t>
      </w:r>
      <w:r>
        <w:rPr/>
        <w:t>forces</w:t>
      </w:r>
      <w:r>
        <w:rPr>
          <w:spacing w:val="-1"/>
        </w:rPr>
        <w:t> </w:t>
      </w:r>
      <w:r>
        <w:rPr/>
        <w:t>by</w:t>
      </w:r>
      <w:r>
        <w:rPr>
          <w:spacing w:val="-1"/>
        </w:rPr>
        <w:t> </w:t>
      </w:r>
      <w:r>
        <w:rPr>
          <w:spacing w:val="-2"/>
        </w:rPr>
        <w:t>Porter</w:t>
      </w:r>
    </w:p>
    <w:p>
      <w:pPr>
        <w:pStyle w:val="BodyText"/>
        <w:rPr>
          <w:b/>
          <w:i/>
        </w:rPr>
      </w:pPr>
    </w:p>
    <w:p>
      <w:pPr>
        <w:pStyle w:val="BodyText"/>
        <w:rPr>
          <w:b/>
          <w:i/>
        </w:rPr>
      </w:pPr>
    </w:p>
    <w:p>
      <w:pPr>
        <w:pStyle w:val="BodyText"/>
        <w:spacing w:line="480" w:lineRule="auto"/>
        <w:ind w:left="399" w:right="1315"/>
        <w:jc w:val="both"/>
      </w:pPr>
      <w:r>
        <w:rPr/>
        <w:t>Michael Porter's Five Forces is a powerful competitive analysis tool to determine the principal competitive influence in a market. It is a broadly used model in business that refers to the five important factors that drive a firm's competitive position within an industry. By</w:t>
      </w:r>
      <w:r>
        <w:rPr>
          <w:spacing w:val="-2"/>
        </w:rPr>
        <w:t> </w:t>
      </w:r>
      <w:r>
        <w:rPr/>
        <w:t>thinking through how each force affects you, and by identifying the strength and direction of each force, you can quickly assess the strength of the position and your ability to make a sustained profit in the industry. Thus Five Forces analysis helps you stay competitive by:</w:t>
      </w:r>
    </w:p>
    <w:p>
      <w:pPr>
        <w:pStyle w:val="BodyText"/>
        <w:spacing w:before="2"/>
      </w:pPr>
    </w:p>
    <w:p>
      <w:pPr>
        <w:pStyle w:val="ListParagraph"/>
        <w:numPr>
          <w:ilvl w:val="0"/>
          <w:numId w:val="21"/>
        </w:numPr>
        <w:tabs>
          <w:tab w:pos="1118" w:val="left" w:leader="none"/>
          <w:tab w:pos="1120" w:val="left" w:leader="none"/>
        </w:tabs>
        <w:spacing w:line="480" w:lineRule="auto" w:before="1" w:after="0"/>
        <w:ind w:left="1120" w:right="1315" w:hanging="488"/>
        <w:jc w:val="both"/>
        <w:rPr>
          <w:sz w:val="24"/>
        </w:rPr>
      </w:pPr>
      <w:r>
        <w:rPr>
          <w:sz w:val="24"/>
        </w:rPr>
        <w:t>Knowing the strength of these five forces, you can develop strategies that help their businesses be more competitive and profitable.</w:t>
      </w:r>
    </w:p>
    <w:p>
      <w:pPr>
        <w:pStyle w:val="ListParagraph"/>
        <w:numPr>
          <w:ilvl w:val="0"/>
          <w:numId w:val="21"/>
        </w:numPr>
        <w:tabs>
          <w:tab w:pos="1118" w:val="left" w:leader="none"/>
          <w:tab w:pos="1120" w:val="left" w:leader="none"/>
        </w:tabs>
        <w:spacing w:line="480" w:lineRule="auto" w:before="120" w:after="0"/>
        <w:ind w:left="1120" w:right="1314" w:hanging="555"/>
        <w:jc w:val="both"/>
        <w:rPr>
          <w:sz w:val="24"/>
        </w:rPr>
      </w:pPr>
      <w:r>
        <w:rPr>
          <w:sz w:val="24"/>
        </w:rPr>
        <w:t>Looking at opportunities, you can to strengthen their organization's position compared to the other players for reducing the competitive pressure as well as generate competitive </w:t>
      </w:r>
      <w:r>
        <w:rPr>
          <w:spacing w:val="-2"/>
          <w:sz w:val="24"/>
        </w:rPr>
        <w:t>advantage.</w:t>
      </w:r>
    </w:p>
    <w:p>
      <w:pPr>
        <w:pStyle w:val="BodyText"/>
        <w:spacing w:line="480" w:lineRule="auto" w:before="120"/>
        <w:ind w:left="400" w:right="1317"/>
        <w:jc w:val="both"/>
      </w:pPr>
      <w:r>
        <w:rPr/>
        <w:t>According to Porter in Marco (2009), there are five competitive forces.</w:t>
      </w:r>
      <w:r>
        <w:rPr>
          <w:spacing w:val="80"/>
        </w:rPr>
        <w:t> </w:t>
      </w:r>
      <w:r>
        <w:rPr/>
        <w:t>These are:</w:t>
      </w:r>
      <w:r>
        <w:rPr>
          <w:spacing w:val="80"/>
        </w:rPr>
        <w:t> </w:t>
      </w:r>
      <w:r>
        <w:rPr/>
        <w:t>Potential new entrants,</w:t>
      </w:r>
      <w:r>
        <w:rPr>
          <w:spacing w:val="40"/>
        </w:rPr>
        <w:t> </w:t>
      </w:r>
      <w:r>
        <w:rPr/>
        <w:t>bargaining</w:t>
      </w:r>
      <w:r>
        <w:rPr>
          <w:spacing w:val="40"/>
        </w:rPr>
        <w:t> </w:t>
      </w:r>
      <w:r>
        <w:rPr/>
        <w:t>power</w:t>
      </w:r>
      <w:r>
        <w:rPr>
          <w:spacing w:val="40"/>
        </w:rPr>
        <w:t> </w:t>
      </w:r>
      <w:r>
        <w:rPr/>
        <w:t>of</w:t>
      </w:r>
      <w:r>
        <w:rPr>
          <w:spacing w:val="40"/>
        </w:rPr>
        <w:t> </w:t>
      </w:r>
      <w:r>
        <w:rPr/>
        <w:t>customers,</w:t>
      </w:r>
      <w:r>
        <w:rPr>
          <w:spacing w:val="40"/>
        </w:rPr>
        <w:t> </w:t>
      </w:r>
      <w:r>
        <w:rPr/>
        <w:t>bargaining</w:t>
      </w:r>
      <w:r>
        <w:rPr>
          <w:spacing w:val="40"/>
        </w:rPr>
        <w:t> </w:t>
      </w:r>
      <w:r>
        <w:rPr/>
        <w:t>power</w:t>
      </w:r>
      <w:r>
        <w:rPr>
          <w:spacing w:val="40"/>
        </w:rPr>
        <w:t> </w:t>
      </w:r>
      <w:r>
        <w:rPr/>
        <w:t>of</w:t>
      </w:r>
      <w:r>
        <w:rPr>
          <w:spacing w:val="40"/>
        </w:rPr>
        <w:t> </w:t>
      </w:r>
      <w:r>
        <w:rPr/>
        <w:t>suppliers,</w:t>
      </w:r>
      <w:r>
        <w:rPr>
          <w:spacing w:val="40"/>
        </w:rPr>
        <w:t> </w:t>
      </w:r>
      <w:r>
        <w:rPr/>
        <w:t>Threat</w:t>
      </w:r>
      <w:r>
        <w:rPr>
          <w:spacing w:val="40"/>
        </w:rPr>
        <w:t> </w:t>
      </w:r>
      <w:r>
        <w:rPr/>
        <w:t>of substitute products and the Rivalry among competitors. Potential new entrants are potential new players on the market.</w:t>
      </w:r>
      <w:r>
        <w:rPr>
          <w:spacing w:val="80"/>
        </w:rPr>
        <w:t> </w:t>
      </w:r>
      <w:r>
        <w:rPr/>
        <w:t>It</w:t>
      </w:r>
      <w:r>
        <w:rPr>
          <w:spacing w:val="40"/>
        </w:rPr>
        <w:t> </w:t>
      </w:r>
      <w:r>
        <w:rPr/>
        <w:t>is not</w:t>
      </w:r>
      <w:r>
        <w:rPr>
          <w:spacing w:val="40"/>
        </w:rPr>
        <w:t> </w:t>
      </w:r>
      <w:r>
        <w:rPr/>
        <w:t>in</w:t>
      </w:r>
      <w:r>
        <w:rPr>
          <w:spacing w:val="40"/>
        </w:rPr>
        <w:t> </w:t>
      </w:r>
      <w:r>
        <w:rPr/>
        <w:t>the benefits</w:t>
      </w:r>
      <w:r>
        <w:rPr>
          <w:spacing w:val="40"/>
        </w:rPr>
        <w:t> </w:t>
      </w:r>
      <w:r>
        <w:rPr/>
        <w:t>of a</w:t>
      </w:r>
      <w:r>
        <w:rPr>
          <w:spacing w:val="40"/>
        </w:rPr>
        <w:t> </w:t>
      </w:r>
      <w:r>
        <w:rPr/>
        <w:t>firm</w:t>
      </w:r>
      <w:r>
        <w:rPr>
          <w:spacing w:val="40"/>
        </w:rPr>
        <w:t> </w:t>
      </w:r>
      <w:r>
        <w:rPr/>
        <w:t>if</w:t>
      </w:r>
      <w:r>
        <w:rPr>
          <w:spacing w:val="40"/>
        </w:rPr>
        <w:t> </w:t>
      </w:r>
      <w:r>
        <w:rPr/>
        <w:t>it</w:t>
      </w:r>
      <w:r>
        <w:rPr>
          <w:spacing w:val="40"/>
        </w:rPr>
        <w:t> </w:t>
      </w:r>
      <w:r>
        <w:rPr/>
        <w:t>is</w:t>
      </w:r>
      <w:r>
        <w:rPr>
          <w:spacing w:val="40"/>
        </w:rPr>
        <w:t> </w:t>
      </w:r>
      <w:r>
        <w:rPr/>
        <w:t>easy</w:t>
      </w:r>
      <w:r>
        <w:rPr>
          <w:spacing w:val="40"/>
        </w:rPr>
        <w:t> </w:t>
      </w:r>
      <w:r>
        <w:rPr/>
        <w:t>for</w:t>
      </w:r>
      <w:r>
        <w:rPr>
          <w:spacing w:val="40"/>
        </w:rPr>
        <w:t> </w:t>
      </w:r>
      <w:r>
        <w:rPr/>
        <w:t>potential</w:t>
      </w:r>
      <w:r>
        <w:rPr>
          <w:spacing w:val="40"/>
        </w:rPr>
        <w:t> </w:t>
      </w:r>
      <w:r>
        <w:rPr/>
        <w:t>new entrants</w:t>
      </w:r>
      <w:r>
        <w:rPr>
          <w:spacing w:val="61"/>
        </w:rPr>
        <w:t> </w:t>
      </w:r>
      <w:r>
        <w:rPr/>
        <w:t>to</w:t>
      </w:r>
      <w:r>
        <w:rPr>
          <w:spacing w:val="63"/>
        </w:rPr>
        <w:t> </w:t>
      </w:r>
      <w:r>
        <w:rPr/>
        <w:t>enter</w:t>
      </w:r>
      <w:r>
        <w:rPr>
          <w:spacing w:val="62"/>
        </w:rPr>
        <w:t> </w:t>
      </w:r>
      <w:r>
        <w:rPr/>
        <w:t>the</w:t>
      </w:r>
      <w:r>
        <w:rPr>
          <w:spacing w:val="65"/>
        </w:rPr>
        <w:t> </w:t>
      </w:r>
      <w:r>
        <w:rPr/>
        <w:t>market.</w:t>
      </w:r>
      <w:r>
        <w:rPr>
          <w:spacing w:val="1"/>
        </w:rPr>
        <w:t> </w:t>
      </w:r>
      <w:r>
        <w:rPr/>
        <w:t>The</w:t>
      </w:r>
      <w:r>
        <w:rPr>
          <w:spacing w:val="2"/>
        </w:rPr>
        <w:t> </w:t>
      </w:r>
      <w:r>
        <w:rPr/>
        <w:t>bargaining power of</w:t>
      </w:r>
      <w:r>
        <w:rPr>
          <w:spacing w:val="3"/>
        </w:rPr>
        <w:t> </w:t>
      </w:r>
      <w:r>
        <w:rPr/>
        <w:t>customers</w:t>
      </w:r>
      <w:r>
        <w:rPr>
          <w:spacing w:val="1"/>
        </w:rPr>
        <w:t> </w:t>
      </w:r>
      <w:r>
        <w:rPr/>
        <w:t>is</w:t>
      </w:r>
      <w:r>
        <w:rPr>
          <w:spacing w:val="2"/>
        </w:rPr>
        <w:t> </w:t>
      </w:r>
      <w:r>
        <w:rPr/>
        <w:t>the power which</w:t>
      </w:r>
      <w:r>
        <w:rPr>
          <w:spacing w:val="4"/>
        </w:rPr>
        <w:t> </w:t>
      </w:r>
      <w:r>
        <w:rPr>
          <w:spacing w:val="-2"/>
        </w:rPr>
        <w:t>customers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have to bargain. The</w:t>
      </w:r>
      <w:r>
        <w:rPr>
          <w:spacing w:val="40"/>
        </w:rPr>
        <w:t> </w:t>
      </w:r>
      <w:r>
        <w:rPr/>
        <w:t>bargaining</w:t>
      </w:r>
      <w:r>
        <w:rPr>
          <w:spacing w:val="40"/>
        </w:rPr>
        <w:t> </w:t>
      </w:r>
      <w:r>
        <w:rPr/>
        <w:t>power</w:t>
      </w:r>
      <w:r>
        <w:rPr>
          <w:spacing w:val="40"/>
        </w:rPr>
        <w:t> </w:t>
      </w:r>
      <w:r>
        <w:rPr/>
        <w:t>of</w:t>
      </w:r>
      <w:r>
        <w:rPr>
          <w:spacing w:val="40"/>
        </w:rPr>
        <w:t> </w:t>
      </w:r>
      <w:r>
        <w:rPr/>
        <w:t>supplier</w:t>
      </w:r>
      <w:r>
        <w:rPr>
          <w:spacing w:val="40"/>
        </w:rPr>
        <w:t> </w:t>
      </w:r>
      <w:r>
        <w:rPr/>
        <w:t>is</w:t>
      </w:r>
      <w:r>
        <w:rPr>
          <w:spacing w:val="40"/>
        </w:rPr>
        <w:t> </w:t>
      </w:r>
      <w:r>
        <w:rPr/>
        <w:t>the</w:t>
      </w:r>
      <w:r>
        <w:rPr>
          <w:spacing w:val="40"/>
        </w:rPr>
        <w:t> </w:t>
      </w:r>
      <w:r>
        <w:rPr/>
        <w:t>power</w:t>
      </w:r>
      <w:r>
        <w:rPr>
          <w:spacing w:val="40"/>
        </w:rPr>
        <w:t> </w:t>
      </w:r>
      <w:r>
        <w:rPr/>
        <w:t>which suppliers</w:t>
      </w:r>
      <w:r>
        <w:rPr>
          <w:spacing w:val="40"/>
        </w:rPr>
        <w:t> </w:t>
      </w:r>
      <w:r>
        <w:rPr/>
        <w:t>have</w:t>
      </w:r>
      <w:r>
        <w:rPr>
          <w:spacing w:val="40"/>
        </w:rPr>
        <w:t> </w:t>
      </w:r>
      <w:r>
        <w:rPr/>
        <w:t>to bargain</w:t>
      </w:r>
      <w:r>
        <w:rPr>
          <w:spacing w:val="40"/>
        </w:rPr>
        <w:t> </w:t>
      </w:r>
      <w:r>
        <w:rPr/>
        <w:t>with</w:t>
      </w:r>
      <w:r>
        <w:rPr>
          <w:spacing w:val="40"/>
        </w:rPr>
        <w:t> </w:t>
      </w:r>
      <w:r>
        <w:rPr/>
        <w:t>a</w:t>
      </w:r>
      <w:r>
        <w:rPr>
          <w:spacing w:val="40"/>
        </w:rPr>
        <w:t> </w:t>
      </w:r>
      <w:r>
        <w:rPr/>
        <w:t>company.</w:t>
      </w:r>
      <w:r>
        <w:rPr>
          <w:spacing w:val="40"/>
        </w:rPr>
        <w:t> </w:t>
      </w:r>
      <w:r>
        <w:rPr/>
        <w:t>This</w:t>
      </w:r>
      <w:r>
        <w:rPr>
          <w:spacing w:val="40"/>
        </w:rPr>
        <w:t> </w:t>
      </w:r>
      <w:r>
        <w:rPr/>
        <w:t>power</w:t>
      </w:r>
      <w:r>
        <w:rPr>
          <w:spacing w:val="40"/>
        </w:rPr>
        <w:t> </w:t>
      </w:r>
      <w:r>
        <w:rPr/>
        <w:t>is</w:t>
      </w:r>
      <w:r>
        <w:rPr>
          <w:spacing w:val="40"/>
        </w:rPr>
        <w:t> </w:t>
      </w:r>
      <w:r>
        <w:rPr/>
        <w:t>relatively</w:t>
      </w:r>
      <w:r>
        <w:rPr>
          <w:spacing w:val="40"/>
        </w:rPr>
        <w:t> </w:t>
      </w:r>
      <w:r>
        <w:rPr/>
        <w:t>large</w:t>
      </w:r>
      <w:r>
        <w:rPr>
          <w:spacing w:val="40"/>
        </w:rPr>
        <w:t> </w:t>
      </w:r>
      <w:r>
        <w:rPr/>
        <w:t>if</w:t>
      </w:r>
      <w:r>
        <w:rPr>
          <w:spacing w:val="40"/>
        </w:rPr>
        <w:t> </w:t>
      </w:r>
      <w:r>
        <w:rPr/>
        <w:t>a</w:t>
      </w:r>
      <w:r>
        <w:rPr>
          <w:spacing w:val="40"/>
        </w:rPr>
        <w:t> </w:t>
      </w:r>
      <w:r>
        <w:rPr/>
        <w:t>certain supplier</w:t>
      </w:r>
      <w:r>
        <w:rPr>
          <w:spacing w:val="40"/>
        </w:rPr>
        <w:t> </w:t>
      </w:r>
      <w:r>
        <w:rPr/>
        <w:t>is</w:t>
      </w:r>
      <w:r>
        <w:rPr>
          <w:spacing w:val="40"/>
        </w:rPr>
        <w:t> </w:t>
      </w:r>
      <w:r>
        <w:rPr/>
        <w:t>the only</w:t>
      </w:r>
      <w:r>
        <w:rPr>
          <w:spacing w:val="40"/>
        </w:rPr>
        <w:t> </w:t>
      </w:r>
      <w:r>
        <w:rPr/>
        <w:t>player on</w:t>
      </w:r>
      <w:r>
        <w:rPr>
          <w:spacing w:val="40"/>
        </w:rPr>
        <w:t> </w:t>
      </w:r>
      <w:r>
        <w:rPr/>
        <w:t>the market. This information can also be obtained by doing an internship at the company. The</w:t>
      </w:r>
      <w:r>
        <w:rPr>
          <w:spacing w:val="80"/>
        </w:rPr>
        <w:t> </w:t>
      </w:r>
      <w:r>
        <w:rPr/>
        <w:t>threat</w:t>
      </w:r>
      <w:r>
        <w:rPr>
          <w:spacing w:val="80"/>
        </w:rPr>
        <w:t> </w:t>
      </w:r>
      <w:r>
        <w:rPr/>
        <w:t>of</w:t>
      </w:r>
      <w:r>
        <w:rPr>
          <w:spacing w:val="80"/>
        </w:rPr>
        <w:t> </w:t>
      </w:r>
      <w:r>
        <w:rPr/>
        <w:t>a</w:t>
      </w:r>
      <w:r>
        <w:rPr>
          <w:spacing w:val="80"/>
        </w:rPr>
        <w:t> </w:t>
      </w:r>
      <w:r>
        <w:rPr/>
        <w:t>substitute</w:t>
      </w:r>
      <w:r>
        <w:rPr>
          <w:spacing w:val="80"/>
        </w:rPr>
        <w:t> </w:t>
      </w:r>
      <w:r>
        <w:rPr/>
        <w:t>product</w:t>
      </w:r>
      <w:r>
        <w:rPr>
          <w:spacing w:val="80"/>
        </w:rPr>
        <w:t> </w:t>
      </w:r>
      <w:r>
        <w:rPr/>
        <w:t>is</w:t>
      </w:r>
      <w:r>
        <w:rPr>
          <w:spacing w:val="80"/>
        </w:rPr>
        <w:t> </w:t>
      </w:r>
      <w:r>
        <w:rPr/>
        <w:t>the</w:t>
      </w:r>
      <w:r>
        <w:rPr>
          <w:spacing w:val="80"/>
        </w:rPr>
        <w:t> </w:t>
      </w:r>
      <w:r>
        <w:rPr/>
        <w:t>threat</w:t>
      </w:r>
      <w:r>
        <w:rPr>
          <w:spacing w:val="80"/>
        </w:rPr>
        <w:t> </w:t>
      </w:r>
      <w:r>
        <w:rPr/>
        <w:t>that</w:t>
      </w:r>
      <w:r>
        <w:rPr>
          <w:spacing w:val="80"/>
        </w:rPr>
        <w:t> </w:t>
      </w:r>
      <w:r>
        <w:rPr/>
        <w:t>a</w:t>
      </w:r>
      <w:r>
        <w:rPr>
          <w:spacing w:val="80"/>
        </w:rPr>
        <w:t> </w:t>
      </w:r>
      <w:r>
        <w:rPr/>
        <w:t>certain</w:t>
      </w:r>
      <w:r>
        <w:rPr>
          <w:spacing w:val="80"/>
        </w:rPr>
        <w:t> </w:t>
      </w:r>
      <w:r>
        <w:rPr/>
        <w:t>product</w:t>
      </w:r>
      <w:r>
        <w:rPr>
          <w:spacing w:val="80"/>
        </w:rPr>
        <w:t> </w:t>
      </w:r>
      <w:r>
        <w:rPr/>
        <w:t>will replace</w:t>
      </w:r>
      <w:r>
        <w:rPr>
          <w:spacing w:val="73"/>
        </w:rPr>
        <w:t> </w:t>
      </w:r>
      <w:r>
        <w:rPr/>
        <w:t>another product.</w:t>
      </w:r>
      <w:r>
        <w:rPr>
          <w:spacing w:val="72"/>
        </w:rPr>
        <w:t> </w:t>
      </w:r>
      <w:r>
        <w:rPr/>
        <w:t>The</w:t>
      </w:r>
      <w:r>
        <w:rPr>
          <w:spacing w:val="76"/>
        </w:rPr>
        <w:t> </w:t>
      </w:r>
      <w:r>
        <w:rPr/>
        <w:t>rivalry</w:t>
      </w:r>
      <w:r>
        <w:rPr>
          <w:spacing w:val="70"/>
        </w:rPr>
        <w:t> </w:t>
      </w:r>
      <w:r>
        <w:rPr/>
        <w:t>among</w:t>
      </w:r>
      <w:r>
        <w:rPr>
          <w:spacing w:val="72"/>
        </w:rPr>
        <w:t> </w:t>
      </w:r>
      <w:r>
        <w:rPr/>
        <w:t>competitors</w:t>
      </w:r>
      <w:r>
        <w:rPr>
          <w:spacing w:val="72"/>
        </w:rPr>
        <w:t> </w:t>
      </w:r>
      <w:r>
        <w:rPr/>
        <w:t>in</w:t>
      </w:r>
      <w:r>
        <w:rPr>
          <w:spacing w:val="74"/>
        </w:rPr>
        <w:t> </w:t>
      </w:r>
      <w:r>
        <w:rPr/>
        <w:t>a</w:t>
      </w:r>
      <w:r>
        <w:rPr>
          <w:spacing w:val="73"/>
        </w:rPr>
        <w:t> </w:t>
      </w:r>
      <w:r>
        <w:rPr/>
        <w:t>certain</w:t>
      </w:r>
      <w:r>
        <w:rPr>
          <w:spacing w:val="77"/>
        </w:rPr>
        <w:t> </w:t>
      </w:r>
      <w:r>
        <w:rPr/>
        <w:t>market</w:t>
      </w:r>
      <w:r>
        <w:rPr>
          <w:spacing w:val="75"/>
        </w:rPr>
        <w:t> </w:t>
      </w:r>
      <w:r>
        <w:rPr/>
        <w:t>is</w:t>
      </w:r>
      <w:r>
        <w:rPr>
          <w:spacing w:val="72"/>
        </w:rPr>
        <w:t> </w:t>
      </w:r>
      <w:r>
        <w:rPr/>
        <w:t>influenced by</w:t>
      </w:r>
      <w:r>
        <w:rPr>
          <w:spacing w:val="40"/>
        </w:rPr>
        <w:t> </w:t>
      </w:r>
      <w:r>
        <w:rPr/>
        <w:t>the</w:t>
      </w:r>
      <w:r>
        <w:rPr>
          <w:spacing w:val="40"/>
        </w:rPr>
        <w:t> </w:t>
      </w:r>
      <w:r>
        <w:rPr/>
        <w:t>other</w:t>
      </w:r>
      <w:r>
        <w:rPr>
          <w:spacing w:val="40"/>
        </w:rPr>
        <w:t> </w:t>
      </w:r>
      <w:r>
        <w:rPr/>
        <w:t>four</w:t>
      </w:r>
      <w:r>
        <w:rPr>
          <w:spacing w:val="40"/>
        </w:rPr>
        <w:t> </w:t>
      </w:r>
      <w:r>
        <w:rPr/>
        <w:t>forces.</w:t>
      </w:r>
    </w:p>
    <w:p>
      <w:pPr>
        <w:pStyle w:val="BodyText"/>
        <w:spacing w:before="5"/>
      </w:pPr>
    </w:p>
    <w:p>
      <w:pPr>
        <w:pStyle w:val="Heading3"/>
        <w:ind w:left="400" w:firstLine="0"/>
      </w:pPr>
      <w:r>
        <w:rPr>
          <w:i w:val="0"/>
        </w:rPr>
        <w:t>3.8.2.4</w:t>
      </w:r>
      <w:r>
        <w:rPr>
          <w:i w:val="0"/>
          <w:spacing w:val="-2"/>
        </w:rPr>
        <w:t> </w:t>
      </w:r>
      <w:r>
        <w:rPr/>
        <w:t>The</w:t>
      </w:r>
      <w:r>
        <w:rPr>
          <w:spacing w:val="-1"/>
        </w:rPr>
        <w:t> </w:t>
      </w:r>
      <w:r>
        <w:rPr/>
        <w:t>BCG</w:t>
      </w:r>
      <w:r>
        <w:rPr>
          <w:spacing w:val="-2"/>
        </w:rPr>
        <w:t> </w:t>
      </w:r>
      <w:r>
        <w:rPr/>
        <w:t>strategic</w:t>
      </w:r>
      <w:r>
        <w:rPr>
          <w:spacing w:val="-2"/>
        </w:rPr>
        <w:t> </w:t>
      </w:r>
      <w:r>
        <w:rPr/>
        <w:t>portfolio</w:t>
      </w:r>
      <w:r>
        <w:rPr>
          <w:spacing w:val="-1"/>
        </w:rPr>
        <w:t> </w:t>
      </w:r>
      <w:r>
        <w:rPr>
          <w:spacing w:val="-4"/>
        </w:rPr>
        <w:t>model</w:t>
      </w:r>
    </w:p>
    <w:p>
      <w:pPr>
        <w:pStyle w:val="BodyText"/>
        <w:spacing w:line="480" w:lineRule="auto" w:before="271"/>
        <w:ind w:left="400" w:right="1315"/>
        <w:jc w:val="both"/>
      </w:pPr>
      <w:r>
        <w:rPr/>
        <w:t>It is a method of approaching and analyzing business marketing and growth developed by the Boston Consulting Group. The primary guiding principle of the BCG group’s strategy is that experience in a market share leads to reduced costs and higher profits. This model uses the BCG marketing matrix, a system to classify business enterprises based on their potential for profits</w:t>
      </w:r>
      <w:r>
        <w:rPr>
          <w:spacing w:val="80"/>
        </w:rPr>
        <w:t> </w:t>
      </w:r>
      <w:r>
        <w:rPr/>
        <w:t>and growth. The model also applies mathematical formulas to business enterprises or products to calculate potential growth and earnings.</w:t>
      </w:r>
    </w:p>
    <w:p>
      <w:pPr>
        <w:pStyle w:val="BodyText"/>
        <w:spacing w:line="480" w:lineRule="auto" w:before="159"/>
        <w:ind w:left="400" w:right="1316"/>
        <w:jc w:val="both"/>
      </w:pPr>
      <w:r>
        <w:rPr/>
        <w:t>The BCG growth matrix part of the model classifies each product as a ‘cash cow’, ‘problem child’,</w:t>
      </w:r>
      <w:r>
        <w:rPr>
          <w:spacing w:val="-1"/>
        </w:rPr>
        <w:t> </w:t>
      </w:r>
      <w:r>
        <w:rPr/>
        <w:t>‘star’</w:t>
      </w:r>
      <w:r>
        <w:rPr>
          <w:spacing w:val="-2"/>
        </w:rPr>
        <w:t> </w:t>
      </w:r>
      <w:r>
        <w:rPr/>
        <w:t>or</w:t>
      </w:r>
      <w:r>
        <w:rPr>
          <w:spacing w:val="-2"/>
        </w:rPr>
        <w:t> </w:t>
      </w:r>
      <w:r>
        <w:rPr/>
        <w:t>‘dog’.</w:t>
      </w:r>
      <w:r>
        <w:rPr>
          <w:spacing w:val="-1"/>
        </w:rPr>
        <w:t> </w:t>
      </w:r>
      <w:r>
        <w:rPr/>
        <w:t>‘Cash</w:t>
      </w:r>
      <w:r>
        <w:rPr>
          <w:spacing w:val="-1"/>
        </w:rPr>
        <w:t> </w:t>
      </w:r>
      <w:r>
        <w:rPr/>
        <w:t>cows’</w:t>
      </w:r>
      <w:r>
        <w:rPr>
          <w:spacing w:val="-2"/>
        </w:rPr>
        <w:t> </w:t>
      </w:r>
      <w:r>
        <w:rPr/>
        <w:t>represent</w:t>
      </w:r>
      <w:r>
        <w:rPr>
          <w:spacing w:val="-1"/>
        </w:rPr>
        <w:t> </w:t>
      </w:r>
      <w:r>
        <w:rPr/>
        <w:t>product</w:t>
      </w:r>
      <w:r>
        <w:rPr>
          <w:spacing w:val="-1"/>
        </w:rPr>
        <w:t> </w:t>
      </w:r>
      <w:r>
        <w:rPr/>
        <w:t>lines</w:t>
      </w:r>
      <w:r>
        <w:rPr>
          <w:spacing w:val="-1"/>
        </w:rPr>
        <w:t> </w:t>
      </w:r>
      <w:r>
        <w:rPr/>
        <w:t>that</w:t>
      </w:r>
      <w:r>
        <w:rPr>
          <w:spacing w:val="-1"/>
        </w:rPr>
        <w:t> </w:t>
      </w:r>
      <w:r>
        <w:rPr/>
        <w:t>bring</w:t>
      </w:r>
      <w:r>
        <w:rPr>
          <w:spacing w:val="-3"/>
        </w:rPr>
        <w:t> </w:t>
      </w:r>
      <w:r>
        <w:rPr/>
        <w:t>in</w:t>
      </w:r>
      <w:r>
        <w:rPr>
          <w:spacing w:val="-1"/>
        </w:rPr>
        <w:t> </w:t>
      </w:r>
      <w:r>
        <w:rPr/>
        <w:t>a</w:t>
      </w:r>
      <w:r>
        <w:rPr>
          <w:spacing w:val="-2"/>
        </w:rPr>
        <w:t> </w:t>
      </w:r>
      <w:r>
        <w:rPr/>
        <w:t>high</w:t>
      </w:r>
      <w:r>
        <w:rPr>
          <w:spacing w:val="-1"/>
        </w:rPr>
        <w:t> </w:t>
      </w:r>
      <w:r>
        <w:rPr/>
        <w:t>income</w:t>
      </w:r>
      <w:r>
        <w:rPr>
          <w:spacing w:val="-2"/>
        </w:rPr>
        <w:t> </w:t>
      </w:r>
      <w:r>
        <w:rPr/>
        <w:t>at</w:t>
      </w:r>
      <w:r>
        <w:rPr>
          <w:spacing w:val="-1"/>
        </w:rPr>
        <w:t> </w:t>
      </w:r>
      <w:r>
        <w:rPr/>
        <w:t>low</w:t>
      </w:r>
      <w:r>
        <w:rPr>
          <w:spacing w:val="-2"/>
        </w:rPr>
        <w:t> </w:t>
      </w:r>
      <w:r>
        <w:rPr/>
        <w:t>cost to the company, leaving plenty of money to put to other uses. ‘Star’ product lines may bring in some</w:t>
      </w:r>
      <w:r>
        <w:rPr>
          <w:spacing w:val="-1"/>
        </w:rPr>
        <w:t> </w:t>
      </w:r>
      <w:r>
        <w:rPr/>
        <w:t>profits but require more</w:t>
      </w:r>
      <w:r>
        <w:rPr>
          <w:spacing w:val="-1"/>
        </w:rPr>
        <w:t> </w:t>
      </w:r>
      <w:r>
        <w:rPr/>
        <w:t>investment to maintain their</w:t>
      </w:r>
      <w:r>
        <w:rPr>
          <w:spacing w:val="-1"/>
        </w:rPr>
        <w:t> </w:t>
      </w:r>
      <w:r>
        <w:rPr/>
        <w:t>market share. These</w:t>
      </w:r>
      <w:r>
        <w:rPr>
          <w:spacing w:val="-1"/>
        </w:rPr>
        <w:t> </w:t>
      </w:r>
      <w:r>
        <w:rPr/>
        <w:t>are</w:t>
      </w:r>
      <w:r>
        <w:rPr>
          <w:spacing w:val="-1"/>
        </w:rPr>
        <w:t> </w:t>
      </w:r>
      <w:r>
        <w:rPr/>
        <w:t>products with the potential to become future ‘cash cows’ if the company invests in them wisely.</w:t>
      </w:r>
    </w:p>
    <w:p>
      <w:pPr>
        <w:pStyle w:val="BodyText"/>
        <w:spacing w:line="480" w:lineRule="auto" w:before="161"/>
        <w:ind w:left="400" w:right="1319"/>
        <w:jc w:val="both"/>
      </w:pPr>
      <w:r>
        <w:rPr/>
        <w:t>‘Problem</w:t>
      </w:r>
      <w:r>
        <w:rPr>
          <w:spacing w:val="-3"/>
        </w:rPr>
        <w:t> </w:t>
      </w:r>
      <w:r>
        <w:rPr/>
        <w:t>children’</w:t>
      </w:r>
      <w:r>
        <w:rPr>
          <w:spacing w:val="-4"/>
        </w:rPr>
        <w:t> </w:t>
      </w:r>
      <w:r>
        <w:rPr/>
        <w:t>do</w:t>
      </w:r>
      <w:r>
        <w:rPr>
          <w:spacing w:val="-3"/>
        </w:rPr>
        <w:t> </w:t>
      </w:r>
      <w:r>
        <w:rPr/>
        <w:t>not</w:t>
      </w:r>
      <w:r>
        <w:rPr>
          <w:spacing w:val="-3"/>
        </w:rPr>
        <w:t> </w:t>
      </w:r>
      <w:r>
        <w:rPr/>
        <w:t>generate</w:t>
      </w:r>
      <w:r>
        <w:rPr>
          <w:spacing w:val="-4"/>
        </w:rPr>
        <w:t> </w:t>
      </w:r>
      <w:r>
        <w:rPr/>
        <w:t>cash</w:t>
      </w:r>
      <w:r>
        <w:rPr>
          <w:spacing w:val="-1"/>
        </w:rPr>
        <w:t> </w:t>
      </w:r>
      <w:r>
        <w:rPr/>
        <w:t>flow</w:t>
      </w:r>
      <w:r>
        <w:rPr>
          <w:spacing w:val="-4"/>
        </w:rPr>
        <w:t> </w:t>
      </w:r>
      <w:r>
        <w:rPr/>
        <w:t>and</w:t>
      </w:r>
      <w:r>
        <w:rPr>
          <w:spacing w:val="-1"/>
        </w:rPr>
        <w:t> </w:t>
      </w:r>
      <w:r>
        <w:rPr/>
        <w:t>require</w:t>
      </w:r>
      <w:r>
        <w:rPr>
          <w:spacing w:val="-4"/>
        </w:rPr>
        <w:t> </w:t>
      </w:r>
      <w:r>
        <w:rPr/>
        <w:t>more</w:t>
      </w:r>
      <w:r>
        <w:rPr>
          <w:spacing w:val="-4"/>
        </w:rPr>
        <w:t> </w:t>
      </w:r>
      <w:r>
        <w:rPr/>
        <w:t>investment</w:t>
      </w:r>
      <w:r>
        <w:rPr>
          <w:spacing w:val="-1"/>
        </w:rPr>
        <w:t> </w:t>
      </w:r>
      <w:r>
        <w:rPr/>
        <w:t>but</w:t>
      </w:r>
      <w:r>
        <w:rPr>
          <w:spacing w:val="-3"/>
        </w:rPr>
        <w:t> </w:t>
      </w:r>
      <w:r>
        <w:rPr/>
        <w:t>still</w:t>
      </w:r>
      <w:r>
        <w:rPr>
          <w:spacing w:val="-3"/>
        </w:rPr>
        <w:t> </w:t>
      </w:r>
      <w:r>
        <w:rPr/>
        <w:t>have</w:t>
      </w:r>
      <w:r>
        <w:rPr>
          <w:spacing w:val="-4"/>
        </w:rPr>
        <w:t> </w:t>
      </w:r>
      <w:r>
        <w:rPr/>
        <w:t>potential to grow. These are the products to watch, as they</w:t>
      </w:r>
      <w:r>
        <w:rPr>
          <w:spacing w:val="-1"/>
        </w:rPr>
        <w:t> </w:t>
      </w:r>
      <w:r>
        <w:rPr/>
        <w:t>can eventually</w:t>
      </w:r>
      <w:r>
        <w:rPr>
          <w:spacing w:val="-3"/>
        </w:rPr>
        <w:t> </w:t>
      </w:r>
      <w:r>
        <w:rPr/>
        <w:t>become either ‘stars’ then ‘cash cows’ or ‘dogs’. ‘Dog’ products may generate some income or loss but have slow-growing markets, making them poor continuing investments for a company’s dollar (Hirsh, 2014).</w:t>
      </w:r>
    </w:p>
    <w:p>
      <w:pPr>
        <w:spacing w:after="0" w:line="480" w:lineRule="auto"/>
        <w:jc w:val="both"/>
        <w:sectPr>
          <w:pgSz w:w="12240" w:h="15840"/>
          <w:pgMar w:header="0" w:footer="1017" w:top="1360" w:bottom="1200" w:left="1040" w:right="120"/>
        </w:sectPr>
      </w:pPr>
    </w:p>
    <w:p>
      <w:pPr>
        <w:spacing w:before="76"/>
        <w:ind w:left="400" w:right="0" w:firstLine="0"/>
        <w:jc w:val="both"/>
        <w:rPr>
          <w:b/>
          <w:i/>
          <w:sz w:val="24"/>
        </w:rPr>
      </w:pPr>
      <w:r>
        <w:rPr>
          <w:b/>
          <w:sz w:val="24"/>
        </w:rPr>
        <w:t>3.8.2</w:t>
      </w:r>
      <w:r>
        <w:rPr>
          <w:b/>
          <w:spacing w:val="-1"/>
          <w:sz w:val="24"/>
        </w:rPr>
        <w:t> </w:t>
      </w:r>
      <w:r>
        <w:rPr>
          <w:b/>
          <w:sz w:val="24"/>
        </w:rPr>
        <w:t>5 </w:t>
      </w:r>
      <w:r>
        <w:rPr>
          <w:b/>
          <w:i/>
          <w:sz w:val="24"/>
        </w:rPr>
        <w:t>New</w:t>
      </w:r>
      <w:r>
        <w:rPr>
          <w:b/>
          <w:i/>
          <w:spacing w:val="-1"/>
          <w:sz w:val="24"/>
        </w:rPr>
        <w:t> </w:t>
      </w:r>
      <w:r>
        <w:rPr>
          <w:b/>
          <w:i/>
          <w:sz w:val="24"/>
        </w:rPr>
        <w:t>BCG</w:t>
      </w:r>
      <w:r>
        <w:rPr>
          <w:b/>
          <w:i/>
          <w:spacing w:val="-1"/>
          <w:sz w:val="24"/>
        </w:rPr>
        <w:t> </w:t>
      </w:r>
      <w:r>
        <w:rPr>
          <w:b/>
          <w:i/>
          <w:spacing w:val="-2"/>
          <w:sz w:val="24"/>
        </w:rPr>
        <w:t>matrix</w:t>
      </w:r>
    </w:p>
    <w:p>
      <w:pPr>
        <w:pStyle w:val="BodyText"/>
        <w:spacing w:before="156"/>
        <w:rPr>
          <w:b/>
          <w:i/>
        </w:rPr>
      </w:pPr>
    </w:p>
    <w:p>
      <w:pPr>
        <w:pStyle w:val="BodyText"/>
        <w:spacing w:line="480" w:lineRule="auto"/>
        <w:ind w:left="400" w:right="1319"/>
        <w:jc w:val="both"/>
      </w:pPr>
      <w:r>
        <w:rPr/>
        <w:t>New BCG matrix is used to characterize the products (services), which the enterprise provides.</w:t>
      </w:r>
      <w:r>
        <w:rPr>
          <w:spacing w:val="40"/>
        </w:rPr>
        <w:t> </w:t>
      </w:r>
      <w:r>
        <w:rPr/>
        <w:t>In this model, two factors are interacted: number of competitive advantages of products</w:t>
      </w:r>
      <w:r>
        <w:rPr>
          <w:spacing w:val="40"/>
        </w:rPr>
        <w:t> </w:t>
      </w:r>
      <w:r>
        <w:rPr/>
        <w:t>(services) and the importance of competitive advantages in general.</w:t>
      </w:r>
    </w:p>
    <w:p>
      <w:pPr>
        <w:pStyle w:val="Heading3"/>
        <w:numPr>
          <w:ilvl w:val="3"/>
          <w:numId w:val="22"/>
        </w:numPr>
        <w:tabs>
          <w:tab w:pos="1120" w:val="left" w:leader="none"/>
        </w:tabs>
        <w:spacing w:line="240" w:lineRule="auto" w:before="233" w:after="0"/>
        <w:ind w:left="1120" w:right="0" w:hanging="720"/>
        <w:jc w:val="both"/>
      </w:pPr>
      <w:r>
        <w:rPr/>
        <w:t>GE/</w:t>
      </w:r>
      <w:r>
        <w:rPr>
          <w:spacing w:val="-2"/>
        </w:rPr>
        <w:t> </w:t>
      </w:r>
      <w:r>
        <w:rPr/>
        <w:t>McKinsey</w:t>
      </w:r>
      <w:r>
        <w:rPr>
          <w:spacing w:val="-2"/>
        </w:rPr>
        <w:t> matrix</w:t>
      </w:r>
    </w:p>
    <w:p>
      <w:pPr>
        <w:pStyle w:val="BodyText"/>
        <w:spacing w:line="480" w:lineRule="auto" w:before="272"/>
        <w:ind w:left="400" w:right="1319"/>
        <w:jc w:val="both"/>
      </w:pPr>
      <w:r>
        <w:rPr/>
        <w:t>McKinsey &amp; Company developed a nine-cell portfolio matrix as a tool for screening GE’s large portfolio of strategic business units (SBU). This business screen became known as the</w:t>
      </w:r>
    </w:p>
    <w:p>
      <w:pPr>
        <w:pStyle w:val="BodyText"/>
        <w:spacing w:before="161"/>
        <w:ind w:left="400"/>
        <w:jc w:val="both"/>
      </w:pPr>
      <w:r>
        <w:rPr/>
        <w:t>GE/</w:t>
      </w:r>
      <w:r>
        <w:rPr>
          <w:spacing w:val="-1"/>
        </w:rPr>
        <w:t> </w:t>
      </w:r>
      <w:r>
        <w:rPr/>
        <w:t>McKinsey</w:t>
      </w:r>
      <w:r>
        <w:rPr>
          <w:spacing w:val="-6"/>
        </w:rPr>
        <w:t> </w:t>
      </w:r>
      <w:r>
        <w:rPr/>
        <w:t>matrix</w:t>
      </w:r>
      <w:r>
        <w:rPr>
          <w:spacing w:val="1"/>
        </w:rPr>
        <w:t> </w:t>
      </w:r>
      <w:r>
        <w:rPr/>
        <w:t>and</w:t>
      </w:r>
      <w:r>
        <w:rPr>
          <w:spacing w:val="-1"/>
        </w:rPr>
        <w:t> </w:t>
      </w:r>
      <w:r>
        <w:rPr/>
        <w:t>is</w:t>
      </w:r>
      <w:r>
        <w:rPr>
          <w:spacing w:val="-1"/>
        </w:rPr>
        <w:t> </w:t>
      </w:r>
      <w:r>
        <w:rPr/>
        <w:t>shown </w:t>
      </w:r>
      <w:r>
        <w:rPr>
          <w:spacing w:val="-2"/>
        </w:rPr>
        <w:t>below:</w:t>
      </w:r>
    </w:p>
    <w:p>
      <w:pPr>
        <w:pStyle w:val="BodyText"/>
        <w:spacing w:before="160"/>
      </w:pPr>
    </w:p>
    <w:p>
      <w:pPr>
        <w:pStyle w:val="BodyText"/>
        <w:spacing w:line="480" w:lineRule="auto"/>
        <w:ind w:left="399" w:right="1318"/>
        <w:jc w:val="both"/>
      </w:pPr>
      <w:r>
        <w:rPr/>
        <w:t>The GE/ McKinsey matrix is similar to the BCG growth-share matrix in that it maps strategic business units on a grid of the industry and the SBU’s position in the industry. The GE matrix, however, attempts to improve upon the BCG matrix in the following two ways:</w:t>
      </w:r>
    </w:p>
    <w:p>
      <w:pPr>
        <w:pStyle w:val="ListParagraph"/>
        <w:numPr>
          <w:ilvl w:val="0"/>
          <w:numId w:val="23"/>
        </w:numPr>
        <w:tabs>
          <w:tab w:pos="579" w:val="left" w:leader="none"/>
        </w:tabs>
        <w:spacing w:line="240" w:lineRule="auto" w:before="159" w:after="0"/>
        <w:ind w:left="579" w:right="0" w:hanging="180"/>
        <w:jc w:val="both"/>
        <w:rPr>
          <w:sz w:val="24"/>
        </w:rPr>
      </w:pPr>
      <w:r>
        <w:rPr>
          <w:sz w:val="24"/>
        </w:rPr>
        <w:t>The</w:t>
      </w:r>
      <w:r>
        <w:rPr>
          <w:spacing w:val="-5"/>
          <w:sz w:val="24"/>
        </w:rPr>
        <w:t> </w:t>
      </w:r>
      <w:r>
        <w:rPr>
          <w:sz w:val="24"/>
        </w:rPr>
        <w:t>GE</w:t>
      </w:r>
      <w:r>
        <w:rPr>
          <w:spacing w:val="-3"/>
          <w:sz w:val="24"/>
        </w:rPr>
        <w:t> </w:t>
      </w:r>
      <w:r>
        <w:rPr>
          <w:sz w:val="24"/>
        </w:rPr>
        <w:t>matrix</w:t>
      </w:r>
      <w:r>
        <w:rPr>
          <w:spacing w:val="1"/>
          <w:sz w:val="24"/>
        </w:rPr>
        <w:t> </w:t>
      </w:r>
      <w:r>
        <w:rPr>
          <w:sz w:val="24"/>
        </w:rPr>
        <w:t>generalises</w:t>
      </w:r>
      <w:r>
        <w:rPr>
          <w:spacing w:val="-2"/>
          <w:sz w:val="24"/>
        </w:rPr>
        <w:t> </w:t>
      </w:r>
      <w:r>
        <w:rPr>
          <w:sz w:val="24"/>
        </w:rPr>
        <w:t>the</w:t>
      </w:r>
      <w:r>
        <w:rPr>
          <w:spacing w:val="-2"/>
          <w:sz w:val="24"/>
        </w:rPr>
        <w:t> </w:t>
      </w:r>
      <w:r>
        <w:rPr>
          <w:sz w:val="24"/>
        </w:rPr>
        <w:t>axes</w:t>
      </w:r>
      <w:r>
        <w:rPr>
          <w:spacing w:val="-2"/>
          <w:sz w:val="24"/>
        </w:rPr>
        <w:t> </w:t>
      </w:r>
      <w:r>
        <w:rPr>
          <w:sz w:val="24"/>
        </w:rPr>
        <w:t>as</w:t>
      </w:r>
      <w:r>
        <w:rPr>
          <w:spacing w:val="-1"/>
          <w:sz w:val="24"/>
        </w:rPr>
        <w:t> </w:t>
      </w:r>
      <w:r>
        <w:rPr>
          <w:sz w:val="24"/>
        </w:rPr>
        <w:t>‘Industry</w:t>
      </w:r>
      <w:r>
        <w:rPr>
          <w:spacing w:val="-5"/>
          <w:sz w:val="24"/>
        </w:rPr>
        <w:t> </w:t>
      </w:r>
      <w:r>
        <w:rPr>
          <w:sz w:val="24"/>
        </w:rPr>
        <w:t>Attractiveness’ and</w:t>
      </w:r>
      <w:r>
        <w:rPr>
          <w:spacing w:val="-2"/>
          <w:sz w:val="24"/>
        </w:rPr>
        <w:t> </w:t>
      </w:r>
      <w:r>
        <w:rPr>
          <w:sz w:val="24"/>
        </w:rPr>
        <w:t>‘Business</w:t>
      </w:r>
      <w:r>
        <w:rPr>
          <w:spacing w:val="-1"/>
          <w:sz w:val="24"/>
        </w:rPr>
        <w:t> </w:t>
      </w:r>
      <w:r>
        <w:rPr>
          <w:spacing w:val="-4"/>
          <w:sz w:val="24"/>
        </w:rPr>
        <w:t>Unit</w:t>
      </w:r>
    </w:p>
    <w:p>
      <w:pPr>
        <w:pStyle w:val="BodyText"/>
        <w:spacing w:before="161"/>
      </w:pPr>
    </w:p>
    <w:p>
      <w:pPr>
        <w:pStyle w:val="BodyText"/>
        <w:spacing w:line="480" w:lineRule="auto"/>
        <w:ind w:left="399" w:right="1313"/>
        <w:jc w:val="both"/>
      </w:pPr>
      <w:r>
        <w:rPr/>
        <w:t>Strength’ whereas the BCG matrix uses the market growth rate as a proxy for industry attractiveness and relative market share as a proxy for the strength of the business unit.</w:t>
      </w:r>
    </w:p>
    <w:p>
      <w:pPr>
        <w:pStyle w:val="ListParagraph"/>
        <w:numPr>
          <w:ilvl w:val="0"/>
          <w:numId w:val="23"/>
        </w:numPr>
        <w:tabs>
          <w:tab w:pos="579" w:val="left" w:leader="none"/>
        </w:tabs>
        <w:spacing w:line="240" w:lineRule="auto" w:before="161" w:after="0"/>
        <w:ind w:left="579" w:right="0" w:hanging="180"/>
        <w:jc w:val="both"/>
        <w:rPr>
          <w:sz w:val="24"/>
        </w:rPr>
      </w:pPr>
      <w:r>
        <w:rPr>
          <w:sz w:val="24"/>
        </w:rPr>
        <w:t>The</w:t>
      </w:r>
      <w:r>
        <w:rPr>
          <w:spacing w:val="-4"/>
          <w:sz w:val="24"/>
        </w:rPr>
        <w:t> </w:t>
      </w:r>
      <w:r>
        <w:rPr>
          <w:sz w:val="24"/>
        </w:rPr>
        <w:t>GE</w:t>
      </w:r>
      <w:r>
        <w:rPr>
          <w:spacing w:val="-2"/>
          <w:sz w:val="24"/>
        </w:rPr>
        <w:t> </w:t>
      </w:r>
      <w:r>
        <w:rPr>
          <w:sz w:val="24"/>
        </w:rPr>
        <w:t>matrix</w:t>
      </w:r>
      <w:r>
        <w:rPr>
          <w:spacing w:val="1"/>
          <w:sz w:val="24"/>
        </w:rPr>
        <w:t> </w:t>
      </w:r>
      <w:r>
        <w:rPr>
          <w:sz w:val="24"/>
        </w:rPr>
        <w:t>has</w:t>
      </w:r>
      <w:r>
        <w:rPr>
          <w:spacing w:val="-2"/>
          <w:sz w:val="24"/>
        </w:rPr>
        <w:t> </w:t>
      </w:r>
      <w:r>
        <w:rPr>
          <w:sz w:val="24"/>
        </w:rPr>
        <w:t>nine</w:t>
      </w:r>
      <w:r>
        <w:rPr>
          <w:spacing w:val="-1"/>
          <w:sz w:val="24"/>
        </w:rPr>
        <w:t> </w:t>
      </w:r>
      <w:r>
        <w:rPr>
          <w:sz w:val="24"/>
        </w:rPr>
        <w:t>cells</w:t>
      </w:r>
      <w:r>
        <w:rPr>
          <w:spacing w:val="-1"/>
          <w:sz w:val="24"/>
        </w:rPr>
        <w:t> </w:t>
      </w:r>
      <w:r>
        <w:rPr>
          <w:sz w:val="24"/>
        </w:rPr>
        <w:t>vs</w:t>
      </w:r>
      <w:r>
        <w:rPr>
          <w:spacing w:val="-1"/>
          <w:sz w:val="24"/>
        </w:rPr>
        <w:t> </w:t>
      </w:r>
      <w:r>
        <w:rPr>
          <w:sz w:val="24"/>
        </w:rPr>
        <w:t>four</w:t>
      </w:r>
      <w:r>
        <w:rPr>
          <w:spacing w:val="-1"/>
          <w:sz w:val="24"/>
        </w:rPr>
        <w:t> </w:t>
      </w:r>
      <w:r>
        <w:rPr>
          <w:sz w:val="24"/>
        </w:rPr>
        <w:t>cells</w:t>
      </w:r>
      <w:r>
        <w:rPr>
          <w:spacing w:val="-1"/>
          <w:sz w:val="24"/>
        </w:rPr>
        <w:t> </w:t>
      </w:r>
      <w:r>
        <w:rPr>
          <w:sz w:val="24"/>
        </w:rPr>
        <w:t>in</w:t>
      </w:r>
      <w:r>
        <w:rPr>
          <w:spacing w:val="-1"/>
          <w:sz w:val="24"/>
        </w:rPr>
        <w:t> </w:t>
      </w:r>
      <w:r>
        <w:rPr>
          <w:sz w:val="24"/>
        </w:rPr>
        <w:t>the</w:t>
      </w:r>
      <w:r>
        <w:rPr>
          <w:spacing w:val="-2"/>
          <w:sz w:val="24"/>
        </w:rPr>
        <w:t> </w:t>
      </w:r>
      <w:r>
        <w:rPr>
          <w:sz w:val="24"/>
        </w:rPr>
        <w:t>BCG</w:t>
      </w:r>
      <w:r>
        <w:rPr>
          <w:spacing w:val="-1"/>
          <w:sz w:val="24"/>
        </w:rPr>
        <w:t> </w:t>
      </w:r>
      <w:r>
        <w:rPr>
          <w:spacing w:val="-2"/>
          <w:sz w:val="24"/>
        </w:rPr>
        <w:t>matrix.</w:t>
      </w:r>
    </w:p>
    <w:p>
      <w:pPr>
        <w:pStyle w:val="BodyText"/>
        <w:spacing w:before="141"/>
      </w:pPr>
    </w:p>
    <w:p>
      <w:pPr>
        <w:pStyle w:val="Heading3"/>
        <w:numPr>
          <w:ilvl w:val="3"/>
          <w:numId w:val="22"/>
        </w:numPr>
        <w:tabs>
          <w:tab w:pos="1120" w:val="left" w:leader="none"/>
        </w:tabs>
        <w:spacing w:line="240" w:lineRule="auto" w:before="0" w:after="0"/>
        <w:ind w:left="1120" w:right="0" w:hanging="720"/>
        <w:jc w:val="both"/>
      </w:pPr>
      <w:r>
        <w:rPr/>
        <w:t>Thompson</w:t>
      </w:r>
      <w:r>
        <w:rPr>
          <w:spacing w:val="-2"/>
        </w:rPr>
        <w:t> </w:t>
      </w:r>
      <w:r>
        <w:rPr/>
        <w:t>and</w:t>
      </w:r>
      <w:r>
        <w:rPr>
          <w:spacing w:val="-5"/>
        </w:rPr>
        <w:t> </w:t>
      </w:r>
      <w:r>
        <w:rPr/>
        <w:t>Striklend</w:t>
      </w:r>
      <w:r>
        <w:rPr>
          <w:spacing w:val="-4"/>
        </w:rPr>
        <w:t> </w:t>
      </w:r>
      <w:r>
        <w:rPr>
          <w:spacing w:val="-2"/>
        </w:rPr>
        <w:t>method</w:t>
      </w:r>
    </w:p>
    <w:p>
      <w:pPr>
        <w:pStyle w:val="BodyText"/>
        <w:spacing w:line="480" w:lineRule="auto" w:before="272"/>
        <w:ind w:left="400" w:right="1314"/>
        <w:jc w:val="both"/>
      </w:pPr>
      <w:r>
        <w:rPr/>
        <w:t>Thompson and Striklend method foresees the choice of alternatives of corporate level depending on two parameters: rates of market growth (rapid or slow) and competitive position of enterprise (strong or weak). Possible strategic alternatives in the fields of the matrix are placed in order to reduce their attractiveness.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According to this model, on the X axis the competitive position of business is estimated and on the Y axis—the dynamics of market growth. There are given strategies in the four quadrants of the matrix, each of which specifies the provision of strategic business units in the two measured spaces of matrix.</w:t>
      </w:r>
    </w:p>
    <w:p>
      <w:pPr>
        <w:pStyle w:val="Heading3"/>
        <w:numPr>
          <w:ilvl w:val="3"/>
          <w:numId w:val="22"/>
        </w:numPr>
        <w:tabs>
          <w:tab w:pos="1180" w:val="left" w:leader="none"/>
        </w:tabs>
        <w:spacing w:line="240" w:lineRule="auto" w:before="189" w:after="0"/>
        <w:ind w:left="1180" w:right="0" w:hanging="780"/>
        <w:jc w:val="both"/>
      </w:pPr>
      <w:r>
        <w:rPr/>
        <w:t>‘7S’</w:t>
      </w:r>
      <w:r>
        <w:rPr>
          <w:spacing w:val="-3"/>
        </w:rPr>
        <w:t> </w:t>
      </w:r>
      <w:r>
        <w:rPr/>
        <w:t>McKinsey</w:t>
      </w:r>
      <w:r>
        <w:rPr>
          <w:spacing w:val="-2"/>
        </w:rPr>
        <w:t> model</w:t>
      </w:r>
    </w:p>
    <w:p>
      <w:pPr>
        <w:pStyle w:val="BodyText"/>
        <w:spacing w:line="480" w:lineRule="auto" w:before="272"/>
        <w:ind w:left="399" w:right="1319"/>
        <w:jc w:val="both"/>
      </w:pPr>
      <w:r>
        <w:rPr/>
        <w:t>‘7S’ McKinsey model is a way of understanding the major internal factors, influencing its</w:t>
      </w:r>
      <w:r>
        <w:rPr>
          <w:spacing w:val="40"/>
        </w:rPr>
        <w:t> </w:t>
      </w:r>
      <w:r>
        <w:rPr/>
        <w:t>present situation and future development. A conceptual diagram of this model includes seven factors</w:t>
      </w:r>
      <w:r>
        <w:rPr>
          <w:spacing w:val="-1"/>
        </w:rPr>
        <w:t> </w:t>
      </w:r>
      <w:r>
        <w:rPr/>
        <w:t>for</w:t>
      </w:r>
      <w:r>
        <w:rPr>
          <w:spacing w:val="-2"/>
        </w:rPr>
        <w:t> </w:t>
      </w:r>
      <w:r>
        <w:rPr/>
        <w:t>success</w:t>
      </w:r>
      <w:r>
        <w:rPr>
          <w:spacing w:val="-1"/>
        </w:rPr>
        <w:t> </w:t>
      </w:r>
      <w:r>
        <w:rPr/>
        <w:t>of</w:t>
      </w:r>
      <w:r>
        <w:rPr>
          <w:spacing w:val="-2"/>
        </w:rPr>
        <w:t> </w:t>
      </w:r>
      <w:r>
        <w:rPr/>
        <w:t>business</w:t>
      </w:r>
      <w:r>
        <w:rPr>
          <w:spacing w:val="-1"/>
        </w:rPr>
        <w:t> </w:t>
      </w:r>
      <w:r>
        <w:rPr/>
        <w:t>entities:</w:t>
      </w:r>
      <w:r>
        <w:rPr>
          <w:spacing w:val="-1"/>
        </w:rPr>
        <w:t> </w:t>
      </w:r>
      <w:r>
        <w:rPr/>
        <w:t>strategy,</w:t>
      </w:r>
      <w:r>
        <w:rPr>
          <w:spacing w:val="-1"/>
        </w:rPr>
        <w:t> </w:t>
      </w:r>
      <w:r>
        <w:rPr/>
        <w:t>skills,</w:t>
      </w:r>
      <w:r>
        <w:rPr>
          <w:spacing w:val="-1"/>
        </w:rPr>
        <w:t> </w:t>
      </w:r>
      <w:r>
        <w:rPr/>
        <w:t>generally</w:t>
      </w:r>
      <w:r>
        <w:rPr>
          <w:spacing w:val="-6"/>
        </w:rPr>
        <w:t> </w:t>
      </w:r>
      <w:r>
        <w:rPr/>
        <w:t>accepted</w:t>
      </w:r>
      <w:r>
        <w:rPr>
          <w:spacing w:val="-1"/>
        </w:rPr>
        <w:t> </w:t>
      </w:r>
      <w:r>
        <w:rPr/>
        <w:t>values</w:t>
      </w:r>
      <w:r>
        <w:rPr>
          <w:spacing w:val="-1"/>
        </w:rPr>
        <w:t> </w:t>
      </w:r>
      <w:r>
        <w:rPr/>
        <w:t>(shared</w:t>
      </w:r>
      <w:r>
        <w:rPr>
          <w:spacing w:val="-1"/>
        </w:rPr>
        <w:t> </w:t>
      </w:r>
      <w:r>
        <w:rPr/>
        <w:t>values), structure, system, staff, cultural identity (style).</w:t>
      </w:r>
    </w:p>
    <w:p>
      <w:pPr>
        <w:pStyle w:val="Heading3"/>
        <w:numPr>
          <w:ilvl w:val="3"/>
          <w:numId w:val="22"/>
        </w:numPr>
        <w:tabs>
          <w:tab w:pos="1120" w:val="left" w:leader="none"/>
        </w:tabs>
        <w:spacing w:line="240" w:lineRule="auto" w:before="163" w:after="0"/>
        <w:ind w:left="1120" w:right="0" w:hanging="720"/>
        <w:jc w:val="both"/>
      </w:pPr>
      <w:r>
        <w:rPr/>
        <w:t>ADL/</w:t>
      </w:r>
      <w:r>
        <w:rPr>
          <w:spacing w:val="-2"/>
        </w:rPr>
        <w:t> </w:t>
      </w:r>
      <w:r>
        <w:rPr/>
        <w:t>LC</w:t>
      </w:r>
      <w:r>
        <w:rPr>
          <w:spacing w:val="-3"/>
        </w:rPr>
        <w:t> </w:t>
      </w:r>
      <w:r>
        <w:rPr>
          <w:spacing w:val="-2"/>
        </w:rPr>
        <w:t>matrix</w:t>
      </w:r>
    </w:p>
    <w:p>
      <w:pPr>
        <w:pStyle w:val="BodyText"/>
        <w:spacing w:before="156"/>
        <w:rPr>
          <w:b/>
          <w:i/>
        </w:rPr>
      </w:pPr>
    </w:p>
    <w:p>
      <w:pPr>
        <w:pStyle w:val="BodyText"/>
        <w:spacing w:line="480" w:lineRule="auto"/>
        <w:ind w:left="400" w:right="1319"/>
        <w:jc w:val="both"/>
      </w:pPr>
      <w:r>
        <w:rPr/>
        <w:t>The concept of the life cycle of the field consistently passes four stages: nucleation, growth (or development), maturity, aging (decline).</w:t>
      </w:r>
      <w:r>
        <w:rPr>
          <w:spacing w:val="40"/>
        </w:rPr>
        <w:t> </w:t>
      </w:r>
      <w:r>
        <w:rPr/>
        <w:t>The main theoretical provision of ADL/ LC model is that a separate kind of business and any</w:t>
      </w:r>
      <w:r>
        <w:rPr>
          <w:spacing w:val="-4"/>
        </w:rPr>
        <w:t> </w:t>
      </w:r>
      <w:r>
        <w:rPr/>
        <w:t>business entity</w:t>
      </w:r>
      <w:r>
        <w:rPr>
          <w:spacing w:val="-6"/>
        </w:rPr>
        <w:t> </w:t>
      </w:r>
      <w:r>
        <w:rPr/>
        <w:t>may</w:t>
      </w:r>
      <w:r>
        <w:rPr>
          <w:spacing w:val="-4"/>
        </w:rPr>
        <w:t> </w:t>
      </w:r>
      <w:r>
        <w:rPr/>
        <w:t>be located on one of these life cycle, and therefore it is necessary to analyze it within that stage.</w:t>
      </w:r>
    </w:p>
    <w:p>
      <w:pPr>
        <w:pStyle w:val="Heading3"/>
        <w:numPr>
          <w:ilvl w:val="3"/>
          <w:numId w:val="22"/>
        </w:numPr>
        <w:tabs>
          <w:tab w:pos="1240" w:val="left" w:leader="none"/>
        </w:tabs>
        <w:spacing w:line="240" w:lineRule="auto" w:before="187" w:after="0"/>
        <w:ind w:left="1240" w:right="0" w:hanging="840"/>
        <w:jc w:val="both"/>
      </w:pPr>
      <w:r>
        <w:rPr/>
        <w:t>Hofer/</w:t>
      </w:r>
      <w:r>
        <w:rPr>
          <w:spacing w:val="-3"/>
        </w:rPr>
        <w:t> </w:t>
      </w:r>
      <w:r>
        <w:rPr/>
        <w:t>Schendel</w:t>
      </w:r>
      <w:r>
        <w:rPr>
          <w:spacing w:val="-2"/>
        </w:rPr>
        <w:t> model</w:t>
      </w:r>
    </w:p>
    <w:p>
      <w:pPr>
        <w:pStyle w:val="BodyText"/>
        <w:spacing w:line="480" w:lineRule="auto" w:before="272"/>
        <w:ind w:left="400" w:right="1318"/>
        <w:jc w:val="both"/>
      </w:pPr>
      <w:r>
        <w:rPr/>
        <w:t>Hofer/ Schendel model is concentrated on the positioning of existing businesses in the matrix of the goods development and determination of ideal set development. It should be noted that there are only two optimal sets of business: buying a new or sale of the old type of business, however, the situation of each business is determined according to the degree of market development and its performance according to competitors.</w:t>
      </w:r>
    </w:p>
    <w:p>
      <w:pPr>
        <w:spacing w:after="0" w:line="480" w:lineRule="auto"/>
        <w:jc w:val="both"/>
        <w:sectPr>
          <w:pgSz w:w="12240" w:h="15840"/>
          <w:pgMar w:header="0" w:footer="1017" w:top="1360" w:bottom="1200" w:left="1040" w:right="120"/>
        </w:sectPr>
      </w:pPr>
    </w:p>
    <w:p>
      <w:pPr>
        <w:pStyle w:val="Heading3"/>
        <w:numPr>
          <w:ilvl w:val="3"/>
          <w:numId w:val="22"/>
        </w:numPr>
        <w:tabs>
          <w:tab w:pos="1240" w:val="left" w:leader="none"/>
        </w:tabs>
        <w:spacing w:line="240" w:lineRule="auto" w:before="76" w:after="0"/>
        <w:ind w:left="1240" w:right="0" w:hanging="840"/>
        <w:jc w:val="both"/>
      </w:pPr>
      <w:r>
        <w:rPr/>
        <w:t>PEST</w:t>
      </w:r>
      <w:r>
        <w:rPr>
          <w:spacing w:val="-2"/>
        </w:rPr>
        <w:t> analysis</w:t>
      </w:r>
    </w:p>
    <w:p>
      <w:pPr>
        <w:pStyle w:val="BodyText"/>
        <w:spacing w:line="480" w:lineRule="auto" w:before="272"/>
        <w:ind w:left="400" w:right="1315"/>
        <w:jc w:val="both"/>
      </w:pPr>
      <w:r>
        <w:rPr/>
        <w:t>The PEST analysis is a useful tool for understanding market growth or decline, and as such the position, potential and direction for a business. PEST is an acronym for Political, Economic, Social and Technological factors, which are used to assess the market for a business or organizational unit. Sometimes it's expanded to include legal and environmental factors and called a PESTLE analysis.</w:t>
      </w:r>
    </w:p>
    <w:p>
      <w:pPr>
        <w:pStyle w:val="BodyText"/>
        <w:spacing w:line="480" w:lineRule="auto"/>
        <w:ind w:left="399" w:right="1316"/>
        <w:jc w:val="both"/>
      </w:pPr>
      <w:r>
        <w:rPr/>
        <w:t>The</w:t>
      </w:r>
      <w:r>
        <w:rPr>
          <w:spacing w:val="40"/>
        </w:rPr>
        <w:t> </w:t>
      </w:r>
      <w:r>
        <w:rPr/>
        <w:t>Political</w:t>
      </w:r>
      <w:r>
        <w:rPr>
          <w:spacing w:val="40"/>
        </w:rPr>
        <w:t> </w:t>
      </w:r>
      <w:r>
        <w:rPr/>
        <w:t>dimension</w:t>
      </w:r>
      <w:r>
        <w:rPr>
          <w:spacing w:val="40"/>
        </w:rPr>
        <w:t> </w:t>
      </w:r>
      <w:r>
        <w:rPr/>
        <w:t>itself</w:t>
      </w:r>
      <w:r>
        <w:rPr>
          <w:spacing w:val="40"/>
        </w:rPr>
        <w:t> </w:t>
      </w:r>
      <w:r>
        <w:rPr/>
        <w:t>represents</w:t>
      </w:r>
      <w:r>
        <w:rPr>
          <w:spacing w:val="40"/>
        </w:rPr>
        <w:t> </w:t>
      </w:r>
      <w:r>
        <w:rPr/>
        <w:t>all</w:t>
      </w:r>
      <w:r>
        <w:rPr>
          <w:spacing w:val="40"/>
        </w:rPr>
        <w:t> </w:t>
      </w:r>
      <w:r>
        <w:rPr/>
        <w:t>the</w:t>
      </w:r>
      <w:r>
        <w:rPr>
          <w:spacing w:val="40"/>
        </w:rPr>
        <w:t> </w:t>
      </w:r>
      <w:r>
        <w:rPr/>
        <w:t>regulations</w:t>
      </w:r>
      <w:r>
        <w:rPr>
          <w:spacing w:val="40"/>
        </w:rPr>
        <w:t> </w:t>
      </w:r>
      <w:r>
        <w:rPr/>
        <w:t>that</w:t>
      </w:r>
      <w:r>
        <w:rPr>
          <w:spacing w:val="40"/>
        </w:rPr>
        <w:t> </w:t>
      </w:r>
      <w:r>
        <w:rPr/>
        <w:t>the</w:t>
      </w:r>
      <w:r>
        <w:rPr>
          <w:spacing w:val="40"/>
        </w:rPr>
        <w:t> </w:t>
      </w:r>
      <w:r>
        <w:rPr/>
        <w:t>government</w:t>
      </w:r>
      <w:r>
        <w:rPr>
          <w:spacing w:val="40"/>
        </w:rPr>
        <w:t> </w:t>
      </w:r>
      <w:r>
        <w:rPr/>
        <w:t>of</w:t>
      </w:r>
      <w:r>
        <w:rPr>
          <w:spacing w:val="40"/>
        </w:rPr>
        <w:t> </w:t>
      </w:r>
      <w:r>
        <w:rPr/>
        <w:t>a</w:t>
      </w:r>
      <w:r>
        <w:rPr>
          <w:spacing w:val="40"/>
        </w:rPr>
        <w:t> </w:t>
      </w:r>
      <w:r>
        <w:rPr/>
        <w:t>country,</w:t>
      </w:r>
      <w:r>
        <w:rPr>
          <w:spacing w:val="80"/>
        </w:rPr>
        <w:t> </w:t>
      </w:r>
      <w:r>
        <w:rPr/>
        <w:t>state</w:t>
      </w:r>
      <w:r>
        <w:rPr>
          <w:spacing w:val="80"/>
        </w:rPr>
        <w:t> </w:t>
      </w:r>
      <w:r>
        <w:rPr/>
        <w:t>or</w:t>
      </w:r>
      <w:r>
        <w:rPr>
          <w:spacing w:val="80"/>
        </w:rPr>
        <w:t> </w:t>
      </w:r>
      <w:r>
        <w:rPr/>
        <w:t>a</w:t>
      </w:r>
      <w:r>
        <w:rPr>
          <w:spacing w:val="80"/>
        </w:rPr>
        <w:t> </w:t>
      </w:r>
      <w:r>
        <w:rPr/>
        <w:t>local</w:t>
      </w:r>
      <w:r>
        <w:rPr>
          <w:spacing w:val="80"/>
        </w:rPr>
        <w:t> </w:t>
      </w:r>
      <w:r>
        <w:rPr/>
        <w:t>community,</w:t>
      </w:r>
      <w:r>
        <w:rPr>
          <w:spacing w:val="80"/>
        </w:rPr>
        <w:t> </w:t>
      </w:r>
      <w:r>
        <w:rPr/>
        <w:t>designs</w:t>
      </w:r>
      <w:r>
        <w:rPr>
          <w:spacing w:val="80"/>
        </w:rPr>
        <w:t> </w:t>
      </w:r>
      <w:r>
        <w:rPr/>
        <w:t>to</w:t>
      </w:r>
      <w:r>
        <w:rPr>
          <w:spacing w:val="80"/>
        </w:rPr>
        <w:t> </w:t>
      </w:r>
      <w:r>
        <w:rPr/>
        <w:t>influence</w:t>
      </w:r>
      <w:r>
        <w:rPr>
          <w:spacing w:val="80"/>
        </w:rPr>
        <w:t> </w:t>
      </w:r>
      <w:r>
        <w:rPr/>
        <w:t>the</w:t>
      </w:r>
      <w:r>
        <w:rPr>
          <w:spacing w:val="80"/>
        </w:rPr>
        <w:t> </w:t>
      </w:r>
      <w:r>
        <w:rPr/>
        <w:t>behavior</w:t>
      </w:r>
      <w:r>
        <w:rPr>
          <w:spacing w:val="80"/>
        </w:rPr>
        <w:t> </w:t>
      </w:r>
      <w:r>
        <w:rPr/>
        <w:t>of</w:t>
      </w:r>
      <w:r>
        <w:rPr>
          <w:spacing w:val="80"/>
        </w:rPr>
        <w:t> </w:t>
      </w:r>
      <w:r>
        <w:rPr/>
        <w:t>a</w:t>
      </w:r>
      <w:r>
        <w:rPr>
          <w:spacing w:val="80"/>
        </w:rPr>
        <w:t> </w:t>
      </w:r>
      <w:r>
        <w:rPr/>
        <w:t>company (Daft,</w:t>
      </w:r>
      <w:r>
        <w:rPr>
          <w:spacing w:val="80"/>
        </w:rPr>
        <w:t> </w:t>
      </w:r>
      <w:r>
        <w:rPr/>
        <w:t>2003). The</w:t>
      </w:r>
      <w:r>
        <w:rPr>
          <w:spacing w:val="80"/>
        </w:rPr>
        <w:t> </w:t>
      </w:r>
      <w:r>
        <w:rPr/>
        <w:t>economic</w:t>
      </w:r>
      <w:r>
        <w:rPr>
          <w:spacing w:val="80"/>
        </w:rPr>
        <w:t> </w:t>
      </w:r>
      <w:r>
        <w:rPr/>
        <w:t>dimension</w:t>
      </w:r>
      <w:r>
        <w:rPr>
          <w:spacing w:val="80"/>
        </w:rPr>
        <w:t> </w:t>
      </w:r>
      <w:r>
        <w:rPr/>
        <w:t>represents</w:t>
      </w:r>
      <w:r>
        <w:rPr>
          <w:spacing w:val="80"/>
        </w:rPr>
        <w:t> </w:t>
      </w:r>
      <w:r>
        <w:rPr/>
        <w:t>the</w:t>
      </w:r>
      <w:r>
        <w:rPr>
          <w:spacing w:val="80"/>
        </w:rPr>
        <w:t> </w:t>
      </w:r>
      <w:r>
        <w:rPr/>
        <w:t>general</w:t>
      </w:r>
      <w:r>
        <w:rPr>
          <w:spacing w:val="80"/>
        </w:rPr>
        <w:t> </w:t>
      </w:r>
      <w:r>
        <w:rPr/>
        <w:t>economic</w:t>
      </w:r>
      <w:r>
        <w:rPr>
          <w:spacing w:val="80"/>
        </w:rPr>
        <w:t> </w:t>
      </w:r>
      <w:r>
        <w:rPr/>
        <w:t>health</w:t>
      </w:r>
      <w:r>
        <w:rPr>
          <w:spacing w:val="80"/>
        </w:rPr>
        <w:t> </w:t>
      </w:r>
      <w:r>
        <w:rPr/>
        <w:t>of</w:t>
      </w:r>
      <w:r>
        <w:rPr>
          <w:spacing w:val="80"/>
        </w:rPr>
        <w:t> </w:t>
      </w:r>
      <w:r>
        <w:rPr/>
        <w:t>a country</w:t>
      </w:r>
      <w:r>
        <w:rPr>
          <w:spacing w:val="40"/>
        </w:rPr>
        <w:t> </w:t>
      </w:r>
      <w:r>
        <w:rPr/>
        <w:t>in</w:t>
      </w:r>
      <w:r>
        <w:rPr>
          <w:spacing w:val="40"/>
        </w:rPr>
        <w:t> </w:t>
      </w:r>
      <w:r>
        <w:rPr/>
        <w:t>which</w:t>
      </w:r>
      <w:r>
        <w:rPr>
          <w:spacing w:val="40"/>
        </w:rPr>
        <w:t> </w:t>
      </w:r>
      <w:r>
        <w:rPr/>
        <w:t>a firm</w:t>
      </w:r>
      <w:r>
        <w:rPr>
          <w:spacing w:val="40"/>
        </w:rPr>
        <w:t> </w:t>
      </w:r>
      <w:r>
        <w:rPr/>
        <w:t>operates</w:t>
      </w:r>
      <w:r>
        <w:rPr>
          <w:spacing w:val="40"/>
        </w:rPr>
        <w:t> </w:t>
      </w:r>
      <w:r>
        <w:rPr/>
        <w:t>(Daft,</w:t>
      </w:r>
      <w:r>
        <w:rPr>
          <w:spacing w:val="40"/>
        </w:rPr>
        <w:t> </w:t>
      </w:r>
      <w:r>
        <w:rPr/>
        <w:t>2003).</w:t>
      </w:r>
      <w:r>
        <w:rPr>
          <w:spacing w:val="40"/>
        </w:rPr>
        <w:t> </w:t>
      </w:r>
      <w:r>
        <w:rPr/>
        <w:t>We</w:t>
      </w:r>
      <w:r>
        <w:rPr>
          <w:spacing w:val="40"/>
        </w:rPr>
        <w:t> </w:t>
      </w:r>
      <w:r>
        <w:rPr/>
        <w:t>can</w:t>
      </w:r>
      <w:r>
        <w:rPr>
          <w:spacing w:val="40"/>
        </w:rPr>
        <w:t> </w:t>
      </w:r>
      <w:r>
        <w:rPr/>
        <w:t>see</w:t>
      </w:r>
      <w:r>
        <w:rPr>
          <w:spacing w:val="40"/>
        </w:rPr>
        <w:t> </w:t>
      </w:r>
      <w:r>
        <w:rPr/>
        <w:t>the</w:t>
      </w:r>
      <w:r>
        <w:rPr>
          <w:spacing w:val="40"/>
        </w:rPr>
        <w:t> </w:t>
      </w:r>
      <w:r>
        <w:rPr/>
        <w:t>economic</w:t>
      </w:r>
      <w:r>
        <w:rPr>
          <w:spacing w:val="40"/>
        </w:rPr>
        <w:t> </w:t>
      </w:r>
      <w:r>
        <w:rPr/>
        <w:t>health</w:t>
      </w:r>
      <w:r>
        <w:rPr>
          <w:spacing w:val="40"/>
        </w:rPr>
        <w:t> </w:t>
      </w:r>
      <w:r>
        <w:rPr/>
        <w:t>of</w:t>
      </w:r>
      <w:r>
        <w:rPr>
          <w:spacing w:val="40"/>
        </w:rPr>
        <w:t> </w:t>
      </w:r>
      <w:r>
        <w:rPr/>
        <w:t>a</w:t>
      </w:r>
      <w:r>
        <w:rPr>
          <w:spacing w:val="80"/>
        </w:rPr>
        <w:t> </w:t>
      </w:r>
      <w:r>
        <w:rPr/>
        <w:t>country</w:t>
      </w:r>
      <w:r>
        <w:rPr>
          <w:spacing w:val="40"/>
        </w:rPr>
        <w:t> </w:t>
      </w:r>
      <w:r>
        <w:rPr/>
        <w:t>via</w:t>
      </w:r>
      <w:r>
        <w:rPr>
          <w:spacing w:val="40"/>
        </w:rPr>
        <w:t> </w:t>
      </w:r>
      <w:r>
        <w:rPr/>
        <w:t>indicators like</w:t>
      </w:r>
      <w:r>
        <w:rPr>
          <w:spacing w:val="40"/>
        </w:rPr>
        <w:t> </w:t>
      </w:r>
      <w:r>
        <w:rPr/>
        <w:t>the</w:t>
      </w:r>
      <w:r>
        <w:rPr>
          <w:spacing w:val="40"/>
        </w:rPr>
        <w:t> </w:t>
      </w:r>
      <w:r>
        <w:rPr/>
        <w:t>gross</w:t>
      </w:r>
      <w:r>
        <w:rPr>
          <w:spacing w:val="40"/>
        </w:rPr>
        <w:t> </w:t>
      </w:r>
      <w:r>
        <w:rPr/>
        <w:t>domestic</w:t>
      </w:r>
      <w:r>
        <w:rPr>
          <w:spacing w:val="40"/>
        </w:rPr>
        <w:t> </w:t>
      </w:r>
      <w:r>
        <w:rPr/>
        <w:t>product</w:t>
      </w:r>
      <w:r>
        <w:rPr>
          <w:spacing w:val="40"/>
        </w:rPr>
        <w:t> </w:t>
      </w:r>
      <w:r>
        <w:rPr/>
        <w:t>(GDP),</w:t>
      </w:r>
      <w:r>
        <w:rPr>
          <w:spacing w:val="40"/>
        </w:rPr>
        <w:t> </w:t>
      </w:r>
      <w:r>
        <w:rPr/>
        <w:t>the</w:t>
      </w:r>
      <w:r>
        <w:rPr>
          <w:spacing w:val="40"/>
        </w:rPr>
        <w:t> </w:t>
      </w:r>
      <w:r>
        <w:rPr/>
        <w:t>growth</w:t>
      </w:r>
      <w:r>
        <w:rPr>
          <w:spacing w:val="40"/>
        </w:rPr>
        <w:t> </w:t>
      </w:r>
      <w:r>
        <w:rPr/>
        <w:t>rate</w:t>
      </w:r>
      <w:r>
        <w:rPr>
          <w:spacing w:val="40"/>
        </w:rPr>
        <w:t> </w:t>
      </w:r>
      <w:r>
        <w:rPr/>
        <w:t>of</w:t>
      </w:r>
      <w:r>
        <w:rPr>
          <w:spacing w:val="40"/>
        </w:rPr>
        <w:t> </w:t>
      </w:r>
      <w:r>
        <w:rPr/>
        <w:t>the aggregate</w:t>
      </w:r>
      <w:r>
        <w:rPr>
          <w:spacing w:val="40"/>
        </w:rPr>
        <w:t> </w:t>
      </w:r>
      <w:r>
        <w:rPr/>
        <w:t>economy</w:t>
      </w:r>
      <w:r>
        <w:rPr>
          <w:spacing w:val="40"/>
        </w:rPr>
        <w:t> </w:t>
      </w:r>
      <w:r>
        <w:rPr/>
        <w:t>and unemployment.</w:t>
      </w:r>
      <w:r>
        <w:rPr>
          <w:spacing w:val="40"/>
        </w:rPr>
        <w:t> </w:t>
      </w:r>
      <w:r>
        <w:rPr/>
        <w:t>The</w:t>
      </w:r>
      <w:r>
        <w:rPr>
          <w:spacing w:val="40"/>
        </w:rPr>
        <w:t> </w:t>
      </w:r>
      <w:r>
        <w:rPr/>
        <w:t>socio-cultural</w:t>
      </w:r>
      <w:r>
        <w:rPr>
          <w:spacing w:val="40"/>
        </w:rPr>
        <w:t> </w:t>
      </w:r>
      <w:r>
        <w:rPr/>
        <w:t>dimension</w:t>
      </w:r>
      <w:r>
        <w:rPr>
          <w:spacing w:val="40"/>
        </w:rPr>
        <w:t> </w:t>
      </w:r>
      <w:r>
        <w:rPr/>
        <w:t>of</w:t>
      </w:r>
      <w:r>
        <w:rPr>
          <w:spacing w:val="40"/>
        </w:rPr>
        <w:t> </w:t>
      </w:r>
      <w:r>
        <w:rPr/>
        <w:t>a</w:t>
      </w:r>
      <w:r>
        <w:rPr>
          <w:spacing w:val="40"/>
        </w:rPr>
        <w:t> </w:t>
      </w:r>
      <w:r>
        <w:rPr/>
        <w:t>firm</w:t>
      </w:r>
      <w:r>
        <w:rPr>
          <w:spacing w:val="40"/>
        </w:rPr>
        <w:t> </w:t>
      </w:r>
      <w:r>
        <w:rPr/>
        <w:t>represents</w:t>
      </w:r>
      <w:r>
        <w:rPr>
          <w:spacing w:val="80"/>
        </w:rPr>
        <w:t> </w:t>
      </w:r>
      <w:r>
        <w:rPr/>
        <w:t>the</w:t>
      </w:r>
      <w:r>
        <w:rPr>
          <w:spacing w:val="80"/>
        </w:rPr>
        <w:t> </w:t>
      </w:r>
      <w:r>
        <w:rPr/>
        <w:t>norms,</w:t>
      </w:r>
      <w:r>
        <w:rPr>
          <w:spacing w:val="80"/>
        </w:rPr>
        <w:t> </w:t>
      </w:r>
      <w:r>
        <w:rPr/>
        <w:t>values</w:t>
      </w:r>
      <w:r>
        <w:rPr>
          <w:spacing w:val="80"/>
        </w:rPr>
        <w:t> </w:t>
      </w:r>
      <w:r>
        <w:rPr/>
        <w:t>and</w:t>
      </w:r>
      <w:r>
        <w:rPr>
          <w:spacing w:val="80"/>
        </w:rPr>
        <w:t> </w:t>
      </w:r>
      <w:r>
        <w:rPr/>
        <w:t>other demographic</w:t>
      </w:r>
      <w:r>
        <w:rPr>
          <w:spacing w:val="80"/>
        </w:rPr>
        <w:t> </w:t>
      </w:r>
      <w:r>
        <w:rPr/>
        <w:t>characteristics</w:t>
      </w:r>
      <w:r>
        <w:rPr>
          <w:spacing w:val="80"/>
        </w:rPr>
        <w:t> </w:t>
      </w:r>
      <w:r>
        <w:rPr/>
        <w:t>of</w:t>
      </w:r>
      <w:r>
        <w:rPr>
          <w:spacing w:val="80"/>
        </w:rPr>
        <w:t> </w:t>
      </w:r>
      <w:r>
        <w:rPr/>
        <w:t>the</w:t>
      </w:r>
      <w:r>
        <w:rPr>
          <w:spacing w:val="80"/>
        </w:rPr>
        <w:t> </w:t>
      </w:r>
      <w:r>
        <w:rPr/>
        <w:t>country</w:t>
      </w:r>
      <w:r>
        <w:rPr>
          <w:spacing w:val="80"/>
        </w:rPr>
        <w:t> </w:t>
      </w:r>
      <w:r>
        <w:rPr/>
        <w:t>in</w:t>
      </w:r>
      <w:r>
        <w:rPr>
          <w:spacing w:val="80"/>
        </w:rPr>
        <w:t> </w:t>
      </w:r>
      <w:r>
        <w:rPr/>
        <w:t>which</w:t>
      </w:r>
      <w:r>
        <w:rPr>
          <w:spacing w:val="80"/>
        </w:rPr>
        <w:t> </w:t>
      </w:r>
      <w:r>
        <w:rPr/>
        <w:t>a company operates (Daft, 2003). The technical</w:t>
      </w:r>
      <w:r>
        <w:rPr>
          <w:spacing w:val="40"/>
        </w:rPr>
        <w:t> </w:t>
      </w:r>
      <w:r>
        <w:rPr/>
        <w:t>dimension of the a firm represents all the</w:t>
      </w:r>
      <w:r>
        <w:rPr>
          <w:spacing w:val="40"/>
        </w:rPr>
        <w:t> </w:t>
      </w:r>
      <w:r>
        <w:rPr/>
        <w:t>scientific</w:t>
      </w:r>
      <w:r>
        <w:rPr>
          <w:spacing w:val="40"/>
        </w:rPr>
        <w:t> </w:t>
      </w:r>
      <w:r>
        <w:rPr/>
        <w:t>and</w:t>
      </w:r>
      <w:r>
        <w:rPr>
          <w:spacing w:val="40"/>
        </w:rPr>
        <w:t> </w:t>
      </w:r>
      <w:r>
        <w:rPr/>
        <w:t>technical</w:t>
      </w:r>
      <w:r>
        <w:rPr>
          <w:spacing w:val="40"/>
        </w:rPr>
        <w:t> </w:t>
      </w:r>
      <w:r>
        <w:rPr/>
        <w:t>advances in</w:t>
      </w:r>
      <w:r>
        <w:rPr>
          <w:spacing w:val="40"/>
        </w:rPr>
        <w:t> </w:t>
      </w:r>
      <w:r>
        <w:rPr/>
        <w:t>a</w:t>
      </w:r>
      <w:r>
        <w:rPr>
          <w:spacing w:val="40"/>
        </w:rPr>
        <w:t> </w:t>
      </w:r>
      <w:r>
        <w:rPr/>
        <w:t>specific</w:t>
      </w:r>
      <w:r>
        <w:rPr>
          <w:spacing w:val="40"/>
        </w:rPr>
        <w:t> </w:t>
      </w:r>
      <w:r>
        <w:rPr/>
        <w:t>industry</w:t>
      </w:r>
      <w:r>
        <w:rPr>
          <w:spacing w:val="40"/>
        </w:rPr>
        <w:t> </w:t>
      </w:r>
      <w:r>
        <w:rPr/>
        <w:t>(Daft,</w:t>
      </w:r>
      <w:r>
        <w:rPr>
          <w:spacing w:val="40"/>
        </w:rPr>
        <w:t> </w:t>
      </w:r>
      <w:r>
        <w:rPr/>
        <w:t>2003).</w:t>
      </w:r>
    </w:p>
    <w:p>
      <w:pPr>
        <w:pStyle w:val="Heading2"/>
        <w:numPr>
          <w:ilvl w:val="2"/>
          <w:numId w:val="24"/>
        </w:numPr>
        <w:tabs>
          <w:tab w:pos="1000" w:val="left" w:leader="none"/>
        </w:tabs>
        <w:spacing w:line="240" w:lineRule="auto" w:before="238" w:after="0"/>
        <w:ind w:left="1000" w:right="0" w:hanging="600"/>
        <w:jc w:val="both"/>
      </w:pPr>
      <w:r>
        <w:rPr/>
        <w:t>Methods</w:t>
      </w:r>
      <w:r>
        <w:rPr>
          <w:spacing w:val="-2"/>
        </w:rPr>
        <w:t> </w:t>
      </w:r>
      <w:r>
        <w:rPr/>
        <w:t>of</w:t>
      </w:r>
      <w:r>
        <w:rPr>
          <w:spacing w:val="-1"/>
        </w:rPr>
        <w:t> </w:t>
      </w:r>
      <w:r>
        <w:rPr/>
        <w:t>strategic</w:t>
      </w:r>
      <w:r>
        <w:rPr>
          <w:spacing w:val="-3"/>
        </w:rPr>
        <w:t> </w:t>
      </w:r>
      <w:r>
        <w:rPr/>
        <w:t>analysis</w:t>
      </w:r>
      <w:r>
        <w:rPr>
          <w:spacing w:val="-2"/>
        </w:rPr>
        <w:t> </w:t>
      </w:r>
      <w:r>
        <w:rPr/>
        <w:t>used</w:t>
      </w:r>
      <w:r>
        <w:rPr>
          <w:spacing w:val="-1"/>
        </w:rPr>
        <w:t> </w:t>
      </w:r>
      <w:r>
        <w:rPr/>
        <w:t>in</w:t>
      </w:r>
      <w:r>
        <w:rPr>
          <w:spacing w:val="-2"/>
        </w:rPr>
        <w:t> </w:t>
      </w:r>
      <w:r>
        <w:rPr/>
        <w:t>the</w:t>
      </w:r>
      <w:r>
        <w:rPr>
          <w:spacing w:val="-6"/>
        </w:rPr>
        <w:t> </w:t>
      </w:r>
      <w:r>
        <w:rPr/>
        <w:t>study</w:t>
      </w:r>
      <w:r>
        <w:rPr>
          <w:spacing w:val="-1"/>
        </w:rPr>
        <w:t> </w:t>
      </w:r>
      <w:r>
        <w:rPr/>
        <w:t>of</w:t>
      </w:r>
      <w:r>
        <w:rPr>
          <w:spacing w:val="-1"/>
        </w:rPr>
        <w:t> </w:t>
      </w:r>
      <w:r>
        <w:rPr/>
        <w:t>external</w:t>
      </w:r>
      <w:r>
        <w:rPr>
          <w:spacing w:val="-2"/>
        </w:rPr>
        <w:t> </w:t>
      </w:r>
      <w:r>
        <w:rPr/>
        <w:t>and</w:t>
      </w:r>
      <w:r>
        <w:rPr>
          <w:spacing w:val="-2"/>
        </w:rPr>
        <w:t> </w:t>
      </w:r>
      <w:r>
        <w:rPr/>
        <w:t>internal</w:t>
      </w:r>
      <w:r>
        <w:rPr>
          <w:spacing w:val="-1"/>
        </w:rPr>
        <w:t> </w:t>
      </w:r>
      <w:r>
        <w:rPr>
          <w:spacing w:val="-2"/>
        </w:rPr>
        <w:t>environment</w:t>
      </w:r>
    </w:p>
    <w:p>
      <w:pPr>
        <w:pStyle w:val="Heading3"/>
        <w:numPr>
          <w:ilvl w:val="3"/>
          <w:numId w:val="24"/>
        </w:numPr>
        <w:tabs>
          <w:tab w:pos="1180" w:val="left" w:leader="none"/>
        </w:tabs>
        <w:spacing w:line="240" w:lineRule="auto" w:before="137" w:after="0"/>
        <w:ind w:left="1180" w:right="0" w:hanging="780"/>
        <w:jc w:val="both"/>
      </w:pPr>
      <w:r>
        <w:rPr/>
        <w:t>Abell</w:t>
      </w:r>
      <w:r>
        <w:rPr>
          <w:spacing w:val="-5"/>
        </w:rPr>
        <w:t> </w:t>
      </w:r>
      <w:r>
        <w:rPr>
          <w:spacing w:val="-2"/>
        </w:rPr>
        <w:t>model</w:t>
      </w:r>
    </w:p>
    <w:p>
      <w:pPr>
        <w:pStyle w:val="BodyText"/>
        <w:spacing w:before="14"/>
        <w:rPr>
          <w:b/>
          <w:i/>
        </w:rPr>
      </w:pPr>
    </w:p>
    <w:p>
      <w:pPr>
        <w:pStyle w:val="BodyText"/>
        <w:spacing w:line="480" w:lineRule="auto"/>
        <w:ind w:left="400" w:right="1316"/>
        <w:jc w:val="both"/>
      </w:pPr>
      <w:r>
        <w:rPr/>
        <w:t>Abell model, in fact, has corrected shortcomings of Ansoffa model. The Abell model is a three- dimensional model for defining the business of the company and finding areas for growth and diversification along its axis. The company’s mission is created with three strategic questions to be answered:</w:t>
      </w:r>
    </w:p>
    <w:p>
      <w:pPr>
        <w:pStyle w:val="ListParagraph"/>
        <w:numPr>
          <w:ilvl w:val="4"/>
          <w:numId w:val="24"/>
        </w:numPr>
        <w:tabs>
          <w:tab w:pos="1119" w:val="left" w:leader="none"/>
        </w:tabs>
        <w:spacing w:line="240" w:lineRule="auto" w:before="164" w:after="0"/>
        <w:ind w:left="1119" w:right="0" w:hanging="359"/>
        <w:jc w:val="both"/>
        <w:rPr>
          <w:sz w:val="24"/>
        </w:rPr>
      </w:pPr>
      <w:r>
        <w:rPr>
          <w:sz w:val="24"/>
        </w:rPr>
        <w:t>Who</w:t>
      </w:r>
      <w:r>
        <w:rPr>
          <w:spacing w:val="-1"/>
          <w:sz w:val="24"/>
        </w:rPr>
        <w:t> </w:t>
      </w:r>
      <w:r>
        <w:rPr>
          <w:sz w:val="24"/>
        </w:rPr>
        <w:t>is</w:t>
      </w:r>
      <w:r>
        <w:rPr>
          <w:spacing w:val="-1"/>
          <w:sz w:val="24"/>
        </w:rPr>
        <w:t> </w:t>
      </w:r>
      <w:r>
        <w:rPr>
          <w:sz w:val="24"/>
        </w:rPr>
        <w:t>our</w:t>
      </w:r>
      <w:r>
        <w:rPr>
          <w:spacing w:val="-2"/>
          <w:sz w:val="24"/>
        </w:rPr>
        <w:t> </w:t>
      </w:r>
      <w:r>
        <w:rPr>
          <w:sz w:val="24"/>
        </w:rPr>
        <w:t>target</w:t>
      </w:r>
      <w:r>
        <w:rPr>
          <w:spacing w:val="-1"/>
          <w:sz w:val="24"/>
        </w:rPr>
        <w:t> </w:t>
      </w:r>
      <w:r>
        <w:rPr>
          <w:sz w:val="24"/>
        </w:rPr>
        <w:t>customer </w:t>
      </w:r>
      <w:r>
        <w:rPr>
          <w:spacing w:val="-2"/>
          <w:sz w:val="24"/>
        </w:rPr>
        <w:t>group?</w:t>
      </w:r>
    </w:p>
    <w:p>
      <w:pPr>
        <w:pStyle w:val="ListParagraph"/>
        <w:numPr>
          <w:ilvl w:val="4"/>
          <w:numId w:val="24"/>
        </w:numPr>
        <w:tabs>
          <w:tab w:pos="1119" w:val="left" w:leader="none"/>
        </w:tabs>
        <w:spacing w:line="240" w:lineRule="auto" w:before="136" w:after="0"/>
        <w:ind w:left="1119" w:right="0" w:hanging="359"/>
        <w:jc w:val="both"/>
        <w:rPr>
          <w:sz w:val="24"/>
        </w:rPr>
      </w:pPr>
      <w:r>
        <w:rPr>
          <w:sz w:val="24"/>
        </w:rPr>
        <w:t>What</w:t>
      </w:r>
      <w:r>
        <w:rPr>
          <w:spacing w:val="-1"/>
          <w:sz w:val="24"/>
        </w:rPr>
        <w:t> </w:t>
      </w:r>
      <w:r>
        <w:rPr>
          <w:sz w:val="24"/>
        </w:rPr>
        <w:t>function do we</w:t>
      </w:r>
      <w:r>
        <w:rPr>
          <w:spacing w:val="-2"/>
          <w:sz w:val="24"/>
        </w:rPr>
        <w:t> </w:t>
      </w:r>
      <w:r>
        <w:rPr>
          <w:sz w:val="24"/>
        </w:rPr>
        <w:t>provide</w:t>
      </w:r>
      <w:r>
        <w:rPr>
          <w:spacing w:val="-1"/>
          <w:sz w:val="24"/>
        </w:rPr>
        <w:t> </w:t>
      </w:r>
      <w:r>
        <w:rPr>
          <w:sz w:val="24"/>
        </w:rPr>
        <w:t>to the</w:t>
      </w:r>
      <w:r>
        <w:rPr>
          <w:spacing w:val="-1"/>
          <w:sz w:val="24"/>
        </w:rPr>
        <w:t> </w:t>
      </w:r>
      <w:r>
        <w:rPr>
          <w:spacing w:val="-2"/>
          <w:sz w:val="24"/>
        </w:rPr>
        <w:t>customer?</w:t>
      </w:r>
    </w:p>
    <w:p>
      <w:pPr>
        <w:spacing w:after="0" w:line="240" w:lineRule="auto"/>
        <w:jc w:val="both"/>
        <w:rPr>
          <w:sz w:val="24"/>
        </w:rPr>
        <w:sectPr>
          <w:pgSz w:w="12240" w:h="15840"/>
          <w:pgMar w:header="0" w:footer="1017" w:top="1360" w:bottom="1200" w:left="1040" w:right="120"/>
        </w:sectPr>
      </w:pPr>
    </w:p>
    <w:p>
      <w:pPr>
        <w:pStyle w:val="ListParagraph"/>
        <w:numPr>
          <w:ilvl w:val="4"/>
          <w:numId w:val="24"/>
        </w:numPr>
        <w:tabs>
          <w:tab w:pos="1119" w:val="left" w:leader="none"/>
        </w:tabs>
        <w:spacing w:line="240" w:lineRule="auto" w:before="74" w:after="0"/>
        <w:ind w:left="1119" w:right="0" w:hanging="359"/>
        <w:jc w:val="left"/>
        <w:rPr>
          <w:sz w:val="24"/>
        </w:rPr>
      </w:pPr>
      <w:r>
        <w:rPr>
          <w:sz w:val="24"/>
        </w:rPr>
        <w:t>How</w:t>
      </w:r>
      <w:r>
        <w:rPr>
          <w:spacing w:val="-2"/>
          <w:sz w:val="24"/>
        </w:rPr>
        <w:t> </w:t>
      </w:r>
      <w:r>
        <w:rPr>
          <w:sz w:val="24"/>
        </w:rPr>
        <w:t>do</w:t>
      </w:r>
      <w:r>
        <w:rPr>
          <w:spacing w:val="-1"/>
          <w:sz w:val="24"/>
        </w:rPr>
        <w:t> </w:t>
      </w:r>
      <w:r>
        <w:rPr>
          <w:sz w:val="24"/>
        </w:rPr>
        <w:t>we</w:t>
      </w:r>
      <w:r>
        <w:rPr>
          <w:spacing w:val="-1"/>
          <w:sz w:val="24"/>
        </w:rPr>
        <w:t> </w:t>
      </w:r>
      <w:r>
        <w:rPr>
          <w:sz w:val="24"/>
        </w:rPr>
        <w:t>provide</w:t>
      </w:r>
      <w:r>
        <w:rPr>
          <w:spacing w:val="-2"/>
          <w:sz w:val="24"/>
        </w:rPr>
        <w:t> </w:t>
      </w:r>
      <w:r>
        <w:rPr>
          <w:sz w:val="24"/>
        </w:rPr>
        <w:t>that</w:t>
      </w:r>
      <w:r>
        <w:rPr>
          <w:spacing w:val="1"/>
          <w:sz w:val="24"/>
        </w:rPr>
        <w:t> </w:t>
      </w:r>
      <w:r>
        <w:rPr>
          <w:sz w:val="24"/>
        </w:rPr>
        <w:t>function </w:t>
      </w:r>
      <w:r>
        <w:rPr>
          <w:spacing w:val="-2"/>
          <w:sz w:val="24"/>
        </w:rPr>
        <w:t>(technology)?</w:t>
      </w:r>
    </w:p>
    <w:p>
      <w:pPr>
        <w:pStyle w:val="BodyText"/>
        <w:spacing w:before="134"/>
        <w:ind w:left="400"/>
        <w:jc w:val="both"/>
      </w:pPr>
      <w:r>
        <w:rPr/>
        <w:t>These</w:t>
      </w:r>
      <w:r>
        <w:rPr>
          <w:spacing w:val="-5"/>
        </w:rPr>
        <w:t> </w:t>
      </w:r>
      <w:r>
        <w:rPr/>
        <w:t>issues</w:t>
      </w:r>
      <w:r>
        <w:rPr>
          <w:spacing w:val="-1"/>
        </w:rPr>
        <w:t> </w:t>
      </w:r>
      <w:r>
        <w:rPr/>
        <w:t>come</w:t>
      </w:r>
      <w:r>
        <w:rPr>
          <w:spacing w:val="-2"/>
        </w:rPr>
        <w:t> </w:t>
      </w:r>
      <w:r>
        <w:rPr/>
        <w:t>together</w:t>
      </w:r>
      <w:r>
        <w:rPr>
          <w:spacing w:val="-2"/>
        </w:rPr>
        <w:t> </w:t>
      </w:r>
      <w:r>
        <w:rPr/>
        <w:t>in</w:t>
      </w:r>
      <w:r>
        <w:rPr>
          <w:spacing w:val="-1"/>
        </w:rPr>
        <w:t> </w:t>
      </w:r>
      <w:r>
        <w:rPr/>
        <w:t>the</w:t>
      </w:r>
      <w:r>
        <w:rPr>
          <w:spacing w:val="-2"/>
        </w:rPr>
        <w:t> </w:t>
      </w:r>
      <w:r>
        <w:rPr/>
        <w:t>Abell</w:t>
      </w:r>
      <w:r>
        <w:rPr>
          <w:spacing w:val="-1"/>
        </w:rPr>
        <w:t> </w:t>
      </w:r>
      <w:r>
        <w:rPr/>
        <w:t>model. In</w:t>
      </w:r>
      <w:r>
        <w:rPr>
          <w:spacing w:val="1"/>
        </w:rPr>
        <w:t> </w:t>
      </w:r>
      <w:r>
        <w:rPr/>
        <w:t>Abell</w:t>
      </w:r>
      <w:r>
        <w:rPr>
          <w:spacing w:val="-1"/>
        </w:rPr>
        <w:t> </w:t>
      </w:r>
      <w:r>
        <w:rPr/>
        <w:t>model</w:t>
      </w:r>
      <w:r>
        <w:rPr>
          <w:spacing w:val="-1"/>
        </w:rPr>
        <w:t> </w:t>
      </w:r>
      <w:r>
        <w:rPr/>
        <w:t>we</w:t>
      </w:r>
      <w:r>
        <w:rPr>
          <w:spacing w:val="-2"/>
        </w:rPr>
        <w:t> </w:t>
      </w:r>
      <w:r>
        <w:rPr/>
        <w:t>look</w:t>
      </w:r>
      <w:r>
        <w:rPr>
          <w:spacing w:val="-1"/>
        </w:rPr>
        <w:t> </w:t>
      </w:r>
      <w:r>
        <w:rPr/>
        <w:t>at</w:t>
      </w:r>
      <w:r>
        <w:rPr>
          <w:spacing w:val="-1"/>
        </w:rPr>
        <w:t> </w:t>
      </w:r>
      <w:r>
        <w:rPr/>
        <w:t>three</w:t>
      </w:r>
      <w:r>
        <w:rPr>
          <w:spacing w:val="-2"/>
        </w:rPr>
        <w:t> dimensions:</w:t>
      </w:r>
    </w:p>
    <w:p>
      <w:pPr>
        <w:pStyle w:val="BodyText"/>
        <w:spacing w:before="164"/>
      </w:pPr>
    </w:p>
    <w:p>
      <w:pPr>
        <w:pStyle w:val="ListParagraph"/>
        <w:numPr>
          <w:ilvl w:val="0"/>
          <w:numId w:val="25"/>
        </w:numPr>
        <w:tabs>
          <w:tab w:pos="1119" w:val="left" w:leader="none"/>
        </w:tabs>
        <w:spacing w:line="240" w:lineRule="auto" w:before="0" w:after="0"/>
        <w:ind w:left="1119" w:right="0" w:hanging="359"/>
        <w:jc w:val="left"/>
        <w:rPr>
          <w:sz w:val="24"/>
        </w:rPr>
      </w:pPr>
      <w:r>
        <w:rPr>
          <w:sz w:val="24"/>
        </w:rPr>
        <w:t>Market</w:t>
      </w:r>
      <w:r>
        <w:rPr>
          <w:spacing w:val="-2"/>
          <w:sz w:val="24"/>
        </w:rPr>
        <w:t> </w:t>
      </w:r>
      <w:r>
        <w:rPr>
          <w:sz w:val="24"/>
        </w:rPr>
        <w:t>Group Dimension.</w:t>
      </w:r>
      <w:r>
        <w:rPr>
          <w:spacing w:val="-1"/>
          <w:sz w:val="24"/>
        </w:rPr>
        <w:t> </w:t>
      </w:r>
      <w:r>
        <w:rPr>
          <w:sz w:val="24"/>
        </w:rPr>
        <w:t>Whom</w:t>
      </w:r>
      <w:r>
        <w:rPr>
          <w:spacing w:val="-2"/>
          <w:sz w:val="24"/>
        </w:rPr>
        <w:t> </w:t>
      </w:r>
      <w:r>
        <w:rPr>
          <w:sz w:val="24"/>
        </w:rPr>
        <w:t>are</w:t>
      </w:r>
      <w:r>
        <w:rPr>
          <w:spacing w:val="-2"/>
          <w:sz w:val="24"/>
        </w:rPr>
        <w:t> </w:t>
      </w:r>
      <w:r>
        <w:rPr>
          <w:sz w:val="24"/>
        </w:rPr>
        <w:t>we</w:t>
      </w:r>
      <w:r>
        <w:rPr>
          <w:spacing w:val="-2"/>
          <w:sz w:val="24"/>
        </w:rPr>
        <w:t> serving?</w:t>
      </w:r>
    </w:p>
    <w:p>
      <w:pPr>
        <w:pStyle w:val="ListParagraph"/>
        <w:numPr>
          <w:ilvl w:val="0"/>
          <w:numId w:val="25"/>
        </w:numPr>
        <w:tabs>
          <w:tab w:pos="1119" w:val="left" w:leader="none"/>
        </w:tabs>
        <w:spacing w:line="240" w:lineRule="auto" w:before="139" w:after="0"/>
        <w:ind w:left="1119" w:right="0" w:hanging="359"/>
        <w:jc w:val="left"/>
        <w:rPr>
          <w:sz w:val="24"/>
        </w:rPr>
      </w:pPr>
      <w:r>
        <w:rPr>
          <w:sz w:val="24"/>
        </w:rPr>
        <w:t>Problem-Solving</w:t>
      </w:r>
      <w:r>
        <w:rPr>
          <w:spacing w:val="-7"/>
          <w:sz w:val="24"/>
        </w:rPr>
        <w:t> </w:t>
      </w:r>
      <w:r>
        <w:rPr>
          <w:sz w:val="24"/>
        </w:rPr>
        <w:t>Dimension. In</w:t>
      </w:r>
      <w:r>
        <w:rPr>
          <w:spacing w:val="-2"/>
          <w:sz w:val="24"/>
        </w:rPr>
        <w:t> </w:t>
      </w:r>
      <w:r>
        <w:rPr>
          <w:sz w:val="24"/>
        </w:rPr>
        <w:t>which</w:t>
      </w:r>
      <w:r>
        <w:rPr>
          <w:spacing w:val="-2"/>
          <w:sz w:val="24"/>
        </w:rPr>
        <w:t> </w:t>
      </w:r>
      <w:r>
        <w:rPr>
          <w:sz w:val="24"/>
        </w:rPr>
        <w:t>needs</w:t>
      </w:r>
      <w:r>
        <w:rPr>
          <w:spacing w:val="-2"/>
          <w:sz w:val="24"/>
        </w:rPr>
        <w:t> </w:t>
      </w:r>
      <w:r>
        <w:rPr>
          <w:sz w:val="24"/>
        </w:rPr>
        <w:t>will we</w:t>
      </w:r>
      <w:r>
        <w:rPr>
          <w:spacing w:val="-2"/>
          <w:sz w:val="24"/>
        </w:rPr>
        <w:t> provide?</w:t>
      </w:r>
    </w:p>
    <w:p>
      <w:pPr>
        <w:pStyle w:val="ListParagraph"/>
        <w:numPr>
          <w:ilvl w:val="0"/>
          <w:numId w:val="25"/>
        </w:numPr>
        <w:tabs>
          <w:tab w:pos="1119" w:val="left" w:leader="none"/>
        </w:tabs>
        <w:spacing w:line="240" w:lineRule="auto" w:before="137" w:after="0"/>
        <w:ind w:left="1119" w:right="0" w:hanging="359"/>
        <w:jc w:val="left"/>
        <w:rPr>
          <w:sz w:val="24"/>
        </w:rPr>
      </w:pPr>
      <w:r>
        <w:rPr>
          <w:sz w:val="24"/>
        </w:rPr>
        <w:t>Technology</w:t>
      </w:r>
      <w:r>
        <w:rPr>
          <w:spacing w:val="-8"/>
          <w:sz w:val="24"/>
        </w:rPr>
        <w:t> </w:t>
      </w:r>
      <w:r>
        <w:rPr>
          <w:sz w:val="24"/>
        </w:rPr>
        <w:t>Dimension.</w:t>
      </w:r>
      <w:r>
        <w:rPr>
          <w:spacing w:val="2"/>
          <w:sz w:val="24"/>
        </w:rPr>
        <w:t> </w:t>
      </w:r>
      <w:r>
        <w:rPr>
          <w:sz w:val="24"/>
        </w:rPr>
        <w:t>How</w:t>
      </w:r>
      <w:r>
        <w:rPr>
          <w:spacing w:val="-1"/>
          <w:sz w:val="24"/>
        </w:rPr>
        <w:t> </w:t>
      </w:r>
      <w:r>
        <w:rPr>
          <w:sz w:val="24"/>
        </w:rPr>
        <w:t>do we</w:t>
      </w:r>
      <w:r>
        <w:rPr>
          <w:spacing w:val="-2"/>
          <w:sz w:val="24"/>
        </w:rPr>
        <w:t> </w:t>
      </w:r>
      <w:r>
        <w:rPr>
          <w:sz w:val="24"/>
        </w:rPr>
        <w:t>provide</w:t>
      </w:r>
      <w:r>
        <w:rPr>
          <w:spacing w:val="-1"/>
          <w:sz w:val="24"/>
        </w:rPr>
        <w:t> </w:t>
      </w:r>
      <w:r>
        <w:rPr>
          <w:sz w:val="24"/>
        </w:rPr>
        <w:t>in the</w:t>
      </w:r>
      <w:r>
        <w:rPr>
          <w:spacing w:val="-1"/>
          <w:sz w:val="24"/>
        </w:rPr>
        <w:t> </w:t>
      </w:r>
      <w:r>
        <w:rPr>
          <w:spacing w:val="-2"/>
          <w:sz w:val="24"/>
        </w:rPr>
        <w:t>needs?</w:t>
      </w:r>
    </w:p>
    <w:p>
      <w:pPr>
        <w:pStyle w:val="BodyText"/>
        <w:spacing w:before="232"/>
      </w:pPr>
    </w:p>
    <w:p>
      <w:pPr>
        <w:pStyle w:val="Heading3"/>
        <w:numPr>
          <w:ilvl w:val="3"/>
          <w:numId w:val="26"/>
        </w:numPr>
        <w:tabs>
          <w:tab w:pos="1120" w:val="left" w:leader="none"/>
        </w:tabs>
        <w:spacing w:line="240" w:lineRule="auto" w:before="1" w:after="0"/>
        <w:ind w:left="1120" w:right="0" w:hanging="720"/>
        <w:jc w:val="both"/>
      </w:pPr>
      <w:r>
        <w:rPr/>
        <w:t>Shell/</w:t>
      </w:r>
      <w:r>
        <w:rPr>
          <w:spacing w:val="-4"/>
        </w:rPr>
        <w:t> </w:t>
      </w:r>
      <w:r>
        <w:rPr/>
        <w:t>DPM</w:t>
      </w:r>
      <w:r>
        <w:rPr>
          <w:spacing w:val="-4"/>
        </w:rPr>
        <w:t> model</w:t>
      </w:r>
    </w:p>
    <w:p>
      <w:pPr>
        <w:pStyle w:val="BodyText"/>
        <w:spacing w:before="155"/>
        <w:rPr>
          <w:b/>
          <w:i/>
        </w:rPr>
      </w:pPr>
    </w:p>
    <w:p>
      <w:pPr>
        <w:pStyle w:val="BodyText"/>
        <w:spacing w:line="480" w:lineRule="auto" w:before="1"/>
        <w:ind w:left="400" w:right="1317"/>
        <w:jc w:val="both"/>
      </w:pPr>
      <w:r>
        <w:rPr/>
        <w:t>Fundamental idea of Shell/ DPM model is that the overall enterprise strategy should ensure the maintenance</w:t>
      </w:r>
      <w:r>
        <w:rPr>
          <w:spacing w:val="-2"/>
        </w:rPr>
        <w:t> </w:t>
      </w:r>
      <w:r>
        <w:rPr/>
        <w:t>of</w:t>
      </w:r>
      <w:r>
        <w:rPr>
          <w:spacing w:val="-2"/>
        </w:rPr>
        <w:t> </w:t>
      </w:r>
      <w:r>
        <w:rPr/>
        <w:t>balance</w:t>
      </w:r>
      <w:r>
        <w:rPr>
          <w:spacing w:val="-2"/>
        </w:rPr>
        <w:t> </w:t>
      </w:r>
      <w:r>
        <w:rPr/>
        <w:t>between</w:t>
      </w:r>
      <w:r>
        <w:rPr>
          <w:spacing w:val="-1"/>
        </w:rPr>
        <w:t> </w:t>
      </w:r>
      <w:r>
        <w:rPr/>
        <w:t>the cash</w:t>
      </w:r>
      <w:r>
        <w:rPr>
          <w:spacing w:val="-1"/>
        </w:rPr>
        <w:t> </w:t>
      </w:r>
      <w:r>
        <w:rPr/>
        <w:t>surplus</w:t>
      </w:r>
      <w:r>
        <w:rPr>
          <w:spacing w:val="-1"/>
        </w:rPr>
        <w:t> </w:t>
      </w:r>
      <w:r>
        <w:rPr/>
        <w:t>and</w:t>
      </w:r>
      <w:r>
        <w:rPr>
          <w:spacing w:val="-1"/>
        </w:rPr>
        <w:t> </w:t>
      </w:r>
      <w:r>
        <w:rPr/>
        <w:t>the</w:t>
      </w:r>
      <w:r>
        <w:rPr>
          <w:spacing w:val="-2"/>
        </w:rPr>
        <w:t> </w:t>
      </w:r>
      <w:r>
        <w:rPr/>
        <w:t>deficit</w:t>
      </w:r>
      <w:r>
        <w:rPr>
          <w:spacing w:val="-1"/>
        </w:rPr>
        <w:t> </w:t>
      </w:r>
      <w:r>
        <w:rPr/>
        <w:t>through</w:t>
      </w:r>
      <w:r>
        <w:rPr>
          <w:spacing w:val="-1"/>
        </w:rPr>
        <w:t> </w:t>
      </w:r>
      <w:r>
        <w:rPr/>
        <w:t>the development</w:t>
      </w:r>
      <w:r>
        <w:rPr>
          <w:spacing w:val="-1"/>
        </w:rPr>
        <w:t> </w:t>
      </w:r>
      <w:r>
        <w:rPr/>
        <w:t>of</w:t>
      </w:r>
      <w:r>
        <w:rPr>
          <w:spacing w:val="-2"/>
        </w:rPr>
        <w:t> </w:t>
      </w:r>
      <w:r>
        <w:rPr/>
        <w:t>new promising businesses based on the latest scientific and technological developments that will absorb excess of money supply, which are in the maturity phase of the life cycle.</w:t>
      </w:r>
    </w:p>
    <w:p>
      <w:pPr>
        <w:pStyle w:val="Heading3"/>
        <w:numPr>
          <w:ilvl w:val="3"/>
          <w:numId w:val="26"/>
        </w:numPr>
        <w:tabs>
          <w:tab w:pos="1120" w:val="left" w:leader="none"/>
        </w:tabs>
        <w:spacing w:line="240" w:lineRule="auto" w:before="187" w:after="0"/>
        <w:ind w:left="1120" w:right="0" w:hanging="720"/>
        <w:jc w:val="both"/>
      </w:pPr>
      <w:r>
        <w:rPr/>
        <w:t>PIMS</w:t>
      </w:r>
      <w:r>
        <w:rPr>
          <w:spacing w:val="-3"/>
        </w:rPr>
        <w:t> </w:t>
      </w:r>
      <w:r>
        <w:rPr>
          <w:spacing w:val="-2"/>
        </w:rPr>
        <w:t>model</w:t>
      </w:r>
    </w:p>
    <w:p>
      <w:pPr>
        <w:pStyle w:val="BodyText"/>
        <w:spacing w:line="480" w:lineRule="auto" w:before="271"/>
        <w:ind w:left="400" w:right="1316"/>
        <w:jc w:val="both"/>
      </w:pPr>
      <w:r>
        <w:rPr/>
        <w:t>PIMS model (Profit Impact of Market Strategy)—method of analyzing the impact of market strategy</w:t>
      </w:r>
      <w:r>
        <w:rPr>
          <w:spacing w:val="-8"/>
        </w:rPr>
        <w:t> </w:t>
      </w:r>
      <w:r>
        <w:rPr/>
        <w:t>on</w:t>
      </w:r>
      <w:r>
        <w:rPr>
          <w:spacing w:val="-1"/>
        </w:rPr>
        <w:t> </w:t>
      </w:r>
      <w:r>
        <w:rPr/>
        <w:t>profit.</w:t>
      </w:r>
      <w:r>
        <w:rPr>
          <w:spacing w:val="-1"/>
        </w:rPr>
        <w:t> </w:t>
      </w:r>
      <w:r>
        <w:rPr/>
        <w:t>This</w:t>
      </w:r>
      <w:r>
        <w:rPr>
          <w:spacing w:val="-1"/>
        </w:rPr>
        <w:t> </w:t>
      </w:r>
      <w:r>
        <w:rPr/>
        <w:t>model</w:t>
      </w:r>
      <w:r>
        <w:rPr>
          <w:spacing w:val="-1"/>
        </w:rPr>
        <w:t> </w:t>
      </w:r>
      <w:r>
        <w:rPr/>
        <w:t>provides</w:t>
      </w:r>
      <w:r>
        <w:rPr>
          <w:spacing w:val="-1"/>
        </w:rPr>
        <w:t> </w:t>
      </w:r>
      <w:r>
        <w:rPr/>
        <w:t>determination</w:t>
      </w:r>
      <w:r>
        <w:rPr>
          <w:spacing w:val="-1"/>
        </w:rPr>
        <w:t> </w:t>
      </w:r>
      <w:r>
        <w:rPr/>
        <w:t>of</w:t>
      </w:r>
      <w:r>
        <w:rPr>
          <w:spacing w:val="-2"/>
        </w:rPr>
        <w:t> </w:t>
      </w:r>
      <w:r>
        <w:rPr/>
        <w:t>quantitative</w:t>
      </w:r>
      <w:r>
        <w:rPr>
          <w:spacing w:val="-2"/>
        </w:rPr>
        <w:t> </w:t>
      </w:r>
      <w:r>
        <w:rPr/>
        <w:t>patterns</w:t>
      </w:r>
      <w:r>
        <w:rPr>
          <w:spacing w:val="-1"/>
        </w:rPr>
        <w:t> </w:t>
      </w:r>
      <w:r>
        <w:rPr/>
        <w:t>of</w:t>
      </w:r>
      <w:r>
        <w:rPr>
          <w:spacing w:val="-2"/>
        </w:rPr>
        <w:t> </w:t>
      </w:r>
      <w:r>
        <w:rPr/>
        <w:t>factors</w:t>
      </w:r>
      <w:r>
        <w:rPr>
          <w:spacing w:val="-1"/>
        </w:rPr>
        <w:t> </w:t>
      </w:r>
      <w:r>
        <w:rPr/>
        <w:t>influence on outcomes of business entities (profitability, profits) arising from the analysis of empirical experience of the potential operation of a large number of industrial enterprises.</w:t>
      </w:r>
    </w:p>
    <w:p>
      <w:pPr>
        <w:pStyle w:val="Heading3"/>
        <w:numPr>
          <w:ilvl w:val="3"/>
          <w:numId w:val="26"/>
        </w:numPr>
        <w:tabs>
          <w:tab w:pos="1120" w:val="left" w:leader="none"/>
        </w:tabs>
        <w:spacing w:line="240" w:lineRule="auto" w:before="190" w:after="0"/>
        <w:ind w:left="1120" w:right="0" w:hanging="720"/>
        <w:jc w:val="both"/>
      </w:pPr>
      <w:r>
        <w:rPr/>
        <w:t>SPACE</w:t>
      </w:r>
      <w:r>
        <w:rPr>
          <w:spacing w:val="-1"/>
        </w:rPr>
        <w:t> </w:t>
      </w:r>
      <w:r>
        <w:rPr>
          <w:spacing w:val="-2"/>
        </w:rPr>
        <w:t>analysis</w:t>
      </w:r>
    </w:p>
    <w:p>
      <w:pPr>
        <w:pStyle w:val="BodyText"/>
        <w:spacing w:line="480" w:lineRule="auto" w:before="271"/>
        <w:ind w:left="400" w:right="1319"/>
        <w:jc w:val="both"/>
      </w:pPr>
      <w:r>
        <w:rPr/>
        <w:t>SPACE analysis (Strategic Position and Action Evaluation); SPACE method (evaluation of strategic assessment of actions) is a comprehensive method for analysis of the position in the market and choosing the optimal strategy for medium and small enterprises.</w:t>
      </w:r>
    </w:p>
    <w:p>
      <w:pPr>
        <w:pStyle w:val="BodyText"/>
        <w:spacing w:line="480" w:lineRule="auto" w:before="159"/>
        <w:ind w:left="400" w:right="1318"/>
        <w:jc w:val="both"/>
      </w:pPr>
      <w:r>
        <w:rPr/>
        <w:t>The analysis assesses the internal and external environment and allows to design an appropriate </w:t>
      </w:r>
      <w:r>
        <w:rPr>
          <w:spacing w:val="-2"/>
        </w:rPr>
        <w:t>strategy.</w:t>
      </w:r>
    </w:p>
    <w:p>
      <w:pPr>
        <w:pStyle w:val="BodyText"/>
        <w:spacing w:before="161"/>
        <w:ind w:left="400"/>
        <w:jc w:val="both"/>
      </w:pPr>
      <w:r>
        <w:rPr/>
        <w:t>The</w:t>
      </w:r>
      <w:r>
        <w:rPr>
          <w:spacing w:val="-4"/>
        </w:rPr>
        <w:t> </w:t>
      </w:r>
      <w:r>
        <w:rPr/>
        <w:t>analysis</w:t>
      </w:r>
      <w:r>
        <w:rPr>
          <w:spacing w:val="-1"/>
        </w:rPr>
        <w:t> </w:t>
      </w:r>
      <w:r>
        <w:rPr/>
        <w:t>describes</w:t>
      </w:r>
      <w:r>
        <w:rPr>
          <w:spacing w:val="-1"/>
        </w:rPr>
        <w:t> </w:t>
      </w:r>
      <w:r>
        <w:rPr/>
        <w:t>the</w:t>
      </w:r>
      <w:r>
        <w:rPr>
          <w:spacing w:val="-2"/>
        </w:rPr>
        <w:t> </w:t>
      </w:r>
      <w:r>
        <w:rPr/>
        <w:t>external</w:t>
      </w:r>
      <w:r>
        <w:rPr>
          <w:spacing w:val="-1"/>
        </w:rPr>
        <w:t> </w:t>
      </w:r>
      <w:r>
        <w:rPr/>
        <w:t>environment</w:t>
      </w:r>
      <w:r>
        <w:rPr>
          <w:spacing w:val="-1"/>
        </w:rPr>
        <w:t> </w:t>
      </w:r>
      <w:r>
        <w:rPr/>
        <w:t>using</w:t>
      </w:r>
      <w:r>
        <w:rPr>
          <w:spacing w:val="-3"/>
        </w:rPr>
        <w:t> </w:t>
      </w:r>
      <w:r>
        <w:rPr/>
        <w:t>two </w:t>
      </w:r>
      <w:r>
        <w:rPr>
          <w:spacing w:val="-2"/>
        </w:rPr>
        <w:t>criteria:</w:t>
      </w:r>
    </w:p>
    <w:p>
      <w:pPr>
        <w:spacing w:after="0"/>
        <w:jc w:val="both"/>
        <w:sectPr>
          <w:pgSz w:w="12240" w:h="15840"/>
          <w:pgMar w:header="0" w:footer="1017" w:top="1360" w:bottom="1200" w:left="1040" w:right="120"/>
        </w:sectPr>
      </w:pPr>
    </w:p>
    <w:p>
      <w:pPr>
        <w:pStyle w:val="ListParagraph"/>
        <w:numPr>
          <w:ilvl w:val="0"/>
          <w:numId w:val="27"/>
        </w:numPr>
        <w:tabs>
          <w:tab w:pos="1120" w:val="left" w:leader="none"/>
        </w:tabs>
        <w:spacing w:line="480" w:lineRule="auto" w:before="72" w:after="0"/>
        <w:ind w:left="1120" w:right="1320" w:hanging="720"/>
        <w:jc w:val="both"/>
        <w:rPr>
          <w:sz w:val="24"/>
        </w:rPr>
      </w:pPr>
      <w:r>
        <w:rPr>
          <w:sz w:val="24"/>
        </w:rPr>
        <w:t>Environmental</w:t>
      </w:r>
      <w:r>
        <w:rPr>
          <w:spacing w:val="-3"/>
          <w:sz w:val="24"/>
        </w:rPr>
        <w:t> </w:t>
      </w:r>
      <w:r>
        <w:rPr>
          <w:sz w:val="24"/>
        </w:rPr>
        <w:t>Stability</w:t>
      </w:r>
      <w:r>
        <w:rPr>
          <w:spacing w:val="-8"/>
          <w:sz w:val="24"/>
        </w:rPr>
        <w:t> </w:t>
      </w:r>
      <w:r>
        <w:rPr>
          <w:sz w:val="24"/>
        </w:rPr>
        <w:t>(ES)—it</w:t>
      </w:r>
      <w:r>
        <w:rPr>
          <w:spacing w:val="-3"/>
          <w:sz w:val="24"/>
        </w:rPr>
        <w:t> </w:t>
      </w:r>
      <w:r>
        <w:rPr>
          <w:sz w:val="24"/>
        </w:rPr>
        <w:t>is</w:t>
      </w:r>
      <w:r>
        <w:rPr>
          <w:spacing w:val="-3"/>
          <w:sz w:val="24"/>
        </w:rPr>
        <w:t> </w:t>
      </w:r>
      <w:r>
        <w:rPr>
          <w:sz w:val="24"/>
        </w:rPr>
        <w:t>influenced</w:t>
      </w:r>
      <w:r>
        <w:rPr>
          <w:spacing w:val="-3"/>
          <w:sz w:val="24"/>
        </w:rPr>
        <w:t> </w:t>
      </w:r>
      <w:r>
        <w:rPr>
          <w:sz w:val="24"/>
        </w:rPr>
        <w:t>by</w:t>
      </w:r>
      <w:r>
        <w:rPr>
          <w:spacing w:val="-8"/>
          <w:sz w:val="24"/>
        </w:rPr>
        <w:t> </w:t>
      </w:r>
      <w:r>
        <w:rPr>
          <w:sz w:val="24"/>
        </w:rPr>
        <w:t>the</w:t>
      </w:r>
      <w:r>
        <w:rPr>
          <w:spacing w:val="-4"/>
          <w:sz w:val="24"/>
        </w:rPr>
        <w:t> </w:t>
      </w:r>
      <w:r>
        <w:rPr>
          <w:sz w:val="24"/>
        </w:rPr>
        <w:t>following</w:t>
      </w:r>
      <w:r>
        <w:rPr>
          <w:spacing w:val="-6"/>
          <w:sz w:val="24"/>
        </w:rPr>
        <w:t> </w:t>
      </w:r>
      <w:r>
        <w:rPr>
          <w:sz w:val="24"/>
        </w:rPr>
        <w:t>sub</w:t>
      </w:r>
      <w:r>
        <w:rPr>
          <w:spacing w:val="-1"/>
          <w:sz w:val="24"/>
        </w:rPr>
        <w:t> </w:t>
      </w:r>
      <w:r>
        <w:rPr>
          <w:sz w:val="24"/>
        </w:rPr>
        <w:t>factors:</w:t>
      </w:r>
      <w:r>
        <w:rPr>
          <w:spacing w:val="-3"/>
          <w:sz w:val="24"/>
        </w:rPr>
        <w:t> </w:t>
      </w:r>
      <w:r>
        <w:rPr>
          <w:sz w:val="24"/>
        </w:rPr>
        <w:t>technological change, inflation rate, demand volatility, price range of competitive products, price elasticity of demand, pressure from the substitutes;</w:t>
      </w:r>
    </w:p>
    <w:p>
      <w:pPr>
        <w:pStyle w:val="ListParagraph"/>
        <w:numPr>
          <w:ilvl w:val="0"/>
          <w:numId w:val="27"/>
        </w:numPr>
        <w:tabs>
          <w:tab w:pos="1120" w:val="left" w:leader="none"/>
        </w:tabs>
        <w:spacing w:line="480" w:lineRule="auto" w:before="161" w:after="0"/>
        <w:ind w:left="1120" w:right="1319" w:hanging="720"/>
        <w:jc w:val="both"/>
        <w:rPr>
          <w:sz w:val="24"/>
        </w:rPr>
      </w:pPr>
      <w:r>
        <w:rPr>
          <w:sz w:val="24"/>
        </w:rPr>
        <w:t>Industry Attractiveness (IA)—it is influenced by the following sub factors: growth potential, profit potential, financial stability, resource utilization, complexity of entering the</w:t>
      </w:r>
      <w:r>
        <w:rPr>
          <w:spacing w:val="-2"/>
          <w:sz w:val="24"/>
        </w:rPr>
        <w:t> </w:t>
      </w:r>
      <w:r>
        <w:rPr>
          <w:sz w:val="24"/>
        </w:rPr>
        <w:t>industry,</w:t>
      </w:r>
      <w:r>
        <w:rPr>
          <w:spacing w:val="-1"/>
          <w:sz w:val="24"/>
        </w:rPr>
        <w:t> </w:t>
      </w:r>
      <w:r>
        <w:rPr>
          <w:sz w:val="24"/>
        </w:rPr>
        <w:t>labour</w:t>
      </w:r>
      <w:r>
        <w:rPr>
          <w:spacing w:val="-2"/>
          <w:sz w:val="24"/>
        </w:rPr>
        <w:t> </w:t>
      </w:r>
      <w:r>
        <w:rPr>
          <w:sz w:val="24"/>
        </w:rPr>
        <w:t>productivity,</w:t>
      </w:r>
      <w:r>
        <w:rPr>
          <w:spacing w:val="-1"/>
          <w:sz w:val="24"/>
        </w:rPr>
        <w:t> </w:t>
      </w:r>
      <w:r>
        <w:rPr>
          <w:sz w:val="24"/>
        </w:rPr>
        <w:t>capacity</w:t>
      </w:r>
      <w:r>
        <w:rPr>
          <w:spacing w:val="-6"/>
          <w:sz w:val="24"/>
        </w:rPr>
        <w:t> </w:t>
      </w:r>
      <w:r>
        <w:rPr>
          <w:sz w:val="24"/>
        </w:rPr>
        <w:t>utilization,</w:t>
      </w:r>
      <w:r>
        <w:rPr>
          <w:spacing w:val="-1"/>
          <w:sz w:val="24"/>
        </w:rPr>
        <w:t> </w:t>
      </w:r>
      <w:r>
        <w:rPr>
          <w:sz w:val="24"/>
        </w:rPr>
        <w:t>bargaining</w:t>
      </w:r>
      <w:r>
        <w:rPr>
          <w:spacing w:val="-4"/>
          <w:sz w:val="24"/>
        </w:rPr>
        <w:t> </w:t>
      </w:r>
      <w:r>
        <w:rPr>
          <w:sz w:val="24"/>
        </w:rPr>
        <w:t>power</w:t>
      </w:r>
      <w:r>
        <w:rPr>
          <w:spacing w:val="-2"/>
          <w:sz w:val="24"/>
        </w:rPr>
        <w:t> </w:t>
      </w:r>
      <w:r>
        <w:rPr>
          <w:sz w:val="24"/>
        </w:rPr>
        <w:t>of manufacturers.</w:t>
      </w:r>
    </w:p>
    <w:p>
      <w:pPr>
        <w:pStyle w:val="BodyText"/>
        <w:spacing w:before="158"/>
        <w:ind w:left="400"/>
        <w:jc w:val="both"/>
      </w:pPr>
      <w:r>
        <w:rPr/>
        <w:t>The</w:t>
      </w:r>
      <w:r>
        <w:rPr>
          <w:spacing w:val="-4"/>
        </w:rPr>
        <w:t> </w:t>
      </w:r>
      <w:r>
        <w:rPr/>
        <w:t>inside</w:t>
      </w:r>
      <w:r>
        <w:rPr>
          <w:spacing w:val="-1"/>
        </w:rPr>
        <w:t> </w:t>
      </w:r>
      <w:r>
        <w:rPr/>
        <w:t>environment</w:t>
      </w:r>
      <w:r>
        <w:rPr>
          <w:spacing w:val="-1"/>
        </w:rPr>
        <w:t> </w:t>
      </w:r>
      <w:r>
        <w:rPr/>
        <w:t>is also</w:t>
      </w:r>
      <w:r>
        <w:rPr>
          <w:spacing w:val="-1"/>
        </w:rPr>
        <w:t> </w:t>
      </w:r>
      <w:r>
        <w:rPr/>
        <w:t>described</w:t>
      </w:r>
      <w:r>
        <w:rPr>
          <w:spacing w:val="-1"/>
        </w:rPr>
        <w:t> </w:t>
      </w:r>
      <w:r>
        <w:rPr/>
        <w:t>by</w:t>
      </w:r>
      <w:r>
        <w:rPr>
          <w:spacing w:val="-5"/>
        </w:rPr>
        <w:t> </w:t>
      </w:r>
      <w:r>
        <w:rPr/>
        <w:t>two</w:t>
      </w:r>
      <w:r>
        <w:rPr>
          <w:spacing w:val="2"/>
        </w:rPr>
        <w:t> </w:t>
      </w:r>
      <w:r>
        <w:rPr>
          <w:spacing w:val="-2"/>
        </w:rPr>
        <w:t>criteria:</w:t>
      </w:r>
    </w:p>
    <w:p>
      <w:pPr>
        <w:pStyle w:val="BodyText"/>
        <w:spacing w:before="161"/>
      </w:pPr>
    </w:p>
    <w:p>
      <w:pPr>
        <w:pStyle w:val="ListParagraph"/>
        <w:numPr>
          <w:ilvl w:val="1"/>
          <w:numId w:val="27"/>
        </w:numPr>
        <w:tabs>
          <w:tab w:pos="1118" w:val="left" w:leader="none"/>
          <w:tab w:pos="1120" w:val="left" w:leader="none"/>
        </w:tabs>
        <w:spacing w:line="480" w:lineRule="auto" w:before="0" w:after="0"/>
        <w:ind w:left="1120" w:right="1318" w:hanging="488"/>
        <w:jc w:val="both"/>
        <w:rPr>
          <w:sz w:val="24"/>
        </w:rPr>
      </w:pPr>
      <w:r>
        <w:rPr>
          <w:sz w:val="24"/>
        </w:rPr>
        <w:t>Competitive Advantage (CA)—it is influenced by the</w:t>
      </w:r>
      <w:r>
        <w:rPr>
          <w:spacing w:val="40"/>
          <w:sz w:val="24"/>
        </w:rPr>
        <w:t> </w:t>
      </w:r>
      <w:r>
        <w:rPr>
          <w:sz w:val="24"/>
        </w:rPr>
        <w:t>following</w:t>
      </w:r>
      <w:r>
        <w:rPr>
          <w:spacing w:val="40"/>
          <w:sz w:val="24"/>
        </w:rPr>
        <w:t> </w:t>
      </w:r>
      <w:r>
        <w:rPr>
          <w:sz w:val="24"/>
        </w:rPr>
        <w:t>factors:</w:t>
      </w:r>
      <w:r>
        <w:rPr>
          <w:spacing w:val="40"/>
          <w:sz w:val="24"/>
        </w:rPr>
        <w:t> </w:t>
      </w:r>
      <w:r>
        <w:rPr>
          <w:sz w:val="24"/>
        </w:rPr>
        <w:t>market</w:t>
      </w:r>
      <w:r>
        <w:rPr>
          <w:spacing w:val="40"/>
          <w:sz w:val="24"/>
        </w:rPr>
        <w:t> </w:t>
      </w:r>
      <w:r>
        <w:rPr>
          <w:sz w:val="24"/>
        </w:rPr>
        <w:t>share, product</w:t>
      </w:r>
      <w:r>
        <w:rPr>
          <w:spacing w:val="-4"/>
          <w:sz w:val="24"/>
        </w:rPr>
        <w:t> </w:t>
      </w:r>
      <w:r>
        <w:rPr>
          <w:sz w:val="24"/>
        </w:rPr>
        <w:t>quality,</w:t>
      </w:r>
      <w:r>
        <w:rPr>
          <w:spacing w:val="-4"/>
          <w:sz w:val="24"/>
        </w:rPr>
        <w:t> </w:t>
      </w:r>
      <w:r>
        <w:rPr>
          <w:sz w:val="24"/>
        </w:rPr>
        <w:t>product</w:t>
      </w:r>
      <w:r>
        <w:rPr>
          <w:spacing w:val="-4"/>
          <w:sz w:val="24"/>
        </w:rPr>
        <w:t> </w:t>
      </w:r>
      <w:r>
        <w:rPr>
          <w:sz w:val="24"/>
        </w:rPr>
        <w:t>lifecycle,</w:t>
      </w:r>
      <w:r>
        <w:rPr>
          <w:spacing w:val="-4"/>
          <w:sz w:val="24"/>
        </w:rPr>
        <w:t> </w:t>
      </w:r>
      <w:r>
        <w:rPr>
          <w:sz w:val="24"/>
        </w:rPr>
        <w:t>innovation</w:t>
      </w:r>
      <w:r>
        <w:rPr>
          <w:spacing w:val="-4"/>
          <w:sz w:val="24"/>
        </w:rPr>
        <w:t> </w:t>
      </w:r>
      <w:r>
        <w:rPr>
          <w:sz w:val="24"/>
        </w:rPr>
        <w:t>cycle,</w:t>
      </w:r>
      <w:r>
        <w:rPr>
          <w:spacing w:val="-4"/>
          <w:sz w:val="24"/>
        </w:rPr>
        <w:t> </w:t>
      </w:r>
      <w:r>
        <w:rPr>
          <w:sz w:val="24"/>
        </w:rPr>
        <w:t>customer</w:t>
      </w:r>
      <w:r>
        <w:rPr>
          <w:spacing w:val="-5"/>
          <w:sz w:val="24"/>
        </w:rPr>
        <w:t> </w:t>
      </w:r>
      <w:r>
        <w:rPr>
          <w:sz w:val="24"/>
        </w:rPr>
        <w:t>loyalty,</w:t>
      </w:r>
      <w:r>
        <w:rPr>
          <w:spacing w:val="-4"/>
          <w:sz w:val="24"/>
        </w:rPr>
        <w:t> </w:t>
      </w:r>
      <w:r>
        <w:rPr>
          <w:sz w:val="24"/>
        </w:rPr>
        <w:t>vertical</w:t>
      </w:r>
      <w:r>
        <w:rPr>
          <w:spacing w:val="-4"/>
          <w:sz w:val="24"/>
        </w:rPr>
        <w:t> </w:t>
      </w:r>
      <w:r>
        <w:rPr>
          <w:sz w:val="24"/>
        </w:rPr>
        <w:t>integration,</w:t>
      </w:r>
    </w:p>
    <w:p>
      <w:pPr>
        <w:pStyle w:val="ListParagraph"/>
        <w:numPr>
          <w:ilvl w:val="1"/>
          <w:numId w:val="27"/>
        </w:numPr>
        <w:tabs>
          <w:tab w:pos="1117" w:val="left" w:leader="none"/>
          <w:tab w:pos="1119" w:val="left" w:leader="none"/>
        </w:tabs>
        <w:spacing w:line="480" w:lineRule="auto" w:before="120" w:after="0"/>
        <w:ind w:left="1119" w:right="1314" w:hanging="555"/>
        <w:jc w:val="both"/>
        <w:rPr>
          <w:sz w:val="24"/>
        </w:rPr>
      </w:pPr>
      <w:r>
        <w:rPr>
          <w:sz w:val="24"/>
        </w:rPr>
        <w:t>Financial Strength (FS)—it is influenced by the following indicators: return on investment, liquidity, debt ratio, available versus required capital, cash flow, inventory </w:t>
      </w:r>
      <w:r>
        <w:rPr>
          <w:spacing w:val="-2"/>
          <w:sz w:val="24"/>
        </w:rPr>
        <w:t>turnover.</w:t>
      </w:r>
    </w:p>
    <w:p>
      <w:pPr>
        <w:pStyle w:val="Heading3"/>
        <w:numPr>
          <w:ilvl w:val="3"/>
          <w:numId w:val="26"/>
        </w:numPr>
        <w:tabs>
          <w:tab w:pos="1119" w:val="left" w:leader="none"/>
        </w:tabs>
        <w:spacing w:line="240" w:lineRule="auto" w:before="125" w:after="0"/>
        <w:ind w:left="1119" w:right="0" w:hanging="720"/>
        <w:jc w:val="both"/>
      </w:pPr>
      <w:r>
        <w:rPr/>
        <w:t>Seiners</w:t>
      </w:r>
      <w:r>
        <w:rPr>
          <w:spacing w:val="-5"/>
        </w:rPr>
        <w:t> </w:t>
      </w:r>
      <w:r>
        <w:rPr>
          <w:spacing w:val="-2"/>
        </w:rPr>
        <w:t>matrix</w:t>
      </w:r>
    </w:p>
    <w:p>
      <w:pPr>
        <w:pStyle w:val="BodyText"/>
        <w:spacing w:before="153"/>
        <w:rPr>
          <w:b/>
          <w:i/>
        </w:rPr>
      </w:pPr>
    </w:p>
    <w:p>
      <w:pPr>
        <w:pStyle w:val="BodyText"/>
        <w:spacing w:line="480" w:lineRule="auto" w:before="1"/>
        <w:ind w:left="399" w:right="1316"/>
        <w:jc w:val="both"/>
      </w:pPr>
      <w:r>
        <w:rPr/>
        <w:t>Seiners matrix (model ‘product/ market’) includes: classification of markets and products on existing markets, new products, but they are related to existing markets. This model is used to determine the probability of success in choosing one or another type of business and for</w:t>
      </w:r>
      <w:r>
        <w:rPr>
          <w:spacing w:val="80"/>
        </w:rPr>
        <w:t> </w:t>
      </w:r>
      <w:r>
        <w:rPr/>
        <w:t>choosing between different types of businesses.</w:t>
      </w:r>
    </w:p>
    <w:p>
      <w:pPr>
        <w:pStyle w:val="BodyText"/>
        <w:spacing w:before="4"/>
      </w:pPr>
    </w:p>
    <w:p>
      <w:pPr>
        <w:pStyle w:val="Heading3"/>
        <w:numPr>
          <w:ilvl w:val="3"/>
          <w:numId w:val="26"/>
        </w:numPr>
        <w:tabs>
          <w:tab w:pos="1120" w:val="left" w:leader="none"/>
        </w:tabs>
        <w:spacing w:line="240" w:lineRule="auto" w:before="1" w:after="0"/>
        <w:ind w:left="1120" w:right="0" w:hanging="720"/>
        <w:jc w:val="both"/>
      </w:pPr>
      <w:r>
        <w:rPr/>
        <w:t>Strength,</w:t>
      </w:r>
      <w:r>
        <w:rPr>
          <w:spacing w:val="-5"/>
        </w:rPr>
        <w:t> </w:t>
      </w:r>
      <w:r>
        <w:rPr/>
        <w:t>weakness,</w:t>
      </w:r>
      <w:r>
        <w:rPr>
          <w:spacing w:val="-1"/>
        </w:rPr>
        <w:t> </w:t>
      </w:r>
      <w:r>
        <w:rPr/>
        <w:t>opportunities</w:t>
      </w:r>
      <w:r>
        <w:rPr>
          <w:spacing w:val="-2"/>
        </w:rPr>
        <w:t> </w:t>
      </w:r>
      <w:r>
        <w:rPr/>
        <w:t>and</w:t>
      </w:r>
      <w:r>
        <w:rPr>
          <w:spacing w:val="-1"/>
        </w:rPr>
        <w:t> </w:t>
      </w:r>
      <w:r>
        <w:rPr/>
        <w:t>threats</w:t>
      </w:r>
      <w:r>
        <w:rPr>
          <w:spacing w:val="-1"/>
        </w:rPr>
        <w:t> </w:t>
      </w:r>
      <w:r>
        <w:rPr>
          <w:spacing w:val="-2"/>
        </w:rPr>
        <w:t>(SWOT)</w:t>
      </w:r>
    </w:p>
    <w:p>
      <w:pPr>
        <w:pStyle w:val="BodyText"/>
        <w:spacing w:line="480" w:lineRule="auto" w:before="271"/>
        <w:ind w:left="400" w:right="1316"/>
        <w:jc w:val="both"/>
      </w:pPr>
      <w:r>
        <w:rPr/>
        <w:t>SWOT analysis is a method that summarizes all the internal and external factors of the sector’s environment and analyse corresponding strengths, weaknesses, opportunities and threats. SWOT analysis</w:t>
      </w:r>
      <w:r>
        <w:rPr>
          <w:spacing w:val="3"/>
        </w:rPr>
        <w:t> </w:t>
      </w:r>
      <w:r>
        <w:rPr/>
        <w:t>provides</w:t>
      </w:r>
      <w:r>
        <w:rPr>
          <w:spacing w:val="6"/>
        </w:rPr>
        <w:t> </w:t>
      </w:r>
      <w:r>
        <w:rPr/>
        <w:t>information</w:t>
      </w:r>
      <w:r>
        <w:rPr>
          <w:spacing w:val="5"/>
        </w:rPr>
        <w:t> </w:t>
      </w:r>
      <w:r>
        <w:rPr/>
        <w:t>that</w:t>
      </w:r>
      <w:r>
        <w:rPr>
          <w:spacing w:val="6"/>
        </w:rPr>
        <w:t> </w:t>
      </w:r>
      <w:r>
        <w:rPr/>
        <w:t>can</w:t>
      </w:r>
      <w:r>
        <w:rPr>
          <w:spacing w:val="6"/>
        </w:rPr>
        <w:t> </w:t>
      </w:r>
      <w:r>
        <w:rPr/>
        <w:t>help</w:t>
      </w:r>
      <w:r>
        <w:rPr>
          <w:spacing w:val="5"/>
        </w:rPr>
        <w:t> </w:t>
      </w:r>
      <w:r>
        <w:rPr/>
        <w:t>in</w:t>
      </w:r>
      <w:r>
        <w:rPr>
          <w:spacing w:val="6"/>
        </w:rPr>
        <w:t> </w:t>
      </w:r>
      <w:r>
        <w:rPr/>
        <w:t>matching</w:t>
      </w:r>
      <w:r>
        <w:rPr>
          <w:spacing w:val="2"/>
        </w:rPr>
        <w:t> </w:t>
      </w:r>
      <w:r>
        <w:rPr/>
        <w:t>the</w:t>
      </w:r>
      <w:r>
        <w:rPr>
          <w:spacing w:val="5"/>
        </w:rPr>
        <w:t> </w:t>
      </w:r>
      <w:r>
        <w:rPr/>
        <w:t>sector’s</w:t>
      </w:r>
      <w:r>
        <w:rPr>
          <w:spacing w:val="6"/>
        </w:rPr>
        <w:t> </w:t>
      </w:r>
      <w:r>
        <w:rPr/>
        <w:t>resources</w:t>
      </w:r>
      <w:r>
        <w:rPr>
          <w:spacing w:val="5"/>
        </w:rPr>
        <w:t> </w:t>
      </w:r>
      <w:r>
        <w:rPr/>
        <w:t>and</w:t>
      </w:r>
      <w:r>
        <w:rPr>
          <w:spacing w:val="6"/>
        </w:rPr>
        <w:t> </w:t>
      </w:r>
      <w:r>
        <w:rPr/>
        <w:t>capabilities</w:t>
      </w:r>
      <w:r>
        <w:rPr>
          <w:spacing w:val="6"/>
        </w:rPr>
        <w:t> </w:t>
      </w:r>
      <w:r>
        <w:rPr>
          <w:spacing w:val="-5"/>
        </w:rPr>
        <w:t>to</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the competitive environment in which it operates (Afuah, 2009).It is also a strategic tool that can help companies analyze their situation and conditions they are faced with, summarize for their past and make a developing strategy and plan for future life and evaluate. “S” stands for strengths, “W” stands for weaknesses, “O” stands for opportunities, ”T” stands for threats. The basic goal of the SWOT analysis is to identify and evaluate the strengths and weaknesses in the internal environment and opportunities and threats in the external environment of the system.</w:t>
      </w:r>
      <w:r>
        <w:rPr>
          <w:spacing w:val="40"/>
        </w:rPr>
        <w:t> </w:t>
      </w:r>
      <w:r>
        <w:rPr/>
        <w:t>The analysis is based upon the comparison of the internal features of the system (advantages and shortcomings) which can be controlled within the system with those coming from the external environment, upon which the system does not have a control (Afuah, 2009).</w:t>
      </w:r>
    </w:p>
    <w:p>
      <w:pPr>
        <w:pStyle w:val="BodyText"/>
        <w:spacing w:line="482" w:lineRule="auto" w:before="158"/>
        <w:ind w:left="400" w:right="1319"/>
        <w:jc w:val="both"/>
      </w:pPr>
      <w:r>
        <w:rPr/>
        <w:t>The elements of the SWOT analysis, presented in Figure 3.2, were firstly developed as a</w:t>
      </w:r>
      <w:r>
        <w:rPr>
          <w:spacing w:val="40"/>
        </w:rPr>
        <w:t> </w:t>
      </w:r>
      <w:r>
        <w:rPr/>
        <w:t>strategic planning tool (Afuah, 2009).</w:t>
      </w:r>
    </w:p>
    <w:p>
      <w:pPr>
        <w:pStyle w:val="BodyText"/>
        <w:spacing w:line="535" w:lineRule="auto" w:before="199"/>
        <w:ind w:left="400" w:right="9863" w:firstLine="62"/>
      </w:pPr>
      <w:r>
        <w:rPr/>
        <mc:AlternateContent>
          <mc:Choice Requires="wps">
            <w:drawing>
              <wp:anchor distT="0" distB="0" distL="0" distR="0" allowOverlap="1" layoutInCell="1" locked="0" behindDoc="0" simplePos="0" relativeHeight="15739904">
                <wp:simplePos x="0" y="0"/>
                <wp:positionH relativeFrom="page">
                  <wp:posOffset>2540761</wp:posOffset>
                </wp:positionH>
                <wp:positionV relativeFrom="paragraph">
                  <wp:posOffset>131526</wp:posOffset>
                </wp:positionV>
                <wp:extent cx="2345055" cy="518159"/>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345055" cy="51815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1612"/>
                            </w:tblGrid>
                            <w:tr>
                              <w:trPr>
                                <w:trHeight w:val="408" w:hRule="atLeast"/>
                              </w:trPr>
                              <w:tc>
                                <w:tcPr>
                                  <w:tcW w:w="1960" w:type="dxa"/>
                                </w:tcPr>
                                <w:p>
                                  <w:pPr>
                                    <w:pStyle w:val="TableParagraph"/>
                                    <w:spacing w:line="266" w:lineRule="exact"/>
                                    <w:ind w:left="50"/>
                                    <w:rPr>
                                      <w:sz w:val="24"/>
                                    </w:rPr>
                                  </w:pPr>
                                  <w:r>
                                    <w:rPr>
                                      <w:spacing w:val="-2"/>
                                      <w:sz w:val="24"/>
                                    </w:rPr>
                                    <w:t>Strength</w:t>
                                  </w:r>
                                </w:p>
                              </w:tc>
                              <w:tc>
                                <w:tcPr>
                                  <w:tcW w:w="1612" w:type="dxa"/>
                                </w:tcPr>
                                <w:p>
                                  <w:pPr>
                                    <w:pStyle w:val="TableParagraph"/>
                                    <w:spacing w:line="266" w:lineRule="exact"/>
                                    <w:ind w:left="590"/>
                                    <w:rPr>
                                      <w:sz w:val="24"/>
                                    </w:rPr>
                                  </w:pPr>
                                  <w:r>
                                    <w:rPr>
                                      <w:spacing w:val="-2"/>
                                      <w:sz w:val="24"/>
                                    </w:rPr>
                                    <w:t>Weakness</w:t>
                                  </w:r>
                                </w:p>
                              </w:tc>
                            </w:tr>
                            <w:tr>
                              <w:trPr>
                                <w:trHeight w:val="408" w:hRule="atLeast"/>
                              </w:trPr>
                              <w:tc>
                                <w:tcPr>
                                  <w:tcW w:w="1960" w:type="dxa"/>
                                </w:tcPr>
                                <w:p>
                                  <w:pPr>
                                    <w:pStyle w:val="TableParagraph"/>
                                    <w:spacing w:line="256" w:lineRule="exact" w:before="133"/>
                                    <w:ind w:left="50"/>
                                    <w:rPr>
                                      <w:sz w:val="24"/>
                                    </w:rPr>
                                  </w:pPr>
                                  <w:r>
                                    <w:rPr>
                                      <w:spacing w:val="-2"/>
                                      <w:sz w:val="24"/>
                                    </w:rPr>
                                    <w:t>Opportunities</w:t>
                                  </w:r>
                                </w:p>
                              </w:tc>
                              <w:tc>
                                <w:tcPr>
                                  <w:tcW w:w="1612" w:type="dxa"/>
                                </w:tcPr>
                                <w:p>
                                  <w:pPr>
                                    <w:pStyle w:val="TableParagraph"/>
                                    <w:spacing w:line="256" w:lineRule="exact" w:before="133"/>
                                    <w:ind w:left="590"/>
                                    <w:rPr>
                                      <w:sz w:val="24"/>
                                    </w:rPr>
                                  </w:pPr>
                                  <w:r>
                                    <w:rPr>
                                      <w:spacing w:val="-2"/>
                                      <w:sz w:val="24"/>
                                    </w:rPr>
                                    <w:t>Threat</w:t>
                                  </w:r>
                                </w:p>
                              </w:tc>
                            </w:tr>
                          </w:tbl>
                          <w:p>
                            <w:pPr>
                              <w:pStyle w:val="BodyText"/>
                            </w:pPr>
                          </w:p>
                        </w:txbxContent>
                      </wps:txbx>
                      <wps:bodyPr wrap="square" lIns="0" tIns="0" rIns="0" bIns="0" rtlCol="0">
                        <a:noAutofit/>
                      </wps:bodyPr>
                    </wps:wsp>
                  </a:graphicData>
                </a:graphic>
              </wp:anchor>
            </w:drawing>
          </mc:Choice>
          <mc:Fallback>
            <w:pict>
              <v:shape style="position:absolute;margin-left:200.059998pt;margin-top:10.356445pt;width:184.65pt;height:40.8pt;mso-position-horizontal-relative:page;mso-position-vertical-relative:paragraph;z-index:15739904" type="#_x0000_t202" id="docshape1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1612"/>
                      </w:tblGrid>
                      <w:tr>
                        <w:trPr>
                          <w:trHeight w:val="408" w:hRule="atLeast"/>
                        </w:trPr>
                        <w:tc>
                          <w:tcPr>
                            <w:tcW w:w="1960" w:type="dxa"/>
                          </w:tcPr>
                          <w:p>
                            <w:pPr>
                              <w:pStyle w:val="TableParagraph"/>
                              <w:spacing w:line="266" w:lineRule="exact"/>
                              <w:ind w:left="50"/>
                              <w:rPr>
                                <w:sz w:val="24"/>
                              </w:rPr>
                            </w:pPr>
                            <w:r>
                              <w:rPr>
                                <w:spacing w:val="-2"/>
                                <w:sz w:val="24"/>
                              </w:rPr>
                              <w:t>Strength</w:t>
                            </w:r>
                          </w:p>
                        </w:tc>
                        <w:tc>
                          <w:tcPr>
                            <w:tcW w:w="1612" w:type="dxa"/>
                          </w:tcPr>
                          <w:p>
                            <w:pPr>
                              <w:pStyle w:val="TableParagraph"/>
                              <w:spacing w:line="266" w:lineRule="exact"/>
                              <w:ind w:left="590"/>
                              <w:rPr>
                                <w:sz w:val="24"/>
                              </w:rPr>
                            </w:pPr>
                            <w:r>
                              <w:rPr>
                                <w:spacing w:val="-2"/>
                                <w:sz w:val="24"/>
                              </w:rPr>
                              <w:t>Weakness</w:t>
                            </w:r>
                          </w:p>
                        </w:tc>
                      </w:tr>
                      <w:tr>
                        <w:trPr>
                          <w:trHeight w:val="408" w:hRule="atLeast"/>
                        </w:trPr>
                        <w:tc>
                          <w:tcPr>
                            <w:tcW w:w="1960" w:type="dxa"/>
                          </w:tcPr>
                          <w:p>
                            <w:pPr>
                              <w:pStyle w:val="TableParagraph"/>
                              <w:spacing w:line="256" w:lineRule="exact" w:before="133"/>
                              <w:ind w:left="50"/>
                              <w:rPr>
                                <w:sz w:val="24"/>
                              </w:rPr>
                            </w:pPr>
                            <w:r>
                              <w:rPr>
                                <w:spacing w:val="-2"/>
                                <w:sz w:val="24"/>
                              </w:rPr>
                              <w:t>Opportunities</w:t>
                            </w:r>
                          </w:p>
                        </w:tc>
                        <w:tc>
                          <w:tcPr>
                            <w:tcW w:w="1612" w:type="dxa"/>
                          </w:tcPr>
                          <w:p>
                            <w:pPr>
                              <w:pStyle w:val="TableParagraph"/>
                              <w:spacing w:line="256" w:lineRule="exact" w:before="133"/>
                              <w:ind w:left="590"/>
                              <w:rPr>
                                <w:sz w:val="24"/>
                              </w:rPr>
                            </w:pPr>
                            <w:r>
                              <w:rPr>
                                <w:spacing w:val="-2"/>
                                <w:sz w:val="24"/>
                              </w:rPr>
                              <w:t>Threat</w:t>
                            </w:r>
                          </w:p>
                        </w:tc>
                      </w:tr>
                    </w:tbl>
                    <w:p>
                      <w:pPr>
                        <w:pStyle w:val="BodyText"/>
                      </w:pPr>
                    </w:p>
                  </w:txbxContent>
                </v:textbox>
                <w10:wrap type="none"/>
              </v:shape>
            </w:pict>
          </mc:Fallback>
        </mc:AlternateContent>
      </w:r>
      <w:r>
        <w:rPr>
          <w:spacing w:val="-2"/>
        </w:rPr>
        <w:t>Internal External</w:t>
      </w:r>
    </w:p>
    <w:p>
      <w:pPr>
        <w:pStyle w:val="Heading2"/>
        <w:tabs>
          <w:tab w:pos="4556" w:val="left" w:leader="none"/>
        </w:tabs>
        <w:spacing w:line="360" w:lineRule="auto"/>
        <w:ind w:left="3279" w:right="4418"/>
        <w:jc w:val="left"/>
      </w:pPr>
      <w:r>
        <w:rPr/>
        <w:t>Figure 3.2</w:t>
        <w:tab/>
        <w:t>SWOT framework Source:</w:t>
      </w:r>
      <w:r>
        <w:rPr>
          <w:spacing w:val="-9"/>
        </w:rPr>
        <w:t> </w:t>
      </w:r>
      <w:r>
        <w:rPr/>
        <w:t>Friend</w:t>
      </w:r>
      <w:r>
        <w:rPr>
          <w:spacing w:val="-10"/>
        </w:rPr>
        <w:t> </w:t>
      </w:r>
      <w:r>
        <w:rPr/>
        <w:t>and</w:t>
      </w:r>
      <w:r>
        <w:rPr>
          <w:spacing w:val="-10"/>
        </w:rPr>
        <w:t> </w:t>
      </w:r>
      <w:r>
        <w:rPr/>
        <w:t>Zehle,</w:t>
      </w:r>
      <w:r>
        <w:rPr>
          <w:spacing w:val="-11"/>
        </w:rPr>
        <w:t> </w:t>
      </w:r>
      <w:r>
        <w:rPr/>
        <w:t>(2009)</w:t>
      </w:r>
    </w:p>
    <w:p>
      <w:pPr>
        <w:pStyle w:val="ListParagraph"/>
        <w:numPr>
          <w:ilvl w:val="1"/>
          <w:numId w:val="18"/>
        </w:numPr>
        <w:tabs>
          <w:tab w:pos="1120" w:val="left" w:leader="none"/>
        </w:tabs>
        <w:spacing w:line="240" w:lineRule="auto" w:before="228" w:after="0"/>
        <w:ind w:left="1120" w:right="0" w:hanging="720"/>
        <w:jc w:val="both"/>
        <w:rPr>
          <w:b/>
          <w:sz w:val="24"/>
        </w:rPr>
      </w:pPr>
      <w:r>
        <w:rPr>
          <w:b/>
          <w:sz w:val="24"/>
        </w:rPr>
        <w:t>SWOT</w:t>
      </w:r>
      <w:r>
        <w:rPr>
          <w:b/>
          <w:spacing w:val="-2"/>
          <w:sz w:val="24"/>
        </w:rPr>
        <w:t> </w:t>
      </w:r>
      <w:r>
        <w:rPr>
          <w:b/>
          <w:sz w:val="24"/>
        </w:rPr>
        <w:t>Analysis</w:t>
      </w:r>
      <w:r>
        <w:rPr>
          <w:b/>
          <w:spacing w:val="-2"/>
          <w:sz w:val="24"/>
        </w:rPr>
        <w:t> </w:t>
      </w:r>
      <w:r>
        <w:rPr>
          <w:b/>
          <w:sz w:val="24"/>
        </w:rPr>
        <w:t>of</w:t>
      </w:r>
      <w:r>
        <w:rPr>
          <w:b/>
          <w:spacing w:val="-3"/>
          <w:sz w:val="24"/>
        </w:rPr>
        <w:t> </w:t>
      </w:r>
      <w:r>
        <w:rPr>
          <w:b/>
          <w:sz w:val="24"/>
        </w:rPr>
        <w:t>Small</w:t>
      </w:r>
      <w:r>
        <w:rPr>
          <w:b/>
          <w:spacing w:val="-2"/>
          <w:sz w:val="24"/>
        </w:rPr>
        <w:t> </w:t>
      </w:r>
      <w:r>
        <w:rPr>
          <w:b/>
          <w:sz w:val="24"/>
        </w:rPr>
        <w:t>and</w:t>
      </w:r>
      <w:r>
        <w:rPr>
          <w:b/>
          <w:spacing w:val="-2"/>
          <w:sz w:val="24"/>
        </w:rPr>
        <w:t> </w:t>
      </w:r>
      <w:r>
        <w:rPr>
          <w:b/>
          <w:sz w:val="24"/>
        </w:rPr>
        <w:t>Medium</w:t>
      </w:r>
      <w:r>
        <w:rPr>
          <w:b/>
          <w:spacing w:val="-6"/>
          <w:sz w:val="24"/>
        </w:rPr>
        <w:t> </w:t>
      </w:r>
      <w:r>
        <w:rPr>
          <w:b/>
          <w:sz w:val="24"/>
        </w:rPr>
        <w:t>Scale</w:t>
      </w:r>
      <w:r>
        <w:rPr>
          <w:b/>
          <w:spacing w:val="-3"/>
          <w:sz w:val="24"/>
        </w:rPr>
        <w:t> </w:t>
      </w:r>
      <w:r>
        <w:rPr>
          <w:b/>
          <w:sz w:val="24"/>
        </w:rPr>
        <w:t>Construction</w:t>
      </w:r>
      <w:r>
        <w:rPr>
          <w:b/>
          <w:spacing w:val="-2"/>
          <w:sz w:val="24"/>
        </w:rPr>
        <w:t> </w:t>
      </w:r>
      <w:r>
        <w:rPr>
          <w:b/>
          <w:sz w:val="24"/>
        </w:rPr>
        <w:t>Firms</w:t>
      </w:r>
      <w:r>
        <w:rPr>
          <w:b/>
          <w:spacing w:val="-2"/>
          <w:sz w:val="24"/>
        </w:rPr>
        <w:t> </w:t>
      </w:r>
      <w:r>
        <w:rPr>
          <w:b/>
          <w:sz w:val="24"/>
        </w:rPr>
        <w:t>in</w:t>
      </w:r>
      <w:r>
        <w:rPr>
          <w:b/>
          <w:spacing w:val="-1"/>
          <w:sz w:val="24"/>
        </w:rPr>
        <w:t> </w:t>
      </w:r>
      <w:r>
        <w:rPr>
          <w:b/>
          <w:spacing w:val="-2"/>
          <w:sz w:val="24"/>
        </w:rPr>
        <w:t>Nigeria</w:t>
      </w:r>
    </w:p>
    <w:p>
      <w:pPr>
        <w:pStyle w:val="BodyText"/>
        <w:spacing w:line="480" w:lineRule="auto" w:before="272"/>
        <w:ind w:left="399" w:right="1313"/>
        <w:jc w:val="both"/>
      </w:pPr>
      <w:r>
        <w:rPr/>
        <w:t>An important feature of SME Sector is its ability to create jobs. Vibrant SMEs are considered crucial in solving multivariate socioeconomic problems in developing economies including unemployment, low growth and poverty. Since productive employment is the key to achieving sustainable reduction in poverty and the fact that SMEs have potential of creating mass employment, (Abubakar and Yahya, 2013). They are seen as having the potential to quickly respond to the customers need in a more flexible though less bureaucratic manner than large firms.</w:t>
      </w:r>
      <w:r>
        <w:rPr>
          <w:spacing w:val="5"/>
        </w:rPr>
        <w:t> </w:t>
      </w:r>
      <w:r>
        <w:rPr/>
        <w:t>As</w:t>
      </w:r>
      <w:r>
        <w:rPr>
          <w:spacing w:val="7"/>
        </w:rPr>
        <w:t> </w:t>
      </w:r>
      <w:r>
        <w:rPr/>
        <w:t>a</w:t>
      </w:r>
      <w:r>
        <w:rPr>
          <w:spacing w:val="6"/>
        </w:rPr>
        <w:t> </w:t>
      </w:r>
      <w:r>
        <w:rPr/>
        <w:t>result</w:t>
      </w:r>
      <w:r>
        <w:rPr>
          <w:spacing w:val="9"/>
        </w:rPr>
        <w:t> </w:t>
      </w:r>
      <w:r>
        <w:rPr/>
        <w:t>of</w:t>
      </w:r>
      <w:r>
        <w:rPr>
          <w:spacing w:val="6"/>
        </w:rPr>
        <w:t> </w:t>
      </w:r>
      <w:r>
        <w:rPr/>
        <w:t>their</w:t>
      </w:r>
      <w:r>
        <w:rPr>
          <w:spacing w:val="4"/>
        </w:rPr>
        <w:t> </w:t>
      </w:r>
      <w:r>
        <w:rPr/>
        <w:t>small</w:t>
      </w:r>
      <w:r>
        <w:rPr>
          <w:spacing w:val="9"/>
        </w:rPr>
        <w:t> </w:t>
      </w:r>
      <w:r>
        <w:rPr/>
        <w:t>scale</w:t>
      </w:r>
      <w:r>
        <w:rPr>
          <w:spacing w:val="6"/>
        </w:rPr>
        <w:t> </w:t>
      </w:r>
      <w:r>
        <w:rPr/>
        <w:t>and</w:t>
      </w:r>
      <w:r>
        <w:rPr>
          <w:spacing w:val="7"/>
        </w:rPr>
        <w:t> </w:t>
      </w:r>
      <w:r>
        <w:rPr/>
        <w:t>their</w:t>
      </w:r>
      <w:r>
        <w:rPr>
          <w:spacing w:val="7"/>
        </w:rPr>
        <w:t> </w:t>
      </w:r>
      <w:r>
        <w:rPr/>
        <w:t>particularly</w:t>
      </w:r>
      <w:r>
        <w:rPr>
          <w:spacing w:val="2"/>
        </w:rPr>
        <w:t> </w:t>
      </w:r>
      <w:r>
        <w:rPr/>
        <w:t>ownership-managerial</w:t>
      </w:r>
      <w:r>
        <w:rPr>
          <w:spacing w:val="8"/>
        </w:rPr>
        <w:t> </w:t>
      </w:r>
      <w:r>
        <w:rPr/>
        <w:t>structure</w:t>
      </w:r>
      <w:r>
        <w:rPr>
          <w:spacing w:val="7"/>
        </w:rPr>
        <w:t> </w:t>
      </w:r>
      <w:r>
        <w:rPr>
          <w:spacing w:val="-4"/>
        </w:rPr>
        <w:t>(Ade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i/>
        </w:rPr>
        <w:t>et al</w:t>
      </w:r>
      <w:r>
        <w:rPr/>
        <w:t>., 2015). Fabayo (1989) observed that one major claim for focus on SMEs is that they are large employers of labour and this makes them vital in coping with the problems of unemployment</w:t>
      </w:r>
      <w:r>
        <w:rPr>
          <w:spacing w:val="-1"/>
        </w:rPr>
        <w:t> </w:t>
      </w:r>
      <w:r>
        <w:rPr/>
        <w:t>and</w:t>
      </w:r>
      <w:r>
        <w:rPr>
          <w:spacing w:val="-1"/>
        </w:rPr>
        <w:t> </w:t>
      </w:r>
      <w:r>
        <w:rPr/>
        <w:t>poverty.</w:t>
      </w:r>
      <w:r>
        <w:rPr>
          <w:spacing w:val="-1"/>
        </w:rPr>
        <w:t> </w:t>
      </w:r>
      <w:r>
        <w:rPr/>
        <w:t>SMEs</w:t>
      </w:r>
      <w:r>
        <w:rPr>
          <w:spacing w:val="-1"/>
        </w:rPr>
        <w:t> </w:t>
      </w:r>
      <w:r>
        <w:rPr/>
        <w:t>have</w:t>
      </w:r>
      <w:r>
        <w:rPr>
          <w:spacing w:val="-2"/>
        </w:rPr>
        <w:t> </w:t>
      </w:r>
      <w:r>
        <w:rPr/>
        <w:t>been</w:t>
      </w:r>
      <w:r>
        <w:rPr>
          <w:spacing w:val="-1"/>
        </w:rPr>
        <w:t> </w:t>
      </w:r>
      <w:r>
        <w:rPr/>
        <w:t>found</w:t>
      </w:r>
      <w:r>
        <w:rPr>
          <w:spacing w:val="-1"/>
        </w:rPr>
        <w:t> </w:t>
      </w:r>
      <w:r>
        <w:rPr/>
        <w:t>to</w:t>
      </w:r>
      <w:r>
        <w:rPr>
          <w:spacing w:val="-1"/>
        </w:rPr>
        <w:t> </w:t>
      </w:r>
      <w:r>
        <w:rPr/>
        <w:t>have</w:t>
      </w:r>
      <w:r>
        <w:rPr>
          <w:spacing w:val="-2"/>
        </w:rPr>
        <w:t> </w:t>
      </w:r>
      <w:r>
        <w:rPr/>
        <w:t>locational</w:t>
      </w:r>
      <w:r>
        <w:rPr>
          <w:spacing w:val="-1"/>
        </w:rPr>
        <w:t> </w:t>
      </w:r>
      <w:r>
        <w:rPr/>
        <w:t>flexibility.</w:t>
      </w:r>
      <w:r>
        <w:rPr>
          <w:spacing w:val="-1"/>
        </w:rPr>
        <w:t> </w:t>
      </w:r>
      <w:r>
        <w:rPr/>
        <w:t>From</w:t>
      </w:r>
      <w:r>
        <w:rPr>
          <w:spacing w:val="-1"/>
        </w:rPr>
        <w:t> </w:t>
      </w:r>
      <w:r>
        <w:rPr/>
        <w:t>the</w:t>
      </w:r>
      <w:r>
        <w:rPr>
          <w:spacing w:val="-2"/>
        </w:rPr>
        <w:t> </w:t>
      </w:r>
      <w:r>
        <w:rPr/>
        <w:t>study conducted by Uzor (2004), he noted that they could be more readily used to achieve industrial dispersal and regional balance</w:t>
      </w:r>
      <w:r>
        <w:rPr>
          <w:spacing w:val="-1"/>
        </w:rPr>
        <w:t> </w:t>
      </w:r>
      <w:r>
        <w:rPr/>
        <w:t>in economic</w:t>
      </w:r>
      <w:r>
        <w:rPr>
          <w:spacing w:val="-1"/>
        </w:rPr>
        <w:t> </w:t>
      </w:r>
      <w:r>
        <w:rPr/>
        <w:t>development.</w:t>
      </w:r>
      <w:r>
        <w:rPr>
          <w:spacing w:val="40"/>
        </w:rPr>
        <w:t> </w:t>
      </w:r>
      <w:r>
        <w:rPr/>
        <w:t>Another</w:t>
      </w:r>
      <w:r>
        <w:rPr>
          <w:spacing w:val="-1"/>
        </w:rPr>
        <w:t> </w:t>
      </w:r>
      <w:r>
        <w:rPr/>
        <w:t>outstanding</w:t>
      </w:r>
      <w:r>
        <w:rPr>
          <w:spacing w:val="-2"/>
        </w:rPr>
        <w:t> </w:t>
      </w:r>
      <w:r>
        <w:rPr/>
        <w:t>contribution is its influence on the contribution to the competitive price structure. The large number of small firms forms a broadly based variety of piece enterprise firms, providing a near perfect competitive situation. In this way, small businesses act as a natural antidote to the price formation of large</w:t>
      </w:r>
      <w:r>
        <w:rPr>
          <w:spacing w:val="40"/>
        </w:rPr>
        <w:t> </w:t>
      </w:r>
      <w:r>
        <w:rPr/>
        <w:t>and powerful monopolistic or oligopolistic conglomerations.</w:t>
      </w:r>
    </w:p>
    <w:p>
      <w:pPr>
        <w:pStyle w:val="BodyText"/>
        <w:spacing w:before="45"/>
      </w:pPr>
    </w:p>
    <w:p>
      <w:pPr>
        <w:pStyle w:val="BodyText"/>
        <w:spacing w:line="480" w:lineRule="auto" w:before="1"/>
        <w:ind w:left="400" w:right="1316"/>
        <w:jc w:val="both"/>
      </w:pPr>
      <w:r>
        <w:rPr/>
        <w:t>SMEs are generally more productive than large firms but institutional failures and financial market impede their development; SMEs expansion boost employment more than large firms because they</w:t>
      </w:r>
      <w:r>
        <w:rPr>
          <w:spacing w:val="-2"/>
        </w:rPr>
        <w:t> </w:t>
      </w:r>
      <w:r>
        <w:rPr/>
        <w:t>are more labour intensive. Thus, any attempt to develop SMEs will greatly assist in poverty alleviation strategies in developing economies. SMEs in Nigeria are characterized by high labour intensity, ease of entry and exit, small startup and operating capital, low labour skill requirements and they trigger entrepreneurial and indigenous technological development (Mukras, 2003).</w:t>
      </w:r>
    </w:p>
    <w:p>
      <w:pPr>
        <w:pStyle w:val="BodyText"/>
        <w:spacing w:before="91"/>
      </w:pPr>
    </w:p>
    <w:p>
      <w:pPr>
        <w:pStyle w:val="BodyText"/>
        <w:spacing w:line="480" w:lineRule="auto"/>
        <w:ind w:left="399" w:right="1317"/>
        <w:jc w:val="both"/>
      </w:pPr>
      <w:r>
        <w:rPr/>
        <w:t>Evidently, these enterprises are mostly characterized by inadequate capital base and low managerial and technical skills mainly caused by their poverty situation and inaccessibility to adequate investment capital. In addition most of them are informal because they lack the wherewithal and requisite tools of integrating with formal structure. In addition, the incessant epileptic power supply across the country and inadequate infrastructure such as roads, storage facilities,</w:t>
      </w:r>
      <w:r>
        <w:rPr>
          <w:spacing w:val="73"/>
        </w:rPr>
        <w:t> </w:t>
      </w:r>
      <w:r>
        <w:rPr/>
        <w:t>telecommunication,</w:t>
      </w:r>
      <w:r>
        <w:rPr>
          <w:spacing w:val="74"/>
        </w:rPr>
        <w:t> </w:t>
      </w:r>
      <w:r>
        <w:rPr/>
        <w:t>access</w:t>
      </w:r>
      <w:r>
        <w:rPr>
          <w:spacing w:val="75"/>
        </w:rPr>
        <w:t> </w:t>
      </w:r>
      <w:r>
        <w:rPr/>
        <w:t>to</w:t>
      </w:r>
      <w:r>
        <w:rPr>
          <w:spacing w:val="73"/>
        </w:rPr>
        <w:t> </w:t>
      </w:r>
      <w:r>
        <w:rPr/>
        <w:t>market</w:t>
      </w:r>
      <w:r>
        <w:rPr>
          <w:spacing w:val="77"/>
        </w:rPr>
        <w:t> </w:t>
      </w:r>
      <w:r>
        <w:rPr/>
        <w:t>etc</w:t>
      </w:r>
      <w:r>
        <w:rPr>
          <w:spacing w:val="73"/>
        </w:rPr>
        <w:t> </w:t>
      </w:r>
      <w:r>
        <w:rPr/>
        <w:t>pose</w:t>
      </w:r>
      <w:r>
        <w:rPr>
          <w:spacing w:val="74"/>
        </w:rPr>
        <w:t> </w:t>
      </w:r>
      <w:r>
        <w:rPr/>
        <w:t>great</w:t>
      </w:r>
      <w:r>
        <w:rPr>
          <w:spacing w:val="74"/>
        </w:rPr>
        <w:t> </w:t>
      </w:r>
      <w:r>
        <w:rPr/>
        <w:t>challenges</w:t>
      </w:r>
      <w:r>
        <w:rPr>
          <w:spacing w:val="75"/>
        </w:rPr>
        <w:t> </w:t>
      </w:r>
      <w:r>
        <w:rPr/>
        <w:t>to</w:t>
      </w:r>
      <w:r>
        <w:rPr>
          <w:spacing w:val="74"/>
        </w:rPr>
        <w:t> </w:t>
      </w:r>
      <w:r>
        <w:rPr/>
        <w:t>these</w:t>
      </w:r>
      <w:r>
        <w:rPr>
          <w:spacing w:val="73"/>
        </w:rPr>
        <w:t> </w:t>
      </w:r>
      <w:r>
        <w:rPr>
          <w:spacing w:val="-2"/>
        </w:rPr>
        <w:t>nascent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3"/>
        <w:jc w:val="both"/>
      </w:pPr>
      <w:r>
        <w:rPr/>
        <w:t>enterprises. Closely related to the problem of inadequate power supply and social infrastructure</w:t>
      </w:r>
      <w:r>
        <w:rPr>
          <w:spacing w:val="40"/>
        </w:rPr>
        <w:t> </w:t>
      </w:r>
      <w:r>
        <w:rPr/>
        <w:t>is the problem of some policies designed by government which are inimical to the growth of small businesses. An example of this can be seen in the removal of subsidies commonly advocated and implemented by government thus aggravating the problems of small businesses.</w:t>
      </w:r>
    </w:p>
    <w:p>
      <w:pPr>
        <w:pStyle w:val="BodyText"/>
        <w:spacing w:line="480" w:lineRule="auto" w:before="230"/>
        <w:ind w:left="399" w:right="1317"/>
        <w:jc w:val="both"/>
      </w:pPr>
      <w:r>
        <w:rPr/>
        <w:t>Pinhold (2008) argues that one of the primary reasons why new SMEs fail is their abnormal rate of creation. New SMEs are formed at a rate that is far higher than is needed by the economy. Also, individuals have complex motivations for starting a business and achieving a financial return is but one of them. Over-optimism fuels the process causing business founders to overestimate the returns and underestimate the risks involved. The resulting oversupply of new SMEs creates a necessity for a high business failure rate. Yrle </w:t>
      </w:r>
      <w:r>
        <w:rPr>
          <w:i/>
        </w:rPr>
        <w:t>et al</w:t>
      </w:r>
      <w:r>
        <w:rPr/>
        <w:t>. (2000) argue that suppliers</w:t>
      </w:r>
      <w:r>
        <w:rPr>
          <w:spacing w:val="40"/>
        </w:rPr>
        <w:t> </w:t>
      </w:r>
      <w:r>
        <w:rPr/>
        <w:t>of capital such as banks and venture capitalists believe that poor management is the most important factor contributing to small firm failures. Although most entrepreneurs claim that finance is a key</w:t>
      </w:r>
      <w:r>
        <w:rPr>
          <w:spacing w:val="-2"/>
        </w:rPr>
        <w:t> </w:t>
      </w:r>
      <w:r>
        <w:rPr/>
        <w:t>cause of failure, banks contend that they</w:t>
      </w:r>
      <w:r>
        <w:rPr>
          <w:spacing w:val="-3"/>
        </w:rPr>
        <w:t> </w:t>
      </w:r>
      <w:r>
        <w:rPr/>
        <w:t>are willing to lend to new firms that are investment ready. Environmental factors such as government role; business partner affiliation</w:t>
      </w:r>
      <w:r>
        <w:rPr>
          <w:spacing w:val="40"/>
        </w:rPr>
        <w:t> </w:t>
      </w:r>
      <w:r>
        <w:rPr/>
        <w:t>and preferences; nature and characteristic of value chain; logistics and telecommunications infrastructure; economic and political instability; human-rights issues; business culture macro- economic policies; natural disasters and floods can affect the development of SMEs (Rose,</w:t>
      </w:r>
      <w:r>
        <w:rPr>
          <w:spacing w:val="40"/>
        </w:rPr>
        <w:t> </w:t>
      </w:r>
      <w:r>
        <w:rPr/>
        <w:t>2014). Boeker and Wiltbank (2005) find that to entrepreneurs, the four most important factors causing failure are poor market conditions, poor capitalisation, poor management strategy and key people incompetence. Rose (2014) divided factors affecting the development of SMEs into internal and external factors. Under internal, he listed lack of management attension to strategic issues</w:t>
      </w:r>
      <w:r>
        <w:rPr>
          <w:spacing w:val="25"/>
        </w:rPr>
        <w:t> </w:t>
      </w:r>
      <w:r>
        <w:rPr/>
        <w:t>such</w:t>
      </w:r>
      <w:r>
        <w:rPr>
          <w:spacing w:val="26"/>
        </w:rPr>
        <w:t> </w:t>
      </w:r>
      <w:r>
        <w:rPr/>
        <w:t>as</w:t>
      </w:r>
      <w:r>
        <w:rPr>
          <w:spacing w:val="28"/>
        </w:rPr>
        <w:t> </w:t>
      </w:r>
      <w:r>
        <w:rPr/>
        <w:t>human</w:t>
      </w:r>
      <w:r>
        <w:rPr>
          <w:spacing w:val="26"/>
        </w:rPr>
        <w:t> </w:t>
      </w:r>
      <w:r>
        <w:rPr/>
        <w:t>resource</w:t>
      </w:r>
      <w:r>
        <w:rPr>
          <w:spacing w:val="25"/>
        </w:rPr>
        <w:t> </w:t>
      </w:r>
      <w:r>
        <w:rPr/>
        <w:t>management,</w:t>
      </w:r>
      <w:r>
        <w:rPr>
          <w:spacing w:val="27"/>
        </w:rPr>
        <w:t> </w:t>
      </w:r>
      <w:r>
        <w:rPr/>
        <w:t>level</w:t>
      </w:r>
      <w:r>
        <w:rPr>
          <w:spacing w:val="27"/>
        </w:rPr>
        <w:t> </w:t>
      </w:r>
      <w:r>
        <w:rPr/>
        <w:t>of</w:t>
      </w:r>
      <w:r>
        <w:rPr>
          <w:spacing w:val="27"/>
        </w:rPr>
        <w:t> </w:t>
      </w:r>
      <w:r>
        <w:rPr/>
        <w:t>education</w:t>
      </w:r>
      <w:r>
        <w:rPr>
          <w:spacing w:val="26"/>
        </w:rPr>
        <w:t> </w:t>
      </w:r>
      <w:r>
        <w:rPr/>
        <w:t>and</w:t>
      </w:r>
      <w:r>
        <w:rPr>
          <w:spacing w:val="26"/>
        </w:rPr>
        <w:t> </w:t>
      </w:r>
      <w:r>
        <w:rPr/>
        <w:t>social</w:t>
      </w:r>
      <w:r>
        <w:rPr>
          <w:spacing w:val="28"/>
        </w:rPr>
        <w:t> </w:t>
      </w:r>
      <w:r>
        <w:rPr/>
        <w:t>cultural</w:t>
      </w:r>
      <w:r>
        <w:rPr>
          <w:spacing w:val="27"/>
        </w:rPr>
        <w:t> </w:t>
      </w:r>
      <w:r>
        <w:rPr/>
        <w:t>issue</w:t>
      </w:r>
      <w:r>
        <w:rPr>
          <w:spacing w:val="26"/>
        </w:rPr>
        <w:t> </w:t>
      </w:r>
      <w:r>
        <w:rPr>
          <w:spacing w:val="-2"/>
        </w:rPr>
        <w:t>while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pPr>
      <w:r>
        <w:rPr/>
        <w:t>external</w:t>
      </w:r>
      <w:r>
        <w:rPr>
          <w:spacing w:val="40"/>
        </w:rPr>
        <w:t> </w:t>
      </w:r>
      <w:r>
        <w:rPr/>
        <w:t>factors</w:t>
      </w:r>
      <w:r>
        <w:rPr>
          <w:spacing w:val="40"/>
        </w:rPr>
        <w:t> </w:t>
      </w:r>
      <w:r>
        <w:rPr/>
        <w:t>include</w:t>
      </w:r>
      <w:r>
        <w:rPr>
          <w:spacing w:val="40"/>
        </w:rPr>
        <w:t> </w:t>
      </w:r>
      <w:r>
        <w:rPr/>
        <w:t>access</w:t>
      </w:r>
      <w:r>
        <w:rPr>
          <w:spacing w:val="40"/>
        </w:rPr>
        <w:t> </w:t>
      </w:r>
      <w:r>
        <w:rPr/>
        <w:t>to</w:t>
      </w:r>
      <w:r>
        <w:rPr>
          <w:spacing w:val="40"/>
        </w:rPr>
        <w:t> </w:t>
      </w:r>
      <w:r>
        <w:rPr/>
        <w:t>finance,</w:t>
      </w:r>
      <w:r>
        <w:rPr>
          <w:spacing w:val="40"/>
        </w:rPr>
        <w:t> </w:t>
      </w:r>
      <w:r>
        <w:rPr/>
        <w:t>government</w:t>
      </w:r>
      <w:r>
        <w:rPr>
          <w:spacing w:val="40"/>
        </w:rPr>
        <w:t> </w:t>
      </w:r>
      <w:r>
        <w:rPr/>
        <w:t>policies,</w:t>
      </w:r>
      <w:r>
        <w:rPr>
          <w:spacing w:val="40"/>
        </w:rPr>
        <w:t> </w:t>
      </w:r>
      <w:r>
        <w:rPr/>
        <w:t>corruption,</w:t>
      </w:r>
      <w:r>
        <w:rPr>
          <w:spacing w:val="40"/>
        </w:rPr>
        <w:t> </w:t>
      </w:r>
      <w:r>
        <w:rPr/>
        <w:t>marketing</w:t>
      </w:r>
      <w:r>
        <w:rPr>
          <w:spacing w:val="40"/>
        </w:rPr>
        <w:t> </w:t>
      </w:r>
      <w:r>
        <w:rPr/>
        <w:t>and</w:t>
      </w:r>
      <w:r>
        <w:rPr>
          <w:spacing w:val="80"/>
          <w:w w:val="150"/>
        </w:rPr>
        <w:t> </w:t>
      </w:r>
      <w:r>
        <w:rPr/>
        <w:t>application of information technology.</w:t>
      </w:r>
    </w:p>
    <w:p>
      <w:pPr>
        <w:pStyle w:val="BodyText"/>
        <w:spacing w:before="24"/>
      </w:pPr>
    </w:p>
    <w:p>
      <w:pPr>
        <w:tabs>
          <w:tab w:pos="1839" w:val="left" w:leader="none"/>
        </w:tabs>
        <w:spacing w:before="0"/>
        <w:ind w:left="400" w:right="0" w:firstLine="0"/>
        <w:jc w:val="left"/>
        <w:rPr>
          <w:b/>
          <w:sz w:val="24"/>
        </w:rPr>
      </w:pPr>
      <w:r>
        <w:rPr>
          <w:b/>
          <w:sz w:val="24"/>
        </w:rPr>
        <w:t>Table</w:t>
      </w:r>
      <w:r>
        <w:rPr>
          <w:b/>
          <w:spacing w:val="-1"/>
          <w:sz w:val="24"/>
        </w:rPr>
        <w:t> </w:t>
      </w:r>
      <w:r>
        <w:rPr>
          <w:b/>
          <w:spacing w:val="-5"/>
          <w:sz w:val="24"/>
        </w:rPr>
        <w:t>3.3</w:t>
      </w:r>
      <w:r>
        <w:rPr>
          <w:b/>
          <w:sz w:val="24"/>
        </w:rPr>
        <w:tab/>
        <w:t>SWOT</w:t>
      </w:r>
      <w:r>
        <w:rPr>
          <w:b/>
          <w:spacing w:val="-4"/>
          <w:sz w:val="24"/>
        </w:rPr>
        <w:t> </w:t>
      </w:r>
      <w:r>
        <w:rPr>
          <w:b/>
          <w:sz w:val="24"/>
        </w:rPr>
        <w:t>Analysis</w:t>
      </w:r>
      <w:r>
        <w:rPr>
          <w:b/>
          <w:spacing w:val="-2"/>
          <w:sz w:val="24"/>
        </w:rPr>
        <w:t> </w:t>
      </w:r>
      <w:r>
        <w:rPr>
          <w:b/>
          <w:sz w:val="24"/>
        </w:rPr>
        <w:t>of</w:t>
      </w:r>
      <w:r>
        <w:rPr>
          <w:b/>
          <w:spacing w:val="-3"/>
          <w:sz w:val="24"/>
        </w:rPr>
        <w:t> </w:t>
      </w:r>
      <w:r>
        <w:rPr>
          <w:b/>
          <w:sz w:val="24"/>
        </w:rPr>
        <w:t>Small</w:t>
      </w:r>
      <w:r>
        <w:rPr>
          <w:b/>
          <w:spacing w:val="-2"/>
          <w:sz w:val="24"/>
        </w:rPr>
        <w:t> </w:t>
      </w:r>
      <w:r>
        <w:rPr>
          <w:b/>
          <w:sz w:val="24"/>
        </w:rPr>
        <w:t>and</w:t>
      </w:r>
      <w:r>
        <w:rPr>
          <w:b/>
          <w:spacing w:val="-2"/>
          <w:sz w:val="24"/>
        </w:rPr>
        <w:t> </w:t>
      </w:r>
      <w:r>
        <w:rPr>
          <w:b/>
          <w:sz w:val="24"/>
        </w:rPr>
        <w:t>Medium</w:t>
      </w:r>
      <w:r>
        <w:rPr>
          <w:b/>
          <w:spacing w:val="-6"/>
          <w:sz w:val="24"/>
        </w:rPr>
        <w:t> </w:t>
      </w:r>
      <w:r>
        <w:rPr>
          <w:b/>
          <w:sz w:val="24"/>
        </w:rPr>
        <w:t>Scale</w:t>
      </w:r>
      <w:r>
        <w:rPr>
          <w:b/>
          <w:spacing w:val="-3"/>
          <w:sz w:val="24"/>
        </w:rPr>
        <w:t> </w:t>
      </w:r>
      <w:r>
        <w:rPr>
          <w:b/>
          <w:sz w:val="24"/>
        </w:rPr>
        <w:t>Construction</w:t>
      </w:r>
      <w:r>
        <w:rPr>
          <w:b/>
          <w:spacing w:val="-1"/>
          <w:sz w:val="24"/>
        </w:rPr>
        <w:t> </w:t>
      </w:r>
      <w:r>
        <w:rPr>
          <w:b/>
          <w:spacing w:val="-2"/>
          <w:sz w:val="24"/>
        </w:rPr>
        <w:t>Firms</w:t>
      </w:r>
    </w:p>
    <w:p>
      <w:pPr>
        <w:pStyle w:val="BodyText"/>
        <w:rPr>
          <w:b/>
          <w:sz w:val="20"/>
        </w:rPr>
      </w:pPr>
    </w:p>
    <w:p>
      <w:pPr>
        <w:pStyle w:val="BodyText"/>
        <w:spacing w:before="16"/>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4"/>
        <w:gridCol w:w="4642"/>
      </w:tblGrid>
      <w:tr>
        <w:trPr>
          <w:trHeight w:val="412" w:hRule="atLeast"/>
        </w:trPr>
        <w:tc>
          <w:tcPr>
            <w:tcW w:w="4934" w:type="dxa"/>
            <w:shd w:val="clear" w:color="auto" w:fill="DBE5F1"/>
          </w:tcPr>
          <w:p>
            <w:pPr>
              <w:pStyle w:val="TableParagraph"/>
              <w:spacing w:line="275" w:lineRule="exact"/>
              <w:ind w:left="108"/>
              <w:rPr>
                <w:b/>
                <w:sz w:val="24"/>
              </w:rPr>
            </w:pPr>
            <w:r>
              <w:rPr>
                <w:b/>
                <w:spacing w:val="-2"/>
                <w:sz w:val="24"/>
              </w:rPr>
              <w:t>Strength</w:t>
            </w:r>
          </w:p>
        </w:tc>
        <w:tc>
          <w:tcPr>
            <w:tcW w:w="4642" w:type="dxa"/>
            <w:shd w:val="clear" w:color="auto" w:fill="DBE5F1"/>
          </w:tcPr>
          <w:p>
            <w:pPr>
              <w:pStyle w:val="TableParagraph"/>
              <w:spacing w:line="275" w:lineRule="exact"/>
              <w:ind w:left="142"/>
              <w:rPr>
                <w:b/>
                <w:sz w:val="24"/>
              </w:rPr>
            </w:pPr>
            <w:r>
              <w:rPr>
                <w:b/>
                <w:spacing w:val="-2"/>
                <w:sz w:val="24"/>
              </w:rPr>
              <w:t>Weakness</w:t>
            </w:r>
          </w:p>
        </w:tc>
      </w:tr>
      <w:tr>
        <w:trPr>
          <w:trHeight w:val="3312" w:hRule="atLeast"/>
        </w:trPr>
        <w:tc>
          <w:tcPr>
            <w:tcW w:w="4934" w:type="dxa"/>
          </w:tcPr>
          <w:p>
            <w:pPr>
              <w:pStyle w:val="TableParagraph"/>
              <w:spacing w:line="360" w:lineRule="auto"/>
              <w:ind w:left="108"/>
              <w:rPr>
                <w:sz w:val="24"/>
              </w:rPr>
            </w:pPr>
            <w:r>
              <w:rPr>
                <w:sz w:val="24"/>
              </w:rPr>
              <w:t>High</w:t>
            </w:r>
            <w:r>
              <w:rPr>
                <w:spacing w:val="-6"/>
                <w:sz w:val="24"/>
              </w:rPr>
              <w:t> </w:t>
            </w:r>
            <w:r>
              <w:rPr>
                <w:sz w:val="24"/>
              </w:rPr>
              <w:t>return</w:t>
            </w:r>
            <w:r>
              <w:rPr>
                <w:spacing w:val="-6"/>
                <w:sz w:val="24"/>
              </w:rPr>
              <w:t> </w:t>
            </w:r>
            <w:r>
              <w:rPr>
                <w:sz w:val="24"/>
              </w:rPr>
              <w:t>of</w:t>
            </w:r>
            <w:r>
              <w:rPr>
                <w:spacing w:val="-7"/>
                <w:sz w:val="24"/>
              </w:rPr>
              <w:t> </w:t>
            </w:r>
            <w:r>
              <w:rPr>
                <w:sz w:val="24"/>
              </w:rPr>
              <w:t>investment</w:t>
            </w:r>
            <w:r>
              <w:rPr>
                <w:spacing w:val="-6"/>
                <w:sz w:val="24"/>
              </w:rPr>
              <w:t> </w:t>
            </w:r>
            <w:r>
              <w:rPr>
                <w:sz w:val="24"/>
              </w:rPr>
              <w:t>on</w:t>
            </w:r>
            <w:r>
              <w:rPr>
                <w:spacing w:val="-6"/>
                <w:sz w:val="24"/>
              </w:rPr>
              <w:t> </w:t>
            </w:r>
            <w:r>
              <w:rPr>
                <w:sz w:val="24"/>
              </w:rPr>
              <w:t>successful</w:t>
            </w:r>
            <w:r>
              <w:rPr>
                <w:spacing w:val="40"/>
                <w:sz w:val="24"/>
              </w:rPr>
              <w:t> </w:t>
            </w:r>
            <w:r>
              <w:rPr>
                <w:sz w:val="24"/>
              </w:rPr>
              <w:t>project; Ability to create job (labour intensive);</w:t>
            </w:r>
          </w:p>
          <w:p>
            <w:pPr>
              <w:pStyle w:val="TableParagraph"/>
              <w:spacing w:line="360" w:lineRule="auto"/>
              <w:ind w:left="108" w:right="1152"/>
              <w:rPr>
                <w:sz w:val="24"/>
              </w:rPr>
            </w:pPr>
            <w:r>
              <w:rPr>
                <w:sz w:val="24"/>
              </w:rPr>
              <w:t>small</w:t>
            </w:r>
            <w:r>
              <w:rPr>
                <w:spacing w:val="-9"/>
                <w:sz w:val="24"/>
              </w:rPr>
              <w:t> </w:t>
            </w:r>
            <w:r>
              <w:rPr>
                <w:sz w:val="24"/>
              </w:rPr>
              <w:t>startup</w:t>
            </w:r>
            <w:r>
              <w:rPr>
                <w:spacing w:val="-9"/>
                <w:sz w:val="24"/>
              </w:rPr>
              <w:t> </w:t>
            </w:r>
            <w:r>
              <w:rPr>
                <w:sz w:val="24"/>
              </w:rPr>
              <w:t>and</w:t>
            </w:r>
            <w:r>
              <w:rPr>
                <w:spacing w:val="-9"/>
                <w:sz w:val="24"/>
              </w:rPr>
              <w:t> </w:t>
            </w:r>
            <w:r>
              <w:rPr>
                <w:sz w:val="24"/>
              </w:rPr>
              <w:t>operating</w:t>
            </w:r>
            <w:r>
              <w:rPr>
                <w:spacing w:val="-12"/>
                <w:sz w:val="24"/>
              </w:rPr>
              <w:t> </w:t>
            </w:r>
            <w:r>
              <w:rPr>
                <w:sz w:val="24"/>
              </w:rPr>
              <w:t>capital; less overhead;</w:t>
            </w:r>
          </w:p>
          <w:p>
            <w:pPr>
              <w:pStyle w:val="TableParagraph"/>
              <w:ind w:left="170"/>
              <w:rPr>
                <w:sz w:val="24"/>
              </w:rPr>
            </w:pPr>
            <w:r>
              <w:rPr>
                <w:sz w:val="24"/>
              </w:rPr>
              <w:t>Locational</w:t>
            </w:r>
            <w:r>
              <w:rPr>
                <w:spacing w:val="-7"/>
                <w:sz w:val="24"/>
              </w:rPr>
              <w:t> </w:t>
            </w:r>
            <w:r>
              <w:rPr>
                <w:spacing w:val="-2"/>
                <w:sz w:val="24"/>
              </w:rPr>
              <w:t>flexibility;</w:t>
            </w:r>
          </w:p>
          <w:p>
            <w:pPr>
              <w:pStyle w:val="TableParagraph"/>
              <w:spacing w:line="360" w:lineRule="auto" w:before="133"/>
              <w:ind w:left="108" w:right="115"/>
              <w:rPr>
                <w:sz w:val="24"/>
              </w:rPr>
            </w:pPr>
            <w:r>
              <w:rPr>
                <w:sz w:val="24"/>
              </w:rPr>
              <w:t>potential</w:t>
            </w:r>
            <w:r>
              <w:rPr>
                <w:spacing w:val="-6"/>
                <w:sz w:val="24"/>
              </w:rPr>
              <w:t> </w:t>
            </w:r>
            <w:r>
              <w:rPr>
                <w:sz w:val="24"/>
              </w:rPr>
              <w:t>to</w:t>
            </w:r>
            <w:r>
              <w:rPr>
                <w:spacing w:val="-6"/>
                <w:sz w:val="24"/>
              </w:rPr>
              <w:t> </w:t>
            </w:r>
            <w:r>
              <w:rPr>
                <w:sz w:val="24"/>
              </w:rPr>
              <w:t>quickly</w:t>
            </w:r>
            <w:r>
              <w:rPr>
                <w:spacing w:val="-11"/>
                <w:sz w:val="24"/>
              </w:rPr>
              <w:t> </w:t>
            </w:r>
            <w:r>
              <w:rPr>
                <w:sz w:val="24"/>
              </w:rPr>
              <w:t>respond</w:t>
            </w:r>
            <w:r>
              <w:rPr>
                <w:spacing w:val="-6"/>
                <w:sz w:val="24"/>
              </w:rPr>
              <w:t> </w:t>
            </w:r>
            <w:r>
              <w:rPr>
                <w:sz w:val="24"/>
              </w:rPr>
              <w:t>to</w:t>
            </w:r>
            <w:r>
              <w:rPr>
                <w:spacing w:val="-6"/>
                <w:sz w:val="24"/>
              </w:rPr>
              <w:t> </w:t>
            </w:r>
            <w:r>
              <w:rPr>
                <w:sz w:val="24"/>
              </w:rPr>
              <w:t>the</w:t>
            </w:r>
            <w:r>
              <w:rPr>
                <w:spacing w:val="-7"/>
                <w:sz w:val="24"/>
              </w:rPr>
              <w:t> </w:t>
            </w:r>
            <w:r>
              <w:rPr>
                <w:sz w:val="24"/>
              </w:rPr>
              <w:t>customers need in a more flexible way;</w:t>
            </w:r>
          </w:p>
          <w:p>
            <w:pPr>
              <w:pStyle w:val="TableParagraph"/>
              <w:ind w:left="108"/>
              <w:rPr>
                <w:sz w:val="24"/>
              </w:rPr>
            </w:pPr>
            <w:r>
              <w:rPr>
                <w:sz w:val="24"/>
              </w:rPr>
              <w:t>some</w:t>
            </w:r>
            <w:r>
              <w:rPr>
                <w:spacing w:val="-2"/>
                <w:sz w:val="24"/>
              </w:rPr>
              <w:t> </w:t>
            </w:r>
            <w:r>
              <w:rPr>
                <w:sz w:val="24"/>
              </w:rPr>
              <w:t>of</w:t>
            </w:r>
            <w:r>
              <w:rPr>
                <w:spacing w:val="-2"/>
                <w:sz w:val="24"/>
              </w:rPr>
              <w:t> </w:t>
            </w:r>
            <w:r>
              <w:rPr>
                <w:sz w:val="24"/>
              </w:rPr>
              <w:t>the</w:t>
            </w:r>
            <w:r>
              <w:rPr>
                <w:spacing w:val="-1"/>
                <w:sz w:val="24"/>
              </w:rPr>
              <w:t> </w:t>
            </w:r>
            <w:r>
              <w:rPr>
                <w:sz w:val="24"/>
              </w:rPr>
              <w:t>lowest</w:t>
            </w:r>
            <w:r>
              <w:rPr>
                <w:spacing w:val="-1"/>
                <w:sz w:val="24"/>
              </w:rPr>
              <w:t> </w:t>
            </w:r>
            <w:r>
              <w:rPr>
                <w:sz w:val="24"/>
              </w:rPr>
              <w:t>construction </w:t>
            </w:r>
            <w:r>
              <w:rPr>
                <w:spacing w:val="-4"/>
                <w:sz w:val="24"/>
              </w:rPr>
              <w:t>cost</w:t>
            </w:r>
          </w:p>
        </w:tc>
        <w:tc>
          <w:tcPr>
            <w:tcW w:w="4642" w:type="dxa"/>
          </w:tcPr>
          <w:p>
            <w:pPr>
              <w:pStyle w:val="TableParagraph"/>
              <w:spacing w:line="270" w:lineRule="exact"/>
              <w:ind w:left="142"/>
              <w:rPr>
                <w:sz w:val="24"/>
              </w:rPr>
            </w:pPr>
            <w:r>
              <w:rPr>
                <w:sz w:val="24"/>
              </w:rPr>
              <w:t>poor</w:t>
            </w:r>
            <w:r>
              <w:rPr>
                <w:spacing w:val="-1"/>
                <w:sz w:val="24"/>
              </w:rPr>
              <w:t> </w:t>
            </w:r>
            <w:r>
              <w:rPr>
                <w:spacing w:val="-2"/>
                <w:sz w:val="24"/>
              </w:rPr>
              <w:t>capitalization;</w:t>
            </w:r>
          </w:p>
          <w:p>
            <w:pPr>
              <w:pStyle w:val="TableParagraph"/>
              <w:spacing w:line="360" w:lineRule="auto" w:before="139"/>
              <w:ind w:left="142" w:right="390"/>
              <w:rPr>
                <w:sz w:val="24"/>
              </w:rPr>
            </w:pPr>
            <w:r>
              <w:rPr>
                <w:sz w:val="24"/>
              </w:rPr>
              <w:t>Lack of coordination and networking; Lack</w:t>
            </w:r>
            <w:r>
              <w:rPr>
                <w:spacing w:val="-8"/>
                <w:sz w:val="24"/>
              </w:rPr>
              <w:t> </w:t>
            </w:r>
            <w:r>
              <w:rPr>
                <w:sz w:val="24"/>
              </w:rPr>
              <w:t>of</w:t>
            </w:r>
            <w:r>
              <w:rPr>
                <w:spacing w:val="-9"/>
                <w:sz w:val="24"/>
              </w:rPr>
              <w:t> </w:t>
            </w:r>
            <w:r>
              <w:rPr>
                <w:sz w:val="24"/>
              </w:rPr>
              <w:t>procedures</w:t>
            </w:r>
            <w:r>
              <w:rPr>
                <w:spacing w:val="-8"/>
                <w:sz w:val="24"/>
              </w:rPr>
              <w:t> </w:t>
            </w:r>
            <w:r>
              <w:rPr>
                <w:sz w:val="24"/>
              </w:rPr>
              <w:t>for</w:t>
            </w:r>
            <w:r>
              <w:rPr>
                <w:spacing w:val="-8"/>
                <w:sz w:val="24"/>
              </w:rPr>
              <w:t> </w:t>
            </w:r>
            <w:r>
              <w:rPr>
                <w:sz w:val="24"/>
              </w:rPr>
              <w:t>monitoring</w:t>
            </w:r>
            <w:r>
              <w:rPr>
                <w:spacing w:val="-11"/>
                <w:sz w:val="24"/>
              </w:rPr>
              <w:t> </w:t>
            </w:r>
            <w:r>
              <w:rPr>
                <w:sz w:val="24"/>
              </w:rPr>
              <w:t>quality; Poor information systems;</w:t>
            </w:r>
          </w:p>
          <w:p>
            <w:pPr>
              <w:pStyle w:val="TableParagraph"/>
              <w:spacing w:line="360" w:lineRule="auto"/>
              <w:ind w:left="202" w:right="1044" w:hanging="60"/>
              <w:rPr>
                <w:sz w:val="24"/>
              </w:rPr>
            </w:pPr>
            <w:r>
              <w:rPr>
                <w:sz w:val="24"/>
              </w:rPr>
              <w:t>low</w:t>
            </w:r>
            <w:r>
              <w:rPr>
                <w:spacing w:val="-11"/>
                <w:sz w:val="24"/>
              </w:rPr>
              <w:t> </w:t>
            </w:r>
            <w:r>
              <w:rPr>
                <w:sz w:val="24"/>
              </w:rPr>
              <w:t>managerial</w:t>
            </w:r>
            <w:r>
              <w:rPr>
                <w:spacing w:val="-8"/>
                <w:sz w:val="24"/>
              </w:rPr>
              <w:t> </w:t>
            </w:r>
            <w:r>
              <w:rPr>
                <w:sz w:val="24"/>
              </w:rPr>
              <w:t>and</w:t>
            </w:r>
            <w:r>
              <w:rPr>
                <w:spacing w:val="-10"/>
                <w:sz w:val="24"/>
              </w:rPr>
              <w:t> </w:t>
            </w:r>
            <w:r>
              <w:rPr>
                <w:sz w:val="24"/>
              </w:rPr>
              <w:t>technical</w:t>
            </w:r>
            <w:r>
              <w:rPr>
                <w:spacing w:val="-10"/>
                <w:sz w:val="24"/>
              </w:rPr>
              <w:t> </w:t>
            </w:r>
            <w:r>
              <w:rPr>
                <w:sz w:val="24"/>
              </w:rPr>
              <w:t>skills; poor market conditions;</w:t>
            </w:r>
          </w:p>
          <w:p>
            <w:pPr>
              <w:pStyle w:val="TableParagraph"/>
              <w:ind w:left="202"/>
              <w:rPr>
                <w:sz w:val="24"/>
              </w:rPr>
            </w:pPr>
            <w:r>
              <w:rPr>
                <w:sz w:val="24"/>
              </w:rPr>
              <w:t>Poor</w:t>
            </w:r>
            <w:r>
              <w:rPr>
                <w:spacing w:val="-3"/>
                <w:sz w:val="24"/>
              </w:rPr>
              <w:t> </w:t>
            </w:r>
            <w:r>
              <w:rPr>
                <w:sz w:val="24"/>
              </w:rPr>
              <w:t>management</w:t>
            </w:r>
            <w:r>
              <w:rPr>
                <w:spacing w:val="-1"/>
                <w:sz w:val="24"/>
              </w:rPr>
              <w:t> </w:t>
            </w:r>
            <w:r>
              <w:rPr>
                <w:sz w:val="24"/>
              </w:rPr>
              <w:t>strategy</w:t>
            </w:r>
            <w:r>
              <w:rPr>
                <w:spacing w:val="-6"/>
                <w:sz w:val="24"/>
              </w:rPr>
              <w:t> </w:t>
            </w:r>
            <w:r>
              <w:rPr>
                <w:spacing w:val="-5"/>
                <w:sz w:val="24"/>
              </w:rPr>
              <w:t>and</w:t>
            </w:r>
          </w:p>
          <w:p>
            <w:pPr>
              <w:pStyle w:val="TableParagraph"/>
              <w:spacing w:before="138"/>
              <w:ind w:left="142"/>
              <w:rPr>
                <w:sz w:val="24"/>
              </w:rPr>
            </w:pPr>
            <w:r>
              <w:rPr>
                <w:sz w:val="24"/>
              </w:rPr>
              <w:t>Key</w:t>
            </w:r>
            <w:r>
              <w:rPr>
                <w:spacing w:val="-5"/>
                <w:sz w:val="24"/>
              </w:rPr>
              <w:t> </w:t>
            </w:r>
            <w:r>
              <w:rPr>
                <w:sz w:val="24"/>
              </w:rPr>
              <w:t>people </w:t>
            </w:r>
            <w:r>
              <w:rPr>
                <w:spacing w:val="-2"/>
                <w:sz w:val="24"/>
              </w:rPr>
              <w:t>incompetence.</w:t>
            </w:r>
          </w:p>
        </w:tc>
      </w:tr>
      <w:tr>
        <w:trPr>
          <w:trHeight w:val="415" w:hRule="atLeast"/>
        </w:trPr>
        <w:tc>
          <w:tcPr>
            <w:tcW w:w="4934" w:type="dxa"/>
            <w:shd w:val="clear" w:color="auto" w:fill="DBE5F1"/>
          </w:tcPr>
          <w:p>
            <w:pPr>
              <w:pStyle w:val="TableParagraph"/>
              <w:spacing w:line="275" w:lineRule="exact"/>
              <w:ind w:left="108"/>
              <w:rPr>
                <w:b/>
                <w:sz w:val="24"/>
              </w:rPr>
            </w:pPr>
            <w:r>
              <w:rPr>
                <w:b/>
                <w:spacing w:val="-2"/>
                <w:sz w:val="24"/>
              </w:rPr>
              <w:t>Opportunities</w:t>
            </w:r>
          </w:p>
        </w:tc>
        <w:tc>
          <w:tcPr>
            <w:tcW w:w="4642" w:type="dxa"/>
            <w:shd w:val="clear" w:color="auto" w:fill="DBE5F1"/>
          </w:tcPr>
          <w:p>
            <w:pPr>
              <w:pStyle w:val="TableParagraph"/>
              <w:spacing w:line="275" w:lineRule="exact"/>
              <w:ind w:left="142"/>
              <w:rPr>
                <w:b/>
                <w:sz w:val="24"/>
              </w:rPr>
            </w:pPr>
            <w:r>
              <w:rPr>
                <w:b/>
                <w:spacing w:val="-2"/>
                <w:sz w:val="24"/>
              </w:rPr>
              <w:t>Threat</w:t>
            </w:r>
          </w:p>
        </w:tc>
      </w:tr>
      <w:tr>
        <w:trPr>
          <w:trHeight w:val="4410" w:hRule="atLeast"/>
        </w:trPr>
        <w:tc>
          <w:tcPr>
            <w:tcW w:w="4934" w:type="dxa"/>
          </w:tcPr>
          <w:p>
            <w:pPr>
              <w:pStyle w:val="TableParagraph"/>
              <w:spacing w:line="360" w:lineRule="auto"/>
              <w:ind w:left="108" w:right="1152"/>
              <w:rPr>
                <w:sz w:val="24"/>
              </w:rPr>
            </w:pPr>
            <w:r>
              <w:rPr>
                <w:sz w:val="24"/>
              </w:rPr>
              <w:t>High</w:t>
            </w:r>
            <w:r>
              <w:rPr>
                <w:spacing w:val="-9"/>
                <w:sz w:val="24"/>
              </w:rPr>
              <w:t> </w:t>
            </w:r>
            <w:r>
              <w:rPr>
                <w:sz w:val="24"/>
              </w:rPr>
              <w:t>speed</w:t>
            </w:r>
            <w:r>
              <w:rPr>
                <w:spacing w:val="-9"/>
                <w:sz w:val="24"/>
              </w:rPr>
              <w:t> </w:t>
            </w:r>
            <w:r>
              <w:rPr>
                <w:sz w:val="24"/>
              </w:rPr>
              <w:t>of</w:t>
            </w:r>
            <w:r>
              <w:rPr>
                <w:spacing w:val="-10"/>
                <w:sz w:val="24"/>
              </w:rPr>
              <w:t> </w:t>
            </w:r>
            <w:r>
              <w:rPr>
                <w:sz w:val="24"/>
              </w:rPr>
              <w:t>construction</w:t>
            </w:r>
            <w:r>
              <w:rPr>
                <w:spacing w:val="-9"/>
                <w:sz w:val="24"/>
              </w:rPr>
              <w:t> </w:t>
            </w:r>
            <w:r>
              <w:rPr>
                <w:sz w:val="24"/>
              </w:rPr>
              <w:t>industry </w:t>
            </w:r>
            <w:r>
              <w:rPr>
                <w:spacing w:val="-2"/>
                <w:sz w:val="24"/>
              </w:rPr>
              <w:t>development;</w:t>
            </w:r>
          </w:p>
          <w:p>
            <w:pPr>
              <w:pStyle w:val="TableParagraph"/>
              <w:spacing w:line="360" w:lineRule="auto"/>
              <w:ind w:left="108" w:right="2297"/>
              <w:rPr>
                <w:sz w:val="24"/>
              </w:rPr>
            </w:pPr>
            <w:r>
              <w:rPr>
                <w:sz w:val="24"/>
              </w:rPr>
              <w:t>Low labour cost;</w:t>
            </w:r>
            <w:r>
              <w:rPr>
                <w:spacing w:val="40"/>
                <w:sz w:val="24"/>
              </w:rPr>
              <w:t> </w:t>
            </w:r>
            <w:r>
              <w:rPr>
                <w:sz w:val="24"/>
              </w:rPr>
              <w:t>Regional peace process; Government</w:t>
            </w:r>
            <w:r>
              <w:rPr>
                <w:spacing w:val="-15"/>
                <w:sz w:val="24"/>
              </w:rPr>
              <w:t> </w:t>
            </w:r>
            <w:r>
              <w:rPr>
                <w:sz w:val="24"/>
              </w:rPr>
              <w:t>new</w:t>
            </w:r>
            <w:r>
              <w:rPr>
                <w:spacing w:val="-15"/>
                <w:sz w:val="24"/>
              </w:rPr>
              <w:t> </w:t>
            </w:r>
            <w:r>
              <w:rPr>
                <w:sz w:val="24"/>
              </w:rPr>
              <w:t>policies.</w:t>
            </w:r>
          </w:p>
        </w:tc>
        <w:tc>
          <w:tcPr>
            <w:tcW w:w="4642" w:type="dxa"/>
          </w:tcPr>
          <w:p>
            <w:pPr>
              <w:pStyle w:val="TableParagraph"/>
              <w:spacing w:line="360" w:lineRule="auto"/>
              <w:ind w:left="142"/>
              <w:rPr>
                <w:sz w:val="24"/>
              </w:rPr>
            </w:pPr>
            <w:r>
              <w:rPr>
                <w:sz w:val="24"/>
              </w:rPr>
              <w:t>Credit</w:t>
            </w:r>
            <w:r>
              <w:rPr>
                <w:spacing w:val="-9"/>
                <w:sz w:val="24"/>
              </w:rPr>
              <w:t> </w:t>
            </w:r>
            <w:r>
              <w:rPr>
                <w:sz w:val="24"/>
              </w:rPr>
              <w:t>terms</w:t>
            </w:r>
            <w:r>
              <w:rPr>
                <w:spacing w:val="-9"/>
                <w:sz w:val="24"/>
              </w:rPr>
              <w:t> </w:t>
            </w:r>
            <w:r>
              <w:rPr>
                <w:sz w:val="24"/>
              </w:rPr>
              <w:t>and</w:t>
            </w:r>
            <w:r>
              <w:rPr>
                <w:spacing w:val="-9"/>
                <w:sz w:val="24"/>
              </w:rPr>
              <w:t> </w:t>
            </w:r>
            <w:r>
              <w:rPr>
                <w:sz w:val="24"/>
              </w:rPr>
              <w:t>conditions</w:t>
            </w:r>
            <w:r>
              <w:rPr>
                <w:spacing w:val="-9"/>
                <w:sz w:val="24"/>
              </w:rPr>
              <w:t> </w:t>
            </w:r>
            <w:r>
              <w:rPr>
                <w:sz w:val="24"/>
              </w:rPr>
              <w:t>of</w:t>
            </w:r>
            <w:r>
              <w:rPr>
                <w:spacing w:val="-10"/>
                <w:sz w:val="24"/>
              </w:rPr>
              <w:t> </w:t>
            </w:r>
            <w:r>
              <w:rPr>
                <w:sz w:val="24"/>
              </w:rPr>
              <w:t>commercial banks discourage investments ;</w:t>
            </w:r>
          </w:p>
          <w:p>
            <w:pPr>
              <w:pStyle w:val="TableParagraph"/>
              <w:spacing w:line="360" w:lineRule="auto"/>
              <w:ind w:left="142"/>
              <w:rPr>
                <w:sz w:val="24"/>
              </w:rPr>
            </w:pPr>
            <w:r>
              <w:rPr>
                <w:sz w:val="24"/>
              </w:rPr>
              <w:t>Excessive</w:t>
            </w:r>
            <w:r>
              <w:rPr>
                <w:spacing w:val="-9"/>
                <w:sz w:val="24"/>
              </w:rPr>
              <w:t> </w:t>
            </w:r>
            <w:r>
              <w:rPr>
                <w:sz w:val="24"/>
              </w:rPr>
              <w:t>corruption</w:t>
            </w:r>
            <w:r>
              <w:rPr>
                <w:spacing w:val="-9"/>
                <w:sz w:val="24"/>
              </w:rPr>
              <w:t> </w:t>
            </w:r>
            <w:r>
              <w:rPr>
                <w:sz w:val="24"/>
              </w:rPr>
              <w:t>and</w:t>
            </w:r>
            <w:r>
              <w:rPr>
                <w:spacing w:val="-7"/>
                <w:sz w:val="24"/>
              </w:rPr>
              <w:t> </w:t>
            </w:r>
            <w:r>
              <w:rPr>
                <w:sz w:val="24"/>
              </w:rPr>
              <w:t>a</w:t>
            </w:r>
            <w:r>
              <w:rPr>
                <w:spacing w:val="-9"/>
                <w:sz w:val="24"/>
              </w:rPr>
              <w:t> </w:t>
            </w:r>
            <w:r>
              <w:rPr>
                <w:sz w:val="24"/>
              </w:rPr>
              <w:t>lack</w:t>
            </w:r>
            <w:r>
              <w:rPr>
                <w:spacing w:val="-9"/>
                <w:sz w:val="24"/>
              </w:rPr>
              <w:t> </w:t>
            </w:r>
            <w:r>
              <w:rPr>
                <w:sz w:val="24"/>
              </w:rPr>
              <w:t>of </w:t>
            </w:r>
            <w:r>
              <w:rPr>
                <w:spacing w:val="-2"/>
                <w:sz w:val="24"/>
              </w:rPr>
              <w:t>transparencies;</w:t>
            </w:r>
          </w:p>
          <w:p>
            <w:pPr>
              <w:pStyle w:val="TableParagraph"/>
              <w:spacing w:line="360" w:lineRule="auto"/>
              <w:ind w:left="142" w:right="894"/>
              <w:rPr>
                <w:sz w:val="24"/>
              </w:rPr>
            </w:pPr>
            <w:r>
              <w:rPr>
                <w:sz w:val="24"/>
              </w:rPr>
              <w:t>Poor existing infrastructure; Obstacles</w:t>
            </w:r>
            <w:r>
              <w:rPr>
                <w:spacing w:val="-14"/>
                <w:sz w:val="24"/>
              </w:rPr>
              <w:t> </w:t>
            </w:r>
            <w:r>
              <w:rPr>
                <w:sz w:val="24"/>
              </w:rPr>
              <w:t>in</w:t>
            </w:r>
            <w:r>
              <w:rPr>
                <w:spacing w:val="-14"/>
                <w:sz w:val="24"/>
              </w:rPr>
              <w:t> </w:t>
            </w:r>
            <w:r>
              <w:rPr>
                <w:sz w:val="24"/>
              </w:rPr>
              <w:t>registration</w:t>
            </w:r>
            <w:r>
              <w:rPr>
                <w:spacing w:val="-13"/>
                <w:sz w:val="24"/>
              </w:rPr>
              <w:t> </w:t>
            </w:r>
            <w:r>
              <w:rPr>
                <w:sz w:val="24"/>
              </w:rPr>
              <w:t>procedures; Environmental issues;</w:t>
            </w:r>
          </w:p>
          <w:p>
            <w:pPr>
              <w:pStyle w:val="TableParagraph"/>
              <w:spacing w:line="360" w:lineRule="auto"/>
              <w:ind w:left="142" w:right="390"/>
              <w:rPr>
                <w:sz w:val="24"/>
              </w:rPr>
            </w:pPr>
            <w:r>
              <w:rPr>
                <w:sz w:val="24"/>
              </w:rPr>
              <w:t>Government</w:t>
            </w:r>
            <w:r>
              <w:rPr>
                <w:spacing w:val="-14"/>
                <w:sz w:val="24"/>
              </w:rPr>
              <w:t> </w:t>
            </w:r>
            <w:r>
              <w:rPr>
                <w:sz w:val="24"/>
              </w:rPr>
              <w:t>laws</w:t>
            </w:r>
            <w:r>
              <w:rPr>
                <w:spacing w:val="-13"/>
                <w:sz w:val="24"/>
              </w:rPr>
              <w:t> </w:t>
            </w:r>
            <w:r>
              <w:rPr>
                <w:sz w:val="24"/>
              </w:rPr>
              <w:t>and</w:t>
            </w:r>
            <w:r>
              <w:rPr>
                <w:spacing w:val="-14"/>
                <w:sz w:val="24"/>
              </w:rPr>
              <w:t> </w:t>
            </w:r>
            <w:r>
              <w:rPr>
                <w:sz w:val="24"/>
              </w:rPr>
              <w:t>regulations; uncertainty in politic;</w:t>
            </w:r>
          </w:p>
          <w:p>
            <w:pPr>
              <w:pStyle w:val="TableParagraph"/>
              <w:ind w:left="142"/>
              <w:rPr>
                <w:sz w:val="24"/>
              </w:rPr>
            </w:pPr>
            <w:r>
              <w:rPr>
                <w:sz w:val="24"/>
              </w:rPr>
              <w:t>Multiple</w:t>
            </w:r>
            <w:r>
              <w:rPr>
                <w:spacing w:val="-1"/>
                <w:sz w:val="24"/>
              </w:rPr>
              <w:t> </w:t>
            </w:r>
            <w:r>
              <w:rPr>
                <w:sz w:val="24"/>
              </w:rPr>
              <w:t>taxes </w:t>
            </w:r>
            <w:r>
              <w:rPr>
                <w:spacing w:val="-5"/>
                <w:sz w:val="24"/>
              </w:rPr>
              <w:t>and</w:t>
            </w:r>
          </w:p>
          <w:p>
            <w:pPr>
              <w:pStyle w:val="TableParagraph"/>
              <w:spacing w:line="256" w:lineRule="exact" w:before="132"/>
              <w:ind w:left="142"/>
              <w:rPr>
                <w:sz w:val="24"/>
              </w:rPr>
            </w:pPr>
            <w:r>
              <w:rPr>
                <w:sz w:val="24"/>
              </w:rPr>
              <w:t>Strong</w:t>
            </w:r>
            <w:r>
              <w:rPr>
                <w:spacing w:val="-7"/>
                <w:sz w:val="24"/>
              </w:rPr>
              <w:t> </w:t>
            </w:r>
            <w:r>
              <w:rPr>
                <w:sz w:val="24"/>
              </w:rPr>
              <w:t>competition</w:t>
            </w:r>
            <w:r>
              <w:rPr>
                <w:spacing w:val="-2"/>
                <w:sz w:val="24"/>
              </w:rPr>
              <w:t> </w:t>
            </w:r>
            <w:r>
              <w:rPr>
                <w:sz w:val="24"/>
              </w:rPr>
              <w:t>from</w:t>
            </w:r>
            <w:r>
              <w:rPr>
                <w:spacing w:val="1"/>
                <w:sz w:val="24"/>
              </w:rPr>
              <w:t> </w:t>
            </w:r>
            <w:r>
              <w:rPr>
                <w:sz w:val="24"/>
              </w:rPr>
              <w:t>the</w:t>
            </w:r>
            <w:r>
              <w:rPr>
                <w:spacing w:val="-3"/>
                <w:sz w:val="24"/>
              </w:rPr>
              <w:t> </w:t>
            </w:r>
            <w:r>
              <w:rPr>
                <w:sz w:val="24"/>
              </w:rPr>
              <w:t>large</w:t>
            </w:r>
            <w:r>
              <w:rPr>
                <w:spacing w:val="-2"/>
                <w:sz w:val="24"/>
              </w:rPr>
              <w:t> firms.</w:t>
            </w:r>
          </w:p>
        </w:tc>
      </w:tr>
    </w:tbl>
    <w:p>
      <w:pPr>
        <w:spacing w:before="143"/>
        <w:ind w:left="399" w:right="0" w:firstLine="0"/>
        <w:jc w:val="left"/>
        <w:rPr>
          <w:b/>
          <w:sz w:val="24"/>
        </w:rPr>
      </w:pPr>
      <w:r>
        <w:rPr>
          <w:b/>
          <w:sz w:val="24"/>
        </w:rPr>
        <w:t>Source:</w:t>
      </w:r>
      <w:r>
        <w:rPr>
          <w:b/>
          <w:spacing w:val="-4"/>
          <w:sz w:val="24"/>
        </w:rPr>
        <w:t> </w:t>
      </w:r>
      <w:r>
        <w:rPr>
          <w:b/>
          <w:sz w:val="24"/>
        </w:rPr>
        <w:t>Researcher</w:t>
      </w:r>
      <w:r>
        <w:rPr>
          <w:b/>
          <w:spacing w:val="-3"/>
          <w:sz w:val="24"/>
        </w:rPr>
        <w:t> </w:t>
      </w:r>
      <w:r>
        <w:rPr>
          <w:b/>
          <w:spacing w:val="-2"/>
          <w:sz w:val="24"/>
        </w:rPr>
        <w:t>(2017)</w:t>
      </w:r>
    </w:p>
    <w:p>
      <w:pPr>
        <w:spacing w:after="0"/>
        <w:jc w:val="left"/>
        <w:rPr>
          <w:sz w:val="24"/>
        </w:rPr>
        <w:sectPr>
          <w:pgSz w:w="12240" w:h="15840"/>
          <w:pgMar w:header="0" w:footer="1017" w:top="1360" w:bottom="1200" w:left="1040" w:right="120"/>
        </w:sectPr>
      </w:pPr>
    </w:p>
    <w:p>
      <w:pPr>
        <w:pStyle w:val="ListParagraph"/>
        <w:numPr>
          <w:ilvl w:val="1"/>
          <w:numId w:val="18"/>
        </w:numPr>
        <w:tabs>
          <w:tab w:pos="1120" w:val="left" w:leader="none"/>
        </w:tabs>
        <w:spacing w:line="480" w:lineRule="auto" w:before="76" w:after="0"/>
        <w:ind w:left="1120" w:right="1320" w:hanging="720"/>
        <w:jc w:val="both"/>
        <w:rPr>
          <w:b/>
          <w:sz w:val="24"/>
        </w:rPr>
      </w:pPr>
      <w:r>
        <w:rPr>
          <w:b/>
          <w:sz w:val="24"/>
        </w:rPr>
        <w:t>Interrelationships between Small and Medium Scale Construction Firms, Total Quality Management and Competitive Advantage</w:t>
      </w:r>
    </w:p>
    <w:p>
      <w:pPr>
        <w:pStyle w:val="BodyText"/>
        <w:spacing w:line="480" w:lineRule="auto"/>
        <w:ind w:left="399" w:right="1315" w:firstLine="62"/>
        <w:jc w:val="both"/>
      </w:pPr>
      <w:r>
        <w:rPr/>
        <w:t>It is vital to understand the relationship between SMCFs, TQM and Competitive Advantage in other to have a good understanding among the components. Below shows a graphical representation of their interrelationship:</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599616">
                <wp:simplePos x="0" y="0"/>
                <wp:positionH relativeFrom="page">
                  <wp:posOffset>2281237</wp:posOffset>
                </wp:positionH>
                <wp:positionV relativeFrom="paragraph">
                  <wp:posOffset>201773</wp:posOffset>
                </wp:positionV>
                <wp:extent cx="2241550" cy="164338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2241550" cy="1643380"/>
                          <a:chExt cx="2241550" cy="1643380"/>
                        </a:xfrm>
                      </wpg:grpSpPr>
                      <wps:wsp>
                        <wps:cNvPr id="161" name="Graphic 161"/>
                        <wps:cNvSpPr/>
                        <wps:spPr>
                          <a:xfrm>
                            <a:off x="4762" y="81597"/>
                            <a:ext cx="1318260" cy="947419"/>
                          </a:xfrm>
                          <a:custGeom>
                            <a:avLst/>
                            <a:gdLst/>
                            <a:ahLst/>
                            <a:cxnLst/>
                            <a:rect l="l" t="t" r="r" b="b"/>
                            <a:pathLst>
                              <a:path w="1318260" h="947419">
                                <a:moveTo>
                                  <a:pt x="659130" y="0"/>
                                </a:moveTo>
                                <a:lnTo>
                                  <a:pt x="602255" y="1738"/>
                                </a:lnTo>
                                <a:lnTo>
                                  <a:pt x="546724" y="6860"/>
                                </a:lnTo>
                                <a:lnTo>
                                  <a:pt x="492735" y="15221"/>
                                </a:lnTo>
                                <a:lnTo>
                                  <a:pt x="440485" y="26682"/>
                                </a:lnTo>
                                <a:lnTo>
                                  <a:pt x="390173" y="41098"/>
                                </a:lnTo>
                                <a:lnTo>
                                  <a:pt x="341996" y="58328"/>
                                </a:lnTo>
                                <a:lnTo>
                                  <a:pt x="296152" y="78231"/>
                                </a:lnTo>
                                <a:lnTo>
                                  <a:pt x="252839" y="100662"/>
                                </a:lnTo>
                                <a:lnTo>
                                  <a:pt x="212255" y="125482"/>
                                </a:lnTo>
                                <a:lnTo>
                                  <a:pt x="174597" y="152546"/>
                                </a:lnTo>
                                <a:lnTo>
                                  <a:pt x="140063" y="181714"/>
                                </a:lnTo>
                                <a:lnTo>
                                  <a:pt x="108851" y="212843"/>
                                </a:lnTo>
                                <a:lnTo>
                                  <a:pt x="81159" y="245790"/>
                                </a:lnTo>
                                <a:lnTo>
                                  <a:pt x="57184" y="280415"/>
                                </a:lnTo>
                                <a:lnTo>
                                  <a:pt x="37125" y="316573"/>
                                </a:lnTo>
                                <a:lnTo>
                                  <a:pt x="21179" y="354124"/>
                                </a:lnTo>
                                <a:lnTo>
                                  <a:pt x="9545" y="392925"/>
                                </a:lnTo>
                                <a:lnTo>
                                  <a:pt x="2419" y="432835"/>
                                </a:lnTo>
                                <a:lnTo>
                                  <a:pt x="0" y="473709"/>
                                </a:lnTo>
                                <a:lnTo>
                                  <a:pt x="2419" y="514584"/>
                                </a:lnTo>
                                <a:lnTo>
                                  <a:pt x="9545" y="554494"/>
                                </a:lnTo>
                                <a:lnTo>
                                  <a:pt x="21179" y="593295"/>
                                </a:lnTo>
                                <a:lnTo>
                                  <a:pt x="37125" y="630846"/>
                                </a:lnTo>
                                <a:lnTo>
                                  <a:pt x="57184" y="667004"/>
                                </a:lnTo>
                                <a:lnTo>
                                  <a:pt x="81159" y="701629"/>
                                </a:lnTo>
                                <a:lnTo>
                                  <a:pt x="108851" y="734576"/>
                                </a:lnTo>
                                <a:lnTo>
                                  <a:pt x="140063" y="765705"/>
                                </a:lnTo>
                                <a:lnTo>
                                  <a:pt x="174597" y="794873"/>
                                </a:lnTo>
                                <a:lnTo>
                                  <a:pt x="212255" y="821937"/>
                                </a:lnTo>
                                <a:lnTo>
                                  <a:pt x="252839" y="846757"/>
                                </a:lnTo>
                                <a:lnTo>
                                  <a:pt x="296152" y="869188"/>
                                </a:lnTo>
                                <a:lnTo>
                                  <a:pt x="341996" y="889091"/>
                                </a:lnTo>
                                <a:lnTo>
                                  <a:pt x="390173" y="906321"/>
                                </a:lnTo>
                                <a:lnTo>
                                  <a:pt x="440485" y="920737"/>
                                </a:lnTo>
                                <a:lnTo>
                                  <a:pt x="492735" y="932198"/>
                                </a:lnTo>
                                <a:lnTo>
                                  <a:pt x="546724" y="940559"/>
                                </a:lnTo>
                                <a:lnTo>
                                  <a:pt x="602255" y="945681"/>
                                </a:lnTo>
                                <a:lnTo>
                                  <a:pt x="659130" y="947419"/>
                                </a:lnTo>
                                <a:lnTo>
                                  <a:pt x="716004" y="945681"/>
                                </a:lnTo>
                                <a:lnTo>
                                  <a:pt x="771535" y="940559"/>
                                </a:lnTo>
                                <a:lnTo>
                                  <a:pt x="825524" y="932198"/>
                                </a:lnTo>
                                <a:lnTo>
                                  <a:pt x="877774" y="920737"/>
                                </a:lnTo>
                                <a:lnTo>
                                  <a:pt x="928086" y="906321"/>
                                </a:lnTo>
                                <a:lnTo>
                                  <a:pt x="976263" y="889091"/>
                                </a:lnTo>
                                <a:lnTo>
                                  <a:pt x="1022107" y="869188"/>
                                </a:lnTo>
                                <a:lnTo>
                                  <a:pt x="1065420" y="846757"/>
                                </a:lnTo>
                                <a:lnTo>
                                  <a:pt x="1106004" y="821937"/>
                                </a:lnTo>
                                <a:lnTo>
                                  <a:pt x="1143662" y="794873"/>
                                </a:lnTo>
                                <a:lnTo>
                                  <a:pt x="1178196" y="765705"/>
                                </a:lnTo>
                                <a:lnTo>
                                  <a:pt x="1209408" y="734576"/>
                                </a:lnTo>
                                <a:lnTo>
                                  <a:pt x="1237100" y="701629"/>
                                </a:lnTo>
                                <a:lnTo>
                                  <a:pt x="1261075" y="667004"/>
                                </a:lnTo>
                                <a:lnTo>
                                  <a:pt x="1281134" y="630846"/>
                                </a:lnTo>
                                <a:lnTo>
                                  <a:pt x="1297080" y="593295"/>
                                </a:lnTo>
                                <a:lnTo>
                                  <a:pt x="1308714" y="554494"/>
                                </a:lnTo>
                                <a:lnTo>
                                  <a:pt x="1315840" y="514584"/>
                                </a:lnTo>
                                <a:lnTo>
                                  <a:pt x="1318260" y="473709"/>
                                </a:lnTo>
                                <a:lnTo>
                                  <a:pt x="1315840" y="432835"/>
                                </a:lnTo>
                                <a:lnTo>
                                  <a:pt x="1308714" y="392925"/>
                                </a:lnTo>
                                <a:lnTo>
                                  <a:pt x="1297080" y="354124"/>
                                </a:lnTo>
                                <a:lnTo>
                                  <a:pt x="1281134" y="316573"/>
                                </a:lnTo>
                                <a:lnTo>
                                  <a:pt x="1261075" y="280415"/>
                                </a:lnTo>
                                <a:lnTo>
                                  <a:pt x="1237100" y="245790"/>
                                </a:lnTo>
                                <a:lnTo>
                                  <a:pt x="1209408" y="212843"/>
                                </a:lnTo>
                                <a:lnTo>
                                  <a:pt x="1178196" y="181714"/>
                                </a:lnTo>
                                <a:lnTo>
                                  <a:pt x="1143662" y="152546"/>
                                </a:lnTo>
                                <a:lnTo>
                                  <a:pt x="1106004" y="125482"/>
                                </a:lnTo>
                                <a:lnTo>
                                  <a:pt x="1065420" y="100662"/>
                                </a:lnTo>
                                <a:lnTo>
                                  <a:pt x="1022107" y="78231"/>
                                </a:lnTo>
                                <a:lnTo>
                                  <a:pt x="976263" y="58328"/>
                                </a:lnTo>
                                <a:lnTo>
                                  <a:pt x="928086" y="41098"/>
                                </a:lnTo>
                                <a:lnTo>
                                  <a:pt x="877774" y="26682"/>
                                </a:lnTo>
                                <a:lnTo>
                                  <a:pt x="825524" y="15221"/>
                                </a:lnTo>
                                <a:lnTo>
                                  <a:pt x="771535" y="6860"/>
                                </a:lnTo>
                                <a:lnTo>
                                  <a:pt x="716004" y="1738"/>
                                </a:lnTo>
                                <a:lnTo>
                                  <a:pt x="659130" y="0"/>
                                </a:lnTo>
                                <a:close/>
                              </a:path>
                            </a:pathLst>
                          </a:custGeom>
                          <a:ln w="9525">
                            <a:solidFill>
                              <a:srgbClr val="000000"/>
                            </a:solidFill>
                            <a:prstDash val="solid"/>
                          </a:ln>
                        </wps:spPr>
                        <wps:bodyPr wrap="square" lIns="0" tIns="0" rIns="0" bIns="0" rtlCol="0">
                          <a:prstTxWarp prst="textNoShape">
                            <a:avLst/>
                          </a:prstTxWarp>
                          <a:noAutofit/>
                        </wps:bodyPr>
                      </wps:wsp>
                      <wps:wsp>
                        <wps:cNvPr id="162" name="Graphic 162"/>
                        <wps:cNvSpPr/>
                        <wps:spPr>
                          <a:xfrm>
                            <a:off x="952182" y="4762"/>
                            <a:ext cx="1284605" cy="947419"/>
                          </a:xfrm>
                          <a:custGeom>
                            <a:avLst/>
                            <a:gdLst/>
                            <a:ahLst/>
                            <a:cxnLst/>
                            <a:rect l="l" t="t" r="r" b="b"/>
                            <a:pathLst>
                              <a:path w="1284605" h="947419">
                                <a:moveTo>
                                  <a:pt x="642302" y="0"/>
                                </a:moveTo>
                                <a:lnTo>
                                  <a:pt x="586880" y="1738"/>
                                </a:lnTo>
                                <a:lnTo>
                                  <a:pt x="532767" y="6860"/>
                                </a:lnTo>
                                <a:lnTo>
                                  <a:pt x="480156" y="15221"/>
                                </a:lnTo>
                                <a:lnTo>
                                  <a:pt x="429241" y="26682"/>
                                </a:lnTo>
                                <a:lnTo>
                                  <a:pt x="380213" y="41098"/>
                                </a:lnTo>
                                <a:lnTo>
                                  <a:pt x="333266" y="58328"/>
                                </a:lnTo>
                                <a:lnTo>
                                  <a:pt x="288593" y="78231"/>
                                </a:lnTo>
                                <a:lnTo>
                                  <a:pt x="246385" y="100662"/>
                                </a:lnTo>
                                <a:lnTo>
                                  <a:pt x="206837" y="125482"/>
                                </a:lnTo>
                                <a:lnTo>
                                  <a:pt x="170140" y="152546"/>
                                </a:lnTo>
                                <a:lnTo>
                                  <a:pt x="136488" y="181714"/>
                                </a:lnTo>
                                <a:lnTo>
                                  <a:pt x="106072" y="212843"/>
                                </a:lnTo>
                                <a:lnTo>
                                  <a:pt x="79087" y="245790"/>
                                </a:lnTo>
                                <a:lnTo>
                                  <a:pt x="55725" y="280415"/>
                                </a:lnTo>
                                <a:lnTo>
                                  <a:pt x="36178" y="316573"/>
                                </a:lnTo>
                                <a:lnTo>
                                  <a:pt x="20639" y="354124"/>
                                </a:lnTo>
                                <a:lnTo>
                                  <a:pt x="9301" y="392925"/>
                                </a:lnTo>
                                <a:lnTo>
                                  <a:pt x="2357" y="432835"/>
                                </a:lnTo>
                                <a:lnTo>
                                  <a:pt x="0" y="473709"/>
                                </a:lnTo>
                                <a:lnTo>
                                  <a:pt x="2357" y="514584"/>
                                </a:lnTo>
                                <a:lnTo>
                                  <a:pt x="9301" y="554494"/>
                                </a:lnTo>
                                <a:lnTo>
                                  <a:pt x="20639" y="593295"/>
                                </a:lnTo>
                                <a:lnTo>
                                  <a:pt x="36178" y="630846"/>
                                </a:lnTo>
                                <a:lnTo>
                                  <a:pt x="55725" y="667004"/>
                                </a:lnTo>
                                <a:lnTo>
                                  <a:pt x="79087" y="701629"/>
                                </a:lnTo>
                                <a:lnTo>
                                  <a:pt x="106072" y="734576"/>
                                </a:lnTo>
                                <a:lnTo>
                                  <a:pt x="136488" y="765705"/>
                                </a:lnTo>
                                <a:lnTo>
                                  <a:pt x="170140" y="794873"/>
                                </a:lnTo>
                                <a:lnTo>
                                  <a:pt x="206837" y="821937"/>
                                </a:lnTo>
                                <a:lnTo>
                                  <a:pt x="246385" y="846757"/>
                                </a:lnTo>
                                <a:lnTo>
                                  <a:pt x="288593" y="869188"/>
                                </a:lnTo>
                                <a:lnTo>
                                  <a:pt x="333266" y="889091"/>
                                </a:lnTo>
                                <a:lnTo>
                                  <a:pt x="380213" y="906321"/>
                                </a:lnTo>
                                <a:lnTo>
                                  <a:pt x="429241" y="920737"/>
                                </a:lnTo>
                                <a:lnTo>
                                  <a:pt x="480156" y="932198"/>
                                </a:lnTo>
                                <a:lnTo>
                                  <a:pt x="532767" y="940559"/>
                                </a:lnTo>
                                <a:lnTo>
                                  <a:pt x="586880" y="945681"/>
                                </a:lnTo>
                                <a:lnTo>
                                  <a:pt x="642302" y="947419"/>
                                </a:lnTo>
                                <a:lnTo>
                                  <a:pt x="697724" y="945681"/>
                                </a:lnTo>
                                <a:lnTo>
                                  <a:pt x="751837" y="940559"/>
                                </a:lnTo>
                                <a:lnTo>
                                  <a:pt x="804448" y="932198"/>
                                </a:lnTo>
                                <a:lnTo>
                                  <a:pt x="855363" y="920737"/>
                                </a:lnTo>
                                <a:lnTo>
                                  <a:pt x="904391" y="906321"/>
                                </a:lnTo>
                                <a:lnTo>
                                  <a:pt x="951338" y="889091"/>
                                </a:lnTo>
                                <a:lnTo>
                                  <a:pt x="996011" y="869188"/>
                                </a:lnTo>
                                <a:lnTo>
                                  <a:pt x="1038219" y="846757"/>
                                </a:lnTo>
                                <a:lnTo>
                                  <a:pt x="1077767" y="821937"/>
                                </a:lnTo>
                                <a:lnTo>
                                  <a:pt x="1114464" y="794873"/>
                                </a:lnTo>
                                <a:lnTo>
                                  <a:pt x="1148116" y="765705"/>
                                </a:lnTo>
                                <a:lnTo>
                                  <a:pt x="1178532" y="734576"/>
                                </a:lnTo>
                                <a:lnTo>
                                  <a:pt x="1205517" y="701629"/>
                                </a:lnTo>
                                <a:lnTo>
                                  <a:pt x="1228879" y="667004"/>
                                </a:lnTo>
                                <a:lnTo>
                                  <a:pt x="1248426" y="630846"/>
                                </a:lnTo>
                                <a:lnTo>
                                  <a:pt x="1263965" y="593295"/>
                                </a:lnTo>
                                <a:lnTo>
                                  <a:pt x="1275303" y="554494"/>
                                </a:lnTo>
                                <a:lnTo>
                                  <a:pt x="1282247" y="514584"/>
                                </a:lnTo>
                                <a:lnTo>
                                  <a:pt x="1284605" y="473709"/>
                                </a:lnTo>
                                <a:lnTo>
                                  <a:pt x="1282247" y="432835"/>
                                </a:lnTo>
                                <a:lnTo>
                                  <a:pt x="1275303" y="392925"/>
                                </a:lnTo>
                                <a:lnTo>
                                  <a:pt x="1263965" y="354124"/>
                                </a:lnTo>
                                <a:lnTo>
                                  <a:pt x="1248426" y="316573"/>
                                </a:lnTo>
                                <a:lnTo>
                                  <a:pt x="1228879" y="280415"/>
                                </a:lnTo>
                                <a:lnTo>
                                  <a:pt x="1205517" y="245790"/>
                                </a:lnTo>
                                <a:lnTo>
                                  <a:pt x="1178532" y="212843"/>
                                </a:lnTo>
                                <a:lnTo>
                                  <a:pt x="1148116" y="181714"/>
                                </a:lnTo>
                                <a:lnTo>
                                  <a:pt x="1114464" y="152546"/>
                                </a:lnTo>
                                <a:lnTo>
                                  <a:pt x="1077767" y="125482"/>
                                </a:lnTo>
                                <a:lnTo>
                                  <a:pt x="1038219" y="100662"/>
                                </a:lnTo>
                                <a:lnTo>
                                  <a:pt x="996011" y="78231"/>
                                </a:lnTo>
                                <a:lnTo>
                                  <a:pt x="951338" y="58328"/>
                                </a:lnTo>
                                <a:lnTo>
                                  <a:pt x="904391" y="41098"/>
                                </a:lnTo>
                                <a:lnTo>
                                  <a:pt x="855363" y="26682"/>
                                </a:lnTo>
                                <a:lnTo>
                                  <a:pt x="804448" y="15221"/>
                                </a:lnTo>
                                <a:lnTo>
                                  <a:pt x="751837" y="6860"/>
                                </a:lnTo>
                                <a:lnTo>
                                  <a:pt x="697724" y="1738"/>
                                </a:lnTo>
                                <a:lnTo>
                                  <a:pt x="642302"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952182" y="4762"/>
                            <a:ext cx="1284605" cy="947419"/>
                          </a:xfrm>
                          <a:custGeom>
                            <a:avLst/>
                            <a:gdLst/>
                            <a:ahLst/>
                            <a:cxnLst/>
                            <a:rect l="l" t="t" r="r" b="b"/>
                            <a:pathLst>
                              <a:path w="1284605" h="947419">
                                <a:moveTo>
                                  <a:pt x="642302" y="0"/>
                                </a:moveTo>
                                <a:lnTo>
                                  <a:pt x="586880" y="1738"/>
                                </a:lnTo>
                                <a:lnTo>
                                  <a:pt x="532767" y="6860"/>
                                </a:lnTo>
                                <a:lnTo>
                                  <a:pt x="480156" y="15221"/>
                                </a:lnTo>
                                <a:lnTo>
                                  <a:pt x="429241" y="26682"/>
                                </a:lnTo>
                                <a:lnTo>
                                  <a:pt x="380213" y="41098"/>
                                </a:lnTo>
                                <a:lnTo>
                                  <a:pt x="333266" y="58328"/>
                                </a:lnTo>
                                <a:lnTo>
                                  <a:pt x="288593" y="78231"/>
                                </a:lnTo>
                                <a:lnTo>
                                  <a:pt x="246385" y="100662"/>
                                </a:lnTo>
                                <a:lnTo>
                                  <a:pt x="206837" y="125482"/>
                                </a:lnTo>
                                <a:lnTo>
                                  <a:pt x="170140" y="152546"/>
                                </a:lnTo>
                                <a:lnTo>
                                  <a:pt x="136488" y="181714"/>
                                </a:lnTo>
                                <a:lnTo>
                                  <a:pt x="106072" y="212843"/>
                                </a:lnTo>
                                <a:lnTo>
                                  <a:pt x="79087" y="245790"/>
                                </a:lnTo>
                                <a:lnTo>
                                  <a:pt x="55725" y="280415"/>
                                </a:lnTo>
                                <a:lnTo>
                                  <a:pt x="36178" y="316573"/>
                                </a:lnTo>
                                <a:lnTo>
                                  <a:pt x="20639" y="354124"/>
                                </a:lnTo>
                                <a:lnTo>
                                  <a:pt x="9301" y="392925"/>
                                </a:lnTo>
                                <a:lnTo>
                                  <a:pt x="2357" y="432835"/>
                                </a:lnTo>
                                <a:lnTo>
                                  <a:pt x="0" y="473709"/>
                                </a:lnTo>
                                <a:lnTo>
                                  <a:pt x="2357" y="514584"/>
                                </a:lnTo>
                                <a:lnTo>
                                  <a:pt x="9301" y="554494"/>
                                </a:lnTo>
                                <a:lnTo>
                                  <a:pt x="20639" y="593295"/>
                                </a:lnTo>
                                <a:lnTo>
                                  <a:pt x="36178" y="630846"/>
                                </a:lnTo>
                                <a:lnTo>
                                  <a:pt x="55725" y="667004"/>
                                </a:lnTo>
                                <a:lnTo>
                                  <a:pt x="79087" y="701629"/>
                                </a:lnTo>
                                <a:lnTo>
                                  <a:pt x="106072" y="734576"/>
                                </a:lnTo>
                                <a:lnTo>
                                  <a:pt x="136488" y="765705"/>
                                </a:lnTo>
                                <a:lnTo>
                                  <a:pt x="170140" y="794873"/>
                                </a:lnTo>
                                <a:lnTo>
                                  <a:pt x="206837" y="821937"/>
                                </a:lnTo>
                                <a:lnTo>
                                  <a:pt x="246385" y="846757"/>
                                </a:lnTo>
                                <a:lnTo>
                                  <a:pt x="288593" y="869188"/>
                                </a:lnTo>
                                <a:lnTo>
                                  <a:pt x="333266" y="889091"/>
                                </a:lnTo>
                                <a:lnTo>
                                  <a:pt x="380213" y="906321"/>
                                </a:lnTo>
                                <a:lnTo>
                                  <a:pt x="429241" y="920737"/>
                                </a:lnTo>
                                <a:lnTo>
                                  <a:pt x="480156" y="932198"/>
                                </a:lnTo>
                                <a:lnTo>
                                  <a:pt x="532767" y="940559"/>
                                </a:lnTo>
                                <a:lnTo>
                                  <a:pt x="586880" y="945681"/>
                                </a:lnTo>
                                <a:lnTo>
                                  <a:pt x="642302" y="947419"/>
                                </a:lnTo>
                                <a:lnTo>
                                  <a:pt x="697724" y="945681"/>
                                </a:lnTo>
                                <a:lnTo>
                                  <a:pt x="751837" y="940559"/>
                                </a:lnTo>
                                <a:lnTo>
                                  <a:pt x="804448" y="932198"/>
                                </a:lnTo>
                                <a:lnTo>
                                  <a:pt x="855363" y="920737"/>
                                </a:lnTo>
                                <a:lnTo>
                                  <a:pt x="904391" y="906321"/>
                                </a:lnTo>
                                <a:lnTo>
                                  <a:pt x="951338" y="889091"/>
                                </a:lnTo>
                                <a:lnTo>
                                  <a:pt x="996011" y="869188"/>
                                </a:lnTo>
                                <a:lnTo>
                                  <a:pt x="1038219" y="846757"/>
                                </a:lnTo>
                                <a:lnTo>
                                  <a:pt x="1077767" y="821937"/>
                                </a:lnTo>
                                <a:lnTo>
                                  <a:pt x="1114464" y="794873"/>
                                </a:lnTo>
                                <a:lnTo>
                                  <a:pt x="1148116" y="765705"/>
                                </a:lnTo>
                                <a:lnTo>
                                  <a:pt x="1178532" y="734576"/>
                                </a:lnTo>
                                <a:lnTo>
                                  <a:pt x="1205517" y="701629"/>
                                </a:lnTo>
                                <a:lnTo>
                                  <a:pt x="1228879" y="667004"/>
                                </a:lnTo>
                                <a:lnTo>
                                  <a:pt x="1248426" y="630846"/>
                                </a:lnTo>
                                <a:lnTo>
                                  <a:pt x="1263965" y="593295"/>
                                </a:lnTo>
                                <a:lnTo>
                                  <a:pt x="1275303" y="554494"/>
                                </a:lnTo>
                                <a:lnTo>
                                  <a:pt x="1282247" y="514584"/>
                                </a:lnTo>
                                <a:lnTo>
                                  <a:pt x="1284605" y="473709"/>
                                </a:lnTo>
                                <a:lnTo>
                                  <a:pt x="1282247" y="432835"/>
                                </a:lnTo>
                                <a:lnTo>
                                  <a:pt x="1275303" y="392925"/>
                                </a:lnTo>
                                <a:lnTo>
                                  <a:pt x="1263965" y="354124"/>
                                </a:lnTo>
                                <a:lnTo>
                                  <a:pt x="1248426" y="316573"/>
                                </a:lnTo>
                                <a:lnTo>
                                  <a:pt x="1228879" y="280415"/>
                                </a:lnTo>
                                <a:lnTo>
                                  <a:pt x="1205517" y="245790"/>
                                </a:lnTo>
                                <a:lnTo>
                                  <a:pt x="1178532" y="212843"/>
                                </a:lnTo>
                                <a:lnTo>
                                  <a:pt x="1148116" y="181714"/>
                                </a:lnTo>
                                <a:lnTo>
                                  <a:pt x="1114464" y="152546"/>
                                </a:lnTo>
                                <a:lnTo>
                                  <a:pt x="1077767" y="125482"/>
                                </a:lnTo>
                                <a:lnTo>
                                  <a:pt x="1038219" y="100662"/>
                                </a:lnTo>
                                <a:lnTo>
                                  <a:pt x="996011" y="78231"/>
                                </a:lnTo>
                                <a:lnTo>
                                  <a:pt x="951338" y="58328"/>
                                </a:lnTo>
                                <a:lnTo>
                                  <a:pt x="904391" y="41098"/>
                                </a:lnTo>
                                <a:lnTo>
                                  <a:pt x="855363" y="26682"/>
                                </a:lnTo>
                                <a:lnTo>
                                  <a:pt x="804448" y="15221"/>
                                </a:lnTo>
                                <a:lnTo>
                                  <a:pt x="751837" y="6860"/>
                                </a:lnTo>
                                <a:lnTo>
                                  <a:pt x="697724" y="1738"/>
                                </a:lnTo>
                                <a:lnTo>
                                  <a:pt x="642302" y="0"/>
                                </a:lnTo>
                                <a:close/>
                              </a:path>
                            </a:pathLst>
                          </a:custGeom>
                          <a:ln w="9525">
                            <a:solidFill>
                              <a:srgbClr val="000000"/>
                            </a:solidFill>
                            <a:prstDash val="solid"/>
                          </a:ln>
                        </wps:spPr>
                        <wps:bodyPr wrap="square" lIns="0" tIns="0" rIns="0" bIns="0" rtlCol="0">
                          <a:prstTxWarp prst="textNoShape">
                            <a:avLst/>
                          </a:prstTxWarp>
                          <a:noAutofit/>
                        </wps:bodyPr>
                      </wps:wsp>
                      <wps:wsp>
                        <wps:cNvPr id="164" name="Graphic 164"/>
                        <wps:cNvSpPr/>
                        <wps:spPr>
                          <a:xfrm>
                            <a:off x="663257" y="521652"/>
                            <a:ext cx="1029969" cy="1116965"/>
                          </a:xfrm>
                          <a:custGeom>
                            <a:avLst/>
                            <a:gdLst/>
                            <a:ahLst/>
                            <a:cxnLst/>
                            <a:rect l="l" t="t" r="r" b="b"/>
                            <a:pathLst>
                              <a:path w="1029969" h="1116965">
                                <a:moveTo>
                                  <a:pt x="514985" y="0"/>
                                </a:moveTo>
                                <a:lnTo>
                                  <a:pt x="468109" y="2282"/>
                                </a:lnTo>
                                <a:lnTo>
                                  <a:pt x="422412" y="8997"/>
                                </a:lnTo>
                                <a:lnTo>
                                  <a:pt x="378077" y="19948"/>
                                </a:lnTo>
                                <a:lnTo>
                                  <a:pt x="335285" y="34938"/>
                                </a:lnTo>
                                <a:lnTo>
                                  <a:pt x="294218" y="53769"/>
                                </a:lnTo>
                                <a:lnTo>
                                  <a:pt x="255057" y="76245"/>
                                </a:lnTo>
                                <a:lnTo>
                                  <a:pt x="217984" y="102169"/>
                                </a:lnTo>
                                <a:lnTo>
                                  <a:pt x="183182" y="131342"/>
                                </a:lnTo>
                                <a:lnTo>
                                  <a:pt x="150831" y="163569"/>
                                </a:lnTo>
                                <a:lnTo>
                                  <a:pt x="121114" y="198652"/>
                                </a:lnTo>
                                <a:lnTo>
                                  <a:pt x="94212" y="236394"/>
                                </a:lnTo>
                                <a:lnTo>
                                  <a:pt x="70308" y="276598"/>
                                </a:lnTo>
                                <a:lnTo>
                                  <a:pt x="49582" y="319067"/>
                                </a:lnTo>
                                <a:lnTo>
                                  <a:pt x="32217" y="363603"/>
                                </a:lnTo>
                                <a:lnTo>
                                  <a:pt x="18395" y="410010"/>
                                </a:lnTo>
                                <a:lnTo>
                                  <a:pt x="8296" y="458090"/>
                                </a:lnTo>
                                <a:lnTo>
                                  <a:pt x="2104" y="507646"/>
                                </a:lnTo>
                                <a:lnTo>
                                  <a:pt x="0" y="558482"/>
                                </a:lnTo>
                                <a:lnTo>
                                  <a:pt x="2104" y="609318"/>
                                </a:lnTo>
                                <a:lnTo>
                                  <a:pt x="8296" y="658874"/>
                                </a:lnTo>
                                <a:lnTo>
                                  <a:pt x="18395" y="706954"/>
                                </a:lnTo>
                                <a:lnTo>
                                  <a:pt x="32217" y="753361"/>
                                </a:lnTo>
                                <a:lnTo>
                                  <a:pt x="49582" y="797897"/>
                                </a:lnTo>
                                <a:lnTo>
                                  <a:pt x="70308" y="840366"/>
                                </a:lnTo>
                                <a:lnTo>
                                  <a:pt x="94212" y="880570"/>
                                </a:lnTo>
                                <a:lnTo>
                                  <a:pt x="121114" y="918312"/>
                                </a:lnTo>
                                <a:lnTo>
                                  <a:pt x="150831" y="953395"/>
                                </a:lnTo>
                                <a:lnTo>
                                  <a:pt x="183182" y="985622"/>
                                </a:lnTo>
                                <a:lnTo>
                                  <a:pt x="217984" y="1014795"/>
                                </a:lnTo>
                                <a:lnTo>
                                  <a:pt x="255057" y="1040719"/>
                                </a:lnTo>
                                <a:lnTo>
                                  <a:pt x="294218" y="1063195"/>
                                </a:lnTo>
                                <a:lnTo>
                                  <a:pt x="335285" y="1082026"/>
                                </a:lnTo>
                                <a:lnTo>
                                  <a:pt x="378077" y="1097016"/>
                                </a:lnTo>
                                <a:lnTo>
                                  <a:pt x="422412" y="1107967"/>
                                </a:lnTo>
                                <a:lnTo>
                                  <a:pt x="468109" y="1114682"/>
                                </a:lnTo>
                                <a:lnTo>
                                  <a:pt x="514985" y="1116965"/>
                                </a:lnTo>
                                <a:lnTo>
                                  <a:pt x="561860" y="1114682"/>
                                </a:lnTo>
                                <a:lnTo>
                                  <a:pt x="607557" y="1107967"/>
                                </a:lnTo>
                                <a:lnTo>
                                  <a:pt x="651892" y="1097016"/>
                                </a:lnTo>
                                <a:lnTo>
                                  <a:pt x="694684" y="1082026"/>
                                </a:lnTo>
                                <a:lnTo>
                                  <a:pt x="735751" y="1063195"/>
                                </a:lnTo>
                                <a:lnTo>
                                  <a:pt x="774912" y="1040719"/>
                                </a:lnTo>
                                <a:lnTo>
                                  <a:pt x="811985" y="1014795"/>
                                </a:lnTo>
                                <a:lnTo>
                                  <a:pt x="846787" y="985622"/>
                                </a:lnTo>
                                <a:lnTo>
                                  <a:pt x="879138" y="953395"/>
                                </a:lnTo>
                                <a:lnTo>
                                  <a:pt x="908855" y="918312"/>
                                </a:lnTo>
                                <a:lnTo>
                                  <a:pt x="935757" y="880570"/>
                                </a:lnTo>
                                <a:lnTo>
                                  <a:pt x="959661" y="840366"/>
                                </a:lnTo>
                                <a:lnTo>
                                  <a:pt x="980387" y="797897"/>
                                </a:lnTo>
                                <a:lnTo>
                                  <a:pt x="997752" y="753361"/>
                                </a:lnTo>
                                <a:lnTo>
                                  <a:pt x="1011574" y="706954"/>
                                </a:lnTo>
                                <a:lnTo>
                                  <a:pt x="1021673" y="658874"/>
                                </a:lnTo>
                                <a:lnTo>
                                  <a:pt x="1027865" y="609318"/>
                                </a:lnTo>
                                <a:lnTo>
                                  <a:pt x="1029970" y="558482"/>
                                </a:lnTo>
                                <a:lnTo>
                                  <a:pt x="1027865" y="507646"/>
                                </a:lnTo>
                                <a:lnTo>
                                  <a:pt x="1021673" y="458090"/>
                                </a:lnTo>
                                <a:lnTo>
                                  <a:pt x="1011574" y="410010"/>
                                </a:lnTo>
                                <a:lnTo>
                                  <a:pt x="997752" y="363603"/>
                                </a:lnTo>
                                <a:lnTo>
                                  <a:pt x="980387" y="319067"/>
                                </a:lnTo>
                                <a:lnTo>
                                  <a:pt x="959661" y="276598"/>
                                </a:lnTo>
                                <a:lnTo>
                                  <a:pt x="935757" y="236394"/>
                                </a:lnTo>
                                <a:lnTo>
                                  <a:pt x="908855" y="198652"/>
                                </a:lnTo>
                                <a:lnTo>
                                  <a:pt x="879138" y="163569"/>
                                </a:lnTo>
                                <a:lnTo>
                                  <a:pt x="846787" y="131342"/>
                                </a:lnTo>
                                <a:lnTo>
                                  <a:pt x="811985" y="102169"/>
                                </a:lnTo>
                                <a:lnTo>
                                  <a:pt x="774912" y="76245"/>
                                </a:lnTo>
                                <a:lnTo>
                                  <a:pt x="735751" y="53769"/>
                                </a:lnTo>
                                <a:lnTo>
                                  <a:pt x="694684" y="34938"/>
                                </a:lnTo>
                                <a:lnTo>
                                  <a:pt x="651892" y="19948"/>
                                </a:lnTo>
                                <a:lnTo>
                                  <a:pt x="607557" y="8997"/>
                                </a:lnTo>
                                <a:lnTo>
                                  <a:pt x="561860" y="2282"/>
                                </a:lnTo>
                                <a:lnTo>
                                  <a:pt x="514985"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663257" y="521652"/>
                            <a:ext cx="1029969" cy="1116965"/>
                          </a:xfrm>
                          <a:custGeom>
                            <a:avLst/>
                            <a:gdLst/>
                            <a:ahLst/>
                            <a:cxnLst/>
                            <a:rect l="l" t="t" r="r" b="b"/>
                            <a:pathLst>
                              <a:path w="1029969" h="1116965">
                                <a:moveTo>
                                  <a:pt x="514985" y="0"/>
                                </a:moveTo>
                                <a:lnTo>
                                  <a:pt x="468109" y="2282"/>
                                </a:lnTo>
                                <a:lnTo>
                                  <a:pt x="422412" y="8997"/>
                                </a:lnTo>
                                <a:lnTo>
                                  <a:pt x="378077" y="19948"/>
                                </a:lnTo>
                                <a:lnTo>
                                  <a:pt x="335285" y="34938"/>
                                </a:lnTo>
                                <a:lnTo>
                                  <a:pt x="294218" y="53769"/>
                                </a:lnTo>
                                <a:lnTo>
                                  <a:pt x="255057" y="76245"/>
                                </a:lnTo>
                                <a:lnTo>
                                  <a:pt x="217984" y="102169"/>
                                </a:lnTo>
                                <a:lnTo>
                                  <a:pt x="183182" y="131342"/>
                                </a:lnTo>
                                <a:lnTo>
                                  <a:pt x="150831" y="163569"/>
                                </a:lnTo>
                                <a:lnTo>
                                  <a:pt x="121114" y="198652"/>
                                </a:lnTo>
                                <a:lnTo>
                                  <a:pt x="94212" y="236394"/>
                                </a:lnTo>
                                <a:lnTo>
                                  <a:pt x="70308" y="276598"/>
                                </a:lnTo>
                                <a:lnTo>
                                  <a:pt x="49582" y="319067"/>
                                </a:lnTo>
                                <a:lnTo>
                                  <a:pt x="32217" y="363603"/>
                                </a:lnTo>
                                <a:lnTo>
                                  <a:pt x="18395" y="410010"/>
                                </a:lnTo>
                                <a:lnTo>
                                  <a:pt x="8296" y="458090"/>
                                </a:lnTo>
                                <a:lnTo>
                                  <a:pt x="2104" y="507646"/>
                                </a:lnTo>
                                <a:lnTo>
                                  <a:pt x="0" y="558482"/>
                                </a:lnTo>
                                <a:lnTo>
                                  <a:pt x="2104" y="609318"/>
                                </a:lnTo>
                                <a:lnTo>
                                  <a:pt x="8296" y="658874"/>
                                </a:lnTo>
                                <a:lnTo>
                                  <a:pt x="18395" y="706954"/>
                                </a:lnTo>
                                <a:lnTo>
                                  <a:pt x="32217" y="753361"/>
                                </a:lnTo>
                                <a:lnTo>
                                  <a:pt x="49582" y="797897"/>
                                </a:lnTo>
                                <a:lnTo>
                                  <a:pt x="70308" y="840366"/>
                                </a:lnTo>
                                <a:lnTo>
                                  <a:pt x="94212" y="880570"/>
                                </a:lnTo>
                                <a:lnTo>
                                  <a:pt x="121114" y="918312"/>
                                </a:lnTo>
                                <a:lnTo>
                                  <a:pt x="150831" y="953395"/>
                                </a:lnTo>
                                <a:lnTo>
                                  <a:pt x="183182" y="985622"/>
                                </a:lnTo>
                                <a:lnTo>
                                  <a:pt x="217984" y="1014795"/>
                                </a:lnTo>
                                <a:lnTo>
                                  <a:pt x="255057" y="1040719"/>
                                </a:lnTo>
                                <a:lnTo>
                                  <a:pt x="294218" y="1063195"/>
                                </a:lnTo>
                                <a:lnTo>
                                  <a:pt x="335285" y="1082026"/>
                                </a:lnTo>
                                <a:lnTo>
                                  <a:pt x="378077" y="1097016"/>
                                </a:lnTo>
                                <a:lnTo>
                                  <a:pt x="422412" y="1107967"/>
                                </a:lnTo>
                                <a:lnTo>
                                  <a:pt x="468109" y="1114682"/>
                                </a:lnTo>
                                <a:lnTo>
                                  <a:pt x="514985" y="1116965"/>
                                </a:lnTo>
                                <a:lnTo>
                                  <a:pt x="561860" y="1114682"/>
                                </a:lnTo>
                                <a:lnTo>
                                  <a:pt x="607557" y="1107967"/>
                                </a:lnTo>
                                <a:lnTo>
                                  <a:pt x="651892" y="1097016"/>
                                </a:lnTo>
                                <a:lnTo>
                                  <a:pt x="694684" y="1082026"/>
                                </a:lnTo>
                                <a:lnTo>
                                  <a:pt x="735751" y="1063195"/>
                                </a:lnTo>
                                <a:lnTo>
                                  <a:pt x="774912" y="1040719"/>
                                </a:lnTo>
                                <a:lnTo>
                                  <a:pt x="811985" y="1014795"/>
                                </a:lnTo>
                                <a:lnTo>
                                  <a:pt x="846787" y="985622"/>
                                </a:lnTo>
                                <a:lnTo>
                                  <a:pt x="879138" y="953395"/>
                                </a:lnTo>
                                <a:lnTo>
                                  <a:pt x="908855" y="918312"/>
                                </a:lnTo>
                                <a:lnTo>
                                  <a:pt x="935757" y="880570"/>
                                </a:lnTo>
                                <a:lnTo>
                                  <a:pt x="959661" y="840366"/>
                                </a:lnTo>
                                <a:lnTo>
                                  <a:pt x="980387" y="797897"/>
                                </a:lnTo>
                                <a:lnTo>
                                  <a:pt x="997752" y="753361"/>
                                </a:lnTo>
                                <a:lnTo>
                                  <a:pt x="1011574" y="706954"/>
                                </a:lnTo>
                                <a:lnTo>
                                  <a:pt x="1021673" y="658874"/>
                                </a:lnTo>
                                <a:lnTo>
                                  <a:pt x="1027865" y="609318"/>
                                </a:lnTo>
                                <a:lnTo>
                                  <a:pt x="1029970" y="558482"/>
                                </a:lnTo>
                                <a:lnTo>
                                  <a:pt x="1027865" y="507646"/>
                                </a:lnTo>
                                <a:lnTo>
                                  <a:pt x="1021673" y="458090"/>
                                </a:lnTo>
                                <a:lnTo>
                                  <a:pt x="1011574" y="410010"/>
                                </a:lnTo>
                                <a:lnTo>
                                  <a:pt x="997752" y="363603"/>
                                </a:lnTo>
                                <a:lnTo>
                                  <a:pt x="980387" y="319067"/>
                                </a:lnTo>
                                <a:lnTo>
                                  <a:pt x="959661" y="276598"/>
                                </a:lnTo>
                                <a:lnTo>
                                  <a:pt x="935757" y="236394"/>
                                </a:lnTo>
                                <a:lnTo>
                                  <a:pt x="908855" y="198652"/>
                                </a:lnTo>
                                <a:lnTo>
                                  <a:pt x="879138" y="163569"/>
                                </a:lnTo>
                                <a:lnTo>
                                  <a:pt x="846787" y="131342"/>
                                </a:lnTo>
                                <a:lnTo>
                                  <a:pt x="811985" y="102169"/>
                                </a:lnTo>
                                <a:lnTo>
                                  <a:pt x="774912" y="76245"/>
                                </a:lnTo>
                                <a:lnTo>
                                  <a:pt x="735751" y="53769"/>
                                </a:lnTo>
                                <a:lnTo>
                                  <a:pt x="694684" y="34938"/>
                                </a:lnTo>
                                <a:lnTo>
                                  <a:pt x="651892" y="19948"/>
                                </a:lnTo>
                                <a:lnTo>
                                  <a:pt x="607557" y="8997"/>
                                </a:lnTo>
                                <a:lnTo>
                                  <a:pt x="561860" y="2282"/>
                                </a:lnTo>
                                <a:lnTo>
                                  <a:pt x="514985" y="0"/>
                                </a:lnTo>
                                <a:close/>
                              </a:path>
                            </a:pathLst>
                          </a:custGeom>
                          <a:ln w="9525">
                            <a:solidFill>
                              <a:srgbClr val="000000"/>
                            </a:solidFill>
                            <a:prstDash val="solid"/>
                          </a:ln>
                        </wps:spPr>
                        <wps:bodyPr wrap="square" lIns="0" tIns="0" rIns="0" bIns="0" rtlCol="0">
                          <a:prstTxWarp prst="textNoShape">
                            <a:avLst/>
                          </a:prstTxWarp>
                          <a:noAutofit/>
                        </wps:bodyPr>
                      </wps:wsp>
                      <wps:wsp>
                        <wps:cNvPr id="166" name="Graphic 166"/>
                        <wps:cNvSpPr/>
                        <wps:spPr>
                          <a:xfrm>
                            <a:off x="952182" y="145097"/>
                            <a:ext cx="264795" cy="452120"/>
                          </a:xfrm>
                          <a:custGeom>
                            <a:avLst/>
                            <a:gdLst/>
                            <a:ahLst/>
                            <a:cxnLst/>
                            <a:rect l="l" t="t" r="r" b="b"/>
                            <a:pathLst>
                              <a:path w="264795" h="452120">
                                <a:moveTo>
                                  <a:pt x="132397" y="0"/>
                                </a:moveTo>
                                <a:lnTo>
                                  <a:pt x="65571" y="30862"/>
                                </a:lnTo>
                                <a:lnTo>
                                  <a:pt x="38776" y="66209"/>
                                </a:lnTo>
                                <a:lnTo>
                                  <a:pt x="18074" y="111961"/>
                                </a:lnTo>
                                <a:lnTo>
                                  <a:pt x="4728" y="165962"/>
                                </a:lnTo>
                                <a:lnTo>
                                  <a:pt x="0" y="226060"/>
                                </a:lnTo>
                                <a:lnTo>
                                  <a:pt x="4728" y="286157"/>
                                </a:lnTo>
                                <a:lnTo>
                                  <a:pt x="18074" y="340158"/>
                                </a:lnTo>
                                <a:lnTo>
                                  <a:pt x="38776" y="385910"/>
                                </a:lnTo>
                                <a:lnTo>
                                  <a:pt x="65571" y="421257"/>
                                </a:lnTo>
                                <a:lnTo>
                                  <a:pt x="97199" y="444045"/>
                                </a:lnTo>
                                <a:lnTo>
                                  <a:pt x="132397" y="452120"/>
                                </a:lnTo>
                                <a:lnTo>
                                  <a:pt x="167595" y="444045"/>
                                </a:lnTo>
                                <a:lnTo>
                                  <a:pt x="199223" y="421257"/>
                                </a:lnTo>
                                <a:lnTo>
                                  <a:pt x="226018" y="385910"/>
                                </a:lnTo>
                                <a:lnTo>
                                  <a:pt x="246720" y="340158"/>
                                </a:lnTo>
                                <a:lnTo>
                                  <a:pt x="260066" y="286157"/>
                                </a:lnTo>
                                <a:lnTo>
                                  <a:pt x="264795" y="226060"/>
                                </a:lnTo>
                                <a:lnTo>
                                  <a:pt x="260066" y="165962"/>
                                </a:lnTo>
                                <a:lnTo>
                                  <a:pt x="246720" y="111961"/>
                                </a:lnTo>
                                <a:lnTo>
                                  <a:pt x="226018" y="66209"/>
                                </a:lnTo>
                                <a:lnTo>
                                  <a:pt x="199223" y="30862"/>
                                </a:lnTo>
                                <a:lnTo>
                                  <a:pt x="167595" y="8074"/>
                                </a:lnTo>
                                <a:lnTo>
                                  <a:pt x="132397" y="0"/>
                                </a:lnTo>
                                <a:close/>
                              </a:path>
                            </a:pathLst>
                          </a:custGeom>
                          <a:solidFill>
                            <a:srgbClr val="1F497D"/>
                          </a:solidFill>
                        </wps:spPr>
                        <wps:bodyPr wrap="square" lIns="0" tIns="0" rIns="0" bIns="0" rtlCol="0">
                          <a:prstTxWarp prst="textNoShape">
                            <a:avLst/>
                          </a:prstTxWarp>
                          <a:noAutofit/>
                        </wps:bodyPr>
                      </wps:wsp>
                      <wps:wsp>
                        <wps:cNvPr id="167" name="Graphic 167"/>
                        <wps:cNvSpPr/>
                        <wps:spPr>
                          <a:xfrm>
                            <a:off x="952182" y="145097"/>
                            <a:ext cx="264795" cy="452120"/>
                          </a:xfrm>
                          <a:custGeom>
                            <a:avLst/>
                            <a:gdLst/>
                            <a:ahLst/>
                            <a:cxnLst/>
                            <a:rect l="l" t="t" r="r" b="b"/>
                            <a:pathLst>
                              <a:path w="264795" h="452120">
                                <a:moveTo>
                                  <a:pt x="132397" y="0"/>
                                </a:moveTo>
                                <a:lnTo>
                                  <a:pt x="65571" y="30862"/>
                                </a:lnTo>
                                <a:lnTo>
                                  <a:pt x="38776" y="66209"/>
                                </a:lnTo>
                                <a:lnTo>
                                  <a:pt x="18074" y="111961"/>
                                </a:lnTo>
                                <a:lnTo>
                                  <a:pt x="4728" y="165962"/>
                                </a:lnTo>
                                <a:lnTo>
                                  <a:pt x="0" y="226060"/>
                                </a:lnTo>
                                <a:lnTo>
                                  <a:pt x="4728" y="286157"/>
                                </a:lnTo>
                                <a:lnTo>
                                  <a:pt x="18074" y="340158"/>
                                </a:lnTo>
                                <a:lnTo>
                                  <a:pt x="38776" y="385910"/>
                                </a:lnTo>
                                <a:lnTo>
                                  <a:pt x="65571" y="421257"/>
                                </a:lnTo>
                                <a:lnTo>
                                  <a:pt x="97199" y="444045"/>
                                </a:lnTo>
                                <a:lnTo>
                                  <a:pt x="132397" y="452120"/>
                                </a:lnTo>
                                <a:lnTo>
                                  <a:pt x="167595" y="444045"/>
                                </a:lnTo>
                                <a:lnTo>
                                  <a:pt x="199223" y="421257"/>
                                </a:lnTo>
                                <a:lnTo>
                                  <a:pt x="226018" y="385910"/>
                                </a:lnTo>
                                <a:lnTo>
                                  <a:pt x="246720" y="340158"/>
                                </a:lnTo>
                                <a:lnTo>
                                  <a:pt x="260066" y="286157"/>
                                </a:lnTo>
                                <a:lnTo>
                                  <a:pt x="264795" y="226060"/>
                                </a:lnTo>
                                <a:lnTo>
                                  <a:pt x="260066" y="165962"/>
                                </a:lnTo>
                                <a:lnTo>
                                  <a:pt x="246720" y="111961"/>
                                </a:lnTo>
                                <a:lnTo>
                                  <a:pt x="226018" y="66209"/>
                                </a:lnTo>
                                <a:lnTo>
                                  <a:pt x="199223" y="30862"/>
                                </a:lnTo>
                                <a:lnTo>
                                  <a:pt x="167595" y="8074"/>
                                </a:lnTo>
                                <a:lnTo>
                                  <a:pt x="132397" y="0"/>
                                </a:lnTo>
                                <a:close/>
                              </a:path>
                            </a:pathLst>
                          </a:custGeom>
                          <a:ln w="9525">
                            <a:solidFill>
                              <a:srgbClr val="000000"/>
                            </a:solidFill>
                            <a:prstDash val="solid"/>
                          </a:ln>
                        </wps:spPr>
                        <wps:bodyPr wrap="square" lIns="0" tIns="0" rIns="0" bIns="0" rtlCol="0">
                          <a:prstTxWarp prst="textNoShape">
                            <a:avLst/>
                          </a:prstTxWarp>
                          <a:noAutofit/>
                        </wps:bodyPr>
                      </wps:wsp>
                      <wps:wsp>
                        <wps:cNvPr id="168" name="Graphic 168"/>
                        <wps:cNvSpPr/>
                        <wps:spPr>
                          <a:xfrm>
                            <a:off x="651824" y="560060"/>
                            <a:ext cx="467995" cy="490220"/>
                          </a:xfrm>
                          <a:custGeom>
                            <a:avLst/>
                            <a:gdLst/>
                            <a:ahLst/>
                            <a:cxnLst/>
                            <a:rect l="l" t="t" r="r" b="b"/>
                            <a:pathLst>
                              <a:path w="467995" h="490220">
                                <a:moveTo>
                                  <a:pt x="367979" y="0"/>
                                </a:moveTo>
                                <a:lnTo>
                                  <a:pt x="328636" y="952"/>
                                </a:lnTo>
                                <a:lnTo>
                                  <a:pt x="286078" y="10891"/>
                                </a:lnTo>
                                <a:lnTo>
                                  <a:pt x="241602" y="29395"/>
                                </a:lnTo>
                                <a:lnTo>
                                  <a:pt x="196503" y="56040"/>
                                </a:lnTo>
                                <a:lnTo>
                                  <a:pt x="152076" y="90402"/>
                                </a:lnTo>
                                <a:lnTo>
                                  <a:pt x="109616" y="132059"/>
                                </a:lnTo>
                                <a:lnTo>
                                  <a:pt x="72199" y="178296"/>
                                </a:lnTo>
                                <a:lnTo>
                                  <a:pt x="42231" y="225796"/>
                                </a:lnTo>
                                <a:lnTo>
                                  <a:pt x="20010" y="273229"/>
                                </a:lnTo>
                                <a:lnTo>
                                  <a:pt x="5834" y="319265"/>
                                </a:lnTo>
                                <a:lnTo>
                                  <a:pt x="0" y="362575"/>
                                </a:lnTo>
                                <a:lnTo>
                                  <a:pt x="2805" y="401830"/>
                                </a:lnTo>
                                <a:lnTo>
                                  <a:pt x="14547" y="435700"/>
                                </a:lnTo>
                                <a:lnTo>
                                  <a:pt x="35525" y="462856"/>
                                </a:lnTo>
                                <a:lnTo>
                                  <a:pt x="64553" y="481148"/>
                                </a:lnTo>
                                <a:lnTo>
                                  <a:pt x="99386" y="489607"/>
                                </a:lnTo>
                                <a:lnTo>
                                  <a:pt x="138730" y="488655"/>
                                </a:lnTo>
                                <a:lnTo>
                                  <a:pt x="181287" y="478715"/>
                                </a:lnTo>
                                <a:lnTo>
                                  <a:pt x="225764" y="460211"/>
                                </a:lnTo>
                                <a:lnTo>
                                  <a:pt x="270863" y="433566"/>
                                </a:lnTo>
                                <a:lnTo>
                                  <a:pt x="315290" y="399204"/>
                                </a:lnTo>
                                <a:lnTo>
                                  <a:pt x="357749" y="357547"/>
                                </a:lnTo>
                                <a:lnTo>
                                  <a:pt x="395167" y="311310"/>
                                </a:lnTo>
                                <a:lnTo>
                                  <a:pt x="425135" y="263809"/>
                                </a:lnTo>
                                <a:lnTo>
                                  <a:pt x="447356" y="216374"/>
                                </a:lnTo>
                                <a:lnTo>
                                  <a:pt x="461532" y="170337"/>
                                </a:lnTo>
                                <a:lnTo>
                                  <a:pt x="467366" y="127025"/>
                                </a:lnTo>
                                <a:lnTo>
                                  <a:pt x="464561" y="87771"/>
                                </a:lnTo>
                                <a:lnTo>
                                  <a:pt x="452818" y="53902"/>
                                </a:lnTo>
                                <a:lnTo>
                                  <a:pt x="431841" y="26750"/>
                                </a:lnTo>
                                <a:lnTo>
                                  <a:pt x="402813" y="8458"/>
                                </a:lnTo>
                                <a:lnTo>
                                  <a:pt x="367979" y="0"/>
                                </a:lnTo>
                                <a:close/>
                              </a:path>
                            </a:pathLst>
                          </a:custGeom>
                          <a:solidFill>
                            <a:srgbClr val="1F497D"/>
                          </a:solidFill>
                        </wps:spPr>
                        <wps:bodyPr wrap="square" lIns="0" tIns="0" rIns="0" bIns="0" rtlCol="0">
                          <a:prstTxWarp prst="textNoShape">
                            <a:avLst/>
                          </a:prstTxWarp>
                          <a:noAutofit/>
                        </wps:bodyPr>
                      </wps:wsp>
                      <wps:wsp>
                        <wps:cNvPr id="169" name="Graphic 169"/>
                        <wps:cNvSpPr/>
                        <wps:spPr>
                          <a:xfrm>
                            <a:off x="651824" y="560060"/>
                            <a:ext cx="467995" cy="490220"/>
                          </a:xfrm>
                          <a:custGeom>
                            <a:avLst/>
                            <a:gdLst/>
                            <a:ahLst/>
                            <a:cxnLst/>
                            <a:rect l="l" t="t" r="r" b="b"/>
                            <a:pathLst>
                              <a:path w="467995" h="490220">
                                <a:moveTo>
                                  <a:pt x="431841" y="26750"/>
                                </a:moveTo>
                                <a:lnTo>
                                  <a:pt x="402813" y="8458"/>
                                </a:lnTo>
                                <a:lnTo>
                                  <a:pt x="367979" y="0"/>
                                </a:lnTo>
                                <a:lnTo>
                                  <a:pt x="328636" y="952"/>
                                </a:lnTo>
                                <a:lnTo>
                                  <a:pt x="286078" y="10891"/>
                                </a:lnTo>
                                <a:lnTo>
                                  <a:pt x="241602" y="29395"/>
                                </a:lnTo>
                                <a:lnTo>
                                  <a:pt x="196503" y="56040"/>
                                </a:lnTo>
                                <a:lnTo>
                                  <a:pt x="152076" y="90402"/>
                                </a:lnTo>
                                <a:lnTo>
                                  <a:pt x="109616" y="132059"/>
                                </a:lnTo>
                                <a:lnTo>
                                  <a:pt x="72199" y="178296"/>
                                </a:lnTo>
                                <a:lnTo>
                                  <a:pt x="42231" y="225796"/>
                                </a:lnTo>
                                <a:lnTo>
                                  <a:pt x="20010" y="273229"/>
                                </a:lnTo>
                                <a:lnTo>
                                  <a:pt x="5834" y="319265"/>
                                </a:lnTo>
                                <a:lnTo>
                                  <a:pt x="0" y="362575"/>
                                </a:lnTo>
                                <a:lnTo>
                                  <a:pt x="2805" y="401830"/>
                                </a:lnTo>
                                <a:lnTo>
                                  <a:pt x="14547" y="435700"/>
                                </a:lnTo>
                                <a:lnTo>
                                  <a:pt x="35525" y="462856"/>
                                </a:lnTo>
                                <a:lnTo>
                                  <a:pt x="64553" y="481148"/>
                                </a:lnTo>
                                <a:lnTo>
                                  <a:pt x="99386" y="489607"/>
                                </a:lnTo>
                                <a:lnTo>
                                  <a:pt x="138730" y="488655"/>
                                </a:lnTo>
                                <a:lnTo>
                                  <a:pt x="181287" y="478715"/>
                                </a:lnTo>
                                <a:lnTo>
                                  <a:pt x="225764" y="460211"/>
                                </a:lnTo>
                                <a:lnTo>
                                  <a:pt x="270863" y="433566"/>
                                </a:lnTo>
                                <a:lnTo>
                                  <a:pt x="315290" y="399204"/>
                                </a:lnTo>
                                <a:lnTo>
                                  <a:pt x="357749" y="357547"/>
                                </a:lnTo>
                                <a:lnTo>
                                  <a:pt x="395167" y="311310"/>
                                </a:lnTo>
                                <a:lnTo>
                                  <a:pt x="425135" y="263809"/>
                                </a:lnTo>
                                <a:lnTo>
                                  <a:pt x="447356" y="216374"/>
                                </a:lnTo>
                                <a:lnTo>
                                  <a:pt x="461532" y="170337"/>
                                </a:lnTo>
                                <a:lnTo>
                                  <a:pt x="467366" y="127025"/>
                                </a:lnTo>
                                <a:lnTo>
                                  <a:pt x="464561" y="87771"/>
                                </a:lnTo>
                                <a:lnTo>
                                  <a:pt x="452818" y="53902"/>
                                </a:lnTo>
                                <a:lnTo>
                                  <a:pt x="431841" y="26750"/>
                                </a:lnTo>
                                <a:close/>
                              </a:path>
                            </a:pathLst>
                          </a:custGeom>
                          <a:ln w="9525">
                            <a:solidFill>
                              <a:srgbClr val="000000"/>
                            </a:solidFill>
                            <a:prstDash val="solid"/>
                          </a:ln>
                        </wps:spPr>
                        <wps:bodyPr wrap="square" lIns="0" tIns="0" rIns="0" bIns="0" rtlCol="0">
                          <a:prstTxWarp prst="textNoShape">
                            <a:avLst/>
                          </a:prstTxWarp>
                          <a:noAutofit/>
                        </wps:bodyPr>
                      </wps:wsp>
                      <wps:wsp>
                        <wps:cNvPr id="170" name="Graphic 170"/>
                        <wps:cNvSpPr/>
                        <wps:spPr>
                          <a:xfrm>
                            <a:off x="1090014" y="554671"/>
                            <a:ext cx="576580" cy="426720"/>
                          </a:xfrm>
                          <a:custGeom>
                            <a:avLst/>
                            <a:gdLst/>
                            <a:ahLst/>
                            <a:cxnLst/>
                            <a:rect l="l" t="t" r="r" b="b"/>
                            <a:pathLst>
                              <a:path w="576580" h="426720">
                                <a:moveTo>
                                  <a:pt x="150162" y="0"/>
                                </a:moveTo>
                                <a:lnTo>
                                  <a:pt x="104152" y="3621"/>
                                </a:lnTo>
                                <a:lnTo>
                                  <a:pt x="64643" y="15062"/>
                                </a:lnTo>
                                <a:lnTo>
                                  <a:pt x="10905" y="61439"/>
                                </a:lnTo>
                                <a:lnTo>
                                  <a:pt x="0" y="94718"/>
                                </a:lnTo>
                                <a:lnTo>
                                  <a:pt x="755" y="131692"/>
                                </a:lnTo>
                                <a:lnTo>
                                  <a:pt x="12385" y="171147"/>
                                </a:lnTo>
                                <a:lnTo>
                                  <a:pt x="34106" y="211869"/>
                                </a:lnTo>
                                <a:lnTo>
                                  <a:pt x="65133" y="252645"/>
                                </a:lnTo>
                                <a:lnTo>
                                  <a:pt x="104679" y="292262"/>
                                </a:lnTo>
                                <a:lnTo>
                                  <a:pt x="151961" y="329507"/>
                                </a:lnTo>
                                <a:lnTo>
                                  <a:pt x="206193" y="363166"/>
                                </a:lnTo>
                                <a:lnTo>
                                  <a:pt x="263755" y="390741"/>
                                </a:lnTo>
                                <a:lnTo>
                                  <a:pt x="320597" y="410531"/>
                                </a:lnTo>
                                <a:lnTo>
                                  <a:pt x="375274" y="422526"/>
                                </a:lnTo>
                                <a:lnTo>
                                  <a:pt x="426341" y="426718"/>
                                </a:lnTo>
                                <a:lnTo>
                                  <a:pt x="472352" y="423097"/>
                                </a:lnTo>
                                <a:lnTo>
                                  <a:pt x="511863" y="411656"/>
                                </a:lnTo>
                                <a:lnTo>
                                  <a:pt x="543428" y="392384"/>
                                </a:lnTo>
                                <a:lnTo>
                                  <a:pt x="565603" y="365274"/>
                                </a:lnTo>
                                <a:lnTo>
                                  <a:pt x="576508" y="331995"/>
                                </a:lnTo>
                                <a:lnTo>
                                  <a:pt x="575753" y="295022"/>
                                </a:lnTo>
                                <a:lnTo>
                                  <a:pt x="564122" y="255569"/>
                                </a:lnTo>
                                <a:lnTo>
                                  <a:pt x="542401" y="214849"/>
                                </a:lnTo>
                                <a:lnTo>
                                  <a:pt x="511375" y="174073"/>
                                </a:lnTo>
                                <a:lnTo>
                                  <a:pt x="471829" y="134456"/>
                                </a:lnTo>
                                <a:lnTo>
                                  <a:pt x="424547" y="97209"/>
                                </a:lnTo>
                                <a:lnTo>
                                  <a:pt x="370315" y="63547"/>
                                </a:lnTo>
                                <a:lnTo>
                                  <a:pt x="312749" y="35972"/>
                                </a:lnTo>
                                <a:lnTo>
                                  <a:pt x="255905" y="16183"/>
                                </a:lnTo>
                                <a:lnTo>
                                  <a:pt x="201228" y="4190"/>
                                </a:lnTo>
                                <a:lnTo>
                                  <a:pt x="150162" y="0"/>
                                </a:lnTo>
                                <a:close/>
                              </a:path>
                            </a:pathLst>
                          </a:custGeom>
                          <a:solidFill>
                            <a:srgbClr val="1F497D"/>
                          </a:solidFill>
                        </wps:spPr>
                        <wps:bodyPr wrap="square" lIns="0" tIns="0" rIns="0" bIns="0" rtlCol="0">
                          <a:prstTxWarp prst="textNoShape">
                            <a:avLst/>
                          </a:prstTxWarp>
                          <a:noAutofit/>
                        </wps:bodyPr>
                      </wps:wsp>
                      <wps:wsp>
                        <wps:cNvPr id="171" name="Graphic 171"/>
                        <wps:cNvSpPr/>
                        <wps:spPr>
                          <a:xfrm>
                            <a:off x="1090014" y="554671"/>
                            <a:ext cx="576580" cy="426720"/>
                          </a:xfrm>
                          <a:custGeom>
                            <a:avLst/>
                            <a:gdLst/>
                            <a:ahLst/>
                            <a:cxnLst/>
                            <a:rect l="l" t="t" r="r" b="b"/>
                            <a:pathLst>
                              <a:path w="576580" h="426720">
                                <a:moveTo>
                                  <a:pt x="10905" y="61439"/>
                                </a:moveTo>
                                <a:lnTo>
                                  <a:pt x="0" y="94718"/>
                                </a:lnTo>
                                <a:lnTo>
                                  <a:pt x="755" y="131692"/>
                                </a:lnTo>
                                <a:lnTo>
                                  <a:pt x="12385" y="171147"/>
                                </a:lnTo>
                                <a:lnTo>
                                  <a:pt x="34106" y="211869"/>
                                </a:lnTo>
                                <a:lnTo>
                                  <a:pt x="65133" y="252645"/>
                                </a:lnTo>
                                <a:lnTo>
                                  <a:pt x="104679" y="292262"/>
                                </a:lnTo>
                                <a:lnTo>
                                  <a:pt x="151961" y="329507"/>
                                </a:lnTo>
                                <a:lnTo>
                                  <a:pt x="206193" y="363166"/>
                                </a:lnTo>
                                <a:lnTo>
                                  <a:pt x="263755" y="390741"/>
                                </a:lnTo>
                                <a:lnTo>
                                  <a:pt x="320597" y="410531"/>
                                </a:lnTo>
                                <a:lnTo>
                                  <a:pt x="375274" y="422526"/>
                                </a:lnTo>
                                <a:lnTo>
                                  <a:pt x="426341" y="426718"/>
                                </a:lnTo>
                                <a:lnTo>
                                  <a:pt x="472352" y="423097"/>
                                </a:lnTo>
                                <a:lnTo>
                                  <a:pt x="511863" y="411656"/>
                                </a:lnTo>
                                <a:lnTo>
                                  <a:pt x="543428" y="392384"/>
                                </a:lnTo>
                                <a:lnTo>
                                  <a:pt x="565603" y="365274"/>
                                </a:lnTo>
                                <a:lnTo>
                                  <a:pt x="576508" y="331995"/>
                                </a:lnTo>
                                <a:lnTo>
                                  <a:pt x="575753" y="295022"/>
                                </a:lnTo>
                                <a:lnTo>
                                  <a:pt x="564122" y="255569"/>
                                </a:lnTo>
                                <a:lnTo>
                                  <a:pt x="542401" y="214849"/>
                                </a:lnTo>
                                <a:lnTo>
                                  <a:pt x="511375" y="174073"/>
                                </a:lnTo>
                                <a:lnTo>
                                  <a:pt x="471829" y="134456"/>
                                </a:lnTo>
                                <a:lnTo>
                                  <a:pt x="424547" y="97209"/>
                                </a:lnTo>
                                <a:lnTo>
                                  <a:pt x="370315" y="63547"/>
                                </a:lnTo>
                                <a:lnTo>
                                  <a:pt x="312749" y="35972"/>
                                </a:lnTo>
                                <a:lnTo>
                                  <a:pt x="255905" y="16183"/>
                                </a:lnTo>
                                <a:lnTo>
                                  <a:pt x="201228" y="4190"/>
                                </a:lnTo>
                                <a:lnTo>
                                  <a:pt x="150162" y="0"/>
                                </a:lnTo>
                                <a:lnTo>
                                  <a:pt x="104152" y="3621"/>
                                </a:lnTo>
                                <a:lnTo>
                                  <a:pt x="64643" y="15062"/>
                                </a:lnTo>
                                <a:lnTo>
                                  <a:pt x="33079" y="34332"/>
                                </a:lnTo>
                                <a:lnTo>
                                  <a:pt x="10905" y="61439"/>
                                </a:lnTo>
                                <a:close/>
                              </a:path>
                            </a:pathLst>
                          </a:custGeom>
                          <a:ln w="9525">
                            <a:solidFill>
                              <a:srgbClr val="000000"/>
                            </a:solidFill>
                            <a:prstDash val="solid"/>
                          </a:ln>
                        </wps:spPr>
                        <wps:bodyPr wrap="square" lIns="0" tIns="0" rIns="0" bIns="0" rtlCol="0">
                          <a:prstTxWarp prst="textNoShape">
                            <a:avLst/>
                          </a:prstTxWarp>
                          <a:noAutofit/>
                        </wps:bodyPr>
                      </wps:wsp>
                      <pic:pic>
                        <pic:nvPicPr>
                          <pic:cNvPr id="172" name="Image 172"/>
                          <pic:cNvPicPr/>
                        </pic:nvPicPr>
                        <pic:blipFill>
                          <a:blip r:embed="rId11" cstate="print"/>
                          <a:stretch>
                            <a:fillRect/>
                          </a:stretch>
                        </pic:blipFill>
                        <pic:spPr>
                          <a:xfrm>
                            <a:off x="1048385" y="505459"/>
                            <a:ext cx="159384" cy="211454"/>
                          </a:xfrm>
                          <a:prstGeom prst="rect">
                            <a:avLst/>
                          </a:prstGeom>
                        </pic:spPr>
                      </pic:pic>
                      <wps:wsp>
                        <wps:cNvPr id="173" name="Textbox 173"/>
                        <wps:cNvSpPr txBox="1"/>
                        <wps:spPr>
                          <a:xfrm>
                            <a:off x="266890" y="266028"/>
                            <a:ext cx="347980" cy="155575"/>
                          </a:xfrm>
                          <a:prstGeom prst="rect">
                            <a:avLst/>
                          </a:prstGeom>
                        </wps:spPr>
                        <wps:txbx>
                          <w:txbxContent>
                            <w:p>
                              <w:pPr>
                                <w:spacing w:line="244" w:lineRule="exact" w:before="0"/>
                                <w:ind w:left="0" w:right="0" w:firstLine="0"/>
                                <w:jc w:val="left"/>
                                <w:rPr>
                                  <w:b/>
                                  <w:sz w:val="22"/>
                                </w:rPr>
                              </w:pPr>
                              <w:r>
                                <w:rPr>
                                  <w:b/>
                                  <w:spacing w:val="-5"/>
                                  <w:sz w:val="22"/>
                                </w:rPr>
                                <w:t>TQM</w:t>
                              </w:r>
                            </w:p>
                          </w:txbxContent>
                        </wps:txbx>
                        <wps:bodyPr wrap="square" lIns="0" tIns="0" rIns="0" bIns="0" rtlCol="0">
                          <a:noAutofit/>
                        </wps:bodyPr>
                      </wps:wsp>
                      <wps:wsp>
                        <wps:cNvPr id="174" name="Textbox 174"/>
                        <wps:cNvSpPr txBox="1"/>
                        <wps:spPr>
                          <a:xfrm>
                            <a:off x="1249870" y="183732"/>
                            <a:ext cx="746125" cy="342900"/>
                          </a:xfrm>
                          <a:prstGeom prst="rect">
                            <a:avLst/>
                          </a:prstGeom>
                        </wps:spPr>
                        <wps:txbx>
                          <w:txbxContent>
                            <w:p>
                              <w:pPr>
                                <w:spacing w:line="244" w:lineRule="exact" w:before="0"/>
                                <w:ind w:left="0" w:right="20" w:firstLine="0"/>
                                <w:jc w:val="right"/>
                                <w:rPr>
                                  <w:b/>
                                  <w:sz w:val="22"/>
                                </w:rPr>
                              </w:pPr>
                              <w:r>
                                <w:rPr>
                                  <w:b/>
                                  <w:spacing w:val="-2"/>
                                  <w:sz w:val="22"/>
                                </w:rPr>
                                <w:t>Competitive</w:t>
                              </w:r>
                            </w:p>
                            <w:p>
                              <w:pPr>
                                <w:spacing w:before="42"/>
                                <w:ind w:left="0" w:right="18" w:firstLine="0"/>
                                <w:jc w:val="right"/>
                                <w:rPr>
                                  <w:b/>
                                  <w:sz w:val="22"/>
                                </w:rPr>
                              </w:pPr>
                              <w:r>
                                <w:rPr>
                                  <w:b/>
                                  <w:spacing w:val="-2"/>
                                  <w:sz w:val="22"/>
                                </w:rPr>
                                <w:t>advantage</w:t>
                              </w:r>
                            </w:p>
                          </w:txbxContent>
                        </wps:txbx>
                        <wps:bodyPr wrap="square" lIns="0" tIns="0" rIns="0" bIns="0" rtlCol="0">
                          <a:noAutofit/>
                        </wps:bodyPr>
                      </wps:wsp>
                      <wps:wsp>
                        <wps:cNvPr id="175" name="Textbox 175"/>
                        <wps:cNvSpPr txBox="1"/>
                        <wps:spPr>
                          <a:xfrm>
                            <a:off x="882586" y="1052412"/>
                            <a:ext cx="463550" cy="155575"/>
                          </a:xfrm>
                          <a:prstGeom prst="rect">
                            <a:avLst/>
                          </a:prstGeom>
                        </wps:spPr>
                        <wps:txbx>
                          <w:txbxContent>
                            <w:p>
                              <w:pPr>
                                <w:spacing w:line="244" w:lineRule="exact" w:before="0"/>
                                <w:ind w:left="0" w:right="0" w:firstLine="0"/>
                                <w:jc w:val="left"/>
                                <w:rPr>
                                  <w:b/>
                                  <w:sz w:val="22"/>
                                </w:rPr>
                              </w:pPr>
                              <w:r>
                                <w:rPr>
                                  <w:b/>
                                  <w:spacing w:val="-2"/>
                                  <w:sz w:val="22"/>
                                </w:rPr>
                                <w:t>SMCFs</w:t>
                              </w:r>
                            </w:p>
                          </w:txbxContent>
                        </wps:txbx>
                        <wps:bodyPr wrap="square" lIns="0" tIns="0" rIns="0" bIns="0" rtlCol="0">
                          <a:noAutofit/>
                        </wps:bodyPr>
                      </wps:wsp>
                    </wpg:wgp>
                  </a:graphicData>
                </a:graphic>
              </wp:anchor>
            </w:drawing>
          </mc:Choice>
          <mc:Fallback>
            <w:pict>
              <v:group style="position:absolute;margin-left:179.625pt;margin-top:15.887695pt;width:176.5pt;height:129.4pt;mso-position-horizontal-relative:page;mso-position-vertical-relative:paragraph;z-index:-15716864;mso-wrap-distance-left:0;mso-wrap-distance-right:0" id="docshapegroup126" coordorigin="3593,318" coordsize="3530,2588">
                <v:shape style="position:absolute;left:3600;top:446;width:2076;height:1492" id="docshape127" coordorigin="3600,446" coordsize="2076,1492" path="m4638,446l4548,449,4461,457,4376,470,4294,488,4214,511,4139,538,4066,569,3998,605,3934,644,3875,686,3821,732,3771,781,3728,833,3690,888,3658,945,3633,1004,3615,1065,3604,1128,3600,1192,3604,1257,3615,1319,3633,1381,3658,1440,3690,1497,3728,1551,3771,1603,3821,1652,3875,1698,3934,1741,3998,1780,4066,1815,4139,1846,4214,1874,4294,1896,4376,1914,4461,1927,4548,1936,4638,1938,4728,1936,4815,1927,4900,1914,4982,1896,5062,1874,5137,1846,5210,1815,5278,1780,5342,1741,5401,1698,5455,1652,5505,1603,5548,1551,5586,1497,5618,1440,5643,1381,5661,1319,5672,1257,5676,1192,5672,1128,5661,1065,5643,1004,5618,945,5586,888,5548,833,5505,781,5455,732,5401,686,5342,644,5278,605,5210,569,5137,538,5062,511,4982,488,4900,470,4815,457,4728,449,4638,446xe" filled="false" stroked="true" strokeweight=".75pt" strokecolor="#000000">
                  <v:path arrowok="t"/>
                  <v:stroke dashstyle="solid"/>
                </v:shape>
                <v:shape style="position:absolute;left:5092;top:325;width:2023;height:1492" id="docshape128" coordorigin="5092,325" coordsize="2023,1492" path="m6103,325l6016,328,5931,336,5848,349,5768,367,5691,390,5617,417,5546,448,5480,484,5418,523,5360,565,5307,611,5259,660,5217,712,5180,767,5149,824,5125,883,5107,944,5096,1007,5092,1071,5096,1136,5107,1198,5125,1260,5149,1319,5180,1376,5217,1430,5259,1482,5307,1531,5360,1577,5418,1620,5480,1659,5546,1694,5617,1725,5691,1753,5768,1775,5848,1793,5931,1806,6016,1815,6103,1817,6191,1815,6276,1806,6359,1793,6439,1775,6516,1753,6590,1725,6661,1694,6727,1659,6789,1620,6847,1577,6900,1531,6948,1482,6990,1430,7027,1376,7058,1319,7082,1260,7100,1198,7111,1136,7115,1071,7111,1007,7100,944,7082,883,7058,824,7027,767,6990,712,6948,660,6900,611,6847,565,6789,523,6727,484,6661,448,6590,417,6516,390,6439,367,6359,349,6276,336,6191,328,6103,325xe" filled="true" fillcolor="#ffffff" stroked="false">
                  <v:path arrowok="t"/>
                  <v:fill type="solid"/>
                </v:shape>
                <v:shape style="position:absolute;left:5092;top:325;width:2023;height:1492" id="docshape129" coordorigin="5092,325" coordsize="2023,1492" path="m6103,325l6016,328,5931,336,5848,349,5768,367,5691,390,5617,417,5546,448,5480,484,5418,523,5360,565,5307,611,5259,660,5217,712,5180,767,5149,824,5125,883,5107,944,5096,1007,5092,1071,5096,1136,5107,1198,5125,1260,5149,1319,5180,1376,5217,1430,5259,1482,5307,1531,5360,1577,5418,1620,5480,1659,5546,1694,5617,1725,5691,1753,5768,1775,5848,1793,5931,1806,6016,1815,6103,1817,6191,1815,6276,1806,6359,1793,6439,1775,6516,1753,6590,1725,6661,1694,6727,1659,6789,1620,6847,1577,6900,1531,6948,1482,6990,1430,7027,1376,7058,1319,7082,1260,7100,1198,7111,1136,7115,1071,7111,1007,7100,944,7082,883,7058,824,7027,767,6990,712,6948,660,6900,611,6847,565,6789,523,6727,484,6661,448,6590,417,6516,390,6439,367,6359,349,6276,336,6191,328,6103,325xe" filled="false" stroked="true" strokeweight=".75pt" strokecolor="#000000">
                  <v:path arrowok="t"/>
                  <v:stroke dashstyle="solid"/>
                </v:shape>
                <v:shape style="position:absolute;left:4637;top:1139;width:1622;height:1759" id="docshape130" coordorigin="4637,1139" coordsize="1622,1759" path="m5448,1139l5374,1143,5302,1153,5232,1171,5165,1194,5100,1224,5039,1259,4980,1300,4925,1346,4875,1397,4828,1452,4785,1512,4748,1575,4715,1642,4688,1712,4666,1785,4650,1861,4640,1939,4637,2019,4640,2099,4650,2177,4666,2253,4688,2326,4715,2396,4748,2463,4785,2526,4828,2585,4875,2641,4925,2691,4980,2737,5039,2778,5100,2814,5165,2843,5232,2867,5302,2884,5374,2895,5448,2898,5522,2895,5594,2884,5664,2867,5731,2843,5796,2814,5857,2778,5916,2737,5971,2691,6021,2641,6068,2585,6111,2526,6148,2463,6181,2396,6208,2326,6230,2253,6246,2177,6256,2099,6259,2019,6256,1939,6246,1861,6230,1785,6208,1712,6181,1642,6148,1575,6111,1512,6068,1452,6021,1397,5971,1346,5916,1300,5857,1259,5796,1224,5731,1194,5664,1171,5594,1153,5522,1143,5448,1139xe" filled="true" fillcolor="#ffffff" stroked="false">
                  <v:path arrowok="t"/>
                  <v:fill type="solid"/>
                </v:shape>
                <v:shape style="position:absolute;left:4637;top:1139;width:1622;height:1759" id="docshape131" coordorigin="4637,1139" coordsize="1622,1759" path="m5448,1139l5374,1143,5302,1153,5232,1171,5165,1194,5100,1224,5039,1259,4980,1300,4925,1346,4875,1397,4828,1452,4785,1512,4748,1575,4715,1642,4688,1712,4666,1785,4650,1861,4640,1939,4637,2019,4640,2099,4650,2177,4666,2253,4688,2326,4715,2396,4748,2463,4785,2526,4828,2585,4875,2641,4925,2691,4980,2737,5039,2778,5100,2814,5165,2843,5232,2867,5302,2884,5374,2895,5448,2898,5522,2895,5594,2884,5664,2867,5731,2843,5796,2814,5857,2778,5916,2737,5971,2691,6021,2641,6068,2585,6111,2526,6148,2463,6181,2396,6208,2326,6230,2253,6246,2177,6256,2099,6259,2019,6256,1939,6246,1861,6230,1785,6208,1712,6181,1642,6148,1575,6111,1512,6068,1452,6021,1397,5971,1346,5916,1300,5857,1259,5796,1224,5731,1194,5664,1171,5594,1153,5522,1143,5448,1139xe" filled="false" stroked="true" strokeweight=".75pt" strokecolor="#000000">
                  <v:path arrowok="t"/>
                  <v:stroke dashstyle="solid"/>
                </v:shape>
                <v:shape style="position:absolute;left:5092;top:546;width:417;height:712" id="docshape132" coordorigin="5092,546" coordsize="417,712" path="m5300,546l5195,595,5153,651,5120,723,5099,808,5092,902,5099,997,5120,1082,5153,1154,5195,1210,5245,1246,5300,1258,5356,1246,5406,1210,5448,1154,5481,1082,5502,997,5509,902,5502,808,5481,723,5448,651,5406,595,5356,559,5300,546xe" filled="true" fillcolor="#1f497d" stroked="false">
                  <v:path arrowok="t"/>
                  <v:fill type="solid"/>
                </v:shape>
                <v:shape style="position:absolute;left:5092;top:546;width:417;height:712" id="docshape133" coordorigin="5092,546" coordsize="417,712" path="m5300,546l5195,595,5153,651,5120,723,5099,808,5092,902,5099,997,5120,1082,5153,1154,5195,1210,5245,1246,5300,1258,5356,1246,5406,1210,5448,1154,5481,1082,5502,997,5509,902,5502,808,5481,723,5448,651,5406,595,5356,559,5300,546xe" filled="false" stroked="true" strokeweight=".75pt" strokecolor="#000000">
                  <v:path arrowok="t"/>
                  <v:stroke dashstyle="solid"/>
                </v:shape>
                <v:shape style="position:absolute;left:4619;top:1199;width:737;height:772" id="docshape134" coordorigin="4619,1200" coordsize="737,772" path="m5198,1200l5137,1201,5070,1217,4999,1246,4928,1288,4858,1342,4792,1408,4733,1481,4686,1555,4651,1630,4628,1703,4619,1771,4623,1833,4642,1886,4675,1929,4721,1957,4776,1971,4837,1969,4904,1954,4975,1924,5046,1883,5116,1828,5182,1763,5241,1690,5288,1615,5323,1540,5346,1468,5355,1400,5351,1338,5332,1285,5299,1242,5253,1213,5198,1200xe" filled="true" fillcolor="#1f497d" stroked="false">
                  <v:path arrowok="t"/>
                  <v:fill type="solid"/>
                </v:shape>
                <v:shape style="position:absolute;left:4619;top:1199;width:737;height:772" id="docshape135" coordorigin="4619,1200" coordsize="737,772" path="m5299,1242l5253,1213,5198,1200,5137,1201,5070,1217,4999,1246,4928,1288,4858,1342,4792,1408,4733,1481,4686,1555,4651,1630,4628,1703,4619,1771,4623,1833,4642,1886,4675,1929,4721,1957,4776,1971,4837,1969,4904,1954,4975,1924,5046,1883,5116,1828,5182,1763,5241,1690,5288,1615,5323,1540,5346,1468,5355,1400,5351,1338,5332,1285,5299,1242xe" filled="false" stroked="true" strokeweight=".75pt" strokecolor="#000000">
                  <v:path arrowok="t"/>
                  <v:stroke dashstyle="solid"/>
                </v:shape>
                <v:shape style="position:absolute;left:5309;top:1191;width:908;height:672" id="docshape136" coordorigin="5309,1191" coordsize="908,672" path="m5546,1191l5473,1197,5411,1215,5326,1288,5309,1340,5310,1399,5329,1461,5363,1525,5412,1589,5474,1652,5548,1710,5634,1763,5724,1807,5814,1838,5900,1857,5980,1863,6053,1858,6115,1840,6165,1809,6200,1766,6217,1714,6216,1656,6197,1594,6163,1530,6114,1465,6052,1403,5978,1344,5892,1291,5802,1248,5712,1217,5626,1198,5546,1191xe" filled="true" fillcolor="#1f497d" stroked="false">
                  <v:path arrowok="t"/>
                  <v:fill type="solid"/>
                </v:shape>
                <v:shape style="position:absolute;left:5309;top:1191;width:908;height:672" id="docshape137" coordorigin="5309,1191" coordsize="908,672" path="m5326,1288l5309,1340,5310,1399,5329,1461,5363,1525,5412,1589,5474,1652,5548,1710,5634,1763,5724,1807,5814,1838,5900,1857,5980,1863,6053,1858,6115,1840,6165,1809,6200,1766,6217,1714,6216,1656,6197,1594,6163,1530,6114,1465,6052,1403,5978,1344,5892,1291,5802,1248,5712,1217,5626,1198,5546,1191,5473,1197,5411,1215,5361,1245,5326,1288xe" filled="false" stroked="true" strokeweight=".75pt" strokecolor="#000000">
                  <v:path arrowok="t"/>
                  <v:stroke dashstyle="solid"/>
                </v:shape>
                <v:shape style="position:absolute;left:5243;top:1113;width:251;height:333" type="#_x0000_t75" id="docshape138" stroked="false">
                  <v:imagedata r:id="rId11" o:title=""/>
                </v:shape>
                <v:shape style="position:absolute;left:4012;top:736;width:548;height:245" type="#_x0000_t202" id="docshape139" filled="false" stroked="false">
                  <v:textbox inset="0,0,0,0">
                    <w:txbxContent>
                      <w:p>
                        <w:pPr>
                          <w:spacing w:line="244" w:lineRule="exact" w:before="0"/>
                          <w:ind w:left="0" w:right="0" w:firstLine="0"/>
                          <w:jc w:val="left"/>
                          <w:rPr>
                            <w:b/>
                            <w:sz w:val="22"/>
                          </w:rPr>
                        </w:pPr>
                        <w:r>
                          <w:rPr>
                            <w:b/>
                            <w:spacing w:val="-5"/>
                            <w:sz w:val="22"/>
                          </w:rPr>
                          <w:t>TQM</w:t>
                        </w:r>
                      </w:p>
                    </w:txbxContent>
                  </v:textbox>
                  <w10:wrap type="none"/>
                </v:shape>
                <v:shape style="position:absolute;left:5560;top:607;width:1175;height:540" type="#_x0000_t202" id="docshape140" filled="false" stroked="false">
                  <v:textbox inset="0,0,0,0">
                    <w:txbxContent>
                      <w:p>
                        <w:pPr>
                          <w:spacing w:line="244" w:lineRule="exact" w:before="0"/>
                          <w:ind w:left="0" w:right="20" w:firstLine="0"/>
                          <w:jc w:val="right"/>
                          <w:rPr>
                            <w:b/>
                            <w:sz w:val="22"/>
                          </w:rPr>
                        </w:pPr>
                        <w:r>
                          <w:rPr>
                            <w:b/>
                            <w:spacing w:val="-2"/>
                            <w:sz w:val="22"/>
                          </w:rPr>
                          <w:t>Competitive</w:t>
                        </w:r>
                      </w:p>
                      <w:p>
                        <w:pPr>
                          <w:spacing w:before="42"/>
                          <w:ind w:left="0" w:right="18" w:firstLine="0"/>
                          <w:jc w:val="right"/>
                          <w:rPr>
                            <w:b/>
                            <w:sz w:val="22"/>
                          </w:rPr>
                        </w:pPr>
                        <w:r>
                          <w:rPr>
                            <w:b/>
                            <w:spacing w:val="-2"/>
                            <w:sz w:val="22"/>
                          </w:rPr>
                          <w:t>advantage</w:t>
                        </w:r>
                      </w:p>
                    </w:txbxContent>
                  </v:textbox>
                  <w10:wrap type="none"/>
                </v:shape>
                <v:shape style="position:absolute;left:4982;top:1975;width:730;height:245" type="#_x0000_t202" id="docshape141" filled="false" stroked="false">
                  <v:textbox inset="0,0,0,0">
                    <w:txbxContent>
                      <w:p>
                        <w:pPr>
                          <w:spacing w:line="244" w:lineRule="exact" w:before="0"/>
                          <w:ind w:left="0" w:right="0" w:firstLine="0"/>
                          <w:jc w:val="left"/>
                          <w:rPr>
                            <w:b/>
                            <w:sz w:val="22"/>
                          </w:rPr>
                        </w:pPr>
                        <w:r>
                          <w:rPr>
                            <w:b/>
                            <w:spacing w:val="-2"/>
                            <w:sz w:val="22"/>
                          </w:rPr>
                          <w:t>SMCFs</w:t>
                        </w:r>
                      </w:p>
                    </w:txbxContent>
                  </v:textbox>
                  <w10:wrap type="none"/>
                </v:shape>
                <w10:wrap type="topAndBottom"/>
              </v:group>
            </w:pict>
          </mc:Fallback>
        </mc:AlternateContent>
      </w:r>
    </w:p>
    <w:p>
      <w:pPr>
        <w:pStyle w:val="Heading2"/>
        <w:tabs>
          <w:tab w:pos="1839" w:val="left" w:leader="none"/>
        </w:tabs>
        <w:spacing w:line="480" w:lineRule="auto" w:before="177"/>
        <w:ind w:left="399" w:right="1997"/>
        <w:jc w:val="left"/>
      </w:pPr>
      <w:r>
        <w:rPr/>
        <w:t>Figure</w:t>
      </w:r>
      <w:r>
        <w:rPr>
          <w:spacing w:val="-17"/>
        </w:rPr>
        <w:t> </w:t>
      </w:r>
      <w:r>
        <w:rPr/>
        <w:t>3.3</w:t>
        <w:tab/>
        <w:t>Interrelationship</w:t>
      </w:r>
      <w:r>
        <w:rPr>
          <w:spacing w:val="-5"/>
        </w:rPr>
        <w:t> </w:t>
      </w:r>
      <w:r>
        <w:rPr/>
        <w:t>among</w:t>
      </w:r>
      <w:r>
        <w:rPr>
          <w:spacing w:val="-5"/>
        </w:rPr>
        <w:t> </w:t>
      </w:r>
      <w:r>
        <w:rPr/>
        <w:t>the</w:t>
      </w:r>
      <w:r>
        <w:rPr>
          <w:spacing w:val="-6"/>
        </w:rPr>
        <w:t> </w:t>
      </w:r>
      <w:r>
        <w:rPr/>
        <w:t>components</w:t>
      </w:r>
      <w:r>
        <w:rPr>
          <w:spacing w:val="-5"/>
        </w:rPr>
        <w:t> </w:t>
      </w:r>
      <w:r>
        <w:rPr/>
        <w:t>in</w:t>
      </w:r>
      <w:r>
        <w:rPr>
          <w:spacing w:val="-5"/>
        </w:rPr>
        <w:t> </w:t>
      </w:r>
      <w:r>
        <w:rPr/>
        <w:t>the</w:t>
      </w:r>
      <w:r>
        <w:rPr>
          <w:spacing w:val="-6"/>
        </w:rPr>
        <w:t> </w:t>
      </w:r>
      <w:r>
        <w:rPr/>
        <w:t>conceptual</w:t>
      </w:r>
      <w:r>
        <w:rPr>
          <w:spacing w:val="-5"/>
        </w:rPr>
        <w:t> </w:t>
      </w:r>
      <w:r>
        <w:rPr/>
        <w:t>framework. </w:t>
      </w:r>
      <w:r>
        <w:rPr>
          <w:spacing w:val="-2"/>
        </w:rPr>
        <w:t>Source:</w:t>
      </w:r>
      <w:r>
        <w:rPr/>
        <w:tab/>
        <w:t>Researcher (2017)</w:t>
      </w:r>
    </w:p>
    <w:p>
      <w:pPr>
        <w:pStyle w:val="ListParagraph"/>
        <w:numPr>
          <w:ilvl w:val="2"/>
          <w:numId w:val="18"/>
        </w:numPr>
        <w:tabs>
          <w:tab w:pos="1120" w:val="left" w:leader="none"/>
        </w:tabs>
        <w:spacing w:line="240" w:lineRule="auto" w:before="137" w:after="0"/>
        <w:ind w:left="1120" w:right="0" w:hanging="720"/>
        <w:jc w:val="left"/>
        <w:rPr>
          <w:b/>
          <w:sz w:val="24"/>
        </w:rPr>
      </w:pPr>
      <w:r>
        <w:rPr>
          <w:b/>
          <w:sz w:val="24"/>
        </w:rPr>
        <w:t>Implementation</w:t>
      </w:r>
      <w:r>
        <w:rPr>
          <w:b/>
          <w:spacing w:val="-6"/>
          <w:sz w:val="24"/>
        </w:rPr>
        <w:t> </w:t>
      </w:r>
      <w:r>
        <w:rPr>
          <w:b/>
          <w:sz w:val="24"/>
        </w:rPr>
        <w:t>of</w:t>
      </w:r>
      <w:r>
        <w:rPr>
          <w:b/>
          <w:spacing w:val="-2"/>
          <w:sz w:val="24"/>
        </w:rPr>
        <w:t> </w:t>
      </w:r>
      <w:r>
        <w:rPr>
          <w:b/>
          <w:sz w:val="24"/>
        </w:rPr>
        <w:t>total</w:t>
      </w:r>
      <w:r>
        <w:rPr>
          <w:b/>
          <w:spacing w:val="-3"/>
          <w:sz w:val="24"/>
        </w:rPr>
        <w:t> </w:t>
      </w:r>
      <w:r>
        <w:rPr>
          <w:b/>
          <w:sz w:val="24"/>
        </w:rPr>
        <w:t>quality</w:t>
      </w:r>
      <w:r>
        <w:rPr>
          <w:b/>
          <w:spacing w:val="-3"/>
          <w:sz w:val="24"/>
        </w:rPr>
        <w:t> </w:t>
      </w:r>
      <w:r>
        <w:rPr>
          <w:b/>
          <w:sz w:val="24"/>
        </w:rPr>
        <w:t>management</w:t>
      </w:r>
      <w:r>
        <w:rPr>
          <w:b/>
          <w:spacing w:val="-4"/>
          <w:sz w:val="24"/>
        </w:rPr>
        <w:t> </w:t>
      </w:r>
      <w:r>
        <w:rPr>
          <w:b/>
          <w:sz w:val="24"/>
        </w:rPr>
        <w:t>and</w:t>
      </w:r>
      <w:r>
        <w:rPr>
          <w:b/>
          <w:spacing w:val="-3"/>
          <w:sz w:val="24"/>
        </w:rPr>
        <w:t> </w:t>
      </w:r>
      <w:r>
        <w:rPr>
          <w:b/>
          <w:sz w:val="24"/>
        </w:rPr>
        <w:t>competitive</w:t>
      </w:r>
      <w:r>
        <w:rPr>
          <w:b/>
          <w:spacing w:val="-4"/>
          <w:sz w:val="24"/>
        </w:rPr>
        <w:t> </w:t>
      </w:r>
      <w:r>
        <w:rPr>
          <w:b/>
          <w:spacing w:val="-2"/>
          <w:sz w:val="24"/>
        </w:rPr>
        <w:t>advantage</w:t>
      </w:r>
    </w:p>
    <w:p>
      <w:pPr>
        <w:pStyle w:val="BodyText"/>
        <w:spacing w:before="115"/>
        <w:rPr>
          <w:b/>
        </w:rPr>
      </w:pPr>
    </w:p>
    <w:p>
      <w:pPr>
        <w:pStyle w:val="BodyText"/>
        <w:spacing w:line="480" w:lineRule="auto"/>
        <w:ind w:left="400" w:right="1316" w:firstLine="60"/>
        <w:jc w:val="both"/>
      </w:pPr>
      <w:r>
        <w:rPr/>
        <w:t>The intensity</w:t>
      </w:r>
      <w:r>
        <w:rPr>
          <w:spacing w:val="-2"/>
        </w:rPr>
        <w:t> </w:t>
      </w:r>
      <w:r>
        <w:rPr/>
        <w:t>of global competition has led to significant changes in the way companies conduct their businesses (Al-Rfou </w:t>
      </w:r>
      <w:r>
        <w:rPr>
          <w:i/>
        </w:rPr>
        <w:t>et al</w:t>
      </w:r>
      <w:r>
        <w:rPr/>
        <w:t>., 2012). Providing a higher quality service as a strategy for achieving competitive advantage has become a strategic imperative for organizations and senior managements around the world. Quality therefore has become a strategic tool for measuring business performance in today's dynamic environment (Hassan </w:t>
      </w:r>
      <w:r>
        <w:rPr>
          <w:i/>
        </w:rPr>
        <w:t>et al</w:t>
      </w:r>
      <w:r>
        <w:rPr/>
        <w:t>., 2012). According to Mansour (2007), several quality tools and techniques have been employed to achieve this management objective and TQM has proved to be among the most effective quality techniques that have been applied. Since the introduction of TQM in the early 1980s, it has contributed immensely</w:t>
      </w:r>
      <w:r>
        <w:rPr>
          <w:spacing w:val="5"/>
        </w:rPr>
        <w:t> </w:t>
      </w:r>
      <w:r>
        <w:rPr/>
        <w:t>to</w:t>
      </w:r>
      <w:r>
        <w:rPr>
          <w:spacing w:val="13"/>
        </w:rPr>
        <w:t> </w:t>
      </w:r>
      <w:r>
        <w:rPr/>
        <w:t>management</w:t>
      </w:r>
      <w:r>
        <w:rPr>
          <w:spacing w:val="13"/>
        </w:rPr>
        <w:t> </w:t>
      </w:r>
      <w:r>
        <w:rPr/>
        <w:t>practice</w:t>
      </w:r>
      <w:r>
        <w:rPr>
          <w:spacing w:val="14"/>
        </w:rPr>
        <w:t> </w:t>
      </w:r>
      <w:r>
        <w:rPr/>
        <w:t>around</w:t>
      </w:r>
      <w:r>
        <w:rPr>
          <w:spacing w:val="12"/>
        </w:rPr>
        <w:t> </w:t>
      </w:r>
      <w:r>
        <w:rPr/>
        <w:t>the</w:t>
      </w:r>
      <w:r>
        <w:rPr>
          <w:spacing w:val="14"/>
        </w:rPr>
        <w:t> </w:t>
      </w:r>
      <w:r>
        <w:rPr/>
        <w:t>world.</w:t>
      </w:r>
      <w:r>
        <w:rPr>
          <w:spacing w:val="15"/>
        </w:rPr>
        <w:t> </w:t>
      </w:r>
      <w:r>
        <w:rPr/>
        <w:t>Its</w:t>
      </w:r>
      <w:r>
        <w:rPr>
          <w:spacing w:val="13"/>
        </w:rPr>
        <w:t> </w:t>
      </w:r>
      <w:r>
        <w:rPr/>
        <w:t>importance</w:t>
      </w:r>
      <w:r>
        <w:rPr>
          <w:spacing w:val="13"/>
        </w:rPr>
        <w:t> </w:t>
      </w:r>
      <w:r>
        <w:rPr/>
        <w:t>as</w:t>
      </w:r>
      <w:r>
        <w:rPr>
          <w:spacing w:val="13"/>
        </w:rPr>
        <w:t> </w:t>
      </w:r>
      <w:r>
        <w:rPr/>
        <w:t>a</w:t>
      </w:r>
      <w:r>
        <w:rPr>
          <w:spacing w:val="14"/>
        </w:rPr>
        <w:t> </w:t>
      </w:r>
      <w:r>
        <w:rPr/>
        <w:t>source</w:t>
      </w:r>
      <w:r>
        <w:rPr>
          <w:spacing w:val="12"/>
        </w:rPr>
        <w:t> </w:t>
      </w:r>
      <w:r>
        <w:rPr/>
        <w:t>of</w:t>
      </w:r>
      <w:r>
        <w:rPr>
          <w:spacing w:val="15"/>
        </w:rPr>
        <w:t> </w:t>
      </w:r>
      <w:r>
        <w:rPr>
          <w:spacing w:val="-2"/>
        </w:rPr>
        <w:t>competitive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advantage cannot be overemphasized by firms. Adoption of TQM has become widespread</w:t>
      </w:r>
      <w:r>
        <w:rPr>
          <w:spacing w:val="40"/>
        </w:rPr>
        <w:t> </w:t>
      </w:r>
      <w:r>
        <w:rPr/>
        <w:t>among organizations during the last decades as it has been recognized as a major source of competitive advantage and long term profitability (Dale </w:t>
      </w:r>
      <w:r>
        <w:rPr>
          <w:i/>
        </w:rPr>
        <w:t>et al</w:t>
      </w:r>
      <w:r>
        <w:rPr/>
        <w:t>, 2001). It plays a vital role in the development of management practices (Hoang </w:t>
      </w:r>
      <w:r>
        <w:rPr>
          <w:i/>
        </w:rPr>
        <w:t>et al, </w:t>
      </w:r>
      <w:r>
        <w:rPr/>
        <w:t>2006).As it has been confirmed as the most effective quality tool that can provide firms with sustainable performance and competitive advantage since its emergence in 1980s (Reed </w:t>
      </w:r>
      <w:r>
        <w:rPr>
          <w:i/>
        </w:rPr>
        <w:t>et al.</w:t>
      </w:r>
      <w:r>
        <w:rPr/>
        <w:t>, 2000).</w:t>
      </w:r>
    </w:p>
    <w:p>
      <w:pPr>
        <w:pStyle w:val="BodyText"/>
        <w:spacing w:line="480" w:lineRule="auto" w:before="120"/>
        <w:ind w:left="400" w:right="1316"/>
        <w:jc w:val="both"/>
      </w:pPr>
      <w:r>
        <w:rPr/>
        <w:t>The effective implementation of TQM will increase customer satisfaction with service offerings (Omachonu and Ross, 1994). Quality</w:t>
      </w:r>
      <w:r>
        <w:rPr>
          <w:spacing w:val="-2"/>
        </w:rPr>
        <w:t> </w:t>
      </w:r>
      <w:r>
        <w:rPr/>
        <w:t>enhances customer</w:t>
      </w:r>
      <w:r>
        <w:rPr>
          <w:spacing w:val="-1"/>
        </w:rPr>
        <w:t> </w:t>
      </w:r>
      <w:r>
        <w:rPr/>
        <w:t>loyalty</w:t>
      </w:r>
      <w:r>
        <w:rPr>
          <w:spacing w:val="-2"/>
        </w:rPr>
        <w:t> </w:t>
      </w:r>
      <w:r>
        <w:rPr/>
        <w:t>through satisfaction; this in turn can</w:t>
      </w:r>
      <w:r>
        <w:rPr>
          <w:spacing w:val="-1"/>
        </w:rPr>
        <w:t> </w:t>
      </w:r>
      <w:r>
        <w:rPr/>
        <w:t>generate</w:t>
      </w:r>
      <w:r>
        <w:rPr>
          <w:spacing w:val="-3"/>
        </w:rPr>
        <w:t> </w:t>
      </w:r>
      <w:r>
        <w:rPr/>
        <w:t>repeat</w:t>
      </w:r>
      <w:r>
        <w:rPr>
          <w:spacing w:val="-1"/>
        </w:rPr>
        <w:t> </w:t>
      </w:r>
      <w:r>
        <w:rPr/>
        <w:t>business</w:t>
      </w:r>
      <w:r>
        <w:rPr>
          <w:spacing w:val="-2"/>
        </w:rPr>
        <w:t> </w:t>
      </w:r>
      <w:r>
        <w:rPr/>
        <w:t>and</w:t>
      </w:r>
      <w:r>
        <w:rPr>
          <w:spacing w:val="-2"/>
        </w:rPr>
        <w:t> </w:t>
      </w:r>
      <w:r>
        <w:rPr/>
        <w:t>lead</w:t>
      </w:r>
      <w:r>
        <w:rPr>
          <w:spacing w:val="-2"/>
        </w:rPr>
        <w:t> </w:t>
      </w:r>
      <w:r>
        <w:rPr/>
        <w:t>to</w:t>
      </w:r>
      <w:r>
        <w:rPr>
          <w:spacing w:val="-2"/>
        </w:rPr>
        <w:t> </w:t>
      </w:r>
      <w:r>
        <w:rPr/>
        <w:t>the</w:t>
      </w:r>
      <w:r>
        <w:rPr>
          <w:spacing w:val="-1"/>
        </w:rPr>
        <w:t> </w:t>
      </w:r>
      <w:r>
        <w:rPr/>
        <w:t>attraction</w:t>
      </w:r>
      <w:r>
        <w:rPr>
          <w:spacing w:val="-2"/>
        </w:rPr>
        <w:t> </w:t>
      </w:r>
      <w:r>
        <w:rPr/>
        <w:t>of</w:t>
      </w:r>
      <w:r>
        <w:rPr>
          <w:spacing w:val="-3"/>
        </w:rPr>
        <w:t> </w:t>
      </w:r>
      <w:r>
        <w:rPr/>
        <w:t>new</w:t>
      </w:r>
      <w:r>
        <w:rPr>
          <w:spacing w:val="-1"/>
        </w:rPr>
        <w:t> </w:t>
      </w:r>
      <w:r>
        <w:rPr/>
        <w:t>customers</w:t>
      </w:r>
      <w:r>
        <w:rPr>
          <w:spacing w:val="-2"/>
        </w:rPr>
        <w:t> </w:t>
      </w:r>
      <w:r>
        <w:rPr/>
        <w:t>through</w:t>
      </w:r>
      <w:r>
        <w:rPr>
          <w:spacing w:val="-2"/>
        </w:rPr>
        <w:t> </w:t>
      </w:r>
      <w:r>
        <w:rPr/>
        <w:t>positive</w:t>
      </w:r>
      <w:r>
        <w:rPr>
          <w:spacing w:val="-3"/>
        </w:rPr>
        <w:t> </w:t>
      </w:r>
      <w:r>
        <w:rPr/>
        <w:t>word</w:t>
      </w:r>
      <w:r>
        <w:rPr>
          <w:spacing w:val="-2"/>
        </w:rPr>
        <w:t> </w:t>
      </w:r>
      <w:r>
        <w:rPr/>
        <w:t>of mouth. The word of mouth communication will help in cost reduction.</w:t>
      </w:r>
      <w:r>
        <w:rPr>
          <w:spacing w:val="80"/>
        </w:rPr>
        <w:t> </w:t>
      </w:r>
      <w:r>
        <w:rPr/>
        <w:t>This Omachonu and</w:t>
      </w:r>
      <w:r>
        <w:rPr>
          <w:spacing w:val="40"/>
        </w:rPr>
        <w:t> </w:t>
      </w:r>
      <w:r>
        <w:rPr/>
        <w:t>Ross (1994), noted will</w:t>
      </w:r>
      <w:r>
        <w:rPr>
          <w:spacing w:val="-1"/>
        </w:rPr>
        <w:t> </w:t>
      </w:r>
      <w:r>
        <w:rPr/>
        <w:t>provide competitive edge to the company. The improvement in company will result in increased market share and profitability.</w:t>
      </w:r>
    </w:p>
    <w:p>
      <w:pPr>
        <w:pStyle w:val="BodyText"/>
        <w:spacing w:before="100"/>
      </w:pPr>
    </w:p>
    <w:p>
      <w:pPr>
        <w:pStyle w:val="BodyText"/>
        <w:spacing w:line="480" w:lineRule="auto"/>
        <w:ind w:left="399" w:right="1316"/>
        <w:jc w:val="both"/>
      </w:pPr>
      <w:r>
        <w:rPr/>
        <w:t>Empirical studies have shown that the way organizations implement TQM can significantly</w:t>
      </w:r>
      <w:r>
        <w:rPr>
          <w:spacing w:val="40"/>
        </w:rPr>
        <w:t> </w:t>
      </w:r>
      <w:r>
        <w:rPr/>
        <w:t>affect the results and business impact, hence organizations need to take proper measure in implementing TQM in their organizations. Some companies in Nigeria today are making every effort to put in TQM process in their operations to help produce quality products and services in meeting customer needs. Others have also failed as far as TQM is concerned. Several literatures have suggested that proper TQM implementations can lead to better competitive advantage.</w:t>
      </w:r>
      <w:r>
        <w:rPr>
          <w:spacing w:val="40"/>
        </w:rPr>
        <w:t> </w:t>
      </w:r>
      <w:r>
        <w:rPr/>
        <w:t>In addition, many studies have investigated the notion that TQM practices provide an approach to improve</w:t>
      </w:r>
      <w:r>
        <w:rPr>
          <w:spacing w:val="-4"/>
        </w:rPr>
        <w:t> </w:t>
      </w:r>
      <w:r>
        <w:rPr/>
        <w:t>financial</w:t>
      </w:r>
      <w:r>
        <w:rPr>
          <w:spacing w:val="-3"/>
        </w:rPr>
        <w:t> </w:t>
      </w:r>
      <w:r>
        <w:rPr/>
        <w:t>performance.</w:t>
      </w:r>
      <w:r>
        <w:rPr>
          <w:spacing w:val="-3"/>
        </w:rPr>
        <w:t> </w:t>
      </w:r>
      <w:r>
        <w:rPr/>
        <w:t>A</w:t>
      </w:r>
      <w:r>
        <w:rPr>
          <w:spacing w:val="-2"/>
        </w:rPr>
        <w:t> </w:t>
      </w:r>
      <w:r>
        <w:rPr/>
        <w:t>research</w:t>
      </w:r>
      <w:r>
        <w:rPr>
          <w:spacing w:val="-1"/>
        </w:rPr>
        <w:t> </w:t>
      </w:r>
      <w:r>
        <w:rPr/>
        <w:t>carried</w:t>
      </w:r>
      <w:r>
        <w:rPr>
          <w:spacing w:val="-3"/>
        </w:rPr>
        <w:t> </w:t>
      </w:r>
      <w:r>
        <w:rPr/>
        <w:t>out</w:t>
      </w:r>
      <w:r>
        <w:rPr>
          <w:spacing w:val="-2"/>
        </w:rPr>
        <w:t> </w:t>
      </w:r>
      <w:r>
        <w:rPr/>
        <w:t>by</w:t>
      </w:r>
      <w:r>
        <w:rPr>
          <w:spacing w:val="-8"/>
        </w:rPr>
        <w:t> </w:t>
      </w:r>
      <w:r>
        <w:rPr/>
        <w:t>Hendriks</w:t>
      </w:r>
      <w:r>
        <w:rPr>
          <w:spacing w:val="-3"/>
        </w:rPr>
        <w:t> </w:t>
      </w:r>
      <w:r>
        <w:rPr/>
        <w:t>and</w:t>
      </w:r>
      <w:r>
        <w:rPr>
          <w:spacing w:val="-3"/>
        </w:rPr>
        <w:t> </w:t>
      </w:r>
      <w:r>
        <w:rPr/>
        <w:t>Singhal</w:t>
      </w:r>
      <w:r>
        <w:rPr>
          <w:spacing w:val="-1"/>
        </w:rPr>
        <w:t> </w:t>
      </w:r>
      <w:r>
        <w:rPr/>
        <w:t>(1997),</w:t>
      </w:r>
      <w:r>
        <w:rPr>
          <w:spacing w:val="-3"/>
        </w:rPr>
        <w:t> </w:t>
      </w:r>
      <w:r>
        <w:rPr/>
        <w:t>Hendriks and Singhal (1999) and cited in Agus and Sagir, (2001), indicated that an effective TQM programmes actually improved operating performance. The statistical results provided strong evidence</w:t>
      </w:r>
      <w:r>
        <w:rPr>
          <w:spacing w:val="2"/>
        </w:rPr>
        <w:t> </w:t>
      </w:r>
      <w:r>
        <w:rPr/>
        <w:t>that</w:t>
      </w:r>
      <w:r>
        <w:rPr>
          <w:spacing w:val="4"/>
        </w:rPr>
        <w:t> </w:t>
      </w:r>
      <w:r>
        <w:rPr/>
        <w:t>firms</w:t>
      </w:r>
      <w:r>
        <w:rPr>
          <w:spacing w:val="4"/>
        </w:rPr>
        <w:t> </w:t>
      </w:r>
      <w:r>
        <w:rPr/>
        <w:t>that</w:t>
      </w:r>
      <w:r>
        <w:rPr>
          <w:spacing w:val="3"/>
        </w:rPr>
        <w:t> </w:t>
      </w:r>
      <w:r>
        <w:rPr/>
        <w:t>have</w:t>
      </w:r>
      <w:r>
        <w:rPr>
          <w:spacing w:val="3"/>
        </w:rPr>
        <w:t> </w:t>
      </w:r>
      <w:r>
        <w:rPr/>
        <w:t>won</w:t>
      </w:r>
      <w:r>
        <w:rPr>
          <w:spacing w:val="3"/>
        </w:rPr>
        <w:t> </w:t>
      </w:r>
      <w:r>
        <w:rPr/>
        <w:t>quality</w:t>
      </w:r>
      <w:r>
        <w:rPr>
          <w:spacing w:val="-1"/>
        </w:rPr>
        <w:t> </w:t>
      </w:r>
      <w:r>
        <w:rPr/>
        <w:t>awards</w:t>
      </w:r>
      <w:r>
        <w:rPr>
          <w:spacing w:val="6"/>
        </w:rPr>
        <w:t> </w:t>
      </w:r>
      <w:r>
        <w:rPr/>
        <w:t>outperformed</w:t>
      </w:r>
      <w:r>
        <w:rPr>
          <w:spacing w:val="3"/>
        </w:rPr>
        <w:t> </w:t>
      </w:r>
      <w:r>
        <w:rPr/>
        <w:t>the</w:t>
      </w:r>
      <w:r>
        <w:rPr>
          <w:spacing w:val="5"/>
        </w:rPr>
        <w:t> </w:t>
      </w:r>
      <w:r>
        <w:rPr/>
        <w:t>controlled</w:t>
      </w:r>
      <w:r>
        <w:rPr>
          <w:spacing w:val="3"/>
        </w:rPr>
        <w:t> </w:t>
      </w:r>
      <w:r>
        <w:rPr/>
        <w:t>firms</w:t>
      </w:r>
      <w:r>
        <w:rPr>
          <w:spacing w:val="4"/>
        </w:rPr>
        <w:t> </w:t>
      </w:r>
      <w:r>
        <w:rPr/>
        <w:t>on</w:t>
      </w:r>
      <w:r>
        <w:rPr>
          <w:spacing w:val="3"/>
        </w:rPr>
        <w:t> </w:t>
      </w:r>
      <w:r>
        <w:rPr>
          <w:spacing w:val="-2"/>
        </w:rPr>
        <w:t>operating</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income-based measures.</w:t>
      </w:r>
      <w:r>
        <w:rPr>
          <w:spacing w:val="40"/>
        </w:rPr>
        <w:t> </w:t>
      </w:r>
      <w:r>
        <w:rPr/>
        <w:t>Mann (1992) also agreed that TQM is not only a management tool for producing quality products and services but also a process that leads to increased productivity and more favourable competitive position. He emphasized that there exists a correlation between quality and productivity. As quality improves waste or rework is minimized; and customer satisfaction will also be enhanced.</w:t>
      </w:r>
      <w:r>
        <w:rPr>
          <w:spacing w:val="80"/>
        </w:rPr>
        <w:t> </w:t>
      </w:r>
      <w:r>
        <w:rPr/>
        <w:t>Deming (1986) indicated 14 TQM principles which he offered as requirements to remain competitive in providing products and services.</w:t>
      </w:r>
      <w:r>
        <w:rPr>
          <w:spacing w:val="40"/>
        </w:rPr>
        <w:t> </w:t>
      </w:r>
      <w:r>
        <w:rPr/>
        <w:t>According to Deming TQM would generate improved products and services, reduced costs, more satisfied customers and employees and improved bottom line financial performance.</w:t>
      </w:r>
    </w:p>
    <w:p>
      <w:pPr>
        <w:pStyle w:val="BodyText"/>
        <w:spacing w:before="33"/>
      </w:pPr>
    </w:p>
    <w:p>
      <w:pPr>
        <w:pStyle w:val="Heading2"/>
        <w:numPr>
          <w:ilvl w:val="2"/>
          <w:numId w:val="18"/>
        </w:numPr>
        <w:tabs>
          <w:tab w:pos="1120" w:val="left" w:leader="none"/>
        </w:tabs>
        <w:spacing w:line="240" w:lineRule="auto" w:before="1" w:after="0"/>
        <w:ind w:left="1120" w:right="0" w:hanging="720"/>
        <w:jc w:val="left"/>
      </w:pPr>
      <w:r>
        <w:rPr/>
        <w:t>Competitive</w:t>
      </w:r>
      <w:r>
        <w:rPr>
          <w:spacing w:val="-6"/>
        </w:rPr>
        <w:t> </w:t>
      </w:r>
      <w:r>
        <w:rPr/>
        <w:t>advantage</w:t>
      </w:r>
      <w:r>
        <w:rPr>
          <w:spacing w:val="-1"/>
        </w:rPr>
        <w:t> </w:t>
      </w:r>
      <w:r>
        <w:rPr/>
        <w:t>and</w:t>
      </w:r>
      <w:r>
        <w:rPr>
          <w:spacing w:val="-3"/>
        </w:rPr>
        <w:t> </w:t>
      </w:r>
      <w:r>
        <w:rPr/>
        <w:t>small</w:t>
      </w:r>
      <w:r>
        <w:rPr>
          <w:spacing w:val="-2"/>
        </w:rPr>
        <w:t> </w:t>
      </w:r>
      <w:r>
        <w:rPr/>
        <w:t>and</w:t>
      </w:r>
      <w:r>
        <w:rPr>
          <w:spacing w:val="-2"/>
        </w:rPr>
        <w:t> </w:t>
      </w:r>
      <w:r>
        <w:rPr/>
        <w:t>medium</w:t>
      </w:r>
      <w:r>
        <w:rPr>
          <w:spacing w:val="-4"/>
        </w:rPr>
        <w:t> </w:t>
      </w:r>
      <w:r>
        <w:rPr/>
        <w:t>scale</w:t>
      </w:r>
      <w:r>
        <w:rPr>
          <w:spacing w:val="-3"/>
        </w:rPr>
        <w:t> </w:t>
      </w:r>
      <w:r>
        <w:rPr/>
        <w:t>construction</w:t>
      </w:r>
      <w:r>
        <w:rPr>
          <w:spacing w:val="-3"/>
        </w:rPr>
        <w:t> </w:t>
      </w:r>
      <w:r>
        <w:rPr/>
        <w:t>firms in</w:t>
      </w:r>
      <w:r>
        <w:rPr>
          <w:spacing w:val="-2"/>
        </w:rPr>
        <w:t> Nigeria</w:t>
      </w:r>
    </w:p>
    <w:p>
      <w:pPr>
        <w:pStyle w:val="BodyText"/>
        <w:spacing w:before="232"/>
        <w:rPr>
          <w:b/>
        </w:rPr>
      </w:pPr>
    </w:p>
    <w:p>
      <w:pPr>
        <w:pStyle w:val="BodyText"/>
        <w:spacing w:line="480" w:lineRule="auto"/>
        <w:ind w:left="400" w:right="1317"/>
        <w:jc w:val="both"/>
      </w:pPr>
      <w:r>
        <w:rPr/>
        <w:t>The SME sector is the major drive which promotes the growth of jobs in a country’s economy. The development of the country is linked to the strengthening and enhancement of the private sector where SMEs play an important role. The growth of SME in services, agriculture, construction, and so on, has been considered as the engine growth and has contributed to the Nigerian</w:t>
      </w:r>
      <w:r>
        <w:rPr>
          <w:spacing w:val="-2"/>
        </w:rPr>
        <w:t> </w:t>
      </w:r>
      <w:r>
        <w:rPr/>
        <w:t>economy.</w:t>
      </w:r>
      <w:r>
        <w:rPr>
          <w:spacing w:val="-4"/>
        </w:rPr>
        <w:t> </w:t>
      </w:r>
      <w:r>
        <w:rPr/>
        <w:t>Sustainable</w:t>
      </w:r>
      <w:r>
        <w:rPr>
          <w:spacing w:val="-3"/>
        </w:rPr>
        <w:t> </w:t>
      </w:r>
      <w:r>
        <w:rPr/>
        <w:t>growth</w:t>
      </w:r>
      <w:r>
        <w:rPr>
          <w:spacing w:val="-2"/>
        </w:rPr>
        <w:t> </w:t>
      </w:r>
      <w:r>
        <w:rPr/>
        <w:t>and</w:t>
      </w:r>
      <w:r>
        <w:rPr>
          <w:spacing w:val="-4"/>
        </w:rPr>
        <w:t> </w:t>
      </w:r>
      <w:r>
        <w:rPr/>
        <w:t>the</w:t>
      </w:r>
      <w:r>
        <w:rPr>
          <w:spacing w:val="-3"/>
        </w:rPr>
        <w:t> </w:t>
      </w:r>
      <w:r>
        <w:rPr/>
        <w:t>increase</w:t>
      </w:r>
      <w:r>
        <w:rPr>
          <w:spacing w:val="-3"/>
        </w:rPr>
        <w:t> </w:t>
      </w:r>
      <w:r>
        <w:rPr/>
        <w:t>of</w:t>
      </w:r>
      <w:r>
        <w:rPr>
          <w:spacing w:val="-4"/>
        </w:rPr>
        <w:t> </w:t>
      </w:r>
      <w:r>
        <w:rPr/>
        <w:t>SME</w:t>
      </w:r>
      <w:r>
        <w:rPr>
          <w:spacing w:val="-2"/>
        </w:rPr>
        <w:t> </w:t>
      </w:r>
      <w:r>
        <w:rPr/>
        <w:t>competitiveness</w:t>
      </w:r>
      <w:r>
        <w:rPr>
          <w:spacing w:val="-4"/>
        </w:rPr>
        <w:t> </w:t>
      </w:r>
      <w:r>
        <w:rPr/>
        <w:t>will</w:t>
      </w:r>
      <w:r>
        <w:rPr>
          <w:spacing w:val="-4"/>
        </w:rPr>
        <w:t> </w:t>
      </w:r>
      <w:r>
        <w:rPr/>
        <w:t>provide</w:t>
      </w:r>
      <w:r>
        <w:rPr>
          <w:spacing w:val="-3"/>
        </w:rPr>
        <w:t> </w:t>
      </w:r>
      <w:r>
        <w:rPr/>
        <w:t>the environment for investment and employment.</w:t>
      </w:r>
    </w:p>
    <w:p>
      <w:pPr>
        <w:pStyle w:val="BodyText"/>
        <w:spacing w:line="480" w:lineRule="auto" w:before="241"/>
        <w:ind w:left="400" w:right="1315"/>
        <w:jc w:val="both"/>
      </w:pPr>
      <w:r>
        <w:rPr/>
        <w:t>Enterprises are faced with an increasingly competitive environment in which it is difficult to maintain a sustained competitive advantage (Shih, Liu and Hsu 2010). Guarda, Augusto and Silva (2012) state that competitive advantage can be understood as seeking unique opportunities that will give the enterprise a strong competitive position. According to Shih </w:t>
      </w:r>
      <w:r>
        <w:rPr>
          <w:i/>
        </w:rPr>
        <w:t>et al</w:t>
      </w:r>
      <w:r>
        <w:rPr/>
        <w:t>. (2010), in order to sustain a competitive position, managers should prepare to respond promptly</w:t>
      </w:r>
      <w:r>
        <w:rPr>
          <w:spacing w:val="-3"/>
        </w:rPr>
        <w:t> </w:t>
      </w:r>
      <w:r>
        <w:rPr/>
        <w:t>to changes in customer preferences, competitor strategies and technological advancements. For these reasons,</w:t>
      </w:r>
      <w:r>
        <w:rPr>
          <w:spacing w:val="30"/>
        </w:rPr>
        <w:t> </w:t>
      </w:r>
      <w:r>
        <w:rPr/>
        <w:t>many</w:t>
      </w:r>
      <w:r>
        <w:rPr>
          <w:spacing w:val="27"/>
        </w:rPr>
        <w:t> </w:t>
      </w:r>
      <w:r>
        <w:rPr/>
        <w:t>enterprises</w:t>
      </w:r>
      <w:r>
        <w:rPr>
          <w:spacing w:val="32"/>
        </w:rPr>
        <w:t> </w:t>
      </w:r>
      <w:r>
        <w:rPr/>
        <w:t>–</w:t>
      </w:r>
      <w:r>
        <w:rPr>
          <w:spacing w:val="32"/>
        </w:rPr>
        <w:t> </w:t>
      </w:r>
      <w:r>
        <w:rPr/>
        <w:t>whether</w:t>
      </w:r>
      <w:r>
        <w:rPr>
          <w:spacing w:val="32"/>
        </w:rPr>
        <w:t> </w:t>
      </w:r>
      <w:r>
        <w:rPr/>
        <w:t>public</w:t>
      </w:r>
      <w:r>
        <w:rPr>
          <w:spacing w:val="31"/>
        </w:rPr>
        <w:t> </w:t>
      </w:r>
      <w:r>
        <w:rPr/>
        <w:t>or</w:t>
      </w:r>
      <w:r>
        <w:rPr>
          <w:spacing w:val="31"/>
        </w:rPr>
        <w:t> </w:t>
      </w:r>
      <w:r>
        <w:rPr/>
        <w:t>private,</w:t>
      </w:r>
      <w:r>
        <w:rPr>
          <w:spacing w:val="32"/>
        </w:rPr>
        <w:t> </w:t>
      </w:r>
      <w:r>
        <w:rPr/>
        <w:t>and</w:t>
      </w:r>
      <w:r>
        <w:rPr>
          <w:spacing w:val="32"/>
        </w:rPr>
        <w:t> </w:t>
      </w:r>
      <w:r>
        <w:rPr/>
        <w:t>small</w:t>
      </w:r>
      <w:r>
        <w:rPr>
          <w:spacing w:val="34"/>
        </w:rPr>
        <w:t> </w:t>
      </w:r>
      <w:r>
        <w:rPr/>
        <w:t>or</w:t>
      </w:r>
      <w:r>
        <w:rPr>
          <w:spacing w:val="31"/>
        </w:rPr>
        <w:t> </w:t>
      </w:r>
      <w:r>
        <w:rPr/>
        <w:t>large</w:t>
      </w:r>
      <w:r>
        <w:rPr>
          <w:spacing w:val="34"/>
        </w:rPr>
        <w:t> </w:t>
      </w:r>
      <w:r>
        <w:rPr/>
        <w:t>–</w:t>
      </w:r>
      <w:r>
        <w:rPr>
          <w:spacing w:val="33"/>
        </w:rPr>
        <w:t> </w:t>
      </w:r>
      <w:r>
        <w:rPr/>
        <w:t>initiate</w:t>
      </w:r>
      <w:r>
        <w:rPr>
          <w:spacing w:val="31"/>
        </w:rPr>
        <w:t> </w:t>
      </w:r>
      <w:r>
        <w:rPr/>
        <w:t>their</w:t>
      </w:r>
      <w:r>
        <w:rPr>
          <w:spacing w:val="32"/>
        </w:rPr>
        <w:t> </w:t>
      </w:r>
      <w:r>
        <w:rPr>
          <w:spacing w:val="-5"/>
        </w:rPr>
        <w:t>own</w:t>
      </w:r>
    </w:p>
    <w:p>
      <w:pPr>
        <w:spacing w:after="0" w:line="480" w:lineRule="auto"/>
        <w:jc w:val="both"/>
        <w:sectPr>
          <w:pgSz w:w="12240" w:h="15840"/>
          <w:pgMar w:header="0" w:footer="1017" w:top="1360" w:bottom="1200" w:left="1040" w:right="120"/>
        </w:sectPr>
      </w:pPr>
    </w:p>
    <w:p>
      <w:pPr>
        <w:pStyle w:val="BodyText"/>
        <w:spacing w:line="480" w:lineRule="auto" w:before="72"/>
        <w:ind w:left="399" w:right="1318"/>
        <w:jc w:val="both"/>
      </w:pPr>
      <w:r>
        <w:rPr/>
        <w:t>competitive intelligence services to advise their decision makers (Taleghani, Rad and Rahmati </w:t>
      </w:r>
      <w:r>
        <w:rPr>
          <w:spacing w:val="-2"/>
        </w:rPr>
        <w:t>2012).</w:t>
      </w:r>
    </w:p>
    <w:p>
      <w:pPr>
        <w:pStyle w:val="BodyText"/>
        <w:spacing w:line="480" w:lineRule="auto" w:before="240"/>
        <w:ind w:left="399" w:right="1319"/>
        <w:jc w:val="both"/>
      </w:pPr>
      <w:r>
        <w:rPr/>
        <w:t>Distinctive competencies help a firm stand out in its markets when its competencies are superior to its competitors (Andrew, 1971).</w:t>
      </w:r>
      <w:r>
        <w:rPr>
          <w:spacing w:val="40"/>
        </w:rPr>
        <w:t> </w:t>
      </w:r>
      <w:r>
        <w:rPr/>
        <w:t>Core competencies and distinctive competence are two main factors</w:t>
      </w:r>
      <w:r>
        <w:rPr>
          <w:spacing w:val="-3"/>
        </w:rPr>
        <w:t> </w:t>
      </w:r>
      <w:r>
        <w:rPr/>
        <w:t>that</w:t>
      </w:r>
      <w:r>
        <w:rPr>
          <w:spacing w:val="-3"/>
        </w:rPr>
        <w:t> </w:t>
      </w:r>
      <w:r>
        <w:rPr/>
        <w:t>induce</w:t>
      </w:r>
      <w:r>
        <w:rPr>
          <w:spacing w:val="-4"/>
        </w:rPr>
        <w:t> </w:t>
      </w:r>
      <w:r>
        <w:rPr/>
        <w:t>SMEs</w:t>
      </w:r>
      <w:r>
        <w:rPr>
          <w:spacing w:val="-3"/>
        </w:rPr>
        <w:t> </w:t>
      </w:r>
      <w:r>
        <w:rPr/>
        <w:t>to</w:t>
      </w:r>
      <w:r>
        <w:rPr>
          <w:spacing w:val="-3"/>
        </w:rPr>
        <w:t> </w:t>
      </w:r>
      <w:r>
        <w:rPr/>
        <w:t>have</w:t>
      </w:r>
      <w:r>
        <w:rPr>
          <w:spacing w:val="-4"/>
        </w:rPr>
        <w:t> </w:t>
      </w:r>
      <w:r>
        <w:rPr/>
        <w:t>competitive</w:t>
      </w:r>
      <w:r>
        <w:rPr>
          <w:spacing w:val="-4"/>
        </w:rPr>
        <w:t> </w:t>
      </w:r>
      <w:r>
        <w:rPr/>
        <w:t>advantage.</w:t>
      </w:r>
      <w:r>
        <w:rPr>
          <w:spacing w:val="40"/>
        </w:rPr>
        <w:t> </w:t>
      </w:r>
      <w:r>
        <w:rPr/>
        <w:t>Competitive</w:t>
      </w:r>
      <w:r>
        <w:rPr>
          <w:spacing w:val="-4"/>
        </w:rPr>
        <w:t> </w:t>
      </w:r>
      <w:r>
        <w:rPr/>
        <w:t>advantage</w:t>
      </w:r>
      <w:r>
        <w:rPr>
          <w:spacing w:val="-4"/>
        </w:rPr>
        <w:t> </w:t>
      </w:r>
      <w:r>
        <w:rPr/>
        <w:t>is</w:t>
      </w:r>
      <w:r>
        <w:rPr>
          <w:spacing w:val="-3"/>
        </w:rPr>
        <w:t> </w:t>
      </w:r>
      <w:r>
        <w:rPr/>
        <w:t>important</w:t>
      </w:r>
      <w:r>
        <w:rPr>
          <w:spacing w:val="-3"/>
        </w:rPr>
        <w:t> </w:t>
      </w:r>
      <w:r>
        <w:rPr/>
        <w:t>for businesses. Not all businesses have competitive advantage; however, they have to find ways to have it. The competitive advantage is a concept of special importance.</w:t>
      </w:r>
    </w:p>
    <w:p>
      <w:pPr>
        <w:pStyle w:val="BodyText"/>
        <w:spacing w:line="480" w:lineRule="auto" w:before="120"/>
        <w:ind w:left="399" w:right="1314"/>
        <w:jc w:val="both"/>
      </w:pPr>
      <w:r>
        <w:rPr/>
        <w:t>Key success determinants for SMEs are important determinants of competitive advantages. Therefore, studying which variables determines performance and how success is attained is as relevant as studying managerial role in success. If success is understood as achieving a sustainable competitive advantage that in turn is founded on customer satisfaction and financial performance (Doyle and Woong, 1997, cited by Leonora, 2002), then attaining success will be a goal of any firm regardless of location, size or gender of founder. Even though small firms</w:t>
      </w:r>
      <w:r>
        <w:rPr>
          <w:spacing w:val="40"/>
        </w:rPr>
        <w:t> </w:t>
      </w:r>
      <w:r>
        <w:rPr/>
        <w:t>appear to be a vital part of the economy, the propect for any individual firm is uncertain. Many small firms die during their first years of operation, or struggle to survive. The number of small firms that achieve large economic returns for their owners and grow substantially is limited. Further studies by Gadenne (1998) cited by Leonora (2002) suggested that the success of a firm is due to the way it utilizes its internal resources and not due only to the strategy it chooses, the environment in which it operates and to the combination of resources it makes, but also to the environment in which it operates and to the combination of resources it makes, but also to the entrepreneur and managerial characteristics.</w:t>
      </w:r>
    </w:p>
    <w:p>
      <w:pPr>
        <w:pStyle w:val="BodyText"/>
        <w:spacing w:line="480" w:lineRule="auto" w:before="121"/>
        <w:ind w:left="400" w:right="1319"/>
        <w:jc w:val="both"/>
      </w:pPr>
      <w:r>
        <w:rPr/>
        <w:t>Improving</w:t>
      </w:r>
      <w:r>
        <w:rPr>
          <w:spacing w:val="-1"/>
        </w:rPr>
        <w:t> </w:t>
      </w:r>
      <w:r>
        <w:rPr/>
        <w:t>SMCF competitiveness requires policies that act on the economic, political and social institutions</w:t>
      </w:r>
      <w:r>
        <w:rPr>
          <w:spacing w:val="22"/>
        </w:rPr>
        <w:t> </w:t>
      </w:r>
      <w:r>
        <w:rPr/>
        <w:t>within</w:t>
      </w:r>
      <w:r>
        <w:rPr>
          <w:spacing w:val="23"/>
        </w:rPr>
        <w:t> </w:t>
      </w:r>
      <w:r>
        <w:rPr/>
        <w:t>the</w:t>
      </w:r>
      <w:r>
        <w:rPr>
          <w:spacing w:val="22"/>
        </w:rPr>
        <w:t> </w:t>
      </w:r>
      <w:r>
        <w:rPr/>
        <w:t>country,</w:t>
      </w:r>
      <w:r>
        <w:rPr>
          <w:spacing w:val="23"/>
        </w:rPr>
        <w:t> </w:t>
      </w:r>
      <w:r>
        <w:rPr/>
        <w:t>on</w:t>
      </w:r>
      <w:r>
        <w:rPr>
          <w:spacing w:val="23"/>
        </w:rPr>
        <w:t> </w:t>
      </w:r>
      <w:r>
        <w:rPr/>
        <w:t>the</w:t>
      </w:r>
      <w:r>
        <w:rPr>
          <w:spacing w:val="24"/>
        </w:rPr>
        <w:t> </w:t>
      </w:r>
      <w:r>
        <w:rPr/>
        <w:t>resulting</w:t>
      </w:r>
      <w:r>
        <w:rPr>
          <w:spacing w:val="23"/>
        </w:rPr>
        <w:t> </w:t>
      </w:r>
      <w:r>
        <w:rPr/>
        <w:t>markets</w:t>
      </w:r>
      <w:r>
        <w:rPr>
          <w:spacing w:val="23"/>
        </w:rPr>
        <w:t> </w:t>
      </w:r>
      <w:r>
        <w:rPr/>
        <w:t>and</w:t>
      </w:r>
      <w:r>
        <w:rPr>
          <w:spacing w:val="23"/>
        </w:rPr>
        <w:t> </w:t>
      </w:r>
      <w:r>
        <w:rPr/>
        <w:t>on</w:t>
      </w:r>
      <w:r>
        <w:rPr>
          <w:spacing w:val="23"/>
        </w:rPr>
        <w:t> </w:t>
      </w:r>
      <w:r>
        <w:rPr/>
        <w:t>the</w:t>
      </w:r>
      <w:r>
        <w:rPr>
          <w:spacing w:val="24"/>
        </w:rPr>
        <w:t> </w:t>
      </w:r>
      <w:r>
        <w:rPr/>
        <w:t>organizations</w:t>
      </w:r>
      <w:r>
        <w:rPr>
          <w:spacing w:val="23"/>
        </w:rPr>
        <w:t> </w:t>
      </w:r>
      <w:r>
        <w:rPr/>
        <w:t>that</w:t>
      </w:r>
      <w:r>
        <w:rPr>
          <w:spacing w:val="23"/>
        </w:rPr>
        <w:t> </w:t>
      </w:r>
      <w:r>
        <w:rPr>
          <w:spacing w:val="-2"/>
        </w:rPr>
        <w:t>regulate,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stabilize and legitimize these markets. As such, an SMCF development strategy has to bring to the forefront the challenges that they face due to size effects and address the deficiencies in institutional and organizational structures, with a view to enhance its competitiveness. First, taking a bird’s-eye-view of how the macroeconomic policies and the microeconomic environment (the business environment) affect an SME, the prime decision-maker to invest in growth and competitive advantage is justified.</w:t>
      </w:r>
    </w:p>
    <w:p>
      <w:pPr>
        <w:pStyle w:val="BodyText"/>
        <w:spacing w:line="480" w:lineRule="auto" w:before="120"/>
        <w:ind w:left="400" w:right="1318"/>
        <w:jc w:val="both"/>
      </w:pPr>
      <w:r>
        <w:rPr/>
        <w:t>A</w:t>
      </w:r>
      <w:r>
        <w:rPr>
          <w:spacing w:val="-3"/>
        </w:rPr>
        <w:t> </w:t>
      </w:r>
      <w:r>
        <w:rPr/>
        <w:t>study</w:t>
      </w:r>
      <w:r>
        <w:rPr>
          <w:spacing w:val="-7"/>
        </w:rPr>
        <w:t> </w:t>
      </w:r>
      <w:r>
        <w:rPr/>
        <w:t>of</w:t>
      </w:r>
      <w:r>
        <w:rPr>
          <w:spacing w:val="-3"/>
        </w:rPr>
        <w:t> </w:t>
      </w:r>
      <w:r>
        <w:rPr/>
        <w:t>the</w:t>
      </w:r>
      <w:r>
        <w:rPr>
          <w:spacing w:val="-3"/>
        </w:rPr>
        <w:t> </w:t>
      </w:r>
      <w:r>
        <w:rPr/>
        <w:t>SMEs</w:t>
      </w:r>
      <w:r>
        <w:rPr>
          <w:spacing w:val="-2"/>
        </w:rPr>
        <w:t> </w:t>
      </w:r>
      <w:r>
        <w:rPr/>
        <w:t>in</w:t>
      </w:r>
      <w:r>
        <w:rPr>
          <w:spacing w:val="-2"/>
        </w:rPr>
        <w:t> </w:t>
      </w:r>
      <w:r>
        <w:rPr/>
        <w:t>the</w:t>
      </w:r>
      <w:r>
        <w:rPr>
          <w:spacing w:val="-3"/>
        </w:rPr>
        <w:t> </w:t>
      </w:r>
      <w:r>
        <w:rPr/>
        <w:t>Netherlands adopted</w:t>
      </w:r>
      <w:r>
        <w:rPr>
          <w:spacing w:val="-2"/>
        </w:rPr>
        <w:t> </w:t>
      </w:r>
      <w:r>
        <w:rPr/>
        <w:t>a</w:t>
      </w:r>
      <w:r>
        <w:rPr>
          <w:spacing w:val="-1"/>
        </w:rPr>
        <w:t> </w:t>
      </w:r>
      <w:r>
        <w:rPr/>
        <w:t>resource-based approach to</w:t>
      </w:r>
      <w:r>
        <w:rPr>
          <w:spacing w:val="-2"/>
        </w:rPr>
        <w:t> </w:t>
      </w:r>
      <w:r>
        <w:rPr/>
        <w:t>identify</w:t>
      </w:r>
      <w:r>
        <w:rPr>
          <w:spacing w:val="-7"/>
        </w:rPr>
        <w:t> </w:t>
      </w:r>
      <w:r>
        <w:rPr/>
        <w:t>the</w:t>
      </w:r>
      <w:r>
        <w:rPr>
          <w:spacing w:val="-3"/>
        </w:rPr>
        <w:t> </w:t>
      </w:r>
      <w:r>
        <w:rPr/>
        <w:t>source of competitive advantage in a sample of 63 firms representing manufacturing and service sectors (Tilley</w:t>
      </w:r>
      <w:r>
        <w:rPr>
          <w:spacing w:val="-4"/>
        </w:rPr>
        <w:t> </w:t>
      </w:r>
      <w:r>
        <w:rPr/>
        <w:t>and Tonge</w:t>
      </w:r>
      <w:r>
        <w:rPr>
          <w:spacing w:val="-1"/>
        </w:rPr>
        <w:t> </w:t>
      </w:r>
      <w:r>
        <w:rPr/>
        <w:t>2003). According</w:t>
      </w:r>
      <w:r>
        <w:rPr>
          <w:spacing w:val="-2"/>
        </w:rPr>
        <w:t> </w:t>
      </w:r>
      <w:r>
        <w:rPr/>
        <w:t>to this study, “front runners”</w:t>
      </w:r>
      <w:r>
        <w:rPr>
          <w:spacing w:val="-1"/>
        </w:rPr>
        <w:t> </w:t>
      </w:r>
      <w:r>
        <w:rPr/>
        <w:t>were</w:t>
      </w:r>
      <w:r>
        <w:rPr>
          <w:spacing w:val="-1"/>
        </w:rPr>
        <w:t> </w:t>
      </w:r>
      <w:r>
        <w:rPr/>
        <w:t>distinguished from “back members” by the way in which they combined three sets of competencies: market, technological and organizational. Wickham (2001) also apply the resource-based theory in their analysis of competitive advantage in entrepreneurial firms.</w:t>
      </w:r>
    </w:p>
    <w:p>
      <w:pPr>
        <w:pStyle w:val="BodyText"/>
        <w:spacing w:before="96"/>
      </w:pPr>
    </w:p>
    <w:p>
      <w:pPr>
        <w:pStyle w:val="Heading2"/>
        <w:numPr>
          <w:ilvl w:val="2"/>
          <w:numId w:val="18"/>
        </w:numPr>
        <w:tabs>
          <w:tab w:pos="1120" w:val="left" w:leader="none"/>
        </w:tabs>
        <w:spacing w:line="240" w:lineRule="auto" w:before="0" w:after="0"/>
        <w:ind w:left="1120" w:right="0" w:hanging="720"/>
        <w:jc w:val="both"/>
      </w:pPr>
      <w:r>
        <w:rPr/>
        <w:t>Small</w:t>
      </w:r>
      <w:r>
        <w:rPr>
          <w:spacing w:val="-2"/>
        </w:rPr>
        <w:t> </w:t>
      </w:r>
      <w:r>
        <w:rPr/>
        <w:t>and</w:t>
      </w:r>
      <w:r>
        <w:rPr>
          <w:spacing w:val="-2"/>
        </w:rPr>
        <w:t> </w:t>
      </w:r>
      <w:r>
        <w:rPr/>
        <w:t>medium</w:t>
      </w:r>
      <w:r>
        <w:rPr>
          <w:spacing w:val="-5"/>
        </w:rPr>
        <w:t> </w:t>
      </w:r>
      <w:r>
        <w:rPr/>
        <w:t>scale</w:t>
      </w:r>
      <w:r>
        <w:rPr>
          <w:spacing w:val="-3"/>
        </w:rPr>
        <w:t> </w:t>
      </w:r>
      <w:r>
        <w:rPr/>
        <w:t>construction</w:t>
      </w:r>
      <w:r>
        <w:rPr>
          <w:spacing w:val="-2"/>
        </w:rPr>
        <w:t> </w:t>
      </w:r>
      <w:r>
        <w:rPr/>
        <w:t>firms</w:t>
      </w:r>
      <w:r>
        <w:rPr>
          <w:spacing w:val="-1"/>
        </w:rPr>
        <w:t> </w:t>
      </w:r>
      <w:r>
        <w:rPr/>
        <w:t>and</w:t>
      </w:r>
      <w:r>
        <w:rPr>
          <w:spacing w:val="-2"/>
        </w:rPr>
        <w:t> </w:t>
      </w:r>
      <w:r>
        <w:rPr/>
        <w:t>total</w:t>
      </w:r>
      <w:r>
        <w:rPr>
          <w:spacing w:val="-2"/>
        </w:rPr>
        <w:t> </w:t>
      </w:r>
      <w:r>
        <w:rPr/>
        <w:t>quality</w:t>
      </w:r>
      <w:r>
        <w:rPr>
          <w:spacing w:val="-1"/>
        </w:rPr>
        <w:t> </w:t>
      </w:r>
      <w:r>
        <w:rPr>
          <w:spacing w:val="-2"/>
        </w:rPr>
        <w:t>management</w:t>
      </w:r>
    </w:p>
    <w:p>
      <w:pPr>
        <w:pStyle w:val="BodyText"/>
        <w:spacing w:line="480" w:lineRule="auto" w:before="271"/>
        <w:ind w:left="400" w:right="1313"/>
        <w:jc w:val="both"/>
      </w:pPr>
      <w:r>
        <w:rPr/>
        <w:t>According to Lee (2004), small companies may be very different from large ones in many</w:t>
      </w:r>
      <w:r>
        <w:rPr>
          <w:spacing w:val="40"/>
        </w:rPr>
        <w:t> </w:t>
      </w:r>
      <w:r>
        <w:rPr/>
        <w:t>aspects such as management style, production processes, available resources, negotiation power and customer relations. As a result hereof, the adoption of TQM may</w:t>
      </w:r>
      <w:r>
        <w:rPr>
          <w:spacing w:val="-3"/>
        </w:rPr>
        <w:t> </w:t>
      </w:r>
      <w:r>
        <w:rPr/>
        <w:t>be perceived differently</w:t>
      </w:r>
      <w:r>
        <w:rPr>
          <w:spacing w:val="-1"/>
        </w:rPr>
        <w:t> </w:t>
      </w:r>
      <w:r>
        <w:rPr/>
        <w:t>by SMEs. Gobell and Shea (1995) examined the reasons for adopting TQM in ten small companies. They found that the reasons among others comprised an aspiration to improve company performance, as management believed that TQM was an avenue for survival in competitive environments. Promotion of growth, including the use of TQM as a marketing tool, was furthermore put forward as a reason for implementing TQM. Likewise, a desire to change customer expectations, with reference to the close client relationship prevailing in small companies, was argued to constitute an important factor.</w:t>
      </w:r>
    </w:p>
    <w:p>
      <w:pPr>
        <w:spacing w:after="0" w:line="480" w:lineRule="auto"/>
        <w:jc w:val="both"/>
        <w:sectPr>
          <w:pgSz w:w="12240" w:h="15840"/>
          <w:pgMar w:header="0" w:footer="1017" w:top="1360" w:bottom="1200" w:left="1040" w:right="120"/>
        </w:sectPr>
      </w:pPr>
    </w:p>
    <w:p>
      <w:pPr>
        <w:pStyle w:val="BodyText"/>
        <w:spacing w:line="480" w:lineRule="auto" w:before="72"/>
        <w:ind w:left="399" w:right="1316"/>
        <w:jc w:val="both"/>
      </w:pPr>
      <w:r>
        <w:rPr/>
        <w:t>It is important for SME’s to remain competitive as they are considered the lifeblood of a modern economy (Ghobadian and Gallear 1996). Furthermore, SME’s do not only contribute to outputs and employment, they also affect the competitive power of large organisations (Mendes, 2002). TQM is considered as a way for SME’s to improve the quality of their products and services (Quazi and Padibjo, 1998).</w:t>
      </w:r>
    </w:p>
    <w:p>
      <w:pPr>
        <w:pStyle w:val="BodyText"/>
      </w:pPr>
    </w:p>
    <w:p>
      <w:pPr>
        <w:pStyle w:val="BodyText"/>
        <w:spacing w:line="480" w:lineRule="auto"/>
        <w:ind w:left="400" w:right="1317"/>
        <w:jc w:val="both"/>
      </w:pPr>
      <w:r>
        <w:rPr/>
        <w:t>The continuously growing competition on the market place has forced many SME’s to start focusing on quality improvements and cost reduction in order to stay competitive (Wiklund, 1999).</w:t>
      </w:r>
      <w:r>
        <w:rPr>
          <w:spacing w:val="-1"/>
        </w:rPr>
        <w:t> </w:t>
      </w:r>
      <w:r>
        <w:rPr/>
        <w:t>According</w:t>
      </w:r>
      <w:r>
        <w:rPr>
          <w:spacing w:val="-3"/>
        </w:rPr>
        <w:t> </w:t>
      </w:r>
      <w:r>
        <w:rPr/>
        <w:t>to</w:t>
      </w:r>
      <w:r>
        <w:rPr>
          <w:spacing w:val="-1"/>
        </w:rPr>
        <w:t> </w:t>
      </w:r>
      <w:r>
        <w:rPr/>
        <w:t>Hughes</w:t>
      </w:r>
      <w:r>
        <w:rPr>
          <w:spacing w:val="-1"/>
        </w:rPr>
        <w:t> </w:t>
      </w:r>
      <w:r>
        <w:rPr/>
        <w:t>(2006),</w:t>
      </w:r>
      <w:r>
        <w:rPr>
          <w:spacing w:val="-1"/>
        </w:rPr>
        <w:t> </w:t>
      </w:r>
      <w:r>
        <w:rPr/>
        <w:t>there</w:t>
      </w:r>
      <w:r>
        <w:rPr>
          <w:spacing w:val="-2"/>
        </w:rPr>
        <w:t> </w:t>
      </w:r>
      <w:r>
        <w:rPr/>
        <w:t>is</w:t>
      </w:r>
      <w:r>
        <w:rPr>
          <w:spacing w:val="-1"/>
        </w:rPr>
        <w:t> </w:t>
      </w:r>
      <w:r>
        <w:rPr/>
        <w:t>potential</w:t>
      </w:r>
      <w:r>
        <w:rPr>
          <w:spacing w:val="-1"/>
        </w:rPr>
        <w:t> </w:t>
      </w:r>
      <w:r>
        <w:rPr/>
        <w:t>to</w:t>
      </w:r>
      <w:r>
        <w:rPr>
          <w:spacing w:val="-1"/>
        </w:rPr>
        <w:t> </w:t>
      </w:r>
      <w:r>
        <w:rPr/>
        <w:t>improve</w:t>
      </w:r>
      <w:r>
        <w:rPr>
          <w:spacing w:val="-2"/>
        </w:rPr>
        <w:t> </w:t>
      </w:r>
      <w:r>
        <w:rPr/>
        <w:t>the</w:t>
      </w:r>
      <w:r>
        <w:rPr>
          <w:spacing w:val="-2"/>
        </w:rPr>
        <w:t> </w:t>
      </w:r>
      <w:r>
        <w:rPr/>
        <w:t>competitive</w:t>
      </w:r>
      <w:r>
        <w:rPr>
          <w:spacing w:val="-2"/>
        </w:rPr>
        <w:t> </w:t>
      </w:r>
      <w:r>
        <w:rPr/>
        <w:t>performance</w:t>
      </w:r>
      <w:r>
        <w:rPr>
          <w:spacing w:val="-2"/>
        </w:rPr>
        <w:t> </w:t>
      </w:r>
      <w:r>
        <w:rPr/>
        <w:t>of small to medium sized companies (SMEs). In addition, TQM has been widely applied for improving</w:t>
      </w:r>
      <w:r>
        <w:rPr>
          <w:spacing w:val="-3"/>
        </w:rPr>
        <w:t> </w:t>
      </w:r>
      <w:r>
        <w:rPr/>
        <w:t>competitiveness</w:t>
      </w:r>
      <w:r>
        <w:rPr>
          <w:spacing w:val="-1"/>
        </w:rPr>
        <w:t> </w:t>
      </w:r>
      <w:r>
        <w:rPr/>
        <w:t>around</w:t>
      </w:r>
      <w:r>
        <w:rPr>
          <w:spacing w:val="-1"/>
        </w:rPr>
        <w:t> </w:t>
      </w:r>
      <w:r>
        <w:rPr/>
        <w:t>the</w:t>
      </w:r>
      <w:r>
        <w:rPr>
          <w:spacing w:val="-2"/>
        </w:rPr>
        <w:t> </w:t>
      </w:r>
      <w:r>
        <w:rPr/>
        <w:t>world</w:t>
      </w:r>
      <w:r>
        <w:rPr>
          <w:spacing w:val="-1"/>
        </w:rPr>
        <w:t> </w:t>
      </w:r>
      <w:r>
        <w:rPr/>
        <w:t>(Samson</w:t>
      </w:r>
      <w:r>
        <w:rPr>
          <w:spacing w:val="-1"/>
        </w:rPr>
        <w:t> </w:t>
      </w:r>
      <w:r>
        <w:rPr/>
        <w:t>and</w:t>
      </w:r>
      <w:r>
        <w:rPr>
          <w:spacing w:val="-1"/>
        </w:rPr>
        <w:t> </w:t>
      </w:r>
      <w:r>
        <w:rPr/>
        <w:t>Terziovski).</w:t>
      </w:r>
      <w:r>
        <w:rPr>
          <w:spacing w:val="-1"/>
        </w:rPr>
        <w:t> </w:t>
      </w:r>
      <w:r>
        <w:rPr/>
        <w:t>Although</w:t>
      </w:r>
      <w:r>
        <w:rPr>
          <w:spacing w:val="-1"/>
        </w:rPr>
        <w:t> </w:t>
      </w:r>
      <w:r>
        <w:rPr/>
        <w:t>the</w:t>
      </w:r>
      <w:r>
        <w:rPr>
          <w:spacing w:val="-2"/>
        </w:rPr>
        <w:t> </w:t>
      </w:r>
      <w:r>
        <w:rPr/>
        <w:t>interest</w:t>
      </w:r>
      <w:r>
        <w:rPr>
          <w:spacing w:val="-1"/>
        </w:rPr>
        <w:t> </w:t>
      </w:r>
      <w:r>
        <w:rPr/>
        <w:t>and the use to implement TQM continue to be high among large organisations, small organisations are</w:t>
      </w:r>
      <w:r>
        <w:rPr>
          <w:spacing w:val="-2"/>
        </w:rPr>
        <w:t> </w:t>
      </w:r>
      <w:r>
        <w:rPr/>
        <w:t>still</w:t>
      </w:r>
      <w:r>
        <w:rPr>
          <w:spacing w:val="-1"/>
        </w:rPr>
        <w:t> </w:t>
      </w:r>
      <w:r>
        <w:rPr/>
        <w:t>lacking</w:t>
      </w:r>
      <w:r>
        <w:rPr>
          <w:spacing w:val="-3"/>
        </w:rPr>
        <w:t> </w:t>
      </w:r>
      <w:r>
        <w:rPr/>
        <w:t>behind</w:t>
      </w:r>
      <w:r>
        <w:rPr>
          <w:spacing w:val="-1"/>
        </w:rPr>
        <w:t> </w:t>
      </w:r>
      <w:r>
        <w:rPr/>
        <w:t>in TQM</w:t>
      </w:r>
      <w:r>
        <w:rPr>
          <w:spacing w:val="-1"/>
        </w:rPr>
        <w:t> </w:t>
      </w:r>
      <w:r>
        <w:rPr/>
        <w:t>implementation</w:t>
      </w:r>
      <w:r>
        <w:rPr>
          <w:spacing w:val="-1"/>
        </w:rPr>
        <w:t> </w:t>
      </w:r>
      <w:r>
        <w:rPr/>
        <w:t>(Hansson,</w:t>
      </w:r>
      <w:r>
        <w:rPr>
          <w:spacing w:val="-1"/>
        </w:rPr>
        <w:t> </w:t>
      </w:r>
      <w:r>
        <w:rPr/>
        <w:t>2002).</w:t>
      </w:r>
      <w:r>
        <w:rPr>
          <w:spacing w:val="-1"/>
        </w:rPr>
        <w:t> </w:t>
      </w:r>
      <w:r>
        <w:rPr/>
        <w:t>Research</w:t>
      </w:r>
      <w:r>
        <w:rPr>
          <w:spacing w:val="-1"/>
        </w:rPr>
        <w:t> </w:t>
      </w:r>
      <w:r>
        <w:rPr/>
        <w:t>has</w:t>
      </w:r>
      <w:r>
        <w:rPr>
          <w:spacing w:val="-1"/>
        </w:rPr>
        <w:t> </w:t>
      </w:r>
      <w:r>
        <w:rPr/>
        <w:t>shown</w:t>
      </w:r>
      <w:r>
        <w:rPr>
          <w:spacing w:val="-1"/>
        </w:rPr>
        <w:t> </w:t>
      </w:r>
      <w:r>
        <w:rPr/>
        <w:t>that</w:t>
      </w:r>
      <w:r>
        <w:rPr>
          <w:spacing w:val="-1"/>
        </w:rPr>
        <w:t> </w:t>
      </w:r>
      <w:r>
        <w:rPr/>
        <w:t>TQM can be used by</w:t>
      </w:r>
      <w:r>
        <w:rPr>
          <w:spacing w:val="-1"/>
        </w:rPr>
        <w:t> </w:t>
      </w:r>
      <w:r>
        <w:rPr/>
        <w:t>SME’s with considerable success (Ghobadian &amp; Gallear, 1996 cited by</w:t>
      </w:r>
      <w:r>
        <w:rPr>
          <w:spacing w:val="-1"/>
        </w:rPr>
        <w:t> </w:t>
      </w:r>
      <w:r>
        <w:rPr/>
        <w:t>Zelealem and Getchew, 2002). An introduction of TQM to SME’s can help to sharpen SME market focus, to become more efficient, to harness their human resources better, and to improve their competitiveness (Ahirea and Gohlar, 1996 cited by Zealealem and Getachew 2002).</w:t>
      </w:r>
    </w:p>
    <w:p>
      <w:pPr>
        <w:pStyle w:val="BodyText"/>
        <w:spacing w:before="46"/>
      </w:pPr>
    </w:p>
    <w:p>
      <w:pPr>
        <w:pStyle w:val="BodyText"/>
        <w:spacing w:line="480" w:lineRule="auto"/>
        <w:ind w:left="400" w:right="1316"/>
        <w:jc w:val="both"/>
      </w:pPr>
      <w:r>
        <w:rPr/>
        <w:t>According</w:t>
      </w:r>
      <w:r>
        <w:rPr>
          <w:spacing w:val="-2"/>
        </w:rPr>
        <w:t> </w:t>
      </w:r>
      <w:r>
        <w:rPr/>
        <w:t>to Tannock </w:t>
      </w:r>
      <w:r>
        <w:rPr>
          <w:i/>
        </w:rPr>
        <w:t>et al. </w:t>
      </w:r>
      <w:r>
        <w:rPr/>
        <w:t>(2002), the importance, of quality</w:t>
      </w:r>
      <w:r>
        <w:rPr>
          <w:spacing w:val="-2"/>
        </w:rPr>
        <w:t> </w:t>
      </w:r>
      <w:r>
        <w:rPr/>
        <w:t>and the</w:t>
      </w:r>
      <w:r>
        <w:rPr>
          <w:spacing w:val="-1"/>
        </w:rPr>
        <w:t> </w:t>
      </w:r>
      <w:r>
        <w:rPr/>
        <w:t>adoption of</w:t>
      </w:r>
      <w:r>
        <w:rPr>
          <w:spacing w:val="-1"/>
        </w:rPr>
        <w:t> </w:t>
      </w:r>
      <w:r>
        <w:rPr/>
        <w:t>TQM in SME is</w:t>
      </w:r>
      <w:r>
        <w:rPr>
          <w:spacing w:val="-2"/>
        </w:rPr>
        <w:t> </w:t>
      </w:r>
      <w:r>
        <w:rPr/>
        <w:t>not</w:t>
      </w:r>
      <w:r>
        <w:rPr>
          <w:spacing w:val="-2"/>
        </w:rPr>
        <w:t> </w:t>
      </w:r>
      <w:r>
        <w:rPr/>
        <w:t>restricted to</w:t>
      </w:r>
      <w:r>
        <w:rPr>
          <w:spacing w:val="-2"/>
        </w:rPr>
        <w:t> </w:t>
      </w:r>
      <w:r>
        <w:rPr/>
        <w:t>their</w:t>
      </w:r>
      <w:r>
        <w:rPr>
          <w:spacing w:val="-1"/>
        </w:rPr>
        <w:t> </w:t>
      </w:r>
      <w:r>
        <w:rPr/>
        <w:t>relationship</w:t>
      </w:r>
      <w:r>
        <w:rPr>
          <w:spacing w:val="-2"/>
        </w:rPr>
        <w:t> </w:t>
      </w:r>
      <w:r>
        <w:rPr/>
        <w:t>with</w:t>
      </w:r>
      <w:r>
        <w:rPr>
          <w:spacing w:val="-2"/>
        </w:rPr>
        <w:t> </w:t>
      </w:r>
      <w:r>
        <w:rPr/>
        <w:t>larger</w:t>
      </w:r>
      <w:r>
        <w:rPr>
          <w:spacing w:val="-1"/>
        </w:rPr>
        <w:t> </w:t>
      </w:r>
      <w:r>
        <w:rPr/>
        <w:t>customer.</w:t>
      </w:r>
      <w:r>
        <w:rPr>
          <w:spacing w:val="-2"/>
        </w:rPr>
        <w:t> </w:t>
      </w:r>
      <w:r>
        <w:rPr/>
        <w:t>Furthermore,</w:t>
      </w:r>
      <w:r>
        <w:rPr>
          <w:spacing w:val="-2"/>
        </w:rPr>
        <w:t> </w:t>
      </w:r>
      <w:r>
        <w:rPr/>
        <w:t>the adoption</w:t>
      </w:r>
      <w:r>
        <w:rPr>
          <w:spacing w:val="-2"/>
        </w:rPr>
        <w:t> </w:t>
      </w:r>
      <w:r>
        <w:rPr/>
        <w:t>of</w:t>
      </w:r>
      <w:r>
        <w:rPr>
          <w:spacing w:val="-3"/>
        </w:rPr>
        <w:t> </w:t>
      </w:r>
      <w:r>
        <w:rPr/>
        <w:t>TQM</w:t>
      </w:r>
      <w:r>
        <w:rPr>
          <w:spacing w:val="-2"/>
        </w:rPr>
        <w:t> </w:t>
      </w:r>
      <w:r>
        <w:rPr/>
        <w:t>can help SME’s to manage the transfer from incubation stage to maturity stage effectively, because the implementation of TQM creates as much stronger focus on customer needs and expectations. Furthermore, TQM creates effective and efficient business processes and the execution of skills to deliver low cost high quality products and services (Tannock </w:t>
      </w:r>
      <w:r>
        <w:rPr>
          <w:i/>
        </w:rPr>
        <w:t>et al., </w:t>
      </w:r>
      <w:r>
        <w:rPr/>
        <w:t>2002).</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According to Hansson (2002), small business enterprises intending to implement TQM, need an approach better tailored for the small organisation context, and focused on changing process.</w:t>
      </w:r>
      <w:r>
        <w:rPr>
          <w:spacing w:val="40"/>
        </w:rPr>
        <w:t> </w:t>
      </w:r>
      <w:r>
        <w:rPr/>
        <w:t>One could expect that smaller organisations should experience less resistance to change, and would require less expenditure to implement and maintain TQM (Weish and White, 1981 and Haksever, 1996 cited by Hansson, 2002).</w:t>
      </w:r>
    </w:p>
    <w:p>
      <w:pPr>
        <w:pStyle w:val="BodyText"/>
      </w:pPr>
    </w:p>
    <w:p>
      <w:pPr>
        <w:pStyle w:val="BodyText"/>
        <w:spacing w:line="480" w:lineRule="auto"/>
        <w:ind w:left="400" w:right="1317"/>
        <w:jc w:val="both"/>
      </w:pPr>
      <w:r>
        <w:rPr/>
        <w:t>According to Yusof and Aspinwall (2000) cited by Zelealem and Getachew (2002), when SME</w:t>
      </w:r>
      <w:r>
        <w:rPr>
          <w:spacing w:val="40"/>
        </w:rPr>
        <w:t> </w:t>
      </w:r>
      <w:r>
        <w:rPr/>
        <w:t>is implementing TQM, SME’s should not imitate the same approach as a large organisation.</w:t>
      </w:r>
      <w:r>
        <w:rPr>
          <w:spacing w:val="40"/>
        </w:rPr>
        <w:t> </w:t>
      </w:r>
      <w:r>
        <w:rPr/>
        <w:t>They need to modify, adapt, or revise the approach in terms of SME needs and characteristics. The characteristics to be considered as the guide in developing a framework for TQM implementation are listed as below:</w:t>
      </w:r>
    </w:p>
    <w:p>
      <w:pPr>
        <w:pStyle w:val="ListParagraph"/>
        <w:numPr>
          <w:ilvl w:val="0"/>
          <w:numId w:val="28"/>
        </w:numPr>
        <w:tabs>
          <w:tab w:pos="1118" w:val="left" w:leader="none"/>
        </w:tabs>
        <w:spacing w:line="240" w:lineRule="auto" w:before="0" w:after="0"/>
        <w:ind w:left="1118" w:right="0" w:hanging="486"/>
        <w:jc w:val="both"/>
        <w:rPr>
          <w:sz w:val="24"/>
        </w:rPr>
      </w:pPr>
      <w:r>
        <w:rPr>
          <w:sz w:val="24"/>
        </w:rPr>
        <w:t>Systematic</w:t>
      </w:r>
      <w:r>
        <w:rPr>
          <w:spacing w:val="-2"/>
          <w:sz w:val="24"/>
        </w:rPr>
        <w:t> </w:t>
      </w:r>
      <w:r>
        <w:rPr>
          <w:sz w:val="24"/>
        </w:rPr>
        <w:t>and</w:t>
      </w:r>
      <w:r>
        <w:rPr>
          <w:spacing w:val="1"/>
          <w:sz w:val="24"/>
        </w:rPr>
        <w:t> </w:t>
      </w:r>
      <w:r>
        <w:rPr>
          <w:sz w:val="24"/>
        </w:rPr>
        <w:t>easily</w:t>
      </w:r>
      <w:r>
        <w:rPr>
          <w:spacing w:val="-5"/>
          <w:sz w:val="24"/>
        </w:rPr>
        <w:t> </w:t>
      </w:r>
      <w:r>
        <w:rPr>
          <w:spacing w:val="-2"/>
          <w:sz w:val="24"/>
        </w:rPr>
        <w:t>understood;</w:t>
      </w:r>
    </w:p>
    <w:p>
      <w:pPr>
        <w:pStyle w:val="BodyText"/>
      </w:pPr>
    </w:p>
    <w:p>
      <w:pPr>
        <w:pStyle w:val="ListParagraph"/>
        <w:numPr>
          <w:ilvl w:val="0"/>
          <w:numId w:val="28"/>
        </w:numPr>
        <w:tabs>
          <w:tab w:pos="1118" w:val="left" w:leader="none"/>
        </w:tabs>
        <w:spacing w:line="240" w:lineRule="auto" w:before="0" w:after="0"/>
        <w:ind w:left="1118" w:right="0" w:hanging="553"/>
        <w:jc w:val="both"/>
        <w:rPr>
          <w:sz w:val="24"/>
        </w:rPr>
      </w:pPr>
      <w:r>
        <w:rPr>
          <w:sz w:val="24"/>
        </w:rPr>
        <w:t>Simple</w:t>
      </w:r>
      <w:r>
        <w:rPr>
          <w:spacing w:val="-1"/>
          <w:sz w:val="24"/>
        </w:rPr>
        <w:t> </w:t>
      </w:r>
      <w:r>
        <w:rPr>
          <w:sz w:val="24"/>
        </w:rPr>
        <w:t>in </w:t>
      </w:r>
      <w:r>
        <w:rPr>
          <w:spacing w:val="-2"/>
          <w:sz w:val="24"/>
        </w:rPr>
        <w:t>structure;</w:t>
      </w:r>
    </w:p>
    <w:p>
      <w:pPr>
        <w:pStyle w:val="BodyText"/>
      </w:pPr>
    </w:p>
    <w:p>
      <w:pPr>
        <w:pStyle w:val="ListParagraph"/>
        <w:numPr>
          <w:ilvl w:val="0"/>
          <w:numId w:val="28"/>
        </w:numPr>
        <w:tabs>
          <w:tab w:pos="1119" w:val="left" w:leader="none"/>
        </w:tabs>
        <w:spacing w:line="240" w:lineRule="auto" w:before="0" w:after="0"/>
        <w:ind w:left="1119" w:right="0" w:hanging="619"/>
        <w:jc w:val="left"/>
        <w:rPr>
          <w:sz w:val="24"/>
        </w:rPr>
      </w:pPr>
      <w:r>
        <w:rPr>
          <w:sz w:val="24"/>
        </w:rPr>
        <w:t>Having</w:t>
      </w:r>
      <w:r>
        <w:rPr>
          <w:spacing w:val="-4"/>
          <w:sz w:val="24"/>
        </w:rPr>
        <w:t> </w:t>
      </w:r>
      <w:r>
        <w:rPr>
          <w:sz w:val="24"/>
        </w:rPr>
        <w:t>clear</w:t>
      </w:r>
      <w:r>
        <w:rPr>
          <w:spacing w:val="-2"/>
          <w:sz w:val="24"/>
        </w:rPr>
        <w:t> </w:t>
      </w:r>
      <w:r>
        <w:rPr>
          <w:sz w:val="24"/>
        </w:rPr>
        <w:t>links</w:t>
      </w:r>
      <w:r>
        <w:rPr>
          <w:spacing w:val="-1"/>
          <w:sz w:val="24"/>
        </w:rPr>
        <w:t> </w:t>
      </w:r>
      <w:r>
        <w:rPr>
          <w:sz w:val="24"/>
        </w:rPr>
        <w:t>between</w:t>
      </w:r>
      <w:r>
        <w:rPr>
          <w:spacing w:val="-1"/>
          <w:sz w:val="24"/>
        </w:rPr>
        <w:t> </w:t>
      </w:r>
      <w:r>
        <w:rPr>
          <w:sz w:val="24"/>
        </w:rPr>
        <w:t>the</w:t>
      </w:r>
      <w:r>
        <w:rPr>
          <w:spacing w:val="-2"/>
          <w:sz w:val="24"/>
        </w:rPr>
        <w:t> </w:t>
      </w:r>
      <w:r>
        <w:rPr>
          <w:sz w:val="24"/>
        </w:rPr>
        <w:t>elements</w:t>
      </w:r>
      <w:r>
        <w:rPr>
          <w:spacing w:val="-1"/>
          <w:sz w:val="24"/>
        </w:rPr>
        <w:t> </w:t>
      </w:r>
      <w:r>
        <w:rPr>
          <w:sz w:val="24"/>
        </w:rPr>
        <w:t>or</w:t>
      </w:r>
      <w:r>
        <w:rPr>
          <w:spacing w:val="-2"/>
          <w:sz w:val="24"/>
        </w:rPr>
        <w:t> </w:t>
      </w:r>
      <w:r>
        <w:rPr>
          <w:sz w:val="24"/>
        </w:rPr>
        <w:t>steps</w:t>
      </w:r>
      <w:r>
        <w:rPr>
          <w:spacing w:val="1"/>
          <w:sz w:val="24"/>
        </w:rPr>
        <w:t> </w:t>
      </w:r>
      <w:r>
        <w:rPr>
          <w:spacing w:val="-2"/>
          <w:sz w:val="24"/>
        </w:rPr>
        <w:t>outlined;</w:t>
      </w:r>
    </w:p>
    <w:p>
      <w:pPr>
        <w:pStyle w:val="BodyText"/>
      </w:pPr>
    </w:p>
    <w:p>
      <w:pPr>
        <w:pStyle w:val="ListParagraph"/>
        <w:numPr>
          <w:ilvl w:val="0"/>
          <w:numId w:val="28"/>
        </w:numPr>
        <w:tabs>
          <w:tab w:pos="1119" w:val="left" w:leader="none"/>
        </w:tabs>
        <w:spacing w:line="240" w:lineRule="auto" w:before="0" w:after="0"/>
        <w:ind w:left="1119" w:right="0" w:hanging="607"/>
        <w:jc w:val="left"/>
        <w:rPr>
          <w:sz w:val="24"/>
        </w:rPr>
      </w:pPr>
      <w:r>
        <w:rPr>
          <w:sz w:val="24"/>
        </w:rPr>
        <w:t>General</w:t>
      </w:r>
      <w:r>
        <w:rPr>
          <w:spacing w:val="-4"/>
          <w:sz w:val="24"/>
        </w:rPr>
        <w:t> </w:t>
      </w:r>
      <w:r>
        <w:rPr>
          <w:sz w:val="24"/>
        </w:rPr>
        <w:t>enough</w:t>
      </w:r>
      <w:r>
        <w:rPr>
          <w:spacing w:val="-2"/>
          <w:sz w:val="24"/>
        </w:rPr>
        <w:t> </w:t>
      </w:r>
      <w:r>
        <w:rPr>
          <w:sz w:val="24"/>
        </w:rPr>
        <w:t>to</w:t>
      </w:r>
      <w:r>
        <w:rPr>
          <w:spacing w:val="-1"/>
          <w:sz w:val="24"/>
        </w:rPr>
        <w:t> </w:t>
      </w:r>
      <w:r>
        <w:rPr>
          <w:sz w:val="24"/>
        </w:rPr>
        <w:t>suit</w:t>
      </w:r>
      <w:r>
        <w:rPr>
          <w:spacing w:val="-2"/>
          <w:sz w:val="24"/>
        </w:rPr>
        <w:t> </w:t>
      </w:r>
      <w:r>
        <w:rPr>
          <w:sz w:val="24"/>
        </w:rPr>
        <w:t>different</w:t>
      </w:r>
      <w:r>
        <w:rPr>
          <w:spacing w:val="-1"/>
          <w:sz w:val="24"/>
        </w:rPr>
        <w:t> </w:t>
      </w:r>
      <w:r>
        <w:rPr>
          <w:spacing w:val="-2"/>
          <w:sz w:val="24"/>
        </w:rPr>
        <w:t>contexts;</w:t>
      </w:r>
    </w:p>
    <w:p>
      <w:pPr>
        <w:pStyle w:val="BodyText"/>
      </w:pPr>
    </w:p>
    <w:p>
      <w:pPr>
        <w:pStyle w:val="ListParagraph"/>
        <w:numPr>
          <w:ilvl w:val="0"/>
          <w:numId w:val="28"/>
        </w:numPr>
        <w:tabs>
          <w:tab w:pos="1119" w:val="left" w:leader="none"/>
        </w:tabs>
        <w:spacing w:line="240" w:lineRule="auto" w:before="0" w:after="0"/>
        <w:ind w:left="1119" w:right="0" w:hanging="539"/>
        <w:jc w:val="left"/>
        <w:rPr>
          <w:sz w:val="24"/>
        </w:rPr>
      </w:pPr>
      <w:r>
        <w:rPr>
          <w:sz w:val="24"/>
        </w:rPr>
        <w:t>Represent</w:t>
      </w:r>
      <w:r>
        <w:rPr>
          <w:spacing w:val="-1"/>
          <w:sz w:val="24"/>
        </w:rPr>
        <w:t> </w:t>
      </w:r>
      <w:r>
        <w:rPr>
          <w:sz w:val="24"/>
        </w:rPr>
        <w:t>a road</w:t>
      </w:r>
      <w:r>
        <w:rPr>
          <w:spacing w:val="-1"/>
          <w:sz w:val="24"/>
        </w:rPr>
        <w:t> </w:t>
      </w:r>
      <w:r>
        <w:rPr>
          <w:sz w:val="24"/>
        </w:rPr>
        <w:t>map</w:t>
      </w:r>
      <w:r>
        <w:rPr>
          <w:spacing w:val="2"/>
          <w:sz w:val="24"/>
        </w:rPr>
        <w:t> </w:t>
      </w:r>
      <w:r>
        <w:rPr>
          <w:sz w:val="24"/>
        </w:rPr>
        <w:t>and</w:t>
      </w:r>
      <w:r>
        <w:rPr>
          <w:spacing w:val="-1"/>
          <w:sz w:val="24"/>
        </w:rPr>
        <w:t> </w:t>
      </w:r>
      <w:r>
        <w:rPr>
          <w:sz w:val="24"/>
        </w:rPr>
        <w:t>a</w:t>
      </w:r>
      <w:r>
        <w:rPr>
          <w:spacing w:val="-2"/>
          <w:sz w:val="24"/>
        </w:rPr>
        <w:t> </w:t>
      </w:r>
      <w:r>
        <w:rPr>
          <w:sz w:val="24"/>
        </w:rPr>
        <w:t>planning</w:t>
      </w:r>
      <w:r>
        <w:rPr>
          <w:spacing w:val="-3"/>
          <w:sz w:val="24"/>
        </w:rPr>
        <w:t> </w:t>
      </w:r>
      <w:r>
        <w:rPr>
          <w:sz w:val="24"/>
        </w:rPr>
        <w:t>tool</w:t>
      </w:r>
      <w:r>
        <w:rPr>
          <w:spacing w:val="-1"/>
          <w:sz w:val="24"/>
        </w:rPr>
        <w:t> </w:t>
      </w:r>
      <w:r>
        <w:rPr>
          <w:sz w:val="24"/>
        </w:rPr>
        <w:t>for</w:t>
      </w:r>
      <w:r>
        <w:rPr>
          <w:spacing w:val="-1"/>
          <w:sz w:val="24"/>
        </w:rPr>
        <w:t> </w:t>
      </w:r>
      <w:r>
        <w:rPr>
          <w:spacing w:val="-2"/>
          <w:sz w:val="24"/>
        </w:rPr>
        <w:t>implementation;</w:t>
      </w:r>
    </w:p>
    <w:p>
      <w:pPr>
        <w:pStyle w:val="BodyText"/>
      </w:pPr>
    </w:p>
    <w:p>
      <w:pPr>
        <w:pStyle w:val="ListParagraph"/>
        <w:numPr>
          <w:ilvl w:val="0"/>
          <w:numId w:val="28"/>
        </w:numPr>
        <w:tabs>
          <w:tab w:pos="1119" w:val="left" w:leader="none"/>
        </w:tabs>
        <w:spacing w:line="240" w:lineRule="auto" w:before="0" w:after="0"/>
        <w:ind w:left="1119" w:right="0" w:hanging="607"/>
        <w:jc w:val="left"/>
        <w:rPr>
          <w:sz w:val="24"/>
        </w:rPr>
      </w:pPr>
      <w:r>
        <w:rPr>
          <w:sz w:val="24"/>
        </w:rPr>
        <w:t>Answer</w:t>
      </w:r>
      <w:r>
        <w:rPr>
          <w:spacing w:val="-2"/>
          <w:sz w:val="24"/>
        </w:rPr>
        <w:t> </w:t>
      </w:r>
      <w:r>
        <w:rPr>
          <w:sz w:val="24"/>
        </w:rPr>
        <w:t>‘how</w:t>
      </w:r>
      <w:r>
        <w:rPr>
          <w:spacing w:val="-1"/>
          <w:sz w:val="24"/>
        </w:rPr>
        <w:t> </w:t>
      </w:r>
      <w:r>
        <w:rPr>
          <w:sz w:val="24"/>
        </w:rPr>
        <w:t>to</w:t>
      </w:r>
      <w:r>
        <w:rPr>
          <w:spacing w:val="-1"/>
          <w:sz w:val="24"/>
        </w:rPr>
        <w:t> </w:t>
      </w:r>
      <w:r>
        <w:rPr>
          <w:sz w:val="24"/>
        </w:rPr>
        <w:t>opposed</w:t>
      </w:r>
      <w:r>
        <w:rPr>
          <w:spacing w:val="2"/>
          <w:sz w:val="24"/>
        </w:rPr>
        <w:t> </w:t>
      </w:r>
      <w:r>
        <w:rPr>
          <w:sz w:val="24"/>
        </w:rPr>
        <w:t>to</w:t>
      </w:r>
      <w:r>
        <w:rPr>
          <w:spacing w:val="-1"/>
          <w:sz w:val="24"/>
        </w:rPr>
        <w:t> </w:t>
      </w:r>
      <w:r>
        <w:rPr>
          <w:sz w:val="24"/>
        </w:rPr>
        <w:t>‘what is?’</w:t>
      </w:r>
      <w:r>
        <w:rPr>
          <w:spacing w:val="-1"/>
          <w:sz w:val="24"/>
        </w:rPr>
        <w:t> </w:t>
      </w:r>
      <w:r>
        <w:rPr>
          <w:spacing w:val="-5"/>
          <w:sz w:val="24"/>
        </w:rPr>
        <w:t>and</w:t>
      </w:r>
    </w:p>
    <w:p>
      <w:pPr>
        <w:pStyle w:val="BodyText"/>
      </w:pPr>
    </w:p>
    <w:p>
      <w:pPr>
        <w:pStyle w:val="ListParagraph"/>
        <w:numPr>
          <w:ilvl w:val="0"/>
          <w:numId w:val="28"/>
        </w:numPr>
        <w:tabs>
          <w:tab w:pos="1119" w:val="left" w:leader="none"/>
        </w:tabs>
        <w:spacing w:line="240" w:lineRule="auto" w:before="0" w:after="0"/>
        <w:ind w:left="1119" w:right="0" w:hanging="674"/>
        <w:jc w:val="left"/>
        <w:rPr>
          <w:sz w:val="24"/>
        </w:rPr>
      </w:pPr>
      <w:r>
        <w:rPr>
          <w:spacing w:val="-2"/>
          <w:sz w:val="24"/>
        </w:rPr>
        <w:t>Implementable.</w:t>
      </w:r>
    </w:p>
    <w:p>
      <w:pPr>
        <w:pStyle w:val="BodyText"/>
      </w:pPr>
    </w:p>
    <w:p>
      <w:pPr>
        <w:pStyle w:val="BodyText"/>
        <w:spacing w:line="480" w:lineRule="auto"/>
        <w:ind w:left="399" w:right="1318"/>
        <w:jc w:val="both"/>
      </w:pPr>
      <w:r>
        <w:rPr/>
        <w:t>Baidoun and Zairi (2003) further provide the following guidelines for a successful TQM </w:t>
      </w:r>
      <w:r>
        <w:rPr>
          <w:spacing w:val="-2"/>
        </w:rPr>
        <w:t>implementation:</w:t>
      </w:r>
    </w:p>
    <w:p>
      <w:pPr>
        <w:pStyle w:val="ListParagraph"/>
        <w:numPr>
          <w:ilvl w:val="0"/>
          <w:numId w:val="29"/>
        </w:numPr>
        <w:tabs>
          <w:tab w:pos="1119" w:val="left" w:leader="none"/>
        </w:tabs>
        <w:spacing w:line="240" w:lineRule="auto" w:before="1" w:after="0"/>
        <w:ind w:left="1119" w:right="0" w:hanging="487"/>
        <w:jc w:val="left"/>
        <w:rPr>
          <w:sz w:val="24"/>
        </w:rPr>
      </w:pPr>
      <w:r>
        <w:rPr>
          <w:sz w:val="24"/>
        </w:rPr>
        <w:t>Demonstrate</w:t>
      </w:r>
      <w:r>
        <w:rPr>
          <w:spacing w:val="-5"/>
          <w:sz w:val="24"/>
        </w:rPr>
        <w:t> </w:t>
      </w:r>
      <w:r>
        <w:rPr>
          <w:sz w:val="24"/>
        </w:rPr>
        <w:t>top</w:t>
      </w:r>
      <w:r>
        <w:rPr>
          <w:spacing w:val="-1"/>
          <w:sz w:val="24"/>
        </w:rPr>
        <w:t> </w:t>
      </w:r>
      <w:r>
        <w:rPr>
          <w:sz w:val="24"/>
        </w:rPr>
        <w:t>management</w:t>
      </w:r>
      <w:r>
        <w:rPr>
          <w:spacing w:val="-2"/>
          <w:sz w:val="24"/>
        </w:rPr>
        <w:t> </w:t>
      </w:r>
      <w:r>
        <w:rPr>
          <w:sz w:val="24"/>
        </w:rPr>
        <w:t>commitment</w:t>
      </w:r>
      <w:r>
        <w:rPr>
          <w:spacing w:val="-1"/>
          <w:sz w:val="24"/>
        </w:rPr>
        <w:t> </w:t>
      </w:r>
      <w:r>
        <w:rPr>
          <w:sz w:val="24"/>
        </w:rPr>
        <w:t>and</w:t>
      </w:r>
      <w:r>
        <w:rPr>
          <w:spacing w:val="-1"/>
          <w:sz w:val="24"/>
        </w:rPr>
        <w:t> </w:t>
      </w:r>
      <w:r>
        <w:rPr>
          <w:spacing w:val="-2"/>
          <w:sz w:val="24"/>
        </w:rPr>
        <w:t>involvement.</w:t>
      </w:r>
    </w:p>
    <w:p>
      <w:pPr>
        <w:pStyle w:val="ListParagraph"/>
        <w:numPr>
          <w:ilvl w:val="0"/>
          <w:numId w:val="29"/>
        </w:numPr>
        <w:tabs>
          <w:tab w:pos="1119" w:val="left" w:leader="none"/>
        </w:tabs>
        <w:spacing w:line="240" w:lineRule="auto" w:before="276" w:after="0"/>
        <w:ind w:left="1119" w:right="0" w:hanging="554"/>
        <w:jc w:val="left"/>
        <w:rPr>
          <w:sz w:val="24"/>
        </w:rPr>
      </w:pPr>
      <w:r>
        <w:rPr>
          <w:sz w:val="24"/>
        </w:rPr>
        <w:t>Develop</w:t>
      </w:r>
      <w:r>
        <w:rPr>
          <w:spacing w:val="-3"/>
          <w:sz w:val="24"/>
        </w:rPr>
        <w:t> </w:t>
      </w:r>
      <w:r>
        <w:rPr>
          <w:sz w:val="24"/>
        </w:rPr>
        <w:t>a clear</w:t>
      </w:r>
      <w:r>
        <w:rPr>
          <w:spacing w:val="-2"/>
          <w:sz w:val="24"/>
        </w:rPr>
        <w:t> </w:t>
      </w:r>
      <w:r>
        <w:rPr>
          <w:sz w:val="24"/>
        </w:rPr>
        <w:t>belief</w:t>
      </w:r>
      <w:r>
        <w:rPr>
          <w:spacing w:val="-2"/>
          <w:sz w:val="24"/>
        </w:rPr>
        <w:t> </w:t>
      </w:r>
      <w:r>
        <w:rPr>
          <w:sz w:val="24"/>
        </w:rPr>
        <w:t>in</w:t>
      </w:r>
      <w:r>
        <w:rPr>
          <w:spacing w:val="1"/>
          <w:sz w:val="24"/>
        </w:rPr>
        <w:t> </w:t>
      </w:r>
      <w:r>
        <w:rPr>
          <w:sz w:val="24"/>
        </w:rPr>
        <w:t>the</w:t>
      </w:r>
      <w:r>
        <w:rPr>
          <w:spacing w:val="-2"/>
          <w:sz w:val="24"/>
        </w:rPr>
        <w:t> </w:t>
      </w:r>
      <w:r>
        <w:rPr>
          <w:sz w:val="24"/>
        </w:rPr>
        <w:t>benefits that</w:t>
      </w:r>
      <w:r>
        <w:rPr>
          <w:spacing w:val="-1"/>
          <w:sz w:val="24"/>
        </w:rPr>
        <w:t> </w:t>
      </w:r>
      <w:r>
        <w:rPr>
          <w:sz w:val="24"/>
        </w:rPr>
        <w:t>TQM</w:t>
      </w:r>
      <w:r>
        <w:rPr>
          <w:spacing w:val="-1"/>
          <w:sz w:val="24"/>
        </w:rPr>
        <w:t> </w:t>
      </w:r>
      <w:r>
        <w:rPr>
          <w:sz w:val="24"/>
        </w:rPr>
        <w:t>can</w:t>
      </w:r>
      <w:r>
        <w:rPr>
          <w:spacing w:val="-1"/>
          <w:sz w:val="24"/>
        </w:rPr>
        <w:t> </w:t>
      </w:r>
      <w:r>
        <w:rPr>
          <w:sz w:val="24"/>
        </w:rPr>
        <w:t>bring</w:t>
      </w:r>
      <w:r>
        <w:rPr>
          <w:spacing w:val="-4"/>
          <w:sz w:val="24"/>
        </w:rPr>
        <w:t> </w:t>
      </w:r>
      <w:r>
        <w:rPr>
          <w:sz w:val="24"/>
        </w:rPr>
        <w:t>to</w:t>
      </w:r>
      <w:r>
        <w:rPr>
          <w:spacing w:val="-1"/>
          <w:sz w:val="24"/>
        </w:rPr>
        <w:t> </w:t>
      </w:r>
      <w:r>
        <w:rPr>
          <w:sz w:val="24"/>
        </w:rPr>
        <w:t>the</w:t>
      </w:r>
      <w:r>
        <w:rPr>
          <w:spacing w:val="-1"/>
          <w:sz w:val="24"/>
        </w:rPr>
        <w:t> </w:t>
      </w:r>
      <w:r>
        <w:rPr>
          <w:spacing w:val="-2"/>
          <w:sz w:val="24"/>
        </w:rPr>
        <w:t>organisation.</w:t>
      </w:r>
    </w:p>
    <w:p>
      <w:pPr>
        <w:spacing w:after="0" w:line="240" w:lineRule="auto"/>
        <w:jc w:val="left"/>
        <w:rPr>
          <w:sz w:val="24"/>
        </w:rPr>
        <w:sectPr>
          <w:pgSz w:w="12240" w:h="15840"/>
          <w:pgMar w:header="0" w:footer="1017" w:top="1360" w:bottom="1200" w:left="1040" w:right="120"/>
        </w:sectPr>
      </w:pPr>
    </w:p>
    <w:p>
      <w:pPr>
        <w:pStyle w:val="ListParagraph"/>
        <w:numPr>
          <w:ilvl w:val="0"/>
          <w:numId w:val="29"/>
        </w:numPr>
        <w:tabs>
          <w:tab w:pos="1117" w:val="left" w:leader="none"/>
          <w:tab w:pos="1120" w:val="left" w:leader="none"/>
        </w:tabs>
        <w:spacing w:line="480" w:lineRule="auto" w:before="72" w:after="0"/>
        <w:ind w:left="1120" w:right="1318" w:hanging="620"/>
        <w:jc w:val="both"/>
        <w:rPr>
          <w:sz w:val="24"/>
        </w:rPr>
      </w:pPr>
      <w:r>
        <w:rPr>
          <w:sz w:val="24"/>
        </w:rPr>
        <w:t>Ensure consensus agreement of all senior managers. All senior managers’ serves at the quality council as members, attending training courses, attending conferences, reading about TQM, and visiting other organisations for benchmarking purposes.</w:t>
      </w:r>
    </w:p>
    <w:p>
      <w:pPr>
        <w:pStyle w:val="ListParagraph"/>
        <w:numPr>
          <w:ilvl w:val="0"/>
          <w:numId w:val="29"/>
        </w:numPr>
        <w:tabs>
          <w:tab w:pos="1118" w:val="left" w:leader="none"/>
          <w:tab w:pos="1120" w:val="left" w:leader="none"/>
        </w:tabs>
        <w:spacing w:line="480" w:lineRule="auto" w:before="0" w:after="0"/>
        <w:ind w:left="1120" w:right="1316" w:hanging="608"/>
        <w:jc w:val="both"/>
        <w:rPr>
          <w:sz w:val="24"/>
        </w:rPr>
      </w:pPr>
      <w:r>
        <w:rPr>
          <w:sz w:val="24"/>
        </w:rPr>
        <w:t>Recruit a quality-related manager to provide support in the planning and implementation </w:t>
      </w:r>
      <w:r>
        <w:rPr>
          <w:spacing w:val="-2"/>
          <w:sz w:val="24"/>
        </w:rPr>
        <w:t>stage.</w:t>
      </w:r>
    </w:p>
    <w:p>
      <w:pPr>
        <w:pStyle w:val="ListParagraph"/>
        <w:numPr>
          <w:ilvl w:val="0"/>
          <w:numId w:val="29"/>
        </w:numPr>
        <w:tabs>
          <w:tab w:pos="1120" w:val="left" w:leader="none"/>
        </w:tabs>
        <w:spacing w:line="480" w:lineRule="auto" w:before="0" w:after="0"/>
        <w:ind w:left="1120" w:right="1320" w:hanging="540"/>
        <w:jc w:val="both"/>
        <w:rPr>
          <w:sz w:val="24"/>
        </w:rPr>
      </w:pPr>
      <w:r>
        <w:rPr>
          <w:sz w:val="24"/>
        </w:rPr>
        <w:t>Demonstrate visibility of senior managers’ commitment to quality and customer </w:t>
      </w:r>
      <w:r>
        <w:rPr>
          <w:spacing w:val="-2"/>
          <w:sz w:val="24"/>
        </w:rPr>
        <w:t>satisfaction.</w:t>
      </w:r>
    </w:p>
    <w:p>
      <w:pPr>
        <w:pStyle w:val="ListParagraph"/>
        <w:numPr>
          <w:ilvl w:val="0"/>
          <w:numId w:val="29"/>
        </w:numPr>
        <w:tabs>
          <w:tab w:pos="1118" w:val="left" w:leader="none"/>
        </w:tabs>
        <w:spacing w:line="240" w:lineRule="auto" w:before="0" w:after="0"/>
        <w:ind w:left="1118" w:right="0" w:hanging="606"/>
        <w:jc w:val="both"/>
        <w:rPr>
          <w:sz w:val="24"/>
        </w:rPr>
      </w:pPr>
      <w:r>
        <w:rPr>
          <w:sz w:val="24"/>
        </w:rPr>
        <w:t>Communicate</w:t>
      </w:r>
      <w:r>
        <w:rPr>
          <w:spacing w:val="-6"/>
          <w:sz w:val="24"/>
        </w:rPr>
        <w:t> </w:t>
      </w:r>
      <w:r>
        <w:rPr>
          <w:sz w:val="24"/>
        </w:rPr>
        <w:t>the</w:t>
      </w:r>
      <w:r>
        <w:rPr>
          <w:spacing w:val="-4"/>
          <w:sz w:val="24"/>
        </w:rPr>
        <w:t> </w:t>
      </w:r>
      <w:r>
        <w:rPr>
          <w:sz w:val="24"/>
        </w:rPr>
        <w:t>mission</w:t>
      </w:r>
      <w:r>
        <w:rPr>
          <w:spacing w:val="-2"/>
          <w:sz w:val="24"/>
        </w:rPr>
        <w:t> </w:t>
      </w:r>
      <w:r>
        <w:rPr>
          <w:sz w:val="24"/>
        </w:rPr>
        <w:t>statement</w:t>
      </w:r>
      <w:r>
        <w:rPr>
          <w:spacing w:val="-3"/>
          <w:sz w:val="24"/>
        </w:rPr>
        <w:t> </w:t>
      </w:r>
      <w:r>
        <w:rPr>
          <w:sz w:val="24"/>
        </w:rPr>
        <w:t>consistently; </w:t>
      </w:r>
      <w:r>
        <w:rPr>
          <w:spacing w:val="-4"/>
          <w:sz w:val="24"/>
        </w:rPr>
        <w:t>and,</w:t>
      </w:r>
    </w:p>
    <w:p>
      <w:pPr>
        <w:pStyle w:val="BodyText"/>
      </w:pPr>
    </w:p>
    <w:p>
      <w:pPr>
        <w:pStyle w:val="ListParagraph"/>
        <w:numPr>
          <w:ilvl w:val="0"/>
          <w:numId w:val="29"/>
        </w:numPr>
        <w:tabs>
          <w:tab w:pos="1118" w:val="left" w:leader="none"/>
        </w:tabs>
        <w:spacing w:line="240" w:lineRule="auto" w:before="0" w:after="0"/>
        <w:ind w:left="1118" w:right="0" w:hanging="673"/>
        <w:jc w:val="both"/>
        <w:rPr>
          <w:sz w:val="24"/>
        </w:rPr>
      </w:pPr>
      <w:r>
        <w:rPr>
          <w:sz w:val="24"/>
        </w:rPr>
        <w:t>Develop</w:t>
      </w:r>
      <w:r>
        <w:rPr>
          <w:spacing w:val="-3"/>
          <w:sz w:val="24"/>
        </w:rPr>
        <w:t> </w:t>
      </w:r>
      <w:r>
        <w:rPr>
          <w:sz w:val="24"/>
        </w:rPr>
        <w:t>a comprehensive</w:t>
      </w:r>
      <w:r>
        <w:rPr>
          <w:spacing w:val="-2"/>
          <w:sz w:val="24"/>
        </w:rPr>
        <w:t> </w:t>
      </w:r>
      <w:r>
        <w:rPr>
          <w:sz w:val="24"/>
        </w:rPr>
        <w:t>quality</w:t>
      </w:r>
      <w:r>
        <w:rPr>
          <w:spacing w:val="-6"/>
          <w:sz w:val="24"/>
        </w:rPr>
        <w:t> </w:t>
      </w:r>
      <w:r>
        <w:rPr>
          <w:sz w:val="24"/>
        </w:rPr>
        <w:t>policy</w:t>
      </w:r>
      <w:r>
        <w:rPr>
          <w:spacing w:val="-4"/>
          <w:sz w:val="24"/>
        </w:rPr>
        <w:t> </w:t>
      </w:r>
      <w:r>
        <w:rPr>
          <w:sz w:val="24"/>
        </w:rPr>
        <w:t>and</w:t>
      </w:r>
      <w:r>
        <w:rPr>
          <w:spacing w:val="-1"/>
          <w:sz w:val="24"/>
        </w:rPr>
        <w:t> </w:t>
      </w:r>
      <w:r>
        <w:rPr>
          <w:sz w:val="24"/>
        </w:rPr>
        <w:t>effective</w:t>
      </w:r>
      <w:r>
        <w:rPr>
          <w:spacing w:val="-2"/>
          <w:sz w:val="24"/>
        </w:rPr>
        <w:t> </w:t>
      </w:r>
      <w:r>
        <w:rPr>
          <w:sz w:val="24"/>
        </w:rPr>
        <w:t>deployment</w:t>
      </w:r>
      <w:r>
        <w:rPr>
          <w:spacing w:val="-1"/>
          <w:sz w:val="24"/>
        </w:rPr>
        <w:t> </w:t>
      </w:r>
      <w:r>
        <w:rPr>
          <w:sz w:val="24"/>
        </w:rPr>
        <w:t>of</w:t>
      </w:r>
      <w:r>
        <w:rPr>
          <w:spacing w:val="1"/>
          <w:sz w:val="24"/>
        </w:rPr>
        <w:t> </w:t>
      </w:r>
      <w:r>
        <w:rPr>
          <w:spacing w:val="-2"/>
          <w:sz w:val="24"/>
        </w:rPr>
        <w:t>goals.</w:t>
      </w:r>
    </w:p>
    <w:p>
      <w:pPr>
        <w:pStyle w:val="BodyText"/>
      </w:pPr>
    </w:p>
    <w:p>
      <w:pPr>
        <w:pStyle w:val="BodyText"/>
        <w:spacing w:before="115"/>
      </w:pPr>
    </w:p>
    <w:p>
      <w:pPr>
        <w:pStyle w:val="Heading2"/>
        <w:numPr>
          <w:ilvl w:val="1"/>
          <w:numId w:val="18"/>
        </w:numPr>
        <w:tabs>
          <w:tab w:pos="1120" w:val="left" w:leader="none"/>
        </w:tabs>
        <w:spacing w:line="240" w:lineRule="auto" w:before="0" w:after="0"/>
        <w:ind w:left="1120" w:right="0" w:hanging="720"/>
        <w:jc w:val="both"/>
      </w:pPr>
      <w:r>
        <w:rPr/>
        <w:t>TQM</w:t>
      </w:r>
      <w:r>
        <w:rPr>
          <w:spacing w:val="-2"/>
        </w:rPr>
        <w:t> </w:t>
      </w:r>
      <w:r>
        <w:rPr/>
        <w:t>Models</w:t>
      </w:r>
      <w:r>
        <w:rPr>
          <w:spacing w:val="-1"/>
        </w:rPr>
        <w:t> </w:t>
      </w:r>
      <w:r>
        <w:rPr/>
        <w:t>and </w:t>
      </w:r>
      <w:r>
        <w:rPr>
          <w:spacing w:val="-2"/>
        </w:rPr>
        <w:t>Frameworks</w:t>
      </w:r>
    </w:p>
    <w:p>
      <w:pPr>
        <w:pStyle w:val="ListParagraph"/>
        <w:numPr>
          <w:ilvl w:val="2"/>
          <w:numId w:val="18"/>
        </w:numPr>
        <w:tabs>
          <w:tab w:pos="1180" w:val="left" w:leader="none"/>
        </w:tabs>
        <w:spacing w:line="240" w:lineRule="auto" w:before="240" w:after="0"/>
        <w:ind w:left="1180" w:right="0" w:hanging="780"/>
        <w:jc w:val="both"/>
        <w:rPr>
          <w:b/>
          <w:sz w:val="24"/>
        </w:rPr>
      </w:pPr>
      <w:r>
        <w:rPr>
          <w:b/>
          <w:sz w:val="24"/>
        </w:rPr>
        <w:t>Models</w:t>
      </w:r>
      <w:r>
        <w:rPr>
          <w:b/>
          <w:spacing w:val="-2"/>
          <w:sz w:val="24"/>
        </w:rPr>
        <w:t> </w:t>
      </w:r>
      <w:r>
        <w:rPr>
          <w:b/>
          <w:sz w:val="24"/>
        </w:rPr>
        <w:t>proposed</w:t>
      </w:r>
      <w:r>
        <w:rPr>
          <w:b/>
          <w:spacing w:val="-1"/>
          <w:sz w:val="24"/>
        </w:rPr>
        <w:t> </w:t>
      </w:r>
      <w:r>
        <w:rPr>
          <w:b/>
          <w:sz w:val="24"/>
        </w:rPr>
        <w:t>by</w:t>
      </w:r>
      <w:r>
        <w:rPr>
          <w:b/>
          <w:spacing w:val="-1"/>
          <w:sz w:val="24"/>
        </w:rPr>
        <w:t> </w:t>
      </w:r>
      <w:r>
        <w:rPr>
          <w:b/>
          <w:spacing w:val="-2"/>
          <w:sz w:val="24"/>
        </w:rPr>
        <w:t>experts</w:t>
      </w:r>
    </w:p>
    <w:p>
      <w:pPr>
        <w:pStyle w:val="BodyText"/>
        <w:spacing w:line="480" w:lineRule="auto" w:before="236"/>
        <w:ind w:left="400" w:right="1316"/>
        <w:jc w:val="both"/>
      </w:pPr>
      <w:r>
        <w:rPr/>
        <w:t>The various models presented by experts are most advantageous for organisations when they select which models will fit with their implementation process. It is therefore very interesting to look at important TQM models from an integration point of view.</w:t>
      </w:r>
    </w:p>
    <w:p>
      <w:pPr>
        <w:pStyle w:val="BodyText"/>
        <w:spacing w:line="480" w:lineRule="auto" w:before="199"/>
        <w:ind w:left="400" w:right="1316"/>
        <w:jc w:val="both"/>
      </w:pPr>
      <w:r>
        <w:rPr/>
        <w:t>Voehl (1995) presented the main principles of TQM in the form of the "House of Quality", the roof consisting of three sub systems: the management, the social and the technical sides of the organisation, and this represents the superstructure of TQM. To quality supports the following superstructure, which has four pillars: customer satisfaction, continuous improvement, managing with</w:t>
      </w:r>
      <w:r>
        <w:rPr>
          <w:spacing w:val="-1"/>
        </w:rPr>
        <w:t> </w:t>
      </w:r>
      <w:r>
        <w:rPr/>
        <w:t>facts</w:t>
      </w:r>
      <w:r>
        <w:rPr>
          <w:spacing w:val="-1"/>
        </w:rPr>
        <w:t> </w:t>
      </w:r>
      <w:r>
        <w:rPr/>
        <w:t>and</w:t>
      </w:r>
      <w:r>
        <w:rPr>
          <w:spacing w:val="-1"/>
        </w:rPr>
        <w:t> </w:t>
      </w:r>
      <w:r>
        <w:rPr/>
        <w:t>respect</w:t>
      </w:r>
      <w:r>
        <w:rPr>
          <w:spacing w:val="-1"/>
        </w:rPr>
        <w:t> </w:t>
      </w:r>
      <w:r>
        <w:rPr/>
        <w:t>for people.</w:t>
      </w:r>
      <w:r>
        <w:rPr>
          <w:spacing w:val="-1"/>
        </w:rPr>
        <w:t> </w:t>
      </w:r>
      <w:r>
        <w:rPr/>
        <w:t>The</w:t>
      </w:r>
      <w:r>
        <w:rPr>
          <w:spacing w:val="-2"/>
        </w:rPr>
        <w:t> </w:t>
      </w:r>
      <w:r>
        <w:rPr/>
        <w:t>foundation</w:t>
      </w:r>
      <w:r>
        <w:rPr>
          <w:spacing w:val="-1"/>
        </w:rPr>
        <w:t> </w:t>
      </w:r>
      <w:r>
        <w:rPr/>
        <w:t>of</w:t>
      </w:r>
      <w:r>
        <w:rPr>
          <w:spacing w:val="-2"/>
        </w:rPr>
        <w:t> </w:t>
      </w:r>
      <w:r>
        <w:rPr/>
        <w:t>TQM,</w:t>
      </w:r>
      <w:r>
        <w:rPr>
          <w:spacing w:val="-1"/>
        </w:rPr>
        <w:t> </w:t>
      </w:r>
      <w:r>
        <w:rPr/>
        <w:t>according</w:t>
      </w:r>
      <w:r>
        <w:rPr>
          <w:spacing w:val="-3"/>
        </w:rPr>
        <w:t> </w:t>
      </w:r>
      <w:r>
        <w:rPr/>
        <w:t>to</w:t>
      </w:r>
      <w:r>
        <w:rPr>
          <w:spacing w:val="-1"/>
        </w:rPr>
        <w:t> </w:t>
      </w:r>
      <w:r>
        <w:rPr/>
        <w:t>Voehl</w:t>
      </w:r>
      <w:r>
        <w:rPr>
          <w:spacing w:val="-1"/>
        </w:rPr>
        <w:t> </w:t>
      </w:r>
      <w:r>
        <w:rPr/>
        <w:t>(1995)</w:t>
      </w:r>
      <w:r>
        <w:rPr>
          <w:spacing w:val="-2"/>
        </w:rPr>
        <w:t> </w:t>
      </w:r>
      <w:r>
        <w:rPr/>
        <w:t>is</w:t>
      </w:r>
      <w:r>
        <w:rPr>
          <w:spacing w:val="-1"/>
        </w:rPr>
        <w:t> </w:t>
      </w:r>
      <w:r>
        <w:rPr/>
        <w:t>made</w:t>
      </w:r>
      <w:r>
        <w:rPr>
          <w:spacing w:val="-2"/>
        </w:rPr>
        <w:t> </w:t>
      </w:r>
      <w:r>
        <w:rPr/>
        <w:t>up of</w:t>
      </w:r>
      <w:r>
        <w:rPr>
          <w:spacing w:val="-2"/>
        </w:rPr>
        <w:t> </w:t>
      </w:r>
      <w:r>
        <w:rPr/>
        <w:t>four</w:t>
      </w:r>
      <w:r>
        <w:rPr>
          <w:spacing w:val="-2"/>
        </w:rPr>
        <w:t> </w:t>
      </w:r>
      <w:r>
        <w:rPr/>
        <w:t>managerial</w:t>
      </w:r>
      <w:r>
        <w:rPr>
          <w:spacing w:val="-1"/>
        </w:rPr>
        <w:t> </w:t>
      </w:r>
      <w:r>
        <w:rPr/>
        <w:t>levels,</w:t>
      </w:r>
      <w:r>
        <w:rPr>
          <w:spacing w:val="-1"/>
        </w:rPr>
        <w:t> </w:t>
      </w:r>
      <w:r>
        <w:rPr/>
        <w:t>which</w:t>
      </w:r>
      <w:r>
        <w:rPr>
          <w:spacing w:val="-1"/>
        </w:rPr>
        <w:t> </w:t>
      </w:r>
      <w:r>
        <w:rPr/>
        <w:t>are</w:t>
      </w:r>
      <w:r>
        <w:rPr>
          <w:spacing w:val="-2"/>
        </w:rPr>
        <w:t> </w:t>
      </w:r>
      <w:r>
        <w:rPr/>
        <w:t>strategy, process,</w:t>
      </w:r>
      <w:r>
        <w:rPr>
          <w:spacing w:val="-1"/>
        </w:rPr>
        <w:t> </w:t>
      </w:r>
      <w:r>
        <w:rPr/>
        <w:t>project, and</w:t>
      </w:r>
      <w:r>
        <w:rPr>
          <w:spacing w:val="-1"/>
        </w:rPr>
        <w:t> </w:t>
      </w:r>
      <w:r>
        <w:rPr/>
        <w:t>task</w:t>
      </w:r>
      <w:r>
        <w:rPr>
          <w:spacing w:val="-1"/>
        </w:rPr>
        <w:t> </w:t>
      </w:r>
      <w:r>
        <w:rPr/>
        <w:t>management. Finally,</w:t>
      </w:r>
      <w:r>
        <w:rPr>
          <w:spacing w:val="-1"/>
        </w:rPr>
        <w:t> </w:t>
      </w:r>
      <w:r>
        <w:rPr/>
        <w:t>the cornerstones for the quality house are the strategic, operations, project and personal quality </w:t>
      </w:r>
      <w:r>
        <w:rPr>
          <w:spacing w:val="-2"/>
        </w:rPr>
        <w:t>planning.</w:t>
      </w:r>
    </w:p>
    <w:p>
      <w:pPr>
        <w:spacing w:after="0" w:line="480" w:lineRule="auto"/>
        <w:jc w:val="both"/>
        <w:sectPr>
          <w:pgSz w:w="12240" w:h="15840"/>
          <w:pgMar w:header="0" w:footer="1017" w:top="1360" w:bottom="1200" w:left="1040" w:right="120"/>
        </w:sectPr>
      </w:pPr>
    </w:p>
    <w:p>
      <w:pPr>
        <w:pStyle w:val="BodyText"/>
        <w:spacing w:line="480" w:lineRule="auto" w:before="72"/>
        <w:ind w:left="400" w:right="1311"/>
        <w:jc w:val="both"/>
      </w:pPr>
      <w:r>
        <w:rPr/>
        <w:t>The model proposed by Oakland (2006) as shown in Figure (3.4), was widely embraced and adopted in the UK through the activities of the Department of Trade and Industry (DTI) 'Quality Campaign' and 'Managing in to the 90's programmes. These approaches brought together a number of components of the quality approach, including quality circles (teams), problem</w:t>
      </w:r>
      <w:r>
        <w:rPr>
          <w:spacing w:val="40"/>
        </w:rPr>
        <w:t> </w:t>
      </w:r>
      <w:r>
        <w:rPr/>
        <w:t>solving and statistical process control (tools) and quality</w:t>
      </w:r>
      <w:r>
        <w:rPr>
          <w:spacing w:val="-2"/>
        </w:rPr>
        <w:t> </w:t>
      </w:r>
      <w:r>
        <w:rPr/>
        <w:t>systems, such as BS 5750 and later ISO 9000 (system).</w:t>
      </w:r>
    </w:p>
    <w:p>
      <w:pPr>
        <w:pStyle w:val="BodyText"/>
        <w:spacing w:line="480" w:lineRule="auto" w:before="199"/>
        <w:ind w:left="400" w:right="1316"/>
        <w:jc w:val="both"/>
      </w:pPr>
      <w:r>
        <w:rPr/>
        <w:t>Culture played a large role in the environment of those organisations that were successful in implementing the TQM approach. Communication is always seen to be essential in achieving success but the most important element is commitment, from everyone in the organisation, especially from those who are in direct interaction with customers. The customer / supplier or 'quality</w:t>
      </w:r>
      <w:r>
        <w:rPr>
          <w:spacing w:val="-5"/>
        </w:rPr>
        <w:t> </w:t>
      </w:r>
      <w:r>
        <w:rPr/>
        <w:t>chains' form the core, which is surrounded by</w:t>
      </w:r>
      <w:r>
        <w:rPr>
          <w:spacing w:val="-5"/>
        </w:rPr>
        <w:t> </w:t>
      </w:r>
      <w:r>
        <w:rPr/>
        <w:t>the</w:t>
      </w:r>
      <w:r>
        <w:rPr>
          <w:spacing w:val="-1"/>
        </w:rPr>
        <w:t> </w:t>
      </w:r>
      <w:r>
        <w:rPr/>
        <w:t>hard management necessities of</w:t>
      </w:r>
      <w:r>
        <w:rPr>
          <w:spacing w:val="-1"/>
        </w:rPr>
        <w:t> </w:t>
      </w:r>
      <w:r>
        <w:rPr/>
        <w:t>a good quality</w:t>
      </w:r>
      <w:r>
        <w:rPr>
          <w:spacing w:val="-7"/>
        </w:rPr>
        <w:t> </w:t>
      </w:r>
      <w:r>
        <w:rPr/>
        <w:t>system,</w:t>
      </w:r>
      <w:r>
        <w:rPr>
          <w:spacing w:val="-2"/>
        </w:rPr>
        <w:t> </w:t>
      </w:r>
      <w:r>
        <w:rPr/>
        <w:t>tools,</w:t>
      </w:r>
      <w:r>
        <w:rPr>
          <w:spacing w:val="-2"/>
        </w:rPr>
        <w:t> </w:t>
      </w:r>
      <w:r>
        <w:rPr/>
        <w:t>and teamwork.</w:t>
      </w:r>
      <w:r>
        <w:rPr>
          <w:spacing w:val="-2"/>
        </w:rPr>
        <w:t> </w:t>
      </w:r>
      <w:r>
        <w:rPr/>
        <w:t>This</w:t>
      </w:r>
      <w:r>
        <w:rPr>
          <w:spacing w:val="-2"/>
        </w:rPr>
        <w:t> </w:t>
      </w:r>
      <w:r>
        <w:rPr/>
        <w:t>model was</w:t>
      </w:r>
      <w:r>
        <w:rPr>
          <w:spacing w:val="-2"/>
        </w:rPr>
        <w:t> </w:t>
      </w:r>
      <w:r>
        <w:rPr/>
        <w:t>found</w:t>
      </w:r>
      <w:r>
        <w:rPr>
          <w:spacing w:val="-2"/>
        </w:rPr>
        <w:t> </w:t>
      </w:r>
      <w:r>
        <w:rPr/>
        <w:t>to</w:t>
      </w:r>
      <w:r>
        <w:rPr>
          <w:spacing w:val="-2"/>
        </w:rPr>
        <w:t> </w:t>
      </w:r>
      <w:r>
        <w:rPr/>
        <w:t>be</w:t>
      </w:r>
      <w:r>
        <w:rPr>
          <w:spacing w:val="-3"/>
        </w:rPr>
        <w:t> </w:t>
      </w:r>
      <w:r>
        <w:rPr/>
        <w:t>very</w:t>
      </w:r>
      <w:r>
        <w:rPr>
          <w:spacing w:val="-7"/>
        </w:rPr>
        <w:t> </w:t>
      </w:r>
      <w:r>
        <w:rPr/>
        <w:t>useful,</w:t>
      </w:r>
      <w:r>
        <w:rPr>
          <w:spacing w:val="-2"/>
        </w:rPr>
        <w:t> </w:t>
      </w:r>
      <w:r>
        <w:rPr/>
        <w:t>especially</w:t>
      </w:r>
      <w:r>
        <w:rPr>
          <w:spacing w:val="-5"/>
        </w:rPr>
        <w:t> </w:t>
      </w:r>
      <w:r>
        <w:rPr/>
        <w:t>from</w:t>
      </w:r>
      <w:r>
        <w:rPr>
          <w:spacing w:val="-2"/>
        </w:rPr>
        <w:t> </w:t>
      </w:r>
      <w:r>
        <w:rPr/>
        <w:t>the public sector as a first step to the TQM approach.</w:t>
      </w:r>
    </w:p>
    <w:p>
      <w:pPr>
        <w:pStyle w:val="BodyText"/>
        <w:spacing w:before="11"/>
        <w:rPr>
          <w:sz w:val="15"/>
        </w:rPr>
      </w:pPr>
      <w:r>
        <w:rPr/>
        <w:drawing>
          <wp:anchor distT="0" distB="0" distL="0" distR="0" allowOverlap="1" layoutInCell="1" locked="0" behindDoc="1" simplePos="0" relativeHeight="487600128">
            <wp:simplePos x="0" y="0"/>
            <wp:positionH relativeFrom="page">
              <wp:posOffset>914399</wp:posOffset>
            </wp:positionH>
            <wp:positionV relativeFrom="paragraph">
              <wp:posOffset>131830</wp:posOffset>
            </wp:positionV>
            <wp:extent cx="3265573" cy="2538412"/>
            <wp:effectExtent l="0" t="0" r="0" b="0"/>
            <wp:wrapTopAndBottom/>
            <wp:docPr id="176" name="Image 176" descr=""/>
            <wp:cNvGraphicFramePr>
              <a:graphicFrameLocks/>
            </wp:cNvGraphicFramePr>
            <a:graphic>
              <a:graphicData uri="http://schemas.openxmlformats.org/drawingml/2006/picture">
                <pic:pic>
                  <pic:nvPicPr>
                    <pic:cNvPr id="176" name="Image 176" descr=""/>
                    <pic:cNvPicPr/>
                  </pic:nvPicPr>
                  <pic:blipFill>
                    <a:blip r:embed="rId12" cstate="print"/>
                    <a:stretch>
                      <a:fillRect/>
                    </a:stretch>
                  </pic:blipFill>
                  <pic:spPr>
                    <a:xfrm>
                      <a:off x="0" y="0"/>
                      <a:ext cx="3265573" cy="2538412"/>
                    </a:xfrm>
                    <a:prstGeom prst="rect">
                      <a:avLst/>
                    </a:prstGeom>
                  </pic:spPr>
                </pic:pic>
              </a:graphicData>
            </a:graphic>
          </wp:anchor>
        </w:drawing>
      </w:r>
    </w:p>
    <w:p>
      <w:pPr>
        <w:pStyle w:val="BodyText"/>
        <w:spacing w:before="214"/>
      </w:pPr>
    </w:p>
    <w:p>
      <w:pPr>
        <w:spacing w:before="0"/>
        <w:ind w:left="400" w:right="0" w:firstLine="0"/>
        <w:jc w:val="left"/>
        <w:rPr>
          <w:b/>
          <w:sz w:val="24"/>
        </w:rPr>
      </w:pPr>
      <w:r>
        <w:rPr>
          <w:b/>
          <w:sz w:val="24"/>
        </w:rPr>
        <w:t>Figure</w:t>
      </w:r>
      <w:r>
        <w:rPr>
          <w:b/>
          <w:spacing w:val="-2"/>
          <w:sz w:val="24"/>
        </w:rPr>
        <w:t> </w:t>
      </w:r>
      <w:r>
        <w:rPr>
          <w:b/>
          <w:sz w:val="24"/>
        </w:rPr>
        <w:t>3.4:</w:t>
      </w:r>
      <w:r>
        <w:rPr>
          <w:b/>
          <w:spacing w:val="-2"/>
          <w:sz w:val="24"/>
        </w:rPr>
        <w:t> </w:t>
      </w:r>
      <w:r>
        <w:rPr>
          <w:b/>
          <w:sz w:val="24"/>
        </w:rPr>
        <w:t>TQM</w:t>
      </w:r>
      <w:r>
        <w:rPr>
          <w:b/>
          <w:spacing w:val="-1"/>
          <w:sz w:val="24"/>
        </w:rPr>
        <w:t> </w:t>
      </w:r>
      <w:r>
        <w:rPr>
          <w:b/>
          <w:spacing w:val="-4"/>
          <w:sz w:val="24"/>
        </w:rPr>
        <w:t>Model</w:t>
      </w:r>
    </w:p>
    <w:p>
      <w:pPr>
        <w:spacing w:before="41"/>
        <w:ind w:left="400" w:right="0" w:firstLine="0"/>
        <w:jc w:val="left"/>
        <w:rPr>
          <w:b/>
          <w:sz w:val="24"/>
        </w:rPr>
      </w:pPr>
      <w:r>
        <w:rPr>
          <w:b/>
          <w:sz w:val="24"/>
        </w:rPr>
        <w:t>Source:</w:t>
      </w:r>
      <w:r>
        <w:rPr>
          <w:b/>
          <w:spacing w:val="-4"/>
          <w:sz w:val="24"/>
        </w:rPr>
        <w:t> </w:t>
      </w:r>
      <w:r>
        <w:rPr>
          <w:b/>
          <w:sz w:val="24"/>
        </w:rPr>
        <w:t>Oakland</w:t>
      </w:r>
      <w:r>
        <w:rPr>
          <w:b/>
          <w:spacing w:val="-2"/>
          <w:sz w:val="24"/>
        </w:rPr>
        <w:t> </w:t>
      </w:r>
      <w:r>
        <w:rPr>
          <w:b/>
          <w:sz w:val="24"/>
        </w:rPr>
        <w:t>and</w:t>
      </w:r>
      <w:r>
        <w:rPr>
          <w:b/>
          <w:spacing w:val="-4"/>
          <w:sz w:val="24"/>
        </w:rPr>
        <w:t> </w:t>
      </w:r>
      <w:r>
        <w:rPr>
          <w:b/>
          <w:sz w:val="24"/>
        </w:rPr>
        <w:t>Marosszeky</w:t>
      </w:r>
      <w:r>
        <w:rPr>
          <w:b/>
          <w:spacing w:val="-2"/>
          <w:sz w:val="24"/>
        </w:rPr>
        <w:t> (2006)</w:t>
      </w:r>
    </w:p>
    <w:p>
      <w:pPr>
        <w:spacing w:after="0"/>
        <w:jc w:val="left"/>
        <w:rPr>
          <w:sz w:val="24"/>
        </w:rPr>
        <w:sectPr>
          <w:pgSz w:w="12240" w:h="15840"/>
          <w:pgMar w:header="0" w:footer="1017" w:top="1360" w:bottom="1200" w:left="1040" w:right="120"/>
        </w:sectPr>
      </w:pPr>
    </w:p>
    <w:p>
      <w:pPr>
        <w:pStyle w:val="ListParagraph"/>
        <w:numPr>
          <w:ilvl w:val="2"/>
          <w:numId w:val="18"/>
        </w:numPr>
        <w:tabs>
          <w:tab w:pos="1180" w:val="left" w:leader="none"/>
        </w:tabs>
        <w:spacing w:line="240" w:lineRule="auto" w:before="76" w:after="0"/>
        <w:ind w:left="1180" w:right="0" w:hanging="780"/>
        <w:jc w:val="both"/>
        <w:rPr>
          <w:b/>
          <w:sz w:val="24"/>
        </w:rPr>
      </w:pPr>
      <w:r>
        <w:rPr>
          <w:b/>
          <w:sz w:val="24"/>
        </w:rPr>
        <w:t>Models</w:t>
      </w:r>
      <w:r>
        <w:rPr>
          <w:b/>
          <w:spacing w:val="-3"/>
          <w:sz w:val="24"/>
        </w:rPr>
        <w:t> </w:t>
      </w:r>
      <w:r>
        <w:rPr>
          <w:b/>
          <w:sz w:val="24"/>
        </w:rPr>
        <w:t>based</w:t>
      </w:r>
      <w:r>
        <w:rPr>
          <w:b/>
          <w:spacing w:val="-2"/>
          <w:sz w:val="24"/>
        </w:rPr>
        <w:t> </w:t>
      </w:r>
      <w:r>
        <w:rPr>
          <w:b/>
          <w:sz w:val="24"/>
        </w:rPr>
        <w:t>on</w:t>
      </w:r>
      <w:r>
        <w:rPr>
          <w:b/>
          <w:spacing w:val="-3"/>
          <w:sz w:val="24"/>
        </w:rPr>
        <w:t> </w:t>
      </w:r>
      <w:r>
        <w:rPr>
          <w:b/>
          <w:sz w:val="24"/>
        </w:rPr>
        <w:t>quality</w:t>
      </w:r>
      <w:r>
        <w:rPr>
          <w:b/>
          <w:spacing w:val="-2"/>
          <w:sz w:val="24"/>
        </w:rPr>
        <w:t> awards</w:t>
      </w:r>
    </w:p>
    <w:p>
      <w:pPr>
        <w:pStyle w:val="BodyText"/>
        <w:spacing w:line="480" w:lineRule="auto" w:before="272"/>
        <w:ind w:left="400" w:right="1314" w:firstLine="60"/>
        <w:jc w:val="both"/>
      </w:pPr>
      <w:r>
        <w:rPr/>
        <w:t>The Deming Prize in Japan in 1950 was the start of these quality awards, so the companies</w:t>
      </w:r>
      <w:r>
        <w:rPr>
          <w:spacing w:val="40"/>
        </w:rPr>
        <w:t> </w:t>
      </w:r>
      <w:r>
        <w:rPr/>
        <w:t>began to become interested in quality frameworks. Evan and Lindsay (2001), show that the quality</w:t>
      </w:r>
      <w:r>
        <w:rPr>
          <w:spacing w:val="-5"/>
        </w:rPr>
        <w:t> </w:t>
      </w:r>
      <w:r>
        <w:rPr/>
        <w:t>awards</w:t>
      </w:r>
      <w:r>
        <w:rPr>
          <w:spacing w:val="-1"/>
        </w:rPr>
        <w:t> </w:t>
      </w:r>
      <w:r>
        <w:rPr/>
        <w:t>instituted</w:t>
      </w:r>
      <w:r>
        <w:rPr>
          <w:spacing w:val="-3"/>
        </w:rPr>
        <w:t> </w:t>
      </w:r>
      <w:r>
        <w:rPr/>
        <w:t>by</w:t>
      </w:r>
      <w:r>
        <w:rPr>
          <w:spacing w:val="-5"/>
        </w:rPr>
        <w:t> </w:t>
      </w:r>
      <w:r>
        <w:rPr/>
        <w:t>several</w:t>
      </w:r>
      <w:r>
        <w:rPr>
          <w:spacing w:val="-1"/>
        </w:rPr>
        <w:t> </w:t>
      </w:r>
      <w:r>
        <w:rPr/>
        <w:t>countries</w:t>
      </w:r>
      <w:r>
        <w:rPr>
          <w:spacing w:val="-1"/>
        </w:rPr>
        <w:t> </w:t>
      </w:r>
      <w:r>
        <w:rPr/>
        <w:t>help promote</w:t>
      </w:r>
      <w:r>
        <w:rPr>
          <w:spacing w:val="-2"/>
        </w:rPr>
        <w:t> </w:t>
      </w:r>
      <w:r>
        <w:rPr/>
        <w:t>awareness</w:t>
      </w:r>
      <w:r>
        <w:rPr>
          <w:spacing w:val="-1"/>
        </w:rPr>
        <w:t> </w:t>
      </w:r>
      <w:r>
        <w:rPr/>
        <w:t>of</w:t>
      </w:r>
      <w:r>
        <w:rPr>
          <w:spacing w:val="-2"/>
        </w:rPr>
        <w:t> </w:t>
      </w:r>
      <w:r>
        <w:rPr/>
        <w:t>quality</w:t>
      </w:r>
      <w:r>
        <w:rPr>
          <w:spacing w:val="-5"/>
        </w:rPr>
        <w:t> </w:t>
      </w:r>
      <w:r>
        <w:rPr/>
        <w:t>and</w:t>
      </w:r>
      <w:r>
        <w:rPr>
          <w:spacing w:val="-1"/>
        </w:rPr>
        <w:t> </w:t>
      </w:r>
      <w:r>
        <w:rPr/>
        <w:t>productivity and facilitate exchange of information among organisations, as well as encourage organisations</w:t>
      </w:r>
      <w:r>
        <w:rPr>
          <w:spacing w:val="40"/>
        </w:rPr>
        <w:t> </w:t>
      </w:r>
      <w:r>
        <w:rPr/>
        <w:t>to adopt strategies to improve quality, productivity and competitiveness.</w:t>
      </w:r>
    </w:p>
    <w:p>
      <w:pPr>
        <w:pStyle w:val="Heading3"/>
        <w:numPr>
          <w:ilvl w:val="3"/>
          <w:numId w:val="30"/>
        </w:numPr>
        <w:tabs>
          <w:tab w:pos="1899" w:val="left" w:leader="none"/>
        </w:tabs>
        <w:spacing w:line="240" w:lineRule="auto" w:before="206" w:after="0"/>
        <w:ind w:left="1899" w:right="0" w:hanging="1499"/>
        <w:jc w:val="both"/>
      </w:pPr>
      <w:r>
        <w:rPr/>
        <w:t>Malcolm</w:t>
      </w:r>
      <w:r>
        <w:rPr>
          <w:spacing w:val="-2"/>
        </w:rPr>
        <w:t> </w:t>
      </w:r>
      <w:r>
        <w:rPr/>
        <w:t>Baldrige</w:t>
      </w:r>
      <w:r>
        <w:rPr>
          <w:spacing w:val="-3"/>
        </w:rPr>
        <w:t> </w:t>
      </w:r>
      <w:r>
        <w:rPr/>
        <w:t>national</w:t>
      </w:r>
      <w:r>
        <w:rPr>
          <w:spacing w:val="-1"/>
        </w:rPr>
        <w:t> </w:t>
      </w:r>
      <w:r>
        <w:rPr/>
        <w:t>quality</w:t>
      </w:r>
      <w:r>
        <w:rPr>
          <w:spacing w:val="-3"/>
        </w:rPr>
        <w:t> </w:t>
      </w:r>
      <w:r>
        <w:rPr/>
        <w:t>award</w:t>
      </w:r>
      <w:r>
        <w:rPr>
          <w:spacing w:val="-1"/>
        </w:rPr>
        <w:t> </w:t>
      </w:r>
      <w:r>
        <w:rPr>
          <w:spacing w:val="-2"/>
        </w:rPr>
        <w:t>(MBNQA)</w:t>
      </w:r>
    </w:p>
    <w:p>
      <w:pPr>
        <w:pStyle w:val="BodyText"/>
        <w:spacing w:before="195"/>
        <w:rPr>
          <w:b/>
          <w:i/>
        </w:rPr>
      </w:pPr>
    </w:p>
    <w:p>
      <w:pPr>
        <w:pStyle w:val="BodyText"/>
        <w:spacing w:line="480" w:lineRule="auto"/>
        <w:ind w:left="400" w:right="1317"/>
        <w:jc w:val="both"/>
      </w:pPr>
      <w:r>
        <w:rPr/>
        <w:t>As a part of quality improvement efforts, companies should measure their progress. The measurement can be by customer or employee survey and this could help to monitor process improvement, but criteria to evaluate the effectiveness of overall quality process are necessary.</w:t>
      </w:r>
    </w:p>
    <w:p>
      <w:pPr>
        <w:pStyle w:val="BodyText"/>
        <w:spacing w:line="480" w:lineRule="auto" w:before="199"/>
        <w:ind w:left="399" w:right="1318"/>
        <w:jc w:val="both"/>
      </w:pPr>
      <w:r>
        <w:rPr/>
        <w:t>The aim of the award was to promote quality</w:t>
      </w:r>
      <w:r>
        <w:rPr>
          <w:spacing w:val="-6"/>
        </w:rPr>
        <w:t> </w:t>
      </w:r>
      <w:r>
        <w:rPr/>
        <w:t>awareness and its impact on</w:t>
      </w:r>
      <w:r>
        <w:rPr>
          <w:spacing w:val="-1"/>
        </w:rPr>
        <w:t> </w:t>
      </w:r>
      <w:r>
        <w:rPr/>
        <w:t>competitiveness, share information on successful quality strategies and the benefits derived from implementing these strategies, and proposes a set of criteria that can be used by business, industry, government and other enterprises in evaluating their own quality improvement efforts. Moreover, Baldrige’s criteria are grouped into four basic elements: driver, system, measures of progress, results and </w:t>
      </w:r>
      <w:r>
        <w:rPr>
          <w:spacing w:val="-4"/>
        </w:rPr>
        <w:t>goal.</w:t>
      </w:r>
    </w:p>
    <w:p>
      <w:pPr>
        <w:pStyle w:val="BodyText"/>
        <w:spacing w:line="480" w:lineRule="auto" w:before="200"/>
        <w:ind w:left="399" w:right="1314"/>
        <w:jc w:val="both"/>
      </w:pPr>
      <w:r>
        <w:rPr/>
        <w:t>Companies are awarded the Baldrige National Quality Program for Performance Excellence, when they successfully implement the Baldrige model. This model helps organisations to improve their capabilities, performance practices, and results. Communication is facilitated by sharing</w:t>
      </w:r>
      <w:r>
        <w:rPr>
          <w:spacing w:val="-2"/>
        </w:rPr>
        <w:t> </w:t>
      </w:r>
      <w:r>
        <w:rPr/>
        <w:t>the</w:t>
      </w:r>
      <w:r>
        <w:rPr>
          <w:spacing w:val="-3"/>
        </w:rPr>
        <w:t> </w:t>
      </w:r>
      <w:r>
        <w:rPr/>
        <w:t>information</w:t>
      </w:r>
      <w:r>
        <w:rPr>
          <w:spacing w:val="-2"/>
        </w:rPr>
        <w:t> </w:t>
      </w:r>
      <w:r>
        <w:rPr/>
        <w:t>on</w:t>
      </w:r>
      <w:r>
        <w:rPr>
          <w:spacing w:val="-2"/>
        </w:rPr>
        <w:t> </w:t>
      </w:r>
      <w:r>
        <w:rPr/>
        <w:t>best</w:t>
      </w:r>
      <w:r>
        <w:rPr>
          <w:spacing w:val="-2"/>
        </w:rPr>
        <w:t> </w:t>
      </w:r>
      <w:r>
        <w:rPr/>
        <w:t>practices around in</w:t>
      </w:r>
      <w:r>
        <w:rPr>
          <w:spacing w:val="-2"/>
        </w:rPr>
        <w:t> </w:t>
      </w:r>
      <w:r>
        <w:rPr/>
        <w:t>the</w:t>
      </w:r>
      <w:r>
        <w:rPr>
          <w:spacing w:val="-3"/>
        </w:rPr>
        <w:t> </w:t>
      </w:r>
      <w:r>
        <w:rPr/>
        <w:t>industry.</w:t>
      </w:r>
      <w:r>
        <w:rPr>
          <w:spacing w:val="-2"/>
        </w:rPr>
        <w:t> </w:t>
      </w:r>
      <w:r>
        <w:rPr/>
        <w:t>This</w:t>
      </w:r>
      <w:r>
        <w:rPr>
          <w:spacing w:val="-2"/>
        </w:rPr>
        <w:t> </w:t>
      </w:r>
      <w:r>
        <w:rPr/>
        <w:t>serves</w:t>
      </w:r>
      <w:r>
        <w:rPr>
          <w:spacing w:val="-2"/>
        </w:rPr>
        <w:t> </w:t>
      </w:r>
      <w:r>
        <w:rPr/>
        <w:t>as</w:t>
      </w:r>
      <w:r>
        <w:rPr>
          <w:spacing w:val="-2"/>
        </w:rPr>
        <w:t> </w:t>
      </w:r>
      <w:r>
        <w:rPr/>
        <w:t>a</w:t>
      </w:r>
      <w:r>
        <w:rPr>
          <w:spacing w:val="-1"/>
        </w:rPr>
        <w:t> </w:t>
      </w:r>
      <w:r>
        <w:rPr/>
        <w:t>tool</w:t>
      </w:r>
      <w:r>
        <w:rPr>
          <w:spacing w:val="-2"/>
        </w:rPr>
        <w:t> </w:t>
      </w:r>
      <w:r>
        <w:rPr/>
        <w:t>for guiding, understanding</w:t>
      </w:r>
      <w:r>
        <w:rPr>
          <w:spacing w:val="60"/>
        </w:rPr>
        <w:t> </w:t>
      </w:r>
      <w:r>
        <w:rPr/>
        <w:t>and</w:t>
      </w:r>
      <w:r>
        <w:rPr>
          <w:spacing w:val="65"/>
        </w:rPr>
        <w:t> </w:t>
      </w:r>
      <w:r>
        <w:rPr/>
        <w:t>managing</w:t>
      </w:r>
      <w:r>
        <w:rPr>
          <w:spacing w:val="62"/>
        </w:rPr>
        <w:t> </w:t>
      </w:r>
      <w:r>
        <w:rPr/>
        <w:t>performance</w:t>
      </w:r>
      <w:r>
        <w:rPr>
          <w:spacing w:val="64"/>
        </w:rPr>
        <w:t> </w:t>
      </w:r>
      <w:r>
        <w:rPr/>
        <w:t>and</w:t>
      </w:r>
      <w:r>
        <w:rPr>
          <w:spacing w:val="67"/>
        </w:rPr>
        <w:t> </w:t>
      </w:r>
      <w:r>
        <w:rPr/>
        <w:t>for</w:t>
      </w:r>
      <w:r>
        <w:rPr>
          <w:spacing w:val="64"/>
        </w:rPr>
        <w:t> </w:t>
      </w:r>
      <w:r>
        <w:rPr/>
        <w:t>planning</w:t>
      </w:r>
      <w:r>
        <w:rPr>
          <w:spacing w:val="62"/>
        </w:rPr>
        <w:t> </w:t>
      </w:r>
      <w:r>
        <w:rPr/>
        <w:t>opportunities</w:t>
      </w:r>
      <w:r>
        <w:rPr>
          <w:spacing w:val="65"/>
        </w:rPr>
        <w:t> </w:t>
      </w:r>
      <w:r>
        <w:rPr/>
        <w:t>for</w:t>
      </w:r>
      <w:r>
        <w:rPr>
          <w:spacing w:val="64"/>
        </w:rPr>
        <w:t> </w:t>
      </w:r>
      <w:r>
        <w:rPr/>
        <w:t>learning.</w:t>
      </w:r>
      <w:r>
        <w:rPr>
          <w:spacing w:val="66"/>
        </w:rPr>
        <w:t> </w:t>
      </w:r>
      <w:r>
        <w:rPr>
          <w:spacing w:val="-5"/>
        </w:rPr>
        <w:t>The</w:t>
      </w:r>
    </w:p>
    <w:p>
      <w:pPr>
        <w:spacing w:after="0" w:line="480" w:lineRule="auto"/>
        <w:jc w:val="both"/>
        <w:sectPr>
          <w:pgSz w:w="12240" w:h="15840"/>
          <w:pgMar w:header="0" w:footer="1017" w:top="1360" w:bottom="1200" w:left="1040" w:right="120"/>
        </w:sectPr>
      </w:pPr>
    </w:p>
    <w:p>
      <w:pPr>
        <w:pStyle w:val="BodyText"/>
        <w:spacing w:line="482" w:lineRule="auto" w:before="72"/>
        <w:ind w:left="400" w:right="1321"/>
        <w:jc w:val="both"/>
      </w:pPr>
      <w:r>
        <w:rPr/>
        <w:t>Baldrige Award criteria are built on the following set of interrelated core values and concepts (NIST, 2003):</w:t>
      </w:r>
    </w:p>
    <w:p>
      <w:pPr>
        <w:pStyle w:val="ListParagraph"/>
        <w:numPr>
          <w:ilvl w:val="4"/>
          <w:numId w:val="30"/>
        </w:numPr>
        <w:tabs>
          <w:tab w:pos="1119" w:val="left" w:leader="none"/>
        </w:tabs>
        <w:spacing w:line="240" w:lineRule="auto" w:before="193" w:after="0"/>
        <w:ind w:left="1119" w:right="0" w:hanging="487"/>
        <w:jc w:val="left"/>
        <w:rPr>
          <w:sz w:val="24"/>
        </w:rPr>
      </w:pPr>
      <w:r>
        <w:rPr>
          <w:sz w:val="24"/>
        </w:rPr>
        <w:t>Visionary</w:t>
      </w:r>
      <w:r>
        <w:rPr>
          <w:spacing w:val="-6"/>
          <w:sz w:val="24"/>
        </w:rPr>
        <w:t> </w:t>
      </w:r>
      <w:r>
        <w:rPr>
          <w:spacing w:val="-2"/>
          <w:sz w:val="24"/>
        </w:rPr>
        <w:t>leadership;</w:t>
      </w:r>
    </w:p>
    <w:p>
      <w:pPr>
        <w:pStyle w:val="BodyText"/>
      </w:pPr>
    </w:p>
    <w:p>
      <w:pPr>
        <w:pStyle w:val="ListParagraph"/>
        <w:numPr>
          <w:ilvl w:val="4"/>
          <w:numId w:val="30"/>
        </w:numPr>
        <w:tabs>
          <w:tab w:pos="1119" w:val="left" w:leader="none"/>
        </w:tabs>
        <w:spacing w:line="240" w:lineRule="auto" w:before="0" w:after="0"/>
        <w:ind w:left="1119" w:right="0" w:hanging="554"/>
        <w:jc w:val="left"/>
        <w:rPr>
          <w:sz w:val="24"/>
        </w:rPr>
      </w:pPr>
      <w:r>
        <w:rPr>
          <w:sz w:val="24"/>
        </w:rPr>
        <w:t>Customer-driven</w:t>
      </w:r>
      <w:r>
        <w:rPr>
          <w:spacing w:val="-5"/>
          <w:sz w:val="24"/>
        </w:rPr>
        <w:t> </w:t>
      </w:r>
      <w:r>
        <w:rPr>
          <w:spacing w:val="-2"/>
          <w:sz w:val="24"/>
        </w:rPr>
        <w:t>excellence;</w:t>
      </w:r>
    </w:p>
    <w:p>
      <w:pPr>
        <w:pStyle w:val="BodyText"/>
      </w:pPr>
    </w:p>
    <w:p>
      <w:pPr>
        <w:pStyle w:val="ListParagraph"/>
        <w:numPr>
          <w:ilvl w:val="4"/>
          <w:numId w:val="30"/>
        </w:numPr>
        <w:tabs>
          <w:tab w:pos="1119" w:val="left" w:leader="none"/>
        </w:tabs>
        <w:spacing w:line="240" w:lineRule="auto" w:before="1" w:after="0"/>
        <w:ind w:left="1119" w:right="0" w:hanging="619"/>
        <w:jc w:val="left"/>
        <w:rPr>
          <w:sz w:val="24"/>
        </w:rPr>
      </w:pPr>
      <w:r>
        <w:rPr>
          <w:sz w:val="24"/>
        </w:rPr>
        <w:t>Organisational</w:t>
      </w:r>
      <w:r>
        <w:rPr>
          <w:spacing w:val="-2"/>
          <w:sz w:val="24"/>
        </w:rPr>
        <w:t> </w:t>
      </w:r>
      <w:r>
        <w:rPr>
          <w:sz w:val="24"/>
        </w:rPr>
        <w:t>and</w:t>
      </w:r>
      <w:r>
        <w:rPr>
          <w:spacing w:val="-2"/>
          <w:sz w:val="24"/>
        </w:rPr>
        <w:t> </w:t>
      </w:r>
      <w:r>
        <w:rPr>
          <w:sz w:val="24"/>
        </w:rPr>
        <w:t>personal</w:t>
      </w:r>
      <w:r>
        <w:rPr>
          <w:spacing w:val="-2"/>
          <w:sz w:val="24"/>
        </w:rPr>
        <w:t> learning;</w:t>
      </w:r>
    </w:p>
    <w:p>
      <w:pPr>
        <w:pStyle w:val="ListParagraph"/>
        <w:numPr>
          <w:ilvl w:val="4"/>
          <w:numId w:val="30"/>
        </w:numPr>
        <w:tabs>
          <w:tab w:pos="1119" w:val="left" w:leader="none"/>
        </w:tabs>
        <w:spacing w:line="240" w:lineRule="auto" w:before="276" w:after="0"/>
        <w:ind w:left="1119" w:right="0" w:hanging="607"/>
        <w:jc w:val="left"/>
        <w:rPr>
          <w:sz w:val="24"/>
        </w:rPr>
      </w:pPr>
      <w:r>
        <w:rPr>
          <w:sz w:val="24"/>
        </w:rPr>
        <w:t>Valuing</w:t>
      </w:r>
      <w:r>
        <w:rPr>
          <w:spacing w:val="-3"/>
          <w:sz w:val="24"/>
        </w:rPr>
        <w:t> </w:t>
      </w:r>
      <w:r>
        <w:rPr>
          <w:sz w:val="24"/>
        </w:rPr>
        <w:t>employees</w:t>
      </w:r>
      <w:r>
        <w:rPr>
          <w:spacing w:val="-2"/>
          <w:sz w:val="24"/>
        </w:rPr>
        <w:t> </w:t>
      </w:r>
      <w:r>
        <w:rPr>
          <w:sz w:val="24"/>
        </w:rPr>
        <w:t>and</w:t>
      </w:r>
      <w:r>
        <w:rPr>
          <w:spacing w:val="-2"/>
          <w:sz w:val="24"/>
        </w:rPr>
        <w:t> partners;</w:t>
      </w:r>
    </w:p>
    <w:p>
      <w:pPr>
        <w:pStyle w:val="ListParagraph"/>
        <w:numPr>
          <w:ilvl w:val="4"/>
          <w:numId w:val="30"/>
        </w:numPr>
        <w:tabs>
          <w:tab w:pos="1119" w:val="left" w:leader="none"/>
        </w:tabs>
        <w:spacing w:line="240" w:lineRule="auto" w:before="276" w:after="0"/>
        <w:ind w:left="1119" w:right="0" w:hanging="539"/>
        <w:jc w:val="left"/>
        <w:rPr>
          <w:sz w:val="24"/>
        </w:rPr>
      </w:pPr>
      <w:r>
        <w:rPr>
          <w:spacing w:val="-2"/>
          <w:sz w:val="24"/>
        </w:rPr>
        <w:t>Agility;</w:t>
      </w:r>
    </w:p>
    <w:p>
      <w:pPr>
        <w:pStyle w:val="ListParagraph"/>
        <w:numPr>
          <w:ilvl w:val="4"/>
          <w:numId w:val="30"/>
        </w:numPr>
        <w:tabs>
          <w:tab w:pos="1119" w:val="left" w:leader="none"/>
        </w:tabs>
        <w:spacing w:line="240" w:lineRule="auto" w:before="276" w:after="0"/>
        <w:ind w:left="1119" w:right="0" w:hanging="607"/>
        <w:jc w:val="left"/>
        <w:rPr>
          <w:sz w:val="24"/>
        </w:rPr>
      </w:pPr>
      <w:r>
        <w:rPr>
          <w:sz w:val="24"/>
        </w:rPr>
        <w:t>Focus</w:t>
      </w:r>
      <w:r>
        <w:rPr>
          <w:spacing w:val="-1"/>
          <w:sz w:val="24"/>
        </w:rPr>
        <w:t> </w:t>
      </w:r>
      <w:r>
        <w:rPr>
          <w:sz w:val="24"/>
        </w:rPr>
        <w:t>on</w:t>
      </w:r>
      <w:r>
        <w:rPr>
          <w:spacing w:val="-2"/>
          <w:sz w:val="24"/>
        </w:rPr>
        <w:t> </w:t>
      </w:r>
      <w:r>
        <w:rPr>
          <w:sz w:val="24"/>
        </w:rPr>
        <w:t>the</w:t>
      </w:r>
      <w:r>
        <w:rPr>
          <w:spacing w:val="-1"/>
          <w:sz w:val="24"/>
        </w:rPr>
        <w:t> </w:t>
      </w:r>
      <w:r>
        <w:rPr>
          <w:spacing w:val="-2"/>
          <w:sz w:val="24"/>
        </w:rPr>
        <w:t>future;</w:t>
      </w:r>
    </w:p>
    <w:p>
      <w:pPr>
        <w:pStyle w:val="ListParagraph"/>
        <w:numPr>
          <w:ilvl w:val="4"/>
          <w:numId w:val="30"/>
        </w:numPr>
        <w:tabs>
          <w:tab w:pos="1119" w:val="left" w:leader="none"/>
        </w:tabs>
        <w:spacing w:line="240" w:lineRule="auto" w:before="276" w:after="0"/>
        <w:ind w:left="1119" w:right="0" w:hanging="674"/>
        <w:jc w:val="left"/>
        <w:rPr>
          <w:sz w:val="24"/>
        </w:rPr>
      </w:pPr>
      <w:r>
        <w:rPr>
          <w:sz w:val="24"/>
        </w:rPr>
        <w:t>Managing</w:t>
      </w:r>
      <w:r>
        <w:rPr>
          <w:spacing w:val="-4"/>
          <w:sz w:val="24"/>
        </w:rPr>
        <w:t> </w:t>
      </w:r>
      <w:r>
        <w:rPr>
          <w:sz w:val="24"/>
        </w:rPr>
        <w:t>for</w:t>
      </w:r>
      <w:r>
        <w:rPr>
          <w:spacing w:val="-2"/>
          <w:sz w:val="24"/>
        </w:rPr>
        <w:t> innovation;</w:t>
      </w:r>
    </w:p>
    <w:p>
      <w:pPr>
        <w:pStyle w:val="ListParagraph"/>
        <w:numPr>
          <w:ilvl w:val="4"/>
          <w:numId w:val="30"/>
        </w:numPr>
        <w:tabs>
          <w:tab w:pos="1119" w:val="left" w:leader="none"/>
        </w:tabs>
        <w:spacing w:line="240" w:lineRule="auto" w:before="276" w:after="0"/>
        <w:ind w:left="1119" w:right="0" w:hanging="739"/>
        <w:jc w:val="left"/>
        <w:rPr>
          <w:sz w:val="24"/>
        </w:rPr>
      </w:pPr>
      <w:r>
        <w:rPr>
          <w:sz w:val="24"/>
        </w:rPr>
        <w:t>Management</w:t>
      </w:r>
      <w:r>
        <w:rPr>
          <w:spacing w:val="-1"/>
          <w:sz w:val="24"/>
        </w:rPr>
        <w:t> </w:t>
      </w:r>
      <w:r>
        <w:rPr>
          <w:sz w:val="24"/>
        </w:rPr>
        <w:t>by</w:t>
      </w:r>
      <w:r>
        <w:rPr>
          <w:spacing w:val="-5"/>
          <w:sz w:val="24"/>
        </w:rPr>
        <w:t> </w:t>
      </w:r>
      <w:r>
        <w:rPr>
          <w:spacing w:val="-2"/>
          <w:sz w:val="24"/>
        </w:rPr>
        <w:t>fact;</w:t>
      </w:r>
    </w:p>
    <w:p>
      <w:pPr>
        <w:pStyle w:val="ListParagraph"/>
        <w:numPr>
          <w:ilvl w:val="4"/>
          <w:numId w:val="30"/>
        </w:numPr>
        <w:tabs>
          <w:tab w:pos="1119" w:val="left" w:leader="none"/>
        </w:tabs>
        <w:spacing w:line="240" w:lineRule="auto" w:before="276" w:after="0"/>
        <w:ind w:left="1119" w:right="0" w:hanging="607"/>
        <w:jc w:val="left"/>
        <w:rPr>
          <w:sz w:val="24"/>
        </w:rPr>
      </w:pPr>
      <w:r>
        <w:rPr>
          <w:sz w:val="24"/>
        </w:rPr>
        <w:t>Social</w:t>
      </w:r>
      <w:r>
        <w:rPr>
          <w:spacing w:val="-2"/>
          <w:sz w:val="24"/>
        </w:rPr>
        <w:t> responsibility;</w:t>
      </w:r>
    </w:p>
    <w:p>
      <w:pPr>
        <w:pStyle w:val="ListParagraph"/>
        <w:numPr>
          <w:ilvl w:val="4"/>
          <w:numId w:val="30"/>
        </w:numPr>
        <w:tabs>
          <w:tab w:pos="1119" w:val="left" w:leader="none"/>
        </w:tabs>
        <w:spacing w:line="240" w:lineRule="auto" w:before="276" w:after="0"/>
        <w:ind w:left="1119" w:right="0" w:hanging="539"/>
        <w:jc w:val="left"/>
        <w:rPr>
          <w:sz w:val="24"/>
        </w:rPr>
      </w:pPr>
      <w:r>
        <w:rPr>
          <w:sz w:val="24"/>
        </w:rPr>
        <w:t>Focus</w:t>
      </w:r>
      <w:r>
        <w:rPr>
          <w:spacing w:val="-1"/>
          <w:sz w:val="24"/>
        </w:rPr>
        <w:t> </w:t>
      </w:r>
      <w:r>
        <w:rPr>
          <w:sz w:val="24"/>
        </w:rPr>
        <w:t>on</w:t>
      </w:r>
      <w:r>
        <w:rPr>
          <w:spacing w:val="-1"/>
          <w:sz w:val="24"/>
        </w:rPr>
        <w:t> </w:t>
      </w:r>
      <w:r>
        <w:rPr>
          <w:sz w:val="24"/>
        </w:rPr>
        <w:t>result</w:t>
      </w:r>
      <w:r>
        <w:rPr>
          <w:spacing w:val="-1"/>
          <w:sz w:val="24"/>
        </w:rPr>
        <w:t> </w:t>
      </w:r>
      <w:r>
        <w:rPr>
          <w:sz w:val="24"/>
        </w:rPr>
        <w:t>and</w:t>
      </w:r>
      <w:r>
        <w:rPr>
          <w:spacing w:val="-2"/>
          <w:sz w:val="24"/>
        </w:rPr>
        <w:t> </w:t>
      </w:r>
      <w:r>
        <w:rPr>
          <w:sz w:val="24"/>
        </w:rPr>
        <w:t>creating</w:t>
      </w:r>
      <w:r>
        <w:rPr>
          <w:spacing w:val="-3"/>
          <w:sz w:val="24"/>
        </w:rPr>
        <w:t> </w:t>
      </w:r>
      <w:r>
        <w:rPr>
          <w:sz w:val="24"/>
        </w:rPr>
        <w:t>value;</w:t>
      </w:r>
      <w:r>
        <w:rPr>
          <w:spacing w:val="1"/>
          <w:sz w:val="24"/>
        </w:rPr>
        <w:t> </w:t>
      </w:r>
      <w:r>
        <w:rPr>
          <w:spacing w:val="-4"/>
          <w:sz w:val="24"/>
        </w:rPr>
        <w:t>and,</w:t>
      </w:r>
    </w:p>
    <w:p>
      <w:pPr>
        <w:pStyle w:val="BodyText"/>
        <w:spacing w:before="2"/>
      </w:pPr>
    </w:p>
    <w:p>
      <w:pPr>
        <w:pStyle w:val="ListParagraph"/>
        <w:numPr>
          <w:ilvl w:val="4"/>
          <w:numId w:val="30"/>
        </w:numPr>
        <w:tabs>
          <w:tab w:pos="1119" w:val="left" w:leader="none"/>
        </w:tabs>
        <w:spacing w:line="240" w:lineRule="auto" w:before="0" w:after="0"/>
        <w:ind w:left="1119" w:right="0" w:hanging="607"/>
        <w:jc w:val="left"/>
        <w:rPr>
          <w:sz w:val="24"/>
        </w:rPr>
      </w:pPr>
      <w:r>
        <w:rPr>
          <w:sz w:val="24"/>
        </w:rPr>
        <w:t>Systems</w:t>
      </w:r>
      <w:r>
        <w:rPr>
          <w:spacing w:val="-3"/>
          <w:sz w:val="24"/>
        </w:rPr>
        <w:t> </w:t>
      </w:r>
      <w:r>
        <w:rPr>
          <w:spacing w:val="-2"/>
          <w:sz w:val="24"/>
        </w:rPr>
        <w:t>perspective.</w:t>
      </w:r>
    </w:p>
    <w:p>
      <w:pPr>
        <w:pStyle w:val="BodyText"/>
        <w:spacing w:before="197"/>
      </w:pPr>
    </w:p>
    <w:p>
      <w:pPr>
        <w:pStyle w:val="BodyText"/>
        <w:spacing w:line="482" w:lineRule="auto"/>
        <w:ind w:left="400" w:right="1318"/>
        <w:jc w:val="both"/>
      </w:pPr>
      <w:r>
        <w:rPr/>
        <w:t>These are embodied in seven categories which are used to assess organizations. The framework that connects and integrates these categories as shown in Figure (3.5).</w:t>
      </w:r>
    </w:p>
    <w:p>
      <w:pPr>
        <w:pStyle w:val="ListParagraph"/>
        <w:numPr>
          <w:ilvl w:val="0"/>
          <w:numId w:val="31"/>
        </w:numPr>
        <w:tabs>
          <w:tab w:pos="1118" w:val="left" w:leader="none"/>
          <w:tab w:pos="1120" w:val="left" w:leader="none"/>
        </w:tabs>
        <w:spacing w:line="360" w:lineRule="auto" w:before="199" w:after="0"/>
        <w:ind w:left="1120" w:right="1317" w:hanging="488"/>
        <w:jc w:val="both"/>
        <w:rPr>
          <w:sz w:val="24"/>
        </w:rPr>
      </w:pPr>
      <w:r>
        <w:rPr>
          <w:sz w:val="24"/>
        </w:rPr>
        <w:t>The leadership category: this examines how the senior executives create a clear quality value system to guide all company activities.</w:t>
      </w:r>
    </w:p>
    <w:p>
      <w:pPr>
        <w:pStyle w:val="ListParagraph"/>
        <w:numPr>
          <w:ilvl w:val="0"/>
          <w:numId w:val="31"/>
        </w:numPr>
        <w:tabs>
          <w:tab w:pos="1118" w:val="left" w:leader="none"/>
          <w:tab w:pos="1120" w:val="left" w:leader="none"/>
        </w:tabs>
        <w:spacing w:line="360" w:lineRule="auto" w:before="0" w:after="0"/>
        <w:ind w:left="1120" w:right="1318" w:hanging="555"/>
        <w:jc w:val="both"/>
        <w:rPr>
          <w:sz w:val="24"/>
        </w:rPr>
      </w:pPr>
      <w:r>
        <w:rPr>
          <w:sz w:val="24"/>
        </w:rPr>
        <w:t>The strategic planning</w:t>
      </w:r>
      <w:r>
        <w:rPr>
          <w:spacing w:val="-1"/>
          <w:sz w:val="24"/>
        </w:rPr>
        <w:t> </w:t>
      </w:r>
      <w:r>
        <w:rPr>
          <w:sz w:val="24"/>
        </w:rPr>
        <w:t>category: this examines how the company</w:t>
      </w:r>
      <w:r>
        <w:rPr>
          <w:spacing w:val="-3"/>
          <w:sz w:val="24"/>
        </w:rPr>
        <w:t> </w:t>
      </w:r>
      <w:r>
        <w:rPr>
          <w:sz w:val="24"/>
        </w:rPr>
        <w:t>sets strategic directions, how it determines key action plans, and then to translates them into an effective performance management system.</w:t>
      </w:r>
    </w:p>
    <w:p>
      <w:pPr>
        <w:pStyle w:val="ListParagraph"/>
        <w:numPr>
          <w:ilvl w:val="0"/>
          <w:numId w:val="31"/>
        </w:numPr>
        <w:tabs>
          <w:tab w:pos="1116" w:val="left" w:leader="none"/>
          <w:tab w:pos="1119" w:val="left" w:leader="none"/>
        </w:tabs>
        <w:spacing w:line="360" w:lineRule="auto" w:before="0" w:after="0"/>
        <w:ind w:left="1119" w:right="1320" w:hanging="620"/>
        <w:jc w:val="both"/>
        <w:rPr>
          <w:sz w:val="24"/>
        </w:rPr>
      </w:pPr>
      <w:r>
        <w:rPr>
          <w:sz w:val="24"/>
        </w:rPr>
        <w:t>The customer and market focus category: this examines how the company determines requirements and expectations of customers and markets. Also determine their </w:t>
      </w:r>
      <w:r>
        <w:rPr>
          <w:spacing w:val="-2"/>
          <w:sz w:val="24"/>
        </w:rPr>
        <w:t>satisfaction.</w:t>
      </w:r>
    </w:p>
    <w:p>
      <w:pPr>
        <w:spacing w:after="0" w:line="360" w:lineRule="auto"/>
        <w:jc w:val="both"/>
        <w:rPr>
          <w:sz w:val="24"/>
        </w:rPr>
        <w:sectPr>
          <w:pgSz w:w="12240" w:h="15840"/>
          <w:pgMar w:header="0" w:footer="1017" w:top="1360" w:bottom="1200" w:left="1040" w:right="120"/>
        </w:sectPr>
      </w:pPr>
    </w:p>
    <w:p>
      <w:pPr>
        <w:pStyle w:val="ListParagraph"/>
        <w:numPr>
          <w:ilvl w:val="0"/>
          <w:numId w:val="31"/>
        </w:numPr>
        <w:tabs>
          <w:tab w:pos="1118" w:val="left" w:leader="none"/>
          <w:tab w:pos="1120" w:val="left" w:leader="none"/>
        </w:tabs>
        <w:spacing w:line="360" w:lineRule="auto" w:before="74" w:after="0"/>
        <w:ind w:left="1120" w:right="1319" w:hanging="608"/>
        <w:jc w:val="both"/>
        <w:rPr>
          <w:sz w:val="24"/>
        </w:rPr>
      </w:pPr>
      <w:r>
        <w:rPr>
          <w:sz w:val="24"/>
        </w:rPr>
        <w:t>The information and analysis category: this examines the management and effectiveness of the use of data to support key company processes and performance management </w:t>
      </w:r>
      <w:r>
        <w:rPr>
          <w:spacing w:val="-2"/>
          <w:sz w:val="24"/>
        </w:rPr>
        <w:t>systems.</w:t>
      </w:r>
    </w:p>
    <w:p>
      <w:pPr>
        <w:pStyle w:val="ListParagraph"/>
        <w:numPr>
          <w:ilvl w:val="0"/>
          <w:numId w:val="31"/>
        </w:numPr>
        <w:tabs>
          <w:tab w:pos="1119" w:val="left" w:leader="none"/>
        </w:tabs>
        <w:spacing w:line="360" w:lineRule="auto" w:before="0" w:after="0"/>
        <w:ind w:left="1119" w:right="1320" w:hanging="540"/>
        <w:jc w:val="both"/>
        <w:rPr>
          <w:sz w:val="24"/>
        </w:rPr>
      </w:pPr>
      <w:r>
        <w:rPr>
          <w:sz w:val="24"/>
        </w:rPr>
        <w:t>The human resource development and management category: this examines how the workforce is enabled to develop and utilize its full potential with the company's </w:t>
      </w:r>
      <w:r>
        <w:rPr>
          <w:spacing w:val="-2"/>
          <w:sz w:val="24"/>
        </w:rPr>
        <w:t>objectives.</w:t>
      </w:r>
    </w:p>
    <w:p>
      <w:pPr>
        <w:pStyle w:val="ListParagraph"/>
        <w:numPr>
          <w:ilvl w:val="0"/>
          <w:numId w:val="31"/>
        </w:numPr>
        <w:tabs>
          <w:tab w:pos="1117" w:val="left" w:leader="none"/>
          <w:tab w:pos="1119" w:val="left" w:leader="none"/>
        </w:tabs>
        <w:spacing w:line="360" w:lineRule="auto" w:before="0" w:after="0"/>
        <w:ind w:left="1119" w:right="1316" w:hanging="608"/>
        <w:jc w:val="both"/>
        <w:rPr>
          <w:sz w:val="24"/>
        </w:rPr>
      </w:pPr>
      <w:r>
        <w:rPr>
          <w:sz w:val="24"/>
        </w:rPr>
        <w:t>The process management category: this examines the key aspects of process</w:t>
      </w:r>
      <w:r>
        <w:rPr>
          <w:spacing w:val="40"/>
          <w:sz w:val="24"/>
        </w:rPr>
        <w:t> </w:t>
      </w:r>
      <w:r>
        <w:rPr>
          <w:sz w:val="24"/>
        </w:rPr>
        <w:t>management, including customer-focused design, product, and service delivery</w:t>
      </w:r>
      <w:r>
        <w:rPr>
          <w:spacing w:val="40"/>
          <w:sz w:val="24"/>
        </w:rPr>
        <w:t> </w:t>
      </w:r>
      <w:r>
        <w:rPr>
          <w:sz w:val="24"/>
        </w:rPr>
        <w:t>processes, support processes, and supplier and partnering processes involving all work </w:t>
      </w:r>
      <w:r>
        <w:rPr>
          <w:spacing w:val="-2"/>
          <w:sz w:val="24"/>
        </w:rPr>
        <w:t>units.</w:t>
      </w:r>
    </w:p>
    <w:p>
      <w:pPr>
        <w:pStyle w:val="ListParagraph"/>
        <w:numPr>
          <w:ilvl w:val="0"/>
          <w:numId w:val="31"/>
        </w:numPr>
        <w:tabs>
          <w:tab w:pos="1117" w:val="left" w:leader="none"/>
          <w:tab w:pos="1119" w:val="left" w:leader="none"/>
        </w:tabs>
        <w:spacing w:line="360" w:lineRule="auto" w:before="0" w:after="0"/>
        <w:ind w:left="1119" w:right="1321" w:hanging="675"/>
        <w:jc w:val="both"/>
        <w:rPr>
          <w:sz w:val="24"/>
        </w:rPr>
      </w:pPr>
      <w:r>
        <w:rPr>
          <w:sz w:val="24"/>
        </w:rPr>
        <w:t>The business results category: this examines the company's performance and improvement in key business areas including customer satisfaction, financial and marketplace, performance, human resources, supplier and partner performance, and operational performance.</w:t>
      </w:r>
    </w:p>
    <w:p>
      <w:pPr>
        <w:pStyle w:val="BodyText"/>
        <w:spacing w:before="9"/>
        <w:rPr>
          <w:sz w:val="6"/>
        </w:rPr>
      </w:pPr>
      <w:r>
        <w:rPr/>
        <mc:AlternateContent>
          <mc:Choice Requires="wps">
            <w:drawing>
              <wp:anchor distT="0" distB="0" distL="0" distR="0" allowOverlap="1" layoutInCell="1" locked="0" behindDoc="1" simplePos="0" relativeHeight="487600640">
                <wp:simplePos x="0" y="0"/>
                <wp:positionH relativeFrom="page">
                  <wp:posOffset>923607</wp:posOffset>
                </wp:positionH>
                <wp:positionV relativeFrom="paragraph">
                  <wp:posOffset>65400</wp:posOffset>
                </wp:positionV>
                <wp:extent cx="5660390" cy="2153920"/>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5660390" cy="2153920"/>
                          <a:chExt cx="5660390" cy="2153920"/>
                        </a:xfrm>
                      </wpg:grpSpPr>
                      <wps:wsp>
                        <wps:cNvPr id="178" name="Graphic 178"/>
                        <wps:cNvSpPr/>
                        <wps:spPr>
                          <a:xfrm>
                            <a:off x="1105852" y="4762"/>
                            <a:ext cx="3858260" cy="568960"/>
                          </a:xfrm>
                          <a:custGeom>
                            <a:avLst/>
                            <a:gdLst/>
                            <a:ahLst/>
                            <a:cxnLst/>
                            <a:rect l="l" t="t" r="r" b="b"/>
                            <a:pathLst>
                              <a:path w="3858260" h="568960">
                                <a:moveTo>
                                  <a:pt x="1929130" y="0"/>
                                </a:moveTo>
                                <a:lnTo>
                                  <a:pt x="1851537" y="225"/>
                                </a:lnTo>
                                <a:lnTo>
                                  <a:pt x="1774722" y="897"/>
                                </a:lnTo>
                                <a:lnTo>
                                  <a:pt x="1698742" y="2007"/>
                                </a:lnTo>
                                <a:lnTo>
                                  <a:pt x="1623657" y="3545"/>
                                </a:lnTo>
                                <a:lnTo>
                                  <a:pt x="1549522" y="5505"/>
                                </a:lnTo>
                                <a:lnTo>
                                  <a:pt x="1476395" y="7876"/>
                                </a:lnTo>
                                <a:lnTo>
                                  <a:pt x="1404335" y="10651"/>
                                </a:lnTo>
                                <a:lnTo>
                                  <a:pt x="1333398" y="13821"/>
                                </a:lnTo>
                                <a:lnTo>
                                  <a:pt x="1263643" y="17377"/>
                                </a:lnTo>
                                <a:lnTo>
                                  <a:pt x="1195127" y="21312"/>
                                </a:lnTo>
                                <a:lnTo>
                                  <a:pt x="1127908" y="25616"/>
                                </a:lnTo>
                                <a:lnTo>
                                  <a:pt x="1062042" y="30282"/>
                                </a:lnTo>
                                <a:lnTo>
                                  <a:pt x="997589" y="35300"/>
                                </a:lnTo>
                                <a:lnTo>
                                  <a:pt x="934605" y="40662"/>
                                </a:lnTo>
                                <a:lnTo>
                                  <a:pt x="873148" y="46360"/>
                                </a:lnTo>
                                <a:lnTo>
                                  <a:pt x="813276" y="52385"/>
                                </a:lnTo>
                                <a:lnTo>
                                  <a:pt x="755046" y="58729"/>
                                </a:lnTo>
                                <a:lnTo>
                                  <a:pt x="698515" y="65382"/>
                                </a:lnTo>
                                <a:lnTo>
                                  <a:pt x="643743" y="72338"/>
                                </a:lnTo>
                                <a:lnTo>
                                  <a:pt x="590785" y="79586"/>
                                </a:lnTo>
                                <a:lnTo>
                                  <a:pt x="539700" y="87120"/>
                                </a:lnTo>
                                <a:lnTo>
                                  <a:pt x="490546" y="94929"/>
                                </a:lnTo>
                                <a:lnTo>
                                  <a:pt x="443379" y="103006"/>
                                </a:lnTo>
                                <a:lnTo>
                                  <a:pt x="398258" y="111342"/>
                                </a:lnTo>
                                <a:lnTo>
                                  <a:pt x="355241" y="119929"/>
                                </a:lnTo>
                                <a:lnTo>
                                  <a:pt x="314384" y="128758"/>
                                </a:lnTo>
                                <a:lnTo>
                                  <a:pt x="275745" y="137821"/>
                                </a:lnTo>
                                <a:lnTo>
                                  <a:pt x="205353" y="156614"/>
                                </a:lnTo>
                                <a:lnTo>
                                  <a:pt x="144527" y="176239"/>
                                </a:lnTo>
                                <a:lnTo>
                                  <a:pt x="93726" y="196629"/>
                                </a:lnTo>
                                <a:lnTo>
                                  <a:pt x="53412" y="217716"/>
                                </a:lnTo>
                                <a:lnTo>
                                  <a:pt x="13612" y="250505"/>
                                </a:lnTo>
                                <a:lnTo>
                                  <a:pt x="0" y="284479"/>
                                </a:lnTo>
                                <a:lnTo>
                                  <a:pt x="0" y="568959"/>
                                </a:lnTo>
                                <a:lnTo>
                                  <a:pt x="3858260" y="568959"/>
                                </a:lnTo>
                                <a:lnTo>
                                  <a:pt x="3858260" y="284479"/>
                                </a:lnTo>
                                <a:lnTo>
                                  <a:pt x="3834213" y="239433"/>
                                </a:lnTo>
                                <a:lnTo>
                                  <a:pt x="3786030" y="207090"/>
                                </a:lnTo>
                                <a:lnTo>
                                  <a:pt x="3740415" y="186343"/>
                                </a:lnTo>
                                <a:lnTo>
                                  <a:pt x="3684543" y="166326"/>
                                </a:lnTo>
                                <a:lnTo>
                                  <a:pt x="3618877" y="147109"/>
                                </a:lnTo>
                                <a:lnTo>
                                  <a:pt x="3543875" y="128758"/>
                                </a:lnTo>
                                <a:lnTo>
                                  <a:pt x="3503018" y="119929"/>
                                </a:lnTo>
                                <a:lnTo>
                                  <a:pt x="3460001" y="111342"/>
                                </a:lnTo>
                                <a:lnTo>
                                  <a:pt x="3414880" y="103006"/>
                                </a:lnTo>
                                <a:lnTo>
                                  <a:pt x="3367713" y="94929"/>
                                </a:lnTo>
                                <a:lnTo>
                                  <a:pt x="3318559" y="87120"/>
                                </a:lnTo>
                                <a:lnTo>
                                  <a:pt x="3267474" y="79586"/>
                                </a:lnTo>
                                <a:lnTo>
                                  <a:pt x="3214516" y="72338"/>
                                </a:lnTo>
                                <a:lnTo>
                                  <a:pt x="3159744" y="65382"/>
                                </a:lnTo>
                                <a:lnTo>
                                  <a:pt x="3103213" y="58729"/>
                                </a:lnTo>
                                <a:lnTo>
                                  <a:pt x="3044983" y="52385"/>
                                </a:lnTo>
                                <a:lnTo>
                                  <a:pt x="2985111" y="46360"/>
                                </a:lnTo>
                                <a:lnTo>
                                  <a:pt x="2923654" y="40662"/>
                                </a:lnTo>
                                <a:lnTo>
                                  <a:pt x="2860670" y="35300"/>
                                </a:lnTo>
                                <a:lnTo>
                                  <a:pt x="2796217" y="30282"/>
                                </a:lnTo>
                                <a:lnTo>
                                  <a:pt x="2730351" y="25616"/>
                                </a:lnTo>
                                <a:lnTo>
                                  <a:pt x="2663132" y="21312"/>
                                </a:lnTo>
                                <a:lnTo>
                                  <a:pt x="2594616" y="17377"/>
                                </a:lnTo>
                                <a:lnTo>
                                  <a:pt x="2524861" y="13821"/>
                                </a:lnTo>
                                <a:lnTo>
                                  <a:pt x="2453924" y="10651"/>
                                </a:lnTo>
                                <a:lnTo>
                                  <a:pt x="2381864" y="7876"/>
                                </a:lnTo>
                                <a:lnTo>
                                  <a:pt x="2308737" y="5505"/>
                                </a:lnTo>
                                <a:lnTo>
                                  <a:pt x="2234602" y="3545"/>
                                </a:lnTo>
                                <a:lnTo>
                                  <a:pt x="2159517" y="2007"/>
                                </a:lnTo>
                                <a:lnTo>
                                  <a:pt x="2083537" y="897"/>
                                </a:lnTo>
                                <a:lnTo>
                                  <a:pt x="2006722" y="225"/>
                                </a:lnTo>
                                <a:lnTo>
                                  <a:pt x="1929130" y="0"/>
                                </a:lnTo>
                                <a:close/>
                              </a:path>
                            </a:pathLst>
                          </a:custGeom>
                          <a:solidFill>
                            <a:srgbClr val="C6D9F1"/>
                          </a:solidFill>
                        </wps:spPr>
                        <wps:bodyPr wrap="square" lIns="0" tIns="0" rIns="0" bIns="0" rtlCol="0">
                          <a:prstTxWarp prst="textNoShape">
                            <a:avLst/>
                          </a:prstTxWarp>
                          <a:noAutofit/>
                        </wps:bodyPr>
                      </wps:wsp>
                      <wps:wsp>
                        <wps:cNvPr id="179" name="Graphic 179"/>
                        <wps:cNvSpPr/>
                        <wps:spPr>
                          <a:xfrm>
                            <a:off x="1105852" y="4762"/>
                            <a:ext cx="3858260" cy="568960"/>
                          </a:xfrm>
                          <a:custGeom>
                            <a:avLst/>
                            <a:gdLst/>
                            <a:ahLst/>
                            <a:cxnLst/>
                            <a:rect l="l" t="t" r="r" b="b"/>
                            <a:pathLst>
                              <a:path w="3858260" h="568960">
                                <a:moveTo>
                                  <a:pt x="0" y="284479"/>
                                </a:moveTo>
                                <a:lnTo>
                                  <a:pt x="24046" y="239433"/>
                                </a:lnTo>
                                <a:lnTo>
                                  <a:pt x="72229" y="207090"/>
                                </a:lnTo>
                                <a:lnTo>
                                  <a:pt x="117844" y="186343"/>
                                </a:lnTo>
                                <a:lnTo>
                                  <a:pt x="173716" y="166326"/>
                                </a:lnTo>
                                <a:lnTo>
                                  <a:pt x="239382" y="147109"/>
                                </a:lnTo>
                                <a:lnTo>
                                  <a:pt x="314384" y="128758"/>
                                </a:lnTo>
                                <a:lnTo>
                                  <a:pt x="355241" y="119929"/>
                                </a:lnTo>
                                <a:lnTo>
                                  <a:pt x="398258" y="111342"/>
                                </a:lnTo>
                                <a:lnTo>
                                  <a:pt x="443379" y="103006"/>
                                </a:lnTo>
                                <a:lnTo>
                                  <a:pt x="490546" y="94929"/>
                                </a:lnTo>
                                <a:lnTo>
                                  <a:pt x="539700" y="87120"/>
                                </a:lnTo>
                                <a:lnTo>
                                  <a:pt x="590785" y="79586"/>
                                </a:lnTo>
                                <a:lnTo>
                                  <a:pt x="643743" y="72338"/>
                                </a:lnTo>
                                <a:lnTo>
                                  <a:pt x="698515" y="65382"/>
                                </a:lnTo>
                                <a:lnTo>
                                  <a:pt x="755046" y="58729"/>
                                </a:lnTo>
                                <a:lnTo>
                                  <a:pt x="813276" y="52385"/>
                                </a:lnTo>
                                <a:lnTo>
                                  <a:pt x="873148" y="46360"/>
                                </a:lnTo>
                                <a:lnTo>
                                  <a:pt x="934605" y="40662"/>
                                </a:lnTo>
                                <a:lnTo>
                                  <a:pt x="997589" y="35300"/>
                                </a:lnTo>
                                <a:lnTo>
                                  <a:pt x="1062042" y="30282"/>
                                </a:lnTo>
                                <a:lnTo>
                                  <a:pt x="1127908" y="25616"/>
                                </a:lnTo>
                                <a:lnTo>
                                  <a:pt x="1195127" y="21312"/>
                                </a:lnTo>
                                <a:lnTo>
                                  <a:pt x="1263643" y="17377"/>
                                </a:lnTo>
                                <a:lnTo>
                                  <a:pt x="1333398" y="13821"/>
                                </a:lnTo>
                                <a:lnTo>
                                  <a:pt x="1404335" y="10651"/>
                                </a:lnTo>
                                <a:lnTo>
                                  <a:pt x="1476395" y="7876"/>
                                </a:lnTo>
                                <a:lnTo>
                                  <a:pt x="1549522" y="5505"/>
                                </a:lnTo>
                                <a:lnTo>
                                  <a:pt x="1623657" y="3545"/>
                                </a:lnTo>
                                <a:lnTo>
                                  <a:pt x="1698742" y="2007"/>
                                </a:lnTo>
                                <a:lnTo>
                                  <a:pt x="1774722" y="897"/>
                                </a:lnTo>
                                <a:lnTo>
                                  <a:pt x="1851537" y="225"/>
                                </a:lnTo>
                                <a:lnTo>
                                  <a:pt x="1929130" y="0"/>
                                </a:lnTo>
                                <a:lnTo>
                                  <a:pt x="2006722" y="225"/>
                                </a:lnTo>
                                <a:lnTo>
                                  <a:pt x="2083537" y="897"/>
                                </a:lnTo>
                                <a:lnTo>
                                  <a:pt x="2159517" y="2007"/>
                                </a:lnTo>
                                <a:lnTo>
                                  <a:pt x="2234602" y="3545"/>
                                </a:lnTo>
                                <a:lnTo>
                                  <a:pt x="2308737" y="5505"/>
                                </a:lnTo>
                                <a:lnTo>
                                  <a:pt x="2381864" y="7876"/>
                                </a:lnTo>
                                <a:lnTo>
                                  <a:pt x="2453924" y="10651"/>
                                </a:lnTo>
                                <a:lnTo>
                                  <a:pt x="2524861" y="13821"/>
                                </a:lnTo>
                                <a:lnTo>
                                  <a:pt x="2594616" y="17377"/>
                                </a:lnTo>
                                <a:lnTo>
                                  <a:pt x="2663132" y="21312"/>
                                </a:lnTo>
                                <a:lnTo>
                                  <a:pt x="2730351" y="25616"/>
                                </a:lnTo>
                                <a:lnTo>
                                  <a:pt x="2796217" y="30282"/>
                                </a:lnTo>
                                <a:lnTo>
                                  <a:pt x="2860670" y="35300"/>
                                </a:lnTo>
                                <a:lnTo>
                                  <a:pt x="2923654" y="40662"/>
                                </a:lnTo>
                                <a:lnTo>
                                  <a:pt x="2985111" y="46360"/>
                                </a:lnTo>
                                <a:lnTo>
                                  <a:pt x="3044983" y="52385"/>
                                </a:lnTo>
                                <a:lnTo>
                                  <a:pt x="3103213" y="58729"/>
                                </a:lnTo>
                                <a:lnTo>
                                  <a:pt x="3159744" y="65382"/>
                                </a:lnTo>
                                <a:lnTo>
                                  <a:pt x="3214516" y="72338"/>
                                </a:lnTo>
                                <a:lnTo>
                                  <a:pt x="3267474" y="79586"/>
                                </a:lnTo>
                                <a:lnTo>
                                  <a:pt x="3318559" y="87120"/>
                                </a:lnTo>
                                <a:lnTo>
                                  <a:pt x="3367713" y="94929"/>
                                </a:lnTo>
                                <a:lnTo>
                                  <a:pt x="3414880" y="103006"/>
                                </a:lnTo>
                                <a:lnTo>
                                  <a:pt x="3460001" y="111342"/>
                                </a:lnTo>
                                <a:lnTo>
                                  <a:pt x="3503018" y="119929"/>
                                </a:lnTo>
                                <a:lnTo>
                                  <a:pt x="3543875" y="128758"/>
                                </a:lnTo>
                                <a:lnTo>
                                  <a:pt x="3582514" y="137821"/>
                                </a:lnTo>
                                <a:lnTo>
                                  <a:pt x="3652906" y="156614"/>
                                </a:lnTo>
                                <a:lnTo>
                                  <a:pt x="3713732" y="176239"/>
                                </a:lnTo>
                                <a:lnTo>
                                  <a:pt x="3764533" y="196629"/>
                                </a:lnTo>
                                <a:lnTo>
                                  <a:pt x="3804847" y="217716"/>
                                </a:lnTo>
                                <a:lnTo>
                                  <a:pt x="3844647" y="250505"/>
                                </a:lnTo>
                                <a:lnTo>
                                  <a:pt x="3858260" y="284479"/>
                                </a:lnTo>
                                <a:lnTo>
                                  <a:pt x="3858260" y="568959"/>
                                </a:lnTo>
                                <a:lnTo>
                                  <a:pt x="0" y="568959"/>
                                </a:lnTo>
                                <a:lnTo>
                                  <a:pt x="0" y="284479"/>
                                </a:lnTo>
                                <a:close/>
                              </a:path>
                            </a:pathLst>
                          </a:custGeom>
                          <a:ln w="9525">
                            <a:solidFill>
                              <a:srgbClr val="000000"/>
                            </a:solidFill>
                            <a:prstDash val="solid"/>
                          </a:ln>
                        </wps:spPr>
                        <wps:bodyPr wrap="square" lIns="0" tIns="0" rIns="0" bIns="0" rtlCol="0">
                          <a:prstTxWarp prst="textNoShape">
                            <a:avLst/>
                          </a:prstTxWarp>
                          <a:noAutofit/>
                        </wps:bodyPr>
                      </wps:wsp>
                      <wps:wsp>
                        <wps:cNvPr id="180" name="Graphic 180"/>
                        <wps:cNvSpPr/>
                        <wps:spPr>
                          <a:xfrm>
                            <a:off x="1542732" y="754062"/>
                            <a:ext cx="1009650" cy="625475"/>
                          </a:xfrm>
                          <a:custGeom>
                            <a:avLst/>
                            <a:gdLst/>
                            <a:ahLst/>
                            <a:cxnLst/>
                            <a:rect l="l" t="t" r="r" b="b"/>
                            <a:pathLst>
                              <a:path w="1009650" h="625475">
                                <a:moveTo>
                                  <a:pt x="1009650" y="0"/>
                                </a:moveTo>
                                <a:lnTo>
                                  <a:pt x="0" y="0"/>
                                </a:lnTo>
                                <a:lnTo>
                                  <a:pt x="0" y="625475"/>
                                </a:lnTo>
                                <a:lnTo>
                                  <a:pt x="1009650" y="625475"/>
                                </a:lnTo>
                                <a:lnTo>
                                  <a:pt x="1009650" y="0"/>
                                </a:lnTo>
                                <a:close/>
                              </a:path>
                            </a:pathLst>
                          </a:custGeom>
                          <a:solidFill>
                            <a:srgbClr val="D6E3BC"/>
                          </a:solidFill>
                        </wps:spPr>
                        <wps:bodyPr wrap="square" lIns="0" tIns="0" rIns="0" bIns="0" rtlCol="0">
                          <a:prstTxWarp prst="textNoShape">
                            <a:avLst/>
                          </a:prstTxWarp>
                          <a:noAutofit/>
                        </wps:bodyPr>
                      </wps:wsp>
                      <wps:wsp>
                        <wps:cNvPr id="181" name="Graphic 181"/>
                        <wps:cNvSpPr/>
                        <wps:spPr>
                          <a:xfrm>
                            <a:off x="1542732" y="754062"/>
                            <a:ext cx="1009650" cy="625475"/>
                          </a:xfrm>
                          <a:custGeom>
                            <a:avLst/>
                            <a:gdLst/>
                            <a:ahLst/>
                            <a:cxnLst/>
                            <a:rect l="l" t="t" r="r" b="b"/>
                            <a:pathLst>
                              <a:path w="1009650" h="625475">
                                <a:moveTo>
                                  <a:pt x="0" y="625475"/>
                                </a:moveTo>
                                <a:lnTo>
                                  <a:pt x="1009650" y="625475"/>
                                </a:lnTo>
                                <a:lnTo>
                                  <a:pt x="1009650" y="0"/>
                                </a:lnTo>
                                <a:lnTo>
                                  <a:pt x="0" y="0"/>
                                </a:lnTo>
                                <a:lnTo>
                                  <a:pt x="0" y="625475"/>
                                </a:lnTo>
                                <a:close/>
                              </a:path>
                            </a:pathLst>
                          </a:custGeom>
                          <a:ln w="9525">
                            <a:solidFill>
                              <a:srgbClr val="000000"/>
                            </a:solidFill>
                            <a:prstDash val="solid"/>
                          </a:ln>
                        </wps:spPr>
                        <wps:bodyPr wrap="square" lIns="0" tIns="0" rIns="0" bIns="0" rtlCol="0">
                          <a:prstTxWarp prst="textNoShape">
                            <a:avLst/>
                          </a:prstTxWarp>
                          <a:noAutofit/>
                        </wps:bodyPr>
                      </wps:wsp>
                      <wps:wsp>
                        <wps:cNvPr id="182" name="Graphic 182"/>
                        <wps:cNvSpPr/>
                        <wps:spPr>
                          <a:xfrm>
                            <a:off x="4800282" y="1139507"/>
                            <a:ext cx="855344" cy="621030"/>
                          </a:xfrm>
                          <a:custGeom>
                            <a:avLst/>
                            <a:gdLst/>
                            <a:ahLst/>
                            <a:cxnLst/>
                            <a:rect l="l" t="t" r="r" b="b"/>
                            <a:pathLst>
                              <a:path w="855344" h="621030">
                                <a:moveTo>
                                  <a:pt x="855344" y="0"/>
                                </a:moveTo>
                                <a:lnTo>
                                  <a:pt x="0" y="0"/>
                                </a:lnTo>
                                <a:lnTo>
                                  <a:pt x="0" y="621029"/>
                                </a:lnTo>
                                <a:lnTo>
                                  <a:pt x="855344" y="621029"/>
                                </a:lnTo>
                                <a:lnTo>
                                  <a:pt x="855344" y="0"/>
                                </a:lnTo>
                                <a:close/>
                              </a:path>
                            </a:pathLst>
                          </a:custGeom>
                          <a:solidFill>
                            <a:srgbClr val="F2DBDB"/>
                          </a:solidFill>
                        </wps:spPr>
                        <wps:bodyPr wrap="square" lIns="0" tIns="0" rIns="0" bIns="0" rtlCol="0">
                          <a:prstTxWarp prst="textNoShape">
                            <a:avLst/>
                          </a:prstTxWarp>
                          <a:noAutofit/>
                        </wps:bodyPr>
                      </wps:wsp>
                      <wps:wsp>
                        <wps:cNvPr id="183" name="Graphic 183"/>
                        <wps:cNvSpPr/>
                        <wps:spPr>
                          <a:xfrm>
                            <a:off x="4800282" y="1139507"/>
                            <a:ext cx="855344" cy="621030"/>
                          </a:xfrm>
                          <a:custGeom>
                            <a:avLst/>
                            <a:gdLst/>
                            <a:ahLst/>
                            <a:cxnLst/>
                            <a:rect l="l" t="t" r="r" b="b"/>
                            <a:pathLst>
                              <a:path w="855344" h="621030">
                                <a:moveTo>
                                  <a:pt x="0" y="621029"/>
                                </a:moveTo>
                                <a:lnTo>
                                  <a:pt x="855344" y="621029"/>
                                </a:lnTo>
                                <a:lnTo>
                                  <a:pt x="855344" y="0"/>
                                </a:lnTo>
                                <a:lnTo>
                                  <a:pt x="0" y="0"/>
                                </a:lnTo>
                                <a:lnTo>
                                  <a:pt x="0" y="621029"/>
                                </a:lnTo>
                                <a:close/>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2324417" y="1516062"/>
                            <a:ext cx="1083310" cy="205104"/>
                          </a:xfrm>
                          <a:custGeom>
                            <a:avLst/>
                            <a:gdLst/>
                            <a:ahLst/>
                            <a:cxnLst/>
                            <a:rect l="l" t="t" r="r" b="b"/>
                            <a:pathLst>
                              <a:path w="1083310" h="205104">
                                <a:moveTo>
                                  <a:pt x="866647" y="0"/>
                                </a:moveTo>
                                <a:lnTo>
                                  <a:pt x="866647" y="51269"/>
                                </a:lnTo>
                                <a:lnTo>
                                  <a:pt x="216661" y="51269"/>
                                </a:lnTo>
                                <a:lnTo>
                                  <a:pt x="216661" y="0"/>
                                </a:lnTo>
                                <a:lnTo>
                                  <a:pt x="0" y="102552"/>
                                </a:lnTo>
                                <a:lnTo>
                                  <a:pt x="216661" y="205104"/>
                                </a:lnTo>
                                <a:lnTo>
                                  <a:pt x="216661" y="153835"/>
                                </a:lnTo>
                                <a:lnTo>
                                  <a:pt x="866647" y="153835"/>
                                </a:lnTo>
                                <a:lnTo>
                                  <a:pt x="866647" y="205104"/>
                                </a:lnTo>
                                <a:lnTo>
                                  <a:pt x="1083310" y="102552"/>
                                </a:lnTo>
                                <a:lnTo>
                                  <a:pt x="866647" y="0"/>
                                </a:lnTo>
                                <a:close/>
                              </a:path>
                            </a:pathLst>
                          </a:custGeom>
                          <a:solidFill>
                            <a:srgbClr val="FFFF00"/>
                          </a:solidFill>
                        </wps:spPr>
                        <wps:bodyPr wrap="square" lIns="0" tIns="0" rIns="0" bIns="0" rtlCol="0">
                          <a:prstTxWarp prst="textNoShape">
                            <a:avLst/>
                          </a:prstTxWarp>
                          <a:noAutofit/>
                        </wps:bodyPr>
                      </wps:wsp>
                      <wps:wsp>
                        <wps:cNvPr id="185" name="Graphic 185"/>
                        <wps:cNvSpPr/>
                        <wps:spPr>
                          <a:xfrm>
                            <a:off x="2324417" y="1516062"/>
                            <a:ext cx="1083310" cy="205104"/>
                          </a:xfrm>
                          <a:custGeom>
                            <a:avLst/>
                            <a:gdLst/>
                            <a:ahLst/>
                            <a:cxnLst/>
                            <a:rect l="l" t="t" r="r" b="b"/>
                            <a:pathLst>
                              <a:path w="1083310" h="205104">
                                <a:moveTo>
                                  <a:pt x="0" y="102552"/>
                                </a:moveTo>
                                <a:lnTo>
                                  <a:pt x="216661" y="205104"/>
                                </a:lnTo>
                                <a:lnTo>
                                  <a:pt x="216661" y="153835"/>
                                </a:lnTo>
                                <a:lnTo>
                                  <a:pt x="866647" y="153835"/>
                                </a:lnTo>
                                <a:lnTo>
                                  <a:pt x="866647" y="205104"/>
                                </a:lnTo>
                                <a:lnTo>
                                  <a:pt x="1083310" y="102552"/>
                                </a:lnTo>
                                <a:lnTo>
                                  <a:pt x="866647" y="0"/>
                                </a:lnTo>
                                <a:lnTo>
                                  <a:pt x="866647" y="51269"/>
                                </a:lnTo>
                                <a:lnTo>
                                  <a:pt x="216661" y="51269"/>
                                </a:lnTo>
                                <a:lnTo>
                                  <a:pt x="216661" y="0"/>
                                </a:lnTo>
                                <a:lnTo>
                                  <a:pt x="0" y="102552"/>
                                </a:lnTo>
                                <a:close/>
                              </a:path>
                            </a:pathLst>
                          </a:custGeom>
                          <a:ln w="9525">
                            <a:solidFill>
                              <a:srgbClr val="000000"/>
                            </a:solidFill>
                            <a:prstDash val="solid"/>
                          </a:ln>
                        </wps:spPr>
                        <wps:bodyPr wrap="square" lIns="0" tIns="0" rIns="0" bIns="0" rtlCol="0">
                          <a:prstTxWarp prst="textNoShape">
                            <a:avLst/>
                          </a:prstTxWarp>
                          <a:noAutofit/>
                        </wps:bodyPr>
                      </wps:wsp>
                      <wps:wsp>
                        <wps:cNvPr id="186" name="Graphic 186"/>
                        <wps:cNvSpPr/>
                        <wps:spPr>
                          <a:xfrm>
                            <a:off x="910805" y="1554298"/>
                            <a:ext cx="735965" cy="554990"/>
                          </a:xfrm>
                          <a:custGeom>
                            <a:avLst/>
                            <a:gdLst/>
                            <a:ahLst/>
                            <a:cxnLst/>
                            <a:rect l="l" t="t" r="r" b="b"/>
                            <a:pathLst>
                              <a:path w="735965" h="554990">
                                <a:moveTo>
                                  <a:pt x="0" y="0"/>
                                </a:moveTo>
                                <a:lnTo>
                                  <a:pt x="735533" y="554723"/>
                                </a:lnTo>
                              </a:path>
                            </a:pathLst>
                          </a:custGeom>
                          <a:ln w="12700">
                            <a:solidFill>
                              <a:srgbClr val="000000"/>
                            </a:solidFill>
                            <a:prstDash val="solid"/>
                          </a:ln>
                        </wps:spPr>
                        <wps:bodyPr wrap="square" lIns="0" tIns="0" rIns="0" bIns="0" rtlCol="0">
                          <a:prstTxWarp prst="textNoShape">
                            <a:avLst/>
                          </a:prstTxWarp>
                          <a:noAutofit/>
                        </wps:bodyPr>
                      </wps:wsp>
                      <wps:wsp>
                        <wps:cNvPr id="187" name="Graphic 187"/>
                        <wps:cNvSpPr/>
                        <wps:spPr>
                          <a:xfrm>
                            <a:off x="860107" y="1516062"/>
                            <a:ext cx="836930" cy="631190"/>
                          </a:xfrm>
                          <a:custGeom>
                            <a:avLst/>
                            <a:gdLst/>
                            <a:ahLst/>
                            <a:cxnLst/>
                            <a:rect l="l" t="t" r="r" b="b"/>
                            <a:pathLst>
                              <a:path w="836930" h="631190">
                                <a:moveTo>
                                  <a:pt x="83781" y="15455"/>
                                </a:moveTo>
                                <a:lnTo>
                                  <a:pt x="0" y="0"/>
                                </a:lnTo>
                                <a:lnTo>
                                  <a:pt x="37896" y="76301"/>
                                </a:lnTo>
                                <a:lnTo>
                                  <a:pt x="83781" y="15455"/>
                                </a:lnTo>
                                <a:close/>
                              </a:path>
                              <a:path w="836930" h="631190">
                                <a:moveTo>
                                  <a:pt x="836930" y="631190"/>
                                </a:moveTo>
                                <a:lnTo>
                                  <a:pt x="799033" y="554888"/>
                                </a:lnTo>
                                <a:lnTo>
                                  <a:pt x="753148" y="615721"/>
                                </a:lnTo>
                                <a:lnTo>
                                  <a:pt x="836930" y="63119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3735437" y="1373822"/>
                            <a:ext cx="1270" cy="684530"/>
                          </a:xfrm>
                          <a:custGeom>
                            <a:avLst/>
                            <a:gdLst/>
                            <a:ahLst/>
                            <a:cxnLst/>
                            <a:rect l="l" t="t" r="r" b="b"/>
                            <a:pathLst>
                              <a:path w="635" h="684530">
                                <a:moveTo>
                                  <a:pt x="0" y="0"/>
                                </a:moveTo>
                                <a:lnTo>
                                  <a:pt x="533" y="684530"/>
                                </a:lnTo>
                              </a:path>
                            </a:pathLst>
                          </a:custGeom>
                          <a:ln w="12700">
                            <a:solidFill>
                              <a:srgbClr val="000000"/>
                            </a:solidFill>
                            <a:prstDash val="solid"/>
                          </a:ln>
                        </wps:spPr>
                        <wps:bodyPr wrap="square" lIns="0" tIns="0" rIns="0" bIns="0" rtlCol="0">
                          <a:prstTxWarp prst="textNoShape">
                            <a:avLst/>
                          </a:prstTxWarp>
                          <a:noAutofit/>
                        </wps:bodyPr>
                      </wps:wsp>
                      <wps:wsp>
                        <wps:cNvPr id="189" name="Graphic 189"/>
                        <wps:cNvSpPr/>
                        <wps:spPr>
                          <a:xfrm>
                            <a:off x="3697338" y="1310322"/>
                            <a:ext cx="76835" cy="811530"/>
                          </a:xfrm>
                          <a:custGeom>
                            <a:avLst/>
                            <a:gdLst/>
                            <a:ahLst/>
                            <a:cxnLst/>
                            <a:rect l="l" t="t" r="r" b="b"/>
                            <a:pathLst>
                              <a:path w="76835" h="811530">
                                <a:moveTo>
                                  <a:pt x="76200" y="76174"/>
                                </a:moveTo>
                                <a:lnTo>
                                  <a:pt x="38036" y="0"/>
                                </a:lnTo>
                                <a:lnTo>
                                  <a:pt x="0" y="76238"/>
                                </a:lnTo>
                                <a:lnTo>
                                  <a:pt x="76200" y="76174"/>
                                </a:lnTo>
                                <a:close/>
                              </a:path>
                              <a:path w="76835" h="811530">
                                <a:moveTo>
                                  <a:pt x="76720" y="735304"/>
                                </a:moveTo>
                                <a:lnTo>
                                  <a:pt x="520" y="735355"/>
                                </a:lnTo>
                                <a:lnTo>
                                  <a:pt x="38671" y="811530"/>
                                </a:lnTo>
                                <a:lnTo>
                                  <a:pt x="76720" y="735304"/>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990710" y="1164885"/>
                            <a:ext cx="494030" cy="215900"/>
                          </a:xfrm>
                          <a:custGeom>
                            <a:avLst/>
                            <a:gdLst/>
                            <a:ahLst/>
                            <a:cxnLst/>
                            <a:rect l="l" t="t" r="r" b="b"/>
                            <a:pathLst>
                              <a:path w="494030" h="215900">
                                <a:moveTo>
                                  <a:pt x="493814" y="0"/>
                                </a:moveTo>
                                <a:lnTo>
                                  <a:pt x="0" y="215303"/>
                                </a:lnTo>
                              </a:path>
                            </a:pathLst>
                          </a:custGeom>
                          <a:ln w="12700">
                            <a:solidFill>
                              <a:srgbClr val="000000"/>
                            </a:solidFill>
                            <a:prstDash val="solid"/>
                          </a:ln>
                        </wps:spPr>
                        <wps:bodyPr wrap="square" lIns="0" tIns="0" rIns="0" bIns="0" rtlCol="0">
                          <a:prstTxWarp prst="textNoShape">
                            <a:avLst/>
                          </a:prstTxWarp>
                          <a:noAutofit/>
                        </wps:bodyPr>
                      </wps:wsp>
                      <wps:wsp>
                        <wps:cNvPr id="191" name="Graphic 191"/>
                        <wps:cNvSpPr/>
                        <wps:spPr>
                          <a:xfrm>
                            <a:off x="932497" y="1135036"/>
                            <a:ext cx="610235" cy="275590"/>
                          </a:xfrm>
                          <a:custGeom>
                            <a:avLst/>
                            <a:gdLst/>
                            <a:ahLst/>
                            <a:cxnLst/>
                            <a:rect l="l" t="t" r="r" b="b"/>
                            <a:pathLst>
                              <a:path w="610235" h="275590">
                                <a:moveTo>
                                  <a:pt x="85077" y="275005"/>
                                </a:moveTo>
                                <a:lnTo>
                                  <a:pt x="54622" y="205155"/>
                                </a:lnTo>
                                <a:lnTo>
                                  <a:pt x="0" y="270535"/>
                                </a:lnTo>
                                <a:lnTo>
                                  <a:pt x="85077" y="275005"/>
                                </a:lnTo>
                                <a:close/>
                              </a:path>
                              <a:path w="610235" h="275590">
                                <a:moveTo>
                                  <a:pt x="610235" y="4470"/>
                                </a:moveTo>
                                <a:lnTo>
                                  <a:pt x="525157" y="0"/>
                                </a:lnTo>
                                <a:lnTo>
                                  <a:pt x="555612" y="69850"/>
                                </a:lnTo>
                                <a:lnTo>
                                  <a:pt x="610235" y="447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545528" y="425979"/>
                            <a:ext cx="519430" cy="614045"/>
                          </a:xfrm>
                          <a:custGeom>
                            <a:avLst/>
                            <a:gdLst/>
                            <a:ahLst/>
                            <a:cxnLst/>
                            <a:rect l="l" t="t" r="r" b="b"/>
                            <a:pathLst>
                              <a:path w="519430" h="614045">
                                <a:moveTo>
                                  <a:pt x="519303" y="0"/>
                                </a:moveTo>
                                <a:lnTo>
                                  <a:pt x="0" y="613625"/>
                                </a:lnTo>
                              </a:path>
                            </a:pathLst>
                          </a:custGeom>
                          <a:ln w="12700">
                            <a:solidFill>
                              <a:srgbClr val="000000"/>
                            </a:solidFill>
                            <a:prstDash val="solid"/>
                          </a:ln>
                        </wps:spPr>
                        <wps:bodyPr wrap="square" lIns="0" tIns="0" rIns="0" bIns="0" rtlCol="0">
                          <a:prstTxWarp prst="textNoShape">
                            <a:avLst/>
                          </a:prstTxWarp>
                          <a:noAutofit/>
                        </wps:bodyPr>
                      </wps:wsp>
                      <wps:wsp>
                        <wps:cNvPr id="193" name="Graphic 193"/>
                        <wps:cNvSpPr/>
                        <wps:spPr>
                          <a:xfrm>
                            <a:off x="504494" y="377507"/>
                            <a:ext cx="601345" cy="710565"/>
                          </a:xfrm>
                          <a:custGeom>
                            <a:avLst/>
                            <a:gdLst/>
                            <a:ahLst/>
                            <a:cxnLst/>
                            <a:rect l="l" t="t" r="r" b="b"/>
                            <a:pathLst>
                              <a:path w="601345" h="710565">
                                <a:moveTo>
                                  <a:pt x="78308" y="677011"/>
                                </a:moveTo>
                                <a:lnTo>
                                  <a:pt x="20142" y="627786"/>
                                </a:lnTo>
                                <a:lnTo>
                                  <a:pt x="0" y="710565"/>
                                </a:lnTo>
                                <a:lnTo>
                                  <a:pt x="78308" y="677011"/>
                                </a:lnTo>
                                <a:close/>
                              </a:path>
                              <a:path w="601345" h="710565">
                                <a:moveTo>
                                  <a:pt x="601345" y="0"/>
                                </a:moveTo>
                                <a:lnTo>
                                  <a:pt x="523036" y="33553"/>
                                </a:lnTo>
                                <a:lnTo>
                                  <a:pt x="581202" y="82778"/>
                                </a:lnTo>
                                <a:lnTo>
                                  <a:pt x="601345"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879335" y="1450657"/>
                            <a:ext cx="1270" cy="633095"/>
                          </a:xfrm>
                          <a:custGeom>
                            <a:avLst/>
                            <a:gdLst/>
                            <a:ahLst/>
                            <a:cxnLst/>
                            <a:rect l="l" t="t" r="r" b="b"/>
                            <a:pathLst>
                              <a:path w="635" h="633095">
                                <a:moveTo>
                                  <a:pt x="0" y="0"/>
                                </a:moveTo>
                                <a:lnTo>
                                  <a:pt x="533" y="633095"/>
                                </a:lnTo>
                              </a:path>
                            </a:pathLst>
                          </a:custGeom>
                          <a:ln w="12699">
                            <a:solidFill>
                              <a:srgbClr val="000000"/>
                            </a:solidFill>
                            <a:prstDash val="solid"/>
                          </a:ln>
                        </wps:spPr>
                        <wps:bodyPr wrap="square" lIns="0" tIns="0" rIns="0" bIns="0" rtlCol="0">
                          <a:prstTxWarp prst="textNoShape">
                            <a:avLst/>
                          </a:prstTxWarp>
                          <a:noAutofit/>
                        </wps:bodyPr>
                      </wps:wsp>
                      <wps:wsp>
                        <wps:cNvPr id="195" name="Graphic 195"/>
                        <wps:cNvSpPr/>
                        <wps:spPr>
                          <a:xfrm>
                            <a:off x="1841246" y="1387157"/>
                            <a:ext cx="76835" cy="760095"/>
                          </a:xfrm>
                          <a:custGeom>
                            <a:avLst/>
                            <a:gdLst/>
                            <a:ahLst/>
                            <a:cxnLst/>
                            <a:rect l="l" t="t" r="r" b="b"/>
                            <a:pathLst>
                              <a:path w="76835" h="760095">
                                <a:moveTo>
                                  <a:pt x="76200" y="76174"/>
                                </a:moveTo>
                                <a:lnTo>
                                  <a:pt x="38036" y="0"/>
                                </a:lnTo>
                                <a:lnTo>
                                  <a:pt x="0" y="76238"/>
                                </a:lnTo>
                                <a:lnTo>
                                  <a:pt x="76200" y="76174"/>
                                </a:lnTo>
                                <a:close/>
                              </a:path>
                              <a:path w="76835" h="760095">
                                <a:moveTo>
                                  <a:pt x="76708" y="683869"/>
                                </a:moveTo>
                                <a:lnTo>
                                  <a:pt x="508" y="683933"/>
                                </a:lnTo>
                                <a:lnTo>
                                  <a:pt x="38671" y="760095"/>
                                </a:lnTo>
                                <a:lnTo>
                                  <a:pt x="76708" y="683869"/>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4998217" y="498381"/>
                            <a:ext cx="341630" cy="536575"/>
                          </a:xfrm>
                          <a:custGeom>
                            <a:avLst/>
                            <a:gdLst/>
                            <a:ahLst/>
                            <a:cxnLst/>
                            <a:rect l="l" t="t" r="r" b="b"/>
                            <a:pathLst>
                              <a:path w="341630" h="536575">
                                <a:moveTo>
                                  <a:pt x="0" y="0"/>
                                </a:moveTo>
                                <a:lnTo>
                                  <a:pt x="341363" y="536130"/>
                                </a:lnTo>
                              </a:path>
                            </a:pathLst>
                          </a:custGeom>
                          <a:ln w="12699">
                            <a:solidFill>
                              <a:srgbClr val="000000"/>
                            </a:solidFill>
                            <a:prstDash val="solid"/>
                          </a:ln>
                        </wps:spPr>
                        <wps:bodyPr wrap="square" lIns="0" tIns="0" rIns="0" bIns="0" rtlCol="0">
                          <a:prstTxWarp prst="textNoShape">
                            <a:avLst/>
                          </a:prstTxWarp>
                          <a:noAutofit/>
                        </wps:bodyPr>
                      </wps:wsp>
                      <wps:wsp>
                        <wps:cNvPr id="197" name="Graphic 197"/>
                        <wps:cNvSpPr/>
                        <wps:spPr>
                          <a:xfrm>
                            <a:off x="4964112" y="444829"/>
                            <a:ext cx="409575" cy="643255"/>
                          </a:xfrm>
                          <a:custGeom>
                            <a:avLst/>
                            <a:gdLst/>
                            <a:ahLst/>
                            <a:cxnLst/>
                            <a:rect l="l" t="t" r="r" b="b"/>
                            <a:pathLst>
                              <a:path w="409575" h="643255">
                                <a:moveTo>
                                  <a:pt x="73063" y="43802"/>
                                </a:moveTo>
                                <a:lnTo>
                                  <a:pt x="0" y="0"/>
                                </a:lnTo>
                                <a:lnTo>
                                  <a:pt x="8788" y="84734"/>
                                </a:lnTo>
                                <a:lnTo>
                                  <a:pt x="73063" y="43802"/>
                                </a:lnTo>
                                <a:close/>
                              </a:path>
                              <a:path w="409575" h="643255">
                                <a:moveTo>
                                  <a:pt x="409575" y="643242"/>
                                </a:moveTo>
                                <a:lnTo>
                                  <a:pt x="400786" y="558507"/>
                                </a:lnTo>
                                <a:lnTo>
                                  <a:pt x="336511" y="599427"/>
                                </a:lnTo>
                                <a:lnTo>
                                  <a:pt x="409575" y="643242"/>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4226877" y="916622"/>
                            <a:ext cx="676275" cy="181610"/>
                          </a:xfrm>
                          <a:custGeom>
                            <a:avLst/>
                            <a:gdLst/>
                            <a:ahLst/>
                            <a:cxnLst/>
                            <a:rect l="l" t="t" r="r" b="b"/>
                            <a:pathLst>
                              <a:path w="676275" h="181610">
                                <a:moveTo>
                                  <a:pt x="0" y="0"/>
                                </a:moveTo>
                                <a:lnTo>
                                  <a:pt x="675894" y="181051"/>
                                </a:lnTo>
                              </a:path>
                            </a:pathLst>
                          </a:custGeom>
                          <a:ln w="12699">
                            <a:solidFill>
                              <a:srgbClr val="000000"/>
                            </a:solidFill>
                            <a:prstDash val="solid"/>
                          </a:ln>
                        </wps:spPr>
                        <wps:bodyPr wrap="square" lIns="0" tIns="0" rIns="0" bIns="0" rtlCol="0">
                          <a:prstTxWarp prst="textNoShape">
                            <a:avLst/>
                          </a:prstTxWarp>
                          <a:noAutofit/>
                        </wps:bodyPr>
                      </wps:wsp>
                      <wps:wsp>
                        <wps:cNvPr id="199" name="Graphic 199"/>
                        <wps:cNvSpPr/>
                        <wps:spPr>
                          <a:xfrm>
                            <a:off x="4880644" y="1057584"/>
                            <a:ext cx="83820" cy="73660"/>
                          </a:xfrm>
                          <a:custGeom>
                            <a:avLst/>
                            <a:gdLst/>
                            <a:ahLst/>
                            <a:cxnLst/>
                            <a:rect l="l" t="t" r="r" b="b"/>
                            <a:pathLst>
                              <a:path w="83820" h="73660">
                                <a:moveTo>
                                  <a:pt x="19723" y="0"/>
                                </a:moveTo>
                                <a:lnTo>
                                  <a:pt x="0" y="73609"/>
                                </a:lnTo>
                                <a:lnTo>
                                  <a:pt x="83464" y="56527"/>
                                </a:lnTo>
                                <a:lnTo>
                                  <a:pt x="19723"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4090352" y="1673186"/>
                            <a:ext cx="658495" cy="474345"/>
                          </a:xfrm>
                          <a:custGeom>
                            <a:avLst/>
                            <a:gdLst/>
                            <a:ahLst/>
                            <a:cxnLst/>
                            <a:rect l="l" t="t" r="r" b="b"/>
                            <a:pathLst>
                              <a:path w="658495" h="474345">
                                <a:moveTo>
                                  <a:pt x="0" y="474065"/>
                                </a:moveTo>
                                <a:lnTo>
                                  <a:pt x="658393" y="0"/>
                                </a:lnTo>
                              </a:path>
                            </a:pathLst>
                          </a:custGeom>
                          <a:ln w="12700">
                            <a:solidFill>
                              <a:srgbClr val="000000"/>
                            </a:solidFill>
                            <a:prstDash val="solid"/>
                          </a:ln>
                        </wps:spPr>
                        <wps:bodyPr wrap="square" lIns="0" tIns="0" rIns="0" bIns="0" rtlCol="0">
                          <a:prstTxWarp prst="textNoShape">
                            <a:avLst/>
                          </a:prstTxWarp>
                          <a:noAutofit/>
                        </wps:bodyPr>
                      </wps:wsp>
                      <wps:wsp>
                        <wps:cNvPr id="201" name="Graphic 201"/>
                        <wps:cNvSpPr/>
                        <wps:spPr>
                          <a:xfrm>
                            <a:off x="4716180" y="1636077"/>
                            <a:ext cx="84455" cy="75565"/>
                          </a:xfrm>
                          <a:custGeom>
                            <a:avLst/>
                            <a:gdLst/>
                            <a:ahLst/>
                            <a:cxnLst/>
                            <a:rect l="l" t="t" r="r" b="b"/>
                            <a:pathLst>
                              <a:path w="84455" h="75565">
                                <a:moveTo>
                                  <a:pt x="84099" y="0"/>
                                </a:moveTo>
                                <a:lnTo>
                                  <a:pt x="0" y="13601"/>
                                </a:lnTo>
                                <a:lnTo>
                                  <a:pt x="44526" y="75438"/>
                                </a:lnTo>
                                <a:lnTo>
                                  <a:pt x="84099" y="0"/>
                                </a:lnTo>
                                <a:close/>
                              </a:path>
                            </a:pathLst>
                          </a:custGeom>
                          <a:solidFill>
                            <a:srgbClr val="000000"/>
                          </a:solidFill>
                        </wps:spPr>
                        <wps:bodyPr wrap="square" lIns="0" tIns="0" rIns="0" bIns="0" rtlCol="0">
                          <a:prstTxWarp prst="textNoShape">
                            <a:avLst/>
                          </a:prstTxWarp>
                          <a:noAutofit/>
                        </wps:bodyPr>
                      </wps:wsp>
                      <wps:wsp>
                        <wps:cNvPr id="202" name="Textbox 202"/>
                        <wps:cNvSpPr txBox="1"/>
                        <wps:spPr>
                          <a:xfrm>
                            <a:off x="1842452" y="181038"/>
                            <a:ext cx="2396490" cy="311150"/>
                          </a:xfrm>
                          <a:prstGeom prst="rect">
                            <a:avLst/>
                          </a:prstGeom>
                        </wps:spPr>
                        <wps:txbx>
                          <w:txbxContent>
                            <w:p>
                              <w:pPr>
                                <w:spacing w:line="225" w:lineRule="exact" w:before="0"/>
                                <w:ind w:left="0" w:right="18" w:firstLine="0"/>
                                <w:jc w:val="center"/>
                                <w:rPr>
                                  <w:rFonts w:ascii="Calibri"/>
                                  <w:b/>
                                  <w:sz w:val="22"/>
                                </w:rPr>
                              </w:pPr>
                              <w:r>
                                <w:rPr>
                                  <w:rFonts w:ascii="Calibri"/>
                                  <w:b/>
                                  <w:sz w:val="22"/>
                                </w:rPr>
                                <w:t>Customer</w:t>
                              </w:r>
                              <w:r>
                                <w:rPr>
                                  <w:rFonts w:ascii="Calibri"/>
                                  <w:b/>
                                  <w:spacing w:val="-6"/>
                                  <w:sz w:val="22"/>
                                </w:rPr>
                                <w:t> </w:t>
                              </w:r>
                              <w:r>
                                <w:rPr>
                                  <w:rFonts w:ascii="Calibri"/>
                                  <w:b/>
                                  <w:sz w:val="22"/>
                                </w:rPr>
                                <w:t>&amp;</w:t>
                              </w:r>
                              <w:r>
                                <w:rPr>
                                  <w:rFonts w:ascii="Calibri"/>
                                  <w:b/>
                                  <w:spacing w:val="-6"/>
                                  <w:sz w:val="22"/>
                                </w:rPr>
                                <w:t> </w:t>
                              </w:r>
                              <w:r>
                                <w:rPr>
                                  <w:rFonts w:ascii="Calibri"/>
                                  <w:b/>
                                  <w:sz w:val="22"/>
                                </w:rPr>
                                <w:t>market</w:t>
                              </w:r>
                              <w:r>
                                <w:rPr>
                                  <w:rFonts w:ascii="Calibri"/>
                                  <w:b/>
                                  <w:spacing w:val="-4"/>
                                  <w:sz w:val="22"/>
                                </w:rPr>
                                <w:t> </w:t>
                              </w:r>
                              <w:r>
                                <w:rPr>
                                  <w:rFonts w:ascii="Calibri"/>
                                  <w:b/>
                                  <w:sz w:val="22"/>
                                </w:rPr>
                                <w:t>focused</w:t>
                              </w:r>
                              <w:r>
                                <w:rPr>
                                  <w:rFonts w:ascii="Calibri"/>
                                  <w:b/>
                                  <w:spacing w:val="-5"/>
                                  <w:sz w:val="22"/>
                                </w:rPr>
                                <w:t> </w:t>
                              </w:r>
                              <w:r>
                                <w:rPr>
                                  <w:rFonts w:ascii="Calibri"/>
                                  <w:b/>
                                  <w:sz w:val="22"/>
                                </w:rPr>
                                <w:t>strategy</w:t>
                              </w:r>
                              <w:r>
                                <w:rPr>
                                  <w:rFonts w:ascii="Calibri"/>
                                  <w:b/>
                                  <w:spacing w:val="-3"/>
                                  <w:sz w:val="22"/>
                                </w:rPr>
                                <w:t> </w:t>
                              </w:r>
                              <w:r>
                                <w:rPr>
                                  <w:rFonts w:ascii="Calibri"/>
                                  <w:b/>
                                  <w:spacing w:val="-5"/>
                                  <w:sz w:val="22"/>
                                </w:rPr>
                                <w:t>and</w:t>
                              </w:r>
                            </w:p>
                            <w:p>
                              <w:pPr>
                                <w:spacing w:line="265" w:lineRule="exact" w:before="0"/>
                                <w:ind w:left="1" w:right="18" w:firstLine="0"/>
                                <w:jc w:val="center"/>
                                <w:rPr>
                                  <w:rFonts w:ascii="Calibri"/>
                                  <w:b/>
                                  <w:sz w:val="22"/>
                                </w:rPr>
                              </w:pPr>
                              <w:r>
                                <w:rPr>
                                  <w:rFonts w:ascii="Calibri"/>
                                  <w:b/>
                                  <w:sz w:val="22"/>
                                </w:rPr>
                                <w:t>action</w:t>
                              </w:r>
                              <w:r>
                                <w:rPr>
                                  <w:rFonts w:ascii="Calibri"/>
                                  <w:b/>
                                  <w:spacing w:val="-5"/>
                                  <w:sz w:val="22"/>
                                </w:rPr>
                                <w:t> </w:t>
                              </w:r>
                              <w:r>
                                <w:rPr>
                                  <w:rFonts w:ascii="Calibri"/>
                                  <w:b/>
                                  <w:spacing w:val="-2"/>
                                  <w:sz w:val="22"/>
                                </w:rPr>
                                <w:t>plans</w:t>
                              </w:r>
                            </w:p>
                          </w:txbxContent>
                        </wps:txbx>
                        <wps:bodyPr wrap="square" lIns="0" tIns="0" rIns="0" bIns="0" rtlCol="0">
                          <a:noAutofit/>
                        </wps:bodyPr>
                      </wps:wsp>
                      <wps:wsp>
                        <wps:cNvPr id="203" name="Textbox 203"/>
                        <wps:cNvSpPr txBox="1"/>
                        <wps:spPr>
                          <a:xfrm>
                            <a:off x="1816544" y="829881"/>
                            <a:ext cx="475615" cy="437515"/>
                          </a:xfrm>
                          <a:prstGeom prst="rect">
                            <a:avLst/>
                          </a:prstGeom>
                        </wps:spPr>
                        <wps:txbx>
                          <w:txbxContent>
                            <w:p>
                              <w:pPr>
                                <w:spacing w:line="203" w:lineRule="exact" w:before="0"/>
                                <w:ind w:left="0" w:right="17" w:firstLine="0"/>
                                <w:jc w:val="center"/>
                                <w:rPr>
                                  <w:rFonts w:ascii="Calibri"/>
                                  <w:b/>
                                  <w:sz w:val="20"/>
                                </w:rPr>
                              </w:pPr>
                              <w:r>
                                <w:rPr>
                                  <w:rFonts w:ascii="Calibri"/>
                                  <w:b/>
                                  <w:spacing w:val="-10"/>
                                  <w:sz w:val="20"/>
                                </w:rPr>
                                <w:t>2</w:t>
                              </w:r>
                            </w:p>
                            <w:p>
                              <w:pPr>
                                <w:spacing w:before="0"/>
                                <w:ind w:left="0" w:right="18" w:firstLine="0"/>
                                <w:jc w:val="center"/>
                                <w:rPr>
                                  <w:rFonts w:ascii="Calibri"/>
                                  <w:b/>
                                  <w:sz w:val="20"/>
                                </w:rPr>
                              </w:pPr>
                              <w:r>
                                <w:rPr>
                                  <w:rFonts w:ascii="Calibri"/>
                                  <w:b/>
                                  <w:spacing w:val="-2"/>
                                  <w:sz w:val="20"/>
                                </w:rPr>
                                <w:t>Strategic planning</w:t>
                              </w:r>
                            </w:p>
                          </w:txbxContent>
                        </wps:txbx>
                        <wps:bodyPr wrap="square" lIns="0" tIns="0" rIns="0" bIns="0" rtlCol="0">
                          <a:noAutofit/>
                        </wps:bodyPr>
                      </wps:wsp>
                      <wps:wsp>
                        <wps:cNvPr id="204" name="Textbox 204"/>
                        <wps:cNvSpPr txBox="1"/>
                        <wps:spPr>
                          <a:xfrm>
                            <a:off x="4977320" y="1215834"/>
                            <a:ext cx="513715" cy="485140"/>
                          </a:xfrm>
                          <a:prstGeom prst="rect">
                            <a:avLst/>
                          </a:prstGeom>
                        </wps:spPr>
                        <wps:txbx>
                          <w:txbxContent>
                            <w:p>
                              <w:pPr>
                                <w:spacing w:line="225" w:lineRule="exact" w:before="0"/>
                                <w:ind w:left="0" w:right="18" w:firstLine="0"/>
                                <w:jc w:val="center"/>
                                <w:rPr>
                                  <w:rFonts w:ascii="Calibri"/>
                                  <w:b/>
                                  <w:sz w:val="22"/>
                                </w:rPr>
                              </w:pPr>
                              <w:r>
                                <w:rPr>
                                  <w:rFonts w:ascii="Calibri"/>
                                  <w:b/>
                                  <w:spacing w:val="-10"/>
                                  <w:sz w:val="22"/>
                                </w:rPr>
                                <w:t>7</w:t>
                              </w:r>
                            </w:p>
                            <w:p>
                              <w:pPr>
                                <w:spacing w:line="244" w:lineRule="auto" w:before="0"/>
                                <w:ind w:left="0" w:right="18" w:firstLine="0"/>
                                <w:jc w:val="center"/>
                                <w:rPr>
                                  <w:rFonts w:ascii="Calibri"/>
                                  <w:b/>
                                  <w:sz w:val="22"/>
                                </w:rPr>
                              </w:pPr>
                              <w:r>
                                <w:rPr>
                                  <w:rFonts w:ascii="Calibri"/>
                                  <w:b/>
                                  <w:spacing w:val="-2"/>
                                  <w:sz w:val="22"/>
                                </w:rPr>
                                <w:t>Business results</w:t>
                              </w:r>
                            </w:p>
                          </w:txbxContent>
                        </wps:txbx>
                        <wps:bodyPr wrap="square" lIns="0" tIns="0" rIns="0" bIns="0" rtlCol="0">
                          <a:noAutofit/>
                        </wps:bodyPr>
                      </wps:wsp>
                      <wps:wsp>
                        <wps:cNvPr id="205" name="Textbox 205"/>
                        <wps:cNvSpPr txBox="1"/>
                        <wps:spPr>
                          <a:xfrm>
                            <a:off x="4762" y="1139507"/>
                            <a:ext cx="855344" cy="621030"/>
                          </a:xfrm>
                          <a:prstGeom prst="rect">
                            <a:avLst/>
                          </a:prstGeom>
                          <a:solidFill>
                            <a:srgbClr val="F2DBDB"/>
                          </a:solidFill>
                          <a:ln w="9525">
                            <a:solidFill>
                              <a:srgbClr val="000000"/>
                            </a:solidFill>
                            <a:prstDash val="solid"/>
                          </a:ln>
                        </wps:spPr>
                        <wps:txbx>
                          <w:txbxContent>
                            <w:p>
                              <w:pPr>
                                <w:spacing w:before="69"/>
                                <w:ind w:left="0" w:right="0" w:firstLine="0"/>
                                <w:jc w:val="center"/>
                                <w:rPr>
                                  <w:rFonts w:ascii="Calibri"/>
                                  <w:b/>
                                  <w:color w:val="000000"/>
                                  <w:sz w:val="22"/>
                                </w:rPr>
                              </w:pPr>
                              <w:r>
                                <w:rPr>
                                  <w:rFonts w:ascii="Calibri"/>
                                  <w:b/>
                                  <w:color w:val="000000"/>
                                  <w:spacing w:val="-10"/>
                                  <w:sz w:val="22"/>
                                </w:rPr>
                                <w:t>1</w:t>
                              </w:r>
                            </w:p>
                            <w:p>
                              <w:pPr>
                                <w:spacing w:before="2"/>
                                <w:ind w:left="0" w:right="0" w:firstLine="0"/>
                                <w:jc w:val="center"/>
                                <w:rPr>
                                  <w:rFonts w:ascii="Calibri"/>
                                  <w:b/>
                                  <w:color w:val="000000"/>
                                  <w:sz w:val="22"/>
                                </w:rPr>
                              </w:pPr>
                              <w:r>
                                <w:rPr>
                                  <w:rFonts w:ascii="Calibri"/>
                                  <w:b/>
                                  <w:color w:val="000000"/>
                                  <w:spacing w:val="-2"/>
                                  <w:sz w:val="22"/>
                                </w:rPr>
                                <w:t>Leadership</w:t>
                              </w:r>
                            </w:p>
                          </w:txbxContent>
                        </wps:txbx>
                        <wps:bodyPr wrap="square" lIns="0" tIns="0" rIns="0" bIns="0" rtlCol="0">
                          <a:noAutofit/>
                        </wps:bodyPr>
                      </wps:wsp>
                      <wps:wsp>
                        <wps:cNvPr id="206" name="Textbox 206"/>
                        <wps:cNvSpPr txBox="1"/>
                        <wps:spPr>
                          <a:xfrm>
                            <a:off x="3107372" y="685482"/>
                            <a:ext cx="1119505" cy="598805"/>
                          </a:xfrm>
                          <a:prstGeom prst="rect">
                            <a:avLst/>
                          </a:prstGeom>
                          <a:solidFill>
                            <a:srgbClr val="FFC000"/>
                          </a:solidFill>
                          <a:ln w="9525">
                            <a:solidFill>
                              <a:srgbClr val="000000"/>
                            </a:solidFill>
                            <a:prstDash val="solid"/>
                          </a:ln>
                        </wps:spPr>
                        <wps:txbx>
                          <w:txbxContent>
                            <w:p>
                              <w:pPr>
                                <w:spacing w:before="68"/>
                                <w:ind w:left="0" w:right="0" w:firstLine="0"/>
                                <w:jc w:val="center"/>
                                <w:rPr>
                                  <w:rFonts w:ascii="Calibri"/>
                                  <w:b/>
                                  <w:color w:val="000000"/>
                                  <w:sz w:val="22"/>
                                </w:rPr>
                              </w:pPr>
                              <w:r>
                                <w:rPr>
                                  <w:rFonts w:ascii="Calibri"/>
                                  <w:b/>
                                  <w:color w:val="000000"/>
                                  <w:spacing w:val="-10"/>
                                  <w:sz w:val="22"/>
                                </w:rPr>
                                <w:t>5</w:t>
                              </w:r>
                            </w:p>
                            <w:p>
                              <w:pPr>
                                <w:spacing w:before="1"/>
                                <w:ind w:left="208" w:right="206" w:firstLine="47"/>
                                <w:jc w:val="center"/>
                                <w:rPr>
                                  <w:rFonts w:ascii="Calibri"/>
                                  <w:b/>
                                  <w:color w:val="000000"/>
                                  <w:sz w:val="22"/>
                                </w:rPr>
                              </w:pPr>
                              <w:r>
                                <w:rPr>
                                  <w:rFonts w:ascii="Calibri"/>
                                  <w:b/>
                                  <w:color w:val="000000"/>
                                  <w:spacing w:val="-2"/>
                                  <w:sz w:val="22"/>
                                </w:rPr>
                                <w:t>Human </w:t>
                              </w:r>
                              <w:r>
                                <w:rPr>
                                  <w:rFonts w:ascii="Calibri"/>
                                  <w:b/>
                                  <w:color w:val="000000"/>
                                  <w:sz w:val="22"/>
                                </w:rPr>
                                <w:t>resource</w:t>
                              </w:r>
                              <w:r>
                                <w:rPr>
                                  <w:rFonts w:ascii="Calibri"/>
                                  <w:b/>
                                  <w:color w:val="000000"/>
                                  <w:spacing w:val="-13"/>
                                  <w:sz w:val="22"/>
                                </w:rPr>
                                <w:t> </w:t>
                              </w:r>
                              <w:r>
                                <w:rPr>
                                  <w:rFonts w:ascii="Calibri"/>
                                  <w:b/>
                                  <w:color w:val="000000"/>
                                  <w:sz w:val="22"/>
                                </w:rPr>
                                <w:t>focus</w:t>
                              </w:r>
                            </w:p>
                          </w:txbxContent>
                        </wps:txbx>
                        <wps:bodyPr wrap="square" lIns="0" tIns="0" rIns="0" bIns="0" rtlCol="0">
                          <a:noAutofit/>
                        </wps:bodyPr>
                      </wps:wsp>
                    </wpg:wgp>
                  </a:graphicData>
                </a:graphic>
              </wp:anchor>
            </w:drawing>
          </mc:Choice>
          <mc:Fallback>
            <w:pict>
              <v:group style="position:absolute;margin-left:72.724998pt;margin-top:5.14961pt;width:445.7pt;height:169.6pt;mso-position-horizontal-relative:page;mso-position-vertical-relative:paragraph;z-index:-15715840;mso-wrap-distance-left:0;mso-wrap-distance-right:0" id="docshapegroup142" coordorigin="1454,103" coordsize="8914,3392">
                <v:shape style="position:absolute;left:3196;top:110;width:6076;height:896" id="docshape143" coordorigin="3196,110" coordsize="6076,896" path="m6234,110l6112,111,5991,112,5871,114,5753,116,5636,119,5521,123,5408,127,5296,132,5186,138,5078,144,4972,151,4869,158,4767,166,4668,175,4571,184,4477,193,4385,203,4296,213,4210,224,4126,236,4046,248,3969,260,3894,273,3823,286,3755,299,3691,313,3630,328,3519,357,3424,388,3344,420,3280,453,3217,505,3196,558,3196,1006,9272,1006,9272,558,9234,488,9158,437,9086,404,8998,372,8895,342,8777,313,8713,299,8645,286,8574,273,8499,260,8422,248,8342,236,8258,224,8172,213,8083,203,7991,193,7897,184,7800,175,7701,166,7599,158,7496,151,7390,144,7282,138,7172,132,7060,127,6947,123,6832,119,6715,116,6597,114,6477,112,6356,111,6234,110xe" filled="true" fillcolor="#c6d9f1" stroked="false">
                  <v:path arrowok="t"/>
                  <v:fill type="solid"/>
                </v:shape>
                <v:shape style="position:absolute;left:3196;top:110;width:6076;height:896" id="docshape144" coordorigin="3196,110" coordsize="6076,896" path="m3196,558l3234,488,3310,437,3382,404,3470,372,3573,342,3691,313,3755,299,3823,286,3894,273,3969,260,4046,248,4126,236,4210,224,4296,213,4385,203,4477,193,4571,184,4668,175,4767,166,4869,158,4972,151,5078,144,5186,138,5296,132,5408,127,5521,123,5636,119,5753,116,5871,114,5991,112,6112,111,6234,110,6356,111,6477,112,6597,114,6715,116,6832,119,6947,123,7060,127,7172,132,7282,138,7390,144,7496,151,7599,158,7701,166,7800,175,7897,184,7991,193,8083,203,8172,213,8258,224,8342,236,8422,248,8499,260,8574,273,8645,286,8713,299,8777,313,8838,328,8949,357,9044,388,9124,420,9188,453,9251,505,9272,558,9272,1006,3196,1006,3196,558xe" filled="false" stroked="true" strokeweight=".75pt" strokecolor="#000000">
                  <v:path arrowok="t"/>
                  <v:stroke dashstyle="solid"/>
                </v:shape>
                <v:rect style="position:absolute;left:3884;top:1290;width:1590;height:985" id="docshape145" filled="true" fillcolor="#d6e3bc" stroked="false">
                  <v:fill type="solid"/>
                </v:rect>
                <v:rect style="position:absolute;left:3884;top:1290;width:1590;height:985" id="docshape146" filled="false" stroked="true" strokeweight=".75pt" strokecolor="#000000">
                  <v:stroke dashstyle="solid"/>
                </v:rect>
                <v:rect style="position:absolute;left:9014;top:1897;width:1347;height:978" id="docshape147" filled="true" fillcolor="#f2dbdb" stroked="false">
                  <v:fill type="solid"/>
                </v:rect>
                <v:rect style="position:absolute;left:9014;top:1897;width:1347;height:978" id="docshape148" filled="false" stroked="true" strokeweight=".75pt" strokecolor="#000000">
                  <v:stroke dashstyle="solid"/>
                </v:rect>
                <v:shape style="position:absolute;left:5115;top:2490;width:1706;height:323" id="docshape149" coordorigin="5115,2490" coordsize="1706,323" path="m6480,2490l6480,2571,5456,2571,5456,2490,5115,2652,5456,2813,5456,2733,6480,2733,6480,2813,6821,2652,6480,2490xe" filled="true" fillcolor="#ffff00" stroked="false">
                  <v:path arrowok="t"/>
                  <v:fill type="solid"/>
                </v:shape>
                <v:shape style="position:absolute;left:5115;top:2490;width:1706;height:323" id="docshape150" coordorigin="5115,2490" coordsize="1706,323" path="m5115,2652l5456,2813,5456,2733,6480,2733,6480,2813,6821,2652,6480,2490,6480,2571,5456,2571,5456,2490,5115,2652xe" filled="false" stroked="true" strokeweight=".75pt" strokecolor="#000000">
                  <v:path arrowok="t"/>
                  <v:stroke dashstyle="solid"/>
                </v:shape>
                <v:line style="position:absolute" from="2889,2551" to="4047,3424" stroked="true" strokeweight="1pt" strokecolor="#000000">
                  <v:stroke dashstyle="solid"/>
                </v:line>
                <v:shape style="position:absolute;left:2809;top:2490;width:1318;height:994" id="docshape151" coordorigin="2809,2490" coordsize="1318,994" path="m2941,2515l2809,2490,2869,2611,2941,2515xm4127,3484l4067,3364,3995,3460,4127,3484xe" filled="true" fillcolor="#000000" stroked="false">
                  <v:path arrowok="t"/>
                  <v:fill type="solid"/>
                </v:shape>
                <v:line style="position:absolute" from="7337,2266" to="7338,3344" stroked="true" strokeweight="1pt" strokecolor="#000000">
                  <v:stroke dashstyle="solid"/>
                </v:line>
                <v:shape style="position:absolute;left:7277;top:2166;width:121;height:1278" id="docshape152" coordorigin="7277,2166" coordsize="121,1278" path="m7397,2286l7337,2166,7277,2287,7397,2286xm7398,3324l7278,3325,7338,3444,7398,3324xe" filled="true" fillcolor="#000000" stroked="false">
                  <v:path arrowok="t"/>
                  <v:fill type="solid"/>
                </v:shape>
                <v:line style="position:absolute" from="3792,1937" to="3015,2277" stroked="true" strokeweight="1pt" strokecolor="#000000">
                  <v:stroke dashstyle="solid"/>
                </v:line>
                <v:shape style="position:absolute;left:2923;top:1890;width:961;height:434" id="docshape153" coordorigin="2923,1890" coordsize="961,434" path="m3057,2324l3009,2214,2923,2316,3057,2324xm3884,1897l3750,1890,3798,2000,3884,1897xe" filled="true" fillcolor="#000000" stroked="false">
                  <v:path arrowok="t"/>
                  <v:fill type="solid"/>
                </v:shape>
                <v:line style="position:absolute" from="3131,774" to="2314,1740" stroked="true" strokeweight="1pt" strokecolor="#000000">
                  <v:stroke dashstyle="solid"/>
                </v:line>
                <v:shape style="position:absolute;left:2248;top:697;width:947;height:1119" id="docshape154" coordorigin="2249,697" coordsize="947,1119" path="m2372,1764l2281,1686,2249,1816,2372,1764xm3196,697l3073,750,3164,828,3196,697xe" filled="true" fillcolor="#000000" stroked="false">
                  <v:path arrowok="t"/>
                  <v:fill type="solid"/>
                </v:shape>
                <v:line style="position:absolute" from="4414,2387" to="4415,3384" stroked="true" strokeweight="1.0pt" strokecolor="#000000">
                  <v:stroke dashstyle="solid"/>
                </v:line>
                <v:shape style="position:absolute;left:4354;top:2287;width:121;height:1197" id="docshape155" coordorigin="4354,2287" coordsize="121,1197" path="m4474,2407l4414,2287,4354,2408,4474,2407xm4475,3364l4355,3365,4415,3484,4475,3364xe" filled="true" fillcolor="#000000" stroked="false">
                  <v:path arrowok="t"/>
                  <v:fill type="solid"/>
                </v:shape>
                <v:line style="position:absolute" from="9326,888" to="9863,1732" stroked="true" strokeweight="1.0pt" strokecolor="#000000">
                  <v:stroke dashstyle="solid"/>
                </v:line>
                <v:shape style="position:absolute;left:9272;top:803;width:645;height:1013" id="docshape156" coordorigin="9272,804" coordsize="645,1013" path="m9387,872l9272,804,9286,937,9387,872xm9917,1816l9903,1683,9802,1747,9917,1816xe" filled="true" fillcolor="#000000" stroked="false">
                  <v:path arrowok="t"/>
                  <v:fill type="solid"/>
                </v:shape>
                <v:line style="position:absolute" from="8111,1546" to="9175,1832" stroked="true" strokeweight="1.0pt" strokecolor="#000000">
                  <v:stroke dashstyle="solid"/>
                </v:line>
                <v:shape style="position:absolute;left:9140;top:1768;width:132;height:116" id="docshape157" coordorigin="9141,1768" coordsize="132,116" path="m9172,1768l9141,1884,9272,1858,9172,1768xe" filled="true" fillcolor="#000000" stroked="false">
                  <v:path arrowok="t"/>
                  <v:fill type="solid"/>
                </v:shape>
                <v:line style="position:absolute" from="7896,3484" to="8933,2738" stroked="true" strokeweight="1pt" strokecolor="#000000">
                  <v:stroke dashstyle="solid"/>
                </v:line>
                <v:shape style="position:absolute;left:8881;top:2679;width:133;height:119" id="docshape158" coordorigin="8882,2679" coordsize="133,119" path="m9014,2679l8882,2701,8952,2798,9014,2679xe" filled="true" fillcolor="#000000" stroked="false">
                  <v:path arrowok="t"/>
                  <v:fill type="solid"/>
                </v:shape>
                <v:shape style="position:absolute;left:4356;top:388;width:3774;height:490" type="#_x0000_t202" id="docshape159" filled="false" stroked="false">
                  <v:textbox inset="0,0,0,0">
                    <w:txbxContent>
                      <w:p>
                        <w:pPr>
                          <w:spacing w:line="225" w:lineRule="exact" w:before="0"/>
                          <w:ind w:left="0" w:right="18" w:firstLine="0"/>
                          <w:jc w:val="center"/>
                          <w:rPr>
                            <w:rFonts w:ascii="Calibri"/>
                            <w:b/>
                            <w:sz w:val="22"/>
                          </w:rPr>
                        </w:pPr>
                        <w:r>
                          <w:rPr>
                            <w:rFonts w:ascii="Calibri"/>
                            <w:b/>
                            <w:sz w:val="22"/>
                          </w:rPr>
                          <w:t>Customer</w:t>
                        </w:r>
                        <w:r>
                          <w:rPr>
                            <w:rFonts w:ascii="Calibri"/>
                            <w:b/>
                            <w:spacing w:val="-6"/>
                            <w:sz w:val="22"/>
                          </w:rPr>
                          <w:t> </w:t>
                        </w:r>
                        <w:r>
                          <w:rPr>
                            <w:rFonts w:ascii="Calibri"/>
                            <w:b/>
                            <w:sz w:val="22"/>
                          </w:rPr>
                          <w:t>&amp;</w:t>
                        </w:r>
                        <w:r>
                          <w:rPr>
                            <w:rFonts w:ascii="Calibri"/>
                            <w:b/>
                            <w:spacing w:val="-6"/>
                            <w:sz w:val="22"/>
                          </w:rPr>
                          <w:t> </w:t>
                        </w:r>
                        <w:r>
                          <w:rPr>
                            <w:rFonts w:ascii="Calibri"/>
                            <w:b/>
                            <w:sz w:val="22"/>
                          </w:rPr>
                          <w:t>market</w:t>
                        </w:r>
                        <w:r>
                          <w:rPr>
                            <w:rFonts w:ascii="Calibri"/>
                            <w:b/>
                            <w:spacing w:val="-4"/>
                            <w:sz w:val="22"/>
                          </w:rPr>
                          <w:t> </w:t>
                        </w:r>
                        <w:r>
                          <w:rPr>
                            <w:rFonts w:ascii="Calibri"/>
                            <w:b/>
                            <w:sz w:val="22"/>
                          </w:rPr>
                          <w:t>focused</w:t>
                        </w:r>
                        <w:r>
                          <w:rPr>
                            <w:rFonts w:ascii="Calibri"/>
                            <w:b/>
                            <w:spacing w:val="-5"/>
                            <w:sz w:val="22"/>
                          </w:rPr>
                          <w:t> </w:t>
                        </w:r>
                        <w:r>
                          <w:rPr>
                            <w:rFonts w:ascii="Calibri"/>
                            <w:b/>
                            <w:sz w:val="22"/>
                          </w:rPr>
                          <w:t>strategy</w:t>
                        </w:r>
                        <w:r>
                          <w:rPr>
                            <w:rFonts w:ascii="Calibri"/>
                            <w:b/>
                            <w:spacing w:val="-3"/>
                            <w:sz w:val="22"/>
                          </w:rPr>
                          <w:t> </w:t>
                        </w:r>
                        <w:r>
                          <w:rPr>
                            <w:rFonts w:ascii="Calibri"/>
                            <w:b/>
                            <w:spacing w:val="-5"/>
                            <w:sz w:val="22"/>
                          </w:rPr>
                          <w:t>and</w:t>
                        </w:r>
                      </w:p>
                      <w:p>
                        <w:pPr>
                          <w:spacing w:line="265" w:lineRule="exact" w:before="0"/>
                          <w:ind w:left="1" w:right="18" w:firstLine="0"/>
                          <w:jc w:val="center"/>
                          <w:rPr>
                            <w:rFonts w:ascii="Calibri"/>
                            <w:b/>
                            <w:sz w:val="22"/>
                          </w:rPr>
                        </w:pPr>
                        <w:r>
                          <w:rPr>
                            <w:rFonts w:ascii="Calibri"/>
                            <w:b/>
                            <w:sz w:val="22"/>
                          </w:rPr>
                          <w:t>action</w:t>
                        </w:r>
                        <w:r>
                          <w:rPr>
                            <w:rFonts w:ascii="Calibri"/>
                            <w:b/>
                            <w:spacing w:val="-5"/>
                            <w:sz w:val="22"/>
                          </w:rPr>
                          <w:t> </w:t>
                        </w:r>
                        <w:r>
                          <w:rPr>
                            <w:rFonts w:ascii="Calibri"/>
                            <w:b/>
                            <w:spacing w:val="-2"/>
                            <w:sz w:val="22"/>
                          </w:rPr>
                          <w:t>plans</w:t>
                        </w:r>
                      </w:p>
                    </w:txbxContent>
                  </v:textbox>
                  <w10:wrap type="none"/>
                </v:shape>
                <v:shape style="position:absolute;left:4315;top:1409;width:749;height:689" type="#_x0000_t202" id="docshape160" filled="false" stroked="false">
                  <v:textbox inset="0,0,0,0">
                    <w:txbxContent>
                      <w:p>
                        <w:pPr>
                          <w:spacing w:line="203" w:lineRule="exact" w:before="0"/>
                          <w:ind w:left="0" w:right="17" w:firstLine="0"/>
                          <w:jc w:val="center"/>
                          <w:rPr>
                            <w:rFonts w:ascii="Calibri"/>
                            <w:b/>
                            <w:sz w:val="20"/>
                          </w:rPr>
                        </w:pPr>
                        <w:r>
                          <w:rPr>
                            <w:rFonts w:ascii="Calibri"/>
                            <w:b/>
                            <w:spacing w:val="-10"/>
                            <w:sz w:val="20"/>
                          </w:rPr>
                          <w:t>2</w:t>
                        </w:r>
                      </w:p>
                      <w:p>
                        <w:pPr>
                          <w:spacing w:before="0"/>
                          <w:ind w:left="0" w:right="18" w:firstLine="0"/>
                          <w:jc w:val="center"/>
                          <w:rPr>
                            <w:rFonts w:ascii="Calibri"/>
                            <w:b/>
                            <w:sz w:val="20"/>
                          </w:rPr>
                        </w:pPr>
                        <w:r>
                          <w:rPr>
                            <w:rFonts w:ascii="Calibri"/>
                            <w:b/>
                            <w:spacing w:val="-2"/>
                            <w:sz w:val="20"/>
                          </w:rPr>
                          <w:t>Strategic planning</w:t>
                        </w:r>
                      </w:p>
                    </w:txbxContent>
                  </v:textbox>
                  <w10:wrap type="none"/>
                </v:shape>
                <v:shape style="position:absolute;left:9292;top:2017;width:809;height:764" type="#_x0000_t202" id="docshape161" filled="false" stroked="false">
                  <v:textbox inset="0,0,0,0">
                    <w:txbxContent>
                      <w:p>
                        <w:pPr>
                          <w:spacing w:line="225" w:lineRule="exact" w:before="0"/>
                          <w:ind w:left="0" w:right="18" w:firstLine="0"/>
                          <w:jc w:val="center"/>
                          <w:rPr>
                            <w:rFonts w:ascii="Calibri"/>
                            <w:b/>
                            <w:sz w:val="22"/>
                          </w:rPr>
                        </w:pPr>
                        <w:r>
                          <w:rPr>
                            <w:rFonts w:ascii="Calibri"/>
                            <w:b/>
                            <w:spacing w:val="-10"/>
                            <w:sz w:val="22"/>
                          </w:rPr>
                          <w:t>7</w:t>
                        </w:r>
                      </w:p>
                      <w:p>
                        <w:pPr>
                          <w:spacing w:line="244" w:lineRule="auto" w:before="0"/>
                          <w:ind w:left="0" w:right="18" w:firstLine="0"/>
                          <w:jc w:val="center"/>
                          <w:rPr>
                            <w:rFonts w:ascii="Calibri"/>
                            <w:b/>
                            <w:sz w:val="22"/>
                          </w:rPr>
                        </w:pPr>
                        <w:r>
                          <w:rPr>
                            <w:rFonts w:ascii="Calibri"/>
                            <w:b/>
                            <w:spacing w:val="-2"/>
                            <w:sz w:val="22"/>
                          </w:rPr>
                          <w:t>Business results</w:t>
                        </w:r>
                      </w:p>
                    </w:txbxContent>
                  </v:textbox>
                  <w10:wrap type="none"/>
                </v:shape>
                <v:shape style="position:absolute;left:1462;top:1897;width:1347;height:978" type="#_x0000_t202" id="docshape162" filled="true" fillcolor="#f2dbdb" stroked="true" strokeweight=".75pt" strokecolor="#000000">
                  <v:textbox inset="0,0,0,0">
                    <w:txbxContent>
                      <w:p>
                        <w:pPr>
                          <w:spacing w:before="69"/>
                          <w:ind w:left="0" w:right="0" w:firstLine="0"/>
                          <w:jc w:val="center"/>
                          <w:rPr>
                            <w:rFonts w:ascii="Calibri"/>
                            <w:b/>
                            <w:color w:val="000000"/>
                            <w:sz w:val="22"/>
                          </w:rPr>
                        </w:pPr>
                        <w:r>
                          <w:rPr>
                            <w:rFonts w:ascii="Calibri"/>
                            <w:b/>
                            <w:color w:val="000000"/>
                            <w:spacing w:val="-10"/>
                            <w:sz w:val="22"/>
                          </w:rPr>
                          <w:t>1</w:t>
                        </w:r>
                      </w:p>
                      <w:p>
                        <w:pPr>
                          <w:spacing w:before="2"/>
                          <w:ind w:left="0" w:right="0" w:firstLine="0"/>
                          <w:jc w:val="center"/>
                          <w:rPr>
                            <w:rFonts w:ascii="Calibri"/>
                            <w:b/>
                            <w:color w:val="000000"/>
                            <w:sz w:val="22"/>
                          </w:rPr>
                        </w:pPr>
                        <w:r>
                          <w:rPr>
                            <w:rFonts w:ascii="Calibri"/>
                            <w:b/>
                            <w:color w:val="000000"/>
                            <w:spacing w:val="-2"/>
                            <w:sz w:val="22"/>
                          </w:rPr>
                          <w:t>Leadership</w:t>
                        </w:r>
                      </w:p>
                    </w:txbxContent>
                  </v:textbox>
                  <v:fill type="solid"/>
                  <v:stroke dashstyle="solid"/>
                  <w10:wrap type="none"/>
                </v:shape>
                <v:shape style="position:absolute;left:6348;top:1182;width:1763;height:943" type="#_x0000_t202" id="docshape163" filled="true" fillcolor="#ffc000" stroked="true" strokeweight=".75pt" strokecolor="#000000">
                  <v:textbox inset="0,0,0,0">
                    <w:txbxContent>
                      <w:p>
                        <w:pPr>
                          <w:spacing w:before="68"/>
                          <w:ind w:left="0" w:right="0" w:firstLine="0"/>
                          <w:jc w:val="center"/>
                          <w:rPr>
                            <w:rFonts w:ascii="Calibri"/>
                            <w:b/>
                            <w:color w:val="000000"/>
                            <w:sz w:val="22"/>
                          </w:rPr>
                        </w:pPr>
                        <w:r>
                          <w:rPr>
                            <w:rFonts w:ascii="Calibri"/>
                            <w:b/>
                            <w:color w:val="000000"/>
                            <w:spacing w:val="-10"/>
                            <w:sz w:val="22"/>
                          </w:rPr>
                          <w:t>5</w:t>
                        </w:r>
                      </w:p>
                      <w:p>
                        <w:pPr>
                          <w:spacing w:before="1"/>
                          <w:ind w:left="208" w:right="206" w:firstLine="47"/>
                          <w:jc w:val="center"/>
                          <w:rPr>
                            <w:rFonts w:ascii="Calibri"/>
                            <w:b/>
                            <w:color w:val="000000"/>
                            <w:sz w:val="22"/>
                          </w:rPr>
                        </w:pPr>
                        <w:r>
                          <w:rPr>
                            <w:rFonts w:ascii="Calibri"/>
                            <w:b/>
                            <w:color w:val="000000"/>
                            <w:spacing w:val="-2"/>
                            <w:sz w:val="22"/>
                          </w:rPr>
                          <w:t>Human </w:t>
                        </w:r>
                        <w:r>
                          <w:rPr>
                            <w:rFonts w:ascii="Calibri"/>
                            <w:b/>
                            <w:color w:val="000000"/>
                            <w:sz w:val="22"/>
                          </w:rPr>
                          <w:t>resource</w:t>
                        </w:r>
                        <w:r>
                          <w:rPr>
                            <w:rFonts w:ascii="Calibri"/>
                            <w:b/>
                            <w:color w:val="000000"/>
                            <w:spacing w:val="-13"/>
                            <w:sz w:val="22"/>
                          </w:rPr>
                          <w:t> </w:t>
                        </w:r>
                        <w:r>
                          <w:rPr>
                            <w:rFonts w:ascii="Calibri"/>
                            <w:b/>
                            <w:color w:val="000000"/>
                            <w:sz w:val="22"/>
                          </w:rPr>
                          <w:t>focus</w:t>
                        </w:r>
                      </w:p>
                    </w:txbxContent>
                  </v:textbox>
                  <v:fill type="solid"/>
                  <v:stroke dashstyle="solid"/>
                  <w10:wrap type="none"/>
                </v:shape>
                <w10:wrap type="topAndBottom"/>
              </v:group>
            </w:pict>
          </mc:Fallback>
        </mc:AlternateContent>
      </w:r>
    </w:p>
    <w:p>
      <w:pPr>
        <w:pStyle w:val="BodyText"/>
        <w:spacing w:before="5"/>
        <w:rPr>
          <w:sz w:val="5"/>
        </w:rPr>
      </w:pPr>
    </w:p>
    <w:p>
      <w:pPr>
        <w:tabs>
          <w:tab w:pos="4731" w:val="left" w:leader="none"/>
          <w:tab w:pos="5544" w:val="left" w:leader="none"/>
        </w:tabs>
        <w:spacing w:line="240" w:lineRule="auto"/>
        <w:ind w:left="2686" w:right="0" w:firstLine="0"/>
        <w:jc w:val="left"/>
        <w:rPr>
          <w:sz w:val="20"/>
        </w:rPr>
      </w:pPr>
      <w:r>
        <w:rPr>
          <w:sz w:val="20"/>
        </w:rPr>
        <mc:AlternateContent>
          <mc:Choice Requires="wps">
            <w:drawing>
              <wp:inline distT="0" distB="0" distL="0" distR="0">
                <wp:extent cx="1009650" cy="687705"/>
                <wp:effectExtent l="9525" t="0" r="0" b="7620"/>
                <wp:docPr id="207" name="Textbox 207"/>
                <wp:cNvGraphicFramePr>
                  <a:graphicFrameLocks/>
                </wp:cNvGraphicFramePr>
                <a:graphic>
                  <a:graphicData uri="http://schemas.microsoft.com/office/word/2010/wordprocessingShape">
                    <wps:wsp>
                      <wps:cNvPr id="207" name="Textbox 207"/>
                      <wps:cNvSpPr txBox="1"/>
                      <wps:spPr>
                        <a:xfrm>
                          <a:off x="0" y="0"/>
                          <a:ext cx="1009650" cy="687705"/>
                        </a:xfrm>
                        <a:prstGeom prst="rect">
                          <a:avLst/>
                        </a:prstGeom>
                        <a:solidFill>
                          <a:srgbClr val="FFC000"/>
                        </a:solidFill>
                        <a:ln w="9525">
                          <a:solidFill>
                            <a:srgbClr val="000000"/>
                          </a:solidFill>
                          <a:prstDash val="solid"/>
                        </a:ln>
                      </wps:spPr>
                      <wps:txbx>
                        <w:txbxContent>
                          <w:p>
                            <w:pPr>
                              <w:spacing w:before="69"/>
                              <w:ind w:left="2" w:right="1" w:firstLine="0"/>
                              <w:jc w:val="center"/>
                              <w:rPr>
                                <w:rFonts w:ascii="Calibri"/>
                                <w:b/>
                                <w:color w:val="000000"/>
                                <w:sz w:val="22"/>
                              </w:rPr>
                            </w:pPr>
                            <w:r>
                              <w:rPr>
                                <w:rFonts w:ascii="Calibri"/>
                                <w:b/>
                                <w:color w:val="000000"/>
                                <w:spacing w:val="-10"/>
                                <w:sz w:val="22"/>
                              </w:rPr>
                              <w:t>3</w:t>
                            </w:r>
                          </w:p>
                          <w:p>
                            <w:pPr>
                              <w:spacing w:line="242" w:lineRule="auto" w:before="0"/>
                              <w:ind w:left="1" w:right="2" w:firstLine="0"/>
                              <w:jc w:val="center"/>
                              <w:rPr>
                                <w:rFonts w:ascii="Calibri"/>
                                <w:b/>
                                <w:color w:val="000000"/>
                                <w:sz w:val="22"/>
                              </w:rPr>
                            </w:pPr>
                            <w:r>
                              <w:rPr>
                                <w:rFonts w:ascii="Calibri"/>
                                <w:b/>
                                <w:color w:val="000000"/>
                                <w:sz w:val="22"/>
                              </w:rPr>
                              <w:t>Customer</w:t>
                            </w:r>
                            <w:r>
                              <w:rPr>
                                <w:rFonts w:ascii="Calibri"/>
                                <w:b/>
                                <w:color w:val="000000"/>
                                <w:spacing w:val="-13"/>
                                <w:sz w:val="22"/>
                              </w:rPr>
                              <w:t> </w:t>
                            </w:r>
                            <w:r>
                              <w:rPr>
                                <w:rFonts w:ascii="Calibri"/>
                                <w:b/>
                                <w:color w:val="000000"/>
                                <w:sz w:val="22"/>
                              </w:rPr>
                              <w:t>&amp; </w:t>
                            </w:r>
                            <w:r>
                              <w:rPr>
                                <w:rFonts w:ascii="Calibri"/>
                                <w:b/>
                                <w:color w:val="000000"/>
                                <w:spacing w:val="-2"/>
                                <w:sz w:val="22"/>
                              </w:rPr>
                              <w:t>market</w:t>
                            </w:r>
                          </w:p>
                        </w:txbxContent>
                      </wps:txbx>
                      <wps:bodyPr wrap="square" lIns="0" tIns="0" rIns="0" bIns="0" rtlCol="0">
                        <a:noAutofit/>
                      </wps:bodyPr>
                    </wps:wsp>
                  </a:graphicData>
                </a:graphic>
              </wp:inline>
            </w:drawing>
          </mc:Choice>
          <mc:Fallback>
            <w:pict>
              <v:shape style="width:79.5pt;height:54.15pt;mso-position-horizontal-relative:char;mso-position-vertical-relative:line" type="#_x0000_t202" id="docshape164" filled="true" fillcolor="#ffc000" stroked="true" strokeweight=".75pt" strokecolor="#000000">
                <w10:anchorlock/>
                <v:textbox inset="0,0,0,0">
                  <w:txbxContent>
                    <w:p>
                      <w:pPr>
                        <w:spacing w:before="69"/>
                        <w:ind w:left="2" w:right="1" w:firstLine="0"/>
                        <w:jc w:val="center"/>
                        <w:rPr>
                          <w:rFonts w:ascii="Calibri"/>
                          <w:b/>
                          <w:color w:val="000000"/>
                          <w:sz w:val="22"/>
                        </w:rPr>
                      </w:pPr>
                      <w:r>
                        <w:rPr>
                          <w:rFonts w:ascii="Calibri"/>
                          <w:b/>
                          <w:color w:val="000000"/>
                          <w:spacing w:val="-10"/>
                          <w:sz w:val="22"/>
                        </w:rPr>
                        <w:t>3</w:t>
                      </w:r>
                    </w:p>
                    <w:p>
                      <w:pPr>
                        <w:spacing w:line="242" w:lineRule="auto" w:before="0"/>
                        <w:ind w:left="1" w:right="2" w:firstLine="0"/>
                        <w:jc w:val="center"/>
                        <w:rPr>
                          <w:rFonts w:ascii="Calibri"/>
                          <w:b/>
                          <w:color w:val="000000"/>
                          <w:sz w:val="22"/>
                        </w:rPr>
                      </w:pPr>
                      <w:r>
                        <w:rPr>
                          <w:rFonts w:ascii="Calibri"/>
                          <w:b/>
                          <w:color w:val="000000"/>
                          <w:sz w:val="22"/>
                        </w:rPr>
                        <w:t>Customer</w:t>
                      </w:r>
                      <w:r>
                        <w:rPr>
                          <w:rFonts w:ascii="Calibri"/>
                          <w:b/>
                          <w:color w:val="000000"/>
                          <w:spacing w:val="-13"/>
                          <w:sz w:val="22"/>
                        </w:rPr>
                        <w:t> </w:t>
                      </w:r>
                      <w:r>
                        <w:rPr>
                          <w:rFonts w:ascii="Calibri"/>
                          <w:b/>
                          <w:color w:val="000000"/>
                          <w:sz w:val="22"/>
                        </w:rPr>
                        <w:t>&amp; </w:t>
                      </w:r>
                      <w:r>
                        <w:rPr>
                          <w:rFonts w:ascii="Calibri"/>
                          <w:b/>
                          <w:color w:val="000000"/>
                          <w:spacing w:val="-2"/>
                          <w:sz w:val="22"/>
                        </w:rPr>
                        <w:t>market</w:t>
                      </w:r>
                    </w:p>
                  </w:txbxContent>
                </v:textbox>
                <v:fill type="solid"/>
                <v:stroke dashstyle="solid"/>
              </v:shape>
            </w:pict>
          </mc:Fallback>
        </mc:AlternateContent>
      </w:r>
      <w:r>
        <w:rPr>
          <w:sz w:val="20"/>
        </w:rPr>
      </w:r>
      <w:r>
        <w:rPr>
          <w:sz w:val="20"/>
        </w:rPr>
        <w:tab/>
      </w:r>
      <w:r>
        <w:rPr>
          <w:position w:val="8"/>
          <w:sz w:val="20"/>
        </w:rPr>
        <mc:AlternateContent>
          <mc:Choice Requires="wps">
            <w:drawing>
              <wp:inline distT="0" distB="0" distL="0" distR="0">
                <wp:extent cx="252729" cy="654050"/>
                <wp:effectExtent l="9525" t="0" r="4445" b="12700"/>
                <wp:docPr id="208" name="Group 208"/>
                <wp:cNvGraphicFramePr>
                  <a:graphicFrameLocks/>
                </wp:cNvGraphicFramePr>
                <a:graphic>
                  <a:graphicData uri="http://schemas.microsoft.com/office/word/2010/wordprocessingGroup">
                    <wpg:wgp>
                      <wpg:cNvPr id="208" name="Group 208"/>
                      <wpg:cNvGrpSpPr/>
                      <wpg:grpSpPr>
                        <a:xfrm>
                          <a:off x="0" y="0"/>
                          <a:ext cx="252729" cy="654050"/>
                          <a:chExt cx="252729" cy="654050"/>
                        </a:xfrm>
                      </wpg:grpSpPr>
                      <wps:wsp>
                        <wps:cNvPr id="209" name="Graphic 209"/>
                        <wps:cNvSpPr/>
                        <wps:spPr>
                          <a:xfrm>
                            <a:off x="4762" y="4762"/>
                            <a:ext cx="243204" cy="644525"/>
                          </a:xfrm>
                          <a:custGeom>
                            <a:avLst/>
                            <a:gdLst/>
                            <a:ahLst/>
                            <a:cxnLst/>
                            <a:rect l="l" t="t" r="r" b="b"/>
                            <a:pathLst>
                              <a:path w="243204" h="644525">
                                <a:moveTo>
                                  <a:pt x="121602" y="0"/>
                                </a:moveTo>
                                <a:lnTo>
                                  <a:pt x="0" y="128904"/>
                                </a:lnTo>
                                <a:lnTo>
                                  <a:pt x="60794" y="128904"/>
                                </a:lnTo>
                                <a:lnTo>
                                  <a:pt x="60794" y="515619"/>
                                </a:lnTo>
                                <a:lnTo>
                                  <a:pt x="0" y="515619"/>
                                </a:lnTo>
                                <a:lnTo>
                                  <a:pt x="121602" y="644524"/>
                                </a:lnTo>
                                <a:lnTo>
                                  <a:pt x="243204" y="515619"/>
                                </a:lnTo>
                                <a:lnTo>
                                  <a:pt x="182397" y="515619"/>
                                </a:lnTo>
                                <a:lnTo>
                                  <a:pt x="182397" y="128904"/>
                                </a:lnTo>
                                <a:lnTo>
                                  <a:pt x="243204" y="128904"/>
                                </a:lnTo>
                                <a:lnTo>
                                  <a:pt x="121602" y="0"/>
                                </a:lnTo>
                                <a:close/>
                              </a:path>
                            </a:pathLst>
                          </a:custGeom>
                          <a:solidFill>
                            <a:srgbClr val="FFFF00"/>
                          </a:solidFill>
                        </wps:spPr>
                        <wps:bodyPr wrap="square" lIns="0" tIns="0" rIns="0" bIns="0" rtlCol="0">
                          <a:prstTxWarp prst="textNoShape">
                            <a:avLst/>
                          </a:prstTxWarp>
                          <a:noAutofit/>
                        </wps:bodyPr>
                      </wps:wsp>
                      <wps:wsp>
                        <wps:cNvPr id="210" name="Graphic 210"/>
                        <wps:cNvSpPr/>
                        <wps:spPr>
                          <a:xfrm>
                            <a:off x="4762" y="4762"/>
                            <a:ext cx="243204" cy="644525"/>
                          </a:xfrm>
                          <a:custGeom>
                            <a:avLst/>
                            <a:gdLst/>
                            <a:ahLst/>
                            <a:cxnLst/>
                            <a:rect l="l" t="t" r="r" b="b"/>
                            <a:pathLst>
                              <a:path w="243204" h="644525">
                                <a:moveTo>
                                  <a:pt x="121602" y="0"/>
                                </a:moveTo>
                                <a:lnTo>
                                  <a:pt x="243204" y="128904"/>
                                </a:lnTo>
                                <a:lnTo>
                                  <a:pt x="182397" y="128904"/>
                                </a:lnTo>
                                <a:lnTo>
                                  <a:pt x="182397" y="515619"/>
                                </a:lnTo>
                                <a:lnTo>
                                  <a:pt x="243204" y="515619"/>
                                </a:lnTo>
                                <a:lnTo>
                                  <a:pt x="121602" y="644524"/>
                                </a:lnTo>
                                <a:lnTo>
                                  <a:pt x="0" y="515619"/>
                                </a:lnTo>
                                <a:lnTo>
                                  <a:pt x="60794" y="515619"/>
                                </a:lnTo>
                                <a:lnTo>
                                  <a:pt x="60794" y="128904"/>
                                </a:lnTo>
                                <a:lnTo>
                                  <a:pt x="0" y="128904"/>
                                </a:lnTo>
                                <a:lnTo>
                                  <a:pt x="121602"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9pt;height:51.5pt;mso-position-horizontal-relative:char;mso-position-vertical-relative:line" id="docshapegroup165" coordorigin="0,0" coordsize="398,1030">
                <v:shape style="position:absolute;left:7;top:7;width:383;height:1015" id="docshape166" coordorigin="8,8" coordsize="383,1015" path="m199,7l7,210,103,210,103,819,7,819,199,1022,390,819,295,819,295,210,390,210,199,7xe" filled="true" fillcolor="#ffff00" stroked="false">
                  <v:path arrowok="t"/>
                  <v:fill type="solid"/>
                </v:shape>
                <v:shape style="position:absolute;left:7;top:7;width:383;height:1015" id="docshape167" coordorigin="8,8" coordsize="383,1015" path="m199,7l390,210,295,210,295,819,390,819,199,1022,7,819,103,819,103,210,7,210,199,7xe" filled="false" stroked="true" strokeweight=".75pt" strokecolor="#000000">
                  <v:path arrowok="t"/>
                  <v:stroke dashstyle="solid"/>
                </v:shape>
              </v:group>
            </w:pict>
          </mc:Fallback>
        </mc:AlternateContent>
      </w:r>
      <w:r>
        <w:rPr>
          <w:position w:val="8"/>
          <w:sz w:val="20"/>
        </w:rPr>
      </w:r>
      <w:r>
        <w:rPr>
          <w:position w:val="8"/>
          <w:sz w:val="20"/>
        </w:rPr>
        <w:tab/>
      </w:r>
      <w:r>
        <w:rPr>
          <w:position w:val="8"/>
          <w:sz w:val="20"/>
        </w:rPr>
        <mc:AlternateContent>
          <mc:Choice Requires="wps">
            <w:drawing>
              <wp:inline distT="0" distB="0" distL="0" distR="0">
                <wp:extent cx="1178560" cy="635635"/>
                <wp:effectExtent l="9525" t="0" r="2540" b="12065"/>
                <wp:docPr id="211" name="Textbox 211"/>
                <wp:cNvGraphicFramePr>
                  <a:graphicFrameLocks/>
                </wp:cNvGraphicFramePr>
                <a:graphic>
                  <a:graphicData uri="http://schemas.microsoft.com/office/word/2010/wordprocessingShape">
                    <wps:wsp>
                      <wps:cNvPr id="211" name="Textbox 211"/>
                      <wps:cNvSpPr txBox="1"/>
                      <wps:spPr>
                        <a:xfrm>
                          <a:off x="0" y="0"/>
                          <a:ext cx="1178560" cy="635635"/>
                        </a:xfrm>
                        <a:prstGeom prst="rect">
                          <a:avLst/>
                        </a:prstGeom>
                        <a:solidFill>
                          <a:srgbClr val="D6E3BC"/>
                        </a:solidFill>
                        <a:ln w="9525">
                          <a:solidFill>
                            <a:srgbClr val="000000"/>
                          </a:solidFill>
                          <a:prstDash val="solid"/>
                        </a:ln>
                      </wps:spPr>
                      <wps:txbx>
                        <w:txbxContent>
                          <w:p>
                            <w:pPr>
                              <w:spacing w:before="69"/>
                              <w:ind w:left="0" w:right="0" w:firstLine="0"/>
                              <w:jc w:val="center"/>
                              <w:rPr>
                                <w:rFonts w:ascii="Calibri"/>
                                <w:b/>
                                <w:color w:val="000000"/>
                                <w:sz w:val="22"/>
                              </w:rPr>
                            </w:pPr>
                            <w:r>
                              <w:rPr>
                                <w:rFonts w:ascii="Calibri"/>
                                <w:b/>
                                <w:color w:val="000000"/>
                                <w:spacing w:val="-10"/>
                                <w:sz w:val="22"/>
                              </w:rPr>
                              <w:t>6</w:t>
                            </w:r>
                          </w:p>
                          <w:p>
                            <w:pPr>
                              <w:spacing w:line="242" w:lineRule="auto" w:before="0"/>
                              <w:ind w:left="312" w:right="313" w:firstLine="2"/>
                              <w:jc w:val="center"/>
                              <w:rPr>
                                <w:rFonts w:ascii="Calibri"/>
                                <w:b/>
                                <w:color w:val="000000"/>
                                <w:sz w:val="22"/>
                              </w:rPr>
                            </w:pPr>
                            <w:r>
                              <w:rPr>
                                <w:rFonts w:ascii="Calibri"/>
                                <w:b/>
                                <w:color w:val="000000"/>
                                <w:spacing w:val="-2"/>
                                <w:sz w:val="22"/>
                              </w:rPr>
                              <w:t>Process management</w:t>
                            </w:r>
                          </w:p>
                        </w:txbxContent>
                      </wps:txbx>
                      <wps:bodyPr wrap="square" lIns="0" tIns="0" rIns="0" bIns="0" rtlCol="0">
                        <a:noAutofit/>
                      </wps:bodyPr>
                    </wps:wsp>
                  </a:graphicData>
                </a:graphic>
              </wp:inline>
            </w:drawing>
          </mc:Choice>
          <mc:Fallback>
            <w:pict>
              <v:shape style="width:92.8pt;height:50.05pt;mso-position-horizontal-relative:char;mso-position-vertical-relative:line" type="#_x0000_t202" id="docshape168" filled="true" fillcolor="#d6e3bc" stroked="true" strokeweight=".75pt" strokecolor="#000000">
                <w10:anchorlock/>
                <v:textbox inset="0,0,0,0">
                  <w:txbxContent>
                    <w:p>
                      <w:pPr>
                        <w:spacing w:before="69"/>
                        <w:ind w:left="0" w:right="0" w:firstLine="0"/>
                        <w:jc w:val="center"/>
                        <w:rPr>
                          <w:rFonts w:ascii="Calibri"/>
                          <w:b/>
                          <w:color w:val="000000"/>
                          <w:sz w:val="22"/>
                        </w:rPr>
                      </w:pPr>
                      <w:r>
                        <w:rPr>
                          <w:rFonts w:ascii="Calibri"/>
                          <w:b/>
                          <w:color w:val="000000"/>
                          <w:spacing w:val="-10"/>
                          <w:sz w:val="22"/>
                        </w:rPr>
                        <w:t>6</w:t>
                      </w:r>
                    </w:p>
                    <w:p>
                      <w:pPr>
                        <w:spacing w:line="242" w:lineRule="auto" w:before="0"/>
                        <w:ind w:left="312" w:right="313" w:firstLine="2"/>
                        <w:jc w:val="center"/>
                        <w:rPr>
                          <w:rFonts w:ascii="Calibri"/>
                          <w:b/>
                          <w:color w:val="000000"/>
                          <w:sz w:val="22"/>
                        </w:rPr>
                      </w:pPr>
                      <w:r>
                        <w:rPr>
                          <w:rFonts w:ascii="Calibri"/>
                          <w:b/>
                          <w:color w:val="000000"/>
                          <w:spacing w:val="-2"/>
                          <w:sz w:val="22"/>
                        </w:rPr>
                        <w:t>Process management</w:t>
                      </w:r>
                    </w:p>
                  </w:txbxContent>
                </v:textbox>
                <v:fill type="solid"/>
                <v:stroke dashstyle="solid"/>
              </v:shape>
            </w:pict>
          </mc:Fallback>
        </mc:AlternateContent>
      </w:r>
      <w:r>
        <w:rPr>
          <w:position w:val="8"/>
          <w:sz w:val="20"/>
        </w:rPr>
      </w:r>
    </w:p>
    <w:p>
      <w:pPr>
        <w:pStyle w:val="BodyText"/>
        <w:spacing w:before="6"/>
        <w:rPr>
          <w:sz w:val="16"/>
        </w:rPr>
      </w:pPr>
      <w:r>
        <w:rPr/>
        <mc:AlternateContent>
          <mc:Choice Requires="wps">
            <w:drawing>
              <wp:anchor distT="0" distB="0" distL="0" distR="0" allowOverlap="1" layoutInCell="1" locked="0" behindDoc="1" simplePos="0" relativeHeight="487602688">
                <wp:simplePos x="0" y="0"/>
                <wp:positionH relativeFrom="page">
                  <wp:posOffset>2029460</wp:posOffset>
                </wp:positionH>
                <wp:positionV relativeFrom="paragraph">
                  <wp:posOffset>141290</wp:posOffset>
                </wp:positionV>
                <wp:extent cx="3858260" cy="552450"/>
                <wp:effectExtent l="0" t="0" r="0" b="0"/>
                <wp:wrapTopAndBottom/>
                <wp:docPr id="212" name="Textbox 212"/>
                <wp:cNvGraphicFramePr>
                  <a:graphicFrameLocks/>
                </wp:cNvGraphicFramePr>
                <a:graphic>
                  <a:graphicData uri="http://schemas.microsoft.com/office/word/2010/wordprocessingShape">
                    <wps:wsp>
                      <wps:cNvPr id="212" name="Textbox 212"/>
                      <wps:cNvSpPr txBox="1"/>
                      <wps:spPr>
                        <a:xfrm>
                          <a:off x="0" y="0"/>
                          <a:ext cx="3858260" cy="552450"/>
                        </a:xfrm>
                        <a:prstGeom prst="rect">
                          <a:avLst/>
                        </a:prstGeom>
                        <a:solidFill>
                          <a:srgbClr val="92D050"/>
                        </a:solidFill>
                        <a:ln w="9525">
                          <a:solidFill>
                            <a:srgbClr val="000000"/>
                          </a:solidFill>
                          <a:prstDash val="solid"/>
                        </a:ln>
                      </wps:spPr>
                      <wps:txbx>
                        <w:txbxContent>
                          <w:p>
                            <w:pPr>
                              <w:spacing w:before="68"/>
                              <w:ind w:left="815" w:right="716" w:firstLine="0"/>
                              <w:jc w:val="center"/>
                              <w:rPr>
                                <w:rFonts w:ascii="Calibri"/>
                                <w:b/>
                                <w:color w:val="000000"/>
                                <w:sz w:val="22"/>
                              </w:rPr>
                            </w:pPr>
                            <w:r>
                              <w:rPr>
                                <w:rFonts w:ascii="Calibri"/>
                                <w:b/>
                                <w:color w:val="000000"/>
                                <w:spacing w:val="-10"/>
                                <w:sz w:val="22"/>
                              </w:rPr>
                              <w:t>4</w:t>
                            </w:r>
                          </w:p>
                          <w:p>
                            <w:pPr>
                              <w:spacing w:before="0"/>
                              <w:ind w:left="815" w:right="0" w:firstLine="0"/>
                              <w:jc w:val="center"/>
                              <w:rPr>
                                <w:rFonts w:ascii="Calibri"/>
                                <w:b/>
                                <w:color w:val="000000"/>
                                <w:sz w:val="22"/>
                              </w:rPr>
                            </w:pPr>
                            <w:r>
                              <w:rPr>
                                <w:rFonts w:ascii="Calibri"/>
                                <w:b/>
                                <w:color w:val="000000"/>
                                <w:sz w:val="22"/>
                              </w:rPr>
                              <w:t>Information</w:t>
                            </w:r>
                            <w:r>
                              <w:rPr>
                                <w:rFonts w:ascii="Calibri"/>
                                <w:b/>
                                <w:color w:val="000000"/>
                                <w:spacing w:val="-5"/>
                                <w:sz w:val="22"/>
                              </w:rPr>
                              <w:t> </w:t>
                            </w:r>
                            <w:r>
                              <w:rPr>
                                <w:rFonts w:ascii="Calibri"/>
                                <w:b/>
                                <w:color w:val="000000"/>
                                <w:sz w:val="22"/>
                              </w:rPr>
                              <w:t>and</w:t>
                            </w:r>
                            <w:r>
                              <w:rPr>
                                <w:rFonts w:ascii="Calibri"/>
                                <w:b/>
                                <w:color w:val="000000"/>
                                <w:spacing w:val="-5"/>
                                <w:sz w:val="22"/>
                              </w:rPr>
                              <w:t> </w:t>
                            </w:r>
                            <w:r>
                              <w:rPr>
                                <w:rFonts w:ascii="Calibri"/>
                                <w:b/>
                                <w:color w:val="000000"/>
                                <w:spacing w:val="-2"/>
                                <w:sz w:val="22"/>
                              </w:rPr>
                              <w:t>analysis</w:t>
                            </w:r>
                          </w:p>
                        </w:txbxContent>
                      </wps:txbx>
                      <wps:bodyPr wrap="square" lIns="0" tIns="0" rIns="0" bIns="0" rtlCol="0">
                        <a:noAutofit/>
                      </wps:bodyPr>
                    </wps:wsp>
                  </a:graphicData>
                </a:graphic>
              </wp:anchor>
            </w:drawing>
          </mc:Choice>
          <mc:Fallback>
            <w:pict>
              <v:shape style="position:absolute;margin-left:159.800003pt;margin-top:11.125244pt;width:303.8pt;height:43.5pt;mso-position-horizontal-relative:page;mso-position-vertical-relative:paragraph;z-index:-15713792;mso-wrap-distance-left:0;mso-wrap-distance-right:0" type="#_x0000_t202" id="docshape169" filled="true" fillcolor="#92d050" stroked="true" strokeweight=".75pt" strokecolor="#000000">
                <v:textbox inset="0,0,0,0">
                  <w:txbxContent>
                    <w:p>
                      <w:pPr>
                        <w:spacing w:before="68"/>
                        <w:ind w:left="815" w:right="716" w:firstLine="0"/>
                        <w:jc w:val="center"/>
                        <w:rPr>
                          <w:rFonts w:ascii="Calibri"/>
                          <w:b/>
                          <w:color w:val="000000"/>
                          <w:sz w:val="22"/>
                        </w:rPr>
                      </w:pPr>
                      <w:r>
                        <w:rPr>
                          <w:rFonts w:ascii="Calibri"/>
                          <w:b/>
                          <w:color w:val="000000"/>
                          <w:spacing w:val="-10"/>
                          <w:sz w:val="22"/>
                        </w:rPr>
                        <w:t>4</w:t>
                      </w:r>
                    </w:p>
                    <w:p>
                      <w:pPr>
                        <w:spacing w:before="0"/>
                        <w:ind w:left="815" w:right="0" w:firstLine="0"/>
                        <w:jc w:val="center"/>
                        <w:rPr>
                          <w:rFonts w:ascii="Calibri"/>
                          <w:b/>
                          <w:color w:val="000000"/>
                          <w:sz w:val="22"/>
                        </w:rPr>
                      </w:pPr>
                      <w:r>
                        <w:rPr>
                          <w:rFonts w:ascii="Calibri"/>
                          <w:b/>
                          <w:color w:val="000000"/>
                          <w:sz w:val="22"/>
                        </w:rPr>
                        <w:t>Information</w:t>
                      </w:r>
                      <w:r>
                        <w:rPr>
                          <w:rFonts w:ascii="Calibri"/>
                          <w:b/>
                          <w:color w:val="000000"/>
                          <w:spacing w:val="-5"/>
                          <w:sz w:val="22"/>
                        </w:rPr>
                        <w:t> </w:t>
                      </w:r>
                      <w:r>
                        <w:rPr>
                          <w:rFonts w:ascii="Calibri"/>
                          <w:b/>
                          <w:color w:val="000000"/>
                          <w:sz w:val="22"/>
                        </w:rPr>
                        <w:t>and</w:t>
                      </w:r>
                      <w:r>
                        <w:rPr>
                          <w:rFonts w:ascii="Calibri"/>
                          <w:b/>
                          <w:color w:val="000000"/>
                          <w:spacing w:val="-5"/>
                          <w:sz w:val="22"/>
                        </w:rPr>
                        <w:t> </w:t>
                      </w:r>
                      <w:r>
                        <w:rPr>
                          <w:rFonts w:ascii="Calibri"/>
                          <w:b/>
                          <w:color w:val="000000"/>
                          <w:spacing w:val="-2"/>
                          <w:sz w:val="22"/>
                        </w:rPr>
                        <w:t>analysis</w:t>
                      </w:r>
                    </w:p>
                  </w:txbxContent>
                </v:textbox>
                <v:fill type="solid"/>
                <v:stroke dashstyle="solid"/>
                <w10:wrap type="topAndBottom"/>
              </v:shape>
            </w:pict>
          </mc:Fallback>
        </mc:AlternateContent>
      </w:r>
    </w:p>
    <w:p>
      <w:pPr>
        <w:pStyle w:val="BodyText"/>
        <w:spacing w:before="107"/>
      </w:pPr>
    </w:p>
    <w:p>
      <w:pPr>
        <w:pStyle w:val="Heading2"/>
        <w:spacing w:before="1"/>
        <w:jc w:val="left"/>
      </w:pPr>
      <w:r>
        <w:rPr/>
        <w:t>Figure</w:t>
      </w:r>
      <w:r>
        <w:rPr>
          <w:spacing w:val="-2"/>
        </w:rPr>
        <w:t> </w:t>
      </w:r>
      <w:r>
        <w:rPr/>
        <w:t>3.5:</w:t>
      </w:r>
      <w:r>
        <w:rPr>
          <w:spacing w:val="-2"/>
        </w:rPr>
        <w:t> </w:t>
      </w:r>
      <w:r>
        <w:rPr/>
        <w:t>Baldrige</w:t>
      </w:r>
      <w:r>
        <w:rPr>
          <w:spacing w:val="-2"/>
        </w:rPr>
        <w:t> </w:t>
      </w:r>
      <w:r>
        <w:rPr>
          <w:spacing w:val="-4"/>
        </w:rPr>
        <w:t>Model</w:t>
      </w:r>
    </w:p>
    <w:p>
      <w:pPr>
        <w:spacing w:before="0"/>
        <w:ind w:left="400" w:right="0" w:firstLine="0"/>
        <w:jc w:val="left"/>
        <w:rPr>
          <w:b/>
          <w:sz w:val="24"/>
        </w:rPr>
      </w:pPr>
      <w:r>
        <w:rPr>
          <w:b/>
          <w:sz w:val="24"/>
        </w:rPr>
        <w:t>Source:</w:t>
      </w:r>
      <w:r>
        <w:rPr>
          <w:b/>
          <w:spacing w:val="-4"/>
          <w:sz w:val="24"/>
        </w:rPr>
        <w:t> </w:t>
      </w:r>
      <w:r>
        <w:rPr>
          <w:b/>
          <w:sz w:val="24"/>
        </w:rPr>
        <w:t>Oakland</w:t>
      </w:r>
      <w:r>
        <w:rPr>
          <w:b/>
          <w:spacing w:val="-2"/>
          <w:sz w:val="24"/>
        </w:rPr>
        <w:t> </w:t>
      </w:r>
      <w:r>
        <w:rPr>
          <w:b/>
          <w:sz w:val="24"/>
        </w:rPr>
        <w:t>and</w:t>
      </w:r>
      <w:r>
        <w:rPr>
          <w:b/>
          <w:spacing w:val="-4"/>
          <w:sz w:val="24"/>
        </w:rPr>
        <w:t> </w:t>
      </w:r>
      <w:r>
        <w:rPr>
          <w:b/>
          <w:sz w:val="24"/>
        </w:rPr>
        <w:t>Marosszeky</w:t>
      </w:r>
      <w:r>
        <w:rPr>
          <w:b/>
          <w:spacing w:val="-2"/>
          <w:sz w:val="24"/>
        </w:rPr>
        <w:t> (2006)</w:t>
      </w:r>
    </w:p>
    <w:p>
      <w:pPr>
        <w:spacing w:after="0"/>
        <w:jc w:val="left"/>
        <w:rPr>
          <w:sz w:val="24"/>
        </w:rPr>
        <w:sectPr>
          <w:pgSz w:w="12240" w:h="15840"/>
          <w:pgMar w:header="0" w:footer="1017" w:top="1360" w:bottom="1200" w:left="1040" w:right="120"/>
        </w:sectPr>
      </w:pPr>
    </w:p>
    <w:p>
      <w:pPr>
        <w:pStyle w:val="Heading3"/>
        <w:numPr>
          <w:ilvl w:val="3"/>
          <w:numId w:val="30"/>
        </w:numPr>
        <w:tabs>
          <w:tab w:pos="1899" w:val="left" w:leader="none"/>
        </w:tabs>
        <w:spacing w:line="240" w:lineRule="auto" w:before="79" w:after="0"/>
        <w:ind w:left="1899" w:right="0" w:hanging="1499"/>
        <w:jc w:val="left"/>
      </w:pPr>
      <w:r>
        <w:rPr/>
        <w:t>European</w:t>
      </w:r>
      <w:r>
        <w:rPr>
          <w:spacing w:val="-2"/>
        </w:rPr>
        <w:t> </w:t>
      </w:r>
      <w:r>
        <w:rPr/>
        <w:t>quality</w:t>
      </w:r>
      <w:r>
        <w:rPr>
          <w:spacing w:val="-2"/>
        </w:rPr>
        <w:t> award</w:t>
      </w:r>
    </w:p>
    <w:p>
      <w:pPr>
        <w:pStyle w:val="BodyText"/>
        <w:spacing w:before="192"/>
        <w:rPr>
          <w:b/>
          <w:i/>
        </w:rPr>
      </w:pPr>
    </w:p>
    <w:p>
      <w:pPr>
        <w:pStyle w:val="BodyText"/>
        <w:spacing w:line="480" w:lineRule="auto"/>
        <w:ind w:left="400" w:right="1317"/>
        <w:jc w:val="both"/>
      </w:pPr>
      <w:r>
        <w:rPr/>
        <w:t>In the 1990s, the European Foundation for Quality</w:t>
      </w:r>
      <w:r>
        <w:rPr>
          <w:spacing w:val="-1"/>
        </w:rPr>
        <w:t> </w:t>
      </w:r>
      <w:r>
        <w:rPr/>
        <w:t>Management (EFQM) launched the European Quality Award, which is the most prestigious award for organizational excellence and is the top level of the (EFQM) levels of excellence. The award includes a separate category for organizations</w:t>
      </w:r>
      <w:r>
        <w:rPr>
          <w:spacing w:val="-3"/>
        </w:rPr>
        <w:t> </w:t>
      </w:r>
      <w:r>
        <w:rPr/>
        <w:t>in</w:t>
      </w:r>
      <w:r>
        <w:rPr>
          <w:spacing w:val="-3"/>
        </w:rPr>
        <w:t> </w:t>
      </w:r>
      <w:r>
        <w:rPr/>
        <w:t>the</w:t>
      </w:r>
      <w:r>
        <w:rPr>
          <w:spacing w:val="-4"/>
        </w:rPr>
        <w:t> </w:t>
      </w:r>
      <w:r>
        <w:rPr/>
        <w:t>public</w:t>
      </w:r>
      <w:r>
        <w:rPr>
          <w:spacing w:val="-4"/>
        </w:rPr>
        <w:t> </w:t>
      </w:r>
      <w:r>
        <w:rPr/>
        <w:t>sector,</w:t>
      </w:r>
      <w:r>
        <w:rPr>
          <w:spacing w:val="-1"/>
        </w:rPr>
        <w:t> </w:t>
      </w:r>
      <w:r>
        <w:rPr/>
        <w:t>and</w:t>
      </w:r>
      <w:r>
        <w:rPr>
          <w:spacing w:val="-1"/>
        </w:rPr>
        <w:t> </w:t>
      </w:r>
      <w:r>
        <w:rPr/>
        <w:t>for</w:t>
      </w:r>
      <w:r>
        <w:rPr>
          <w:spacing w:val="-2"/>
        </w:rPr>
        <w:t> </w:t>
      </w:r>
      <w:r>
        <w:rPr/>
        <w:t>factories,</w:t>
      </w:r>
      <w:r>
        <w:rPr>
          <w:spacing w:val="-3"/>
        </w:rPr>
        <w:t> </w:t>
      </w:r>
      <w:r>
        <w:rPr/>
        <w:t>sales</w:t>
      </w:r>
      <w:r>
        <w:rPr>
          <w:spacing w:val="-3"/>
        </w:rPr>
        <w:t> </w:t>
      </w:r>
      <w:r>
        <w:rPr/>
        <w:t>and</w:t>
      </w:r>
      <w:r>
        <w:rPr>
          <w:spacing w:val="-1"/>
        </w:rPr>
        <w:t> </w:t>
      </w:r>
      <w:r>
        <w:rPr/>
        <w:t>research</w:t>
      </w:r>
      <w:r>
        <w:rPr>
          <w:spacing w:val="-3"/>
        </w:rPr>
        <w:t> </w:t>
      </w:r>
      <w:r>
        <w:rPr/>
        <w:t>units.</w:t>
      </w:r>
      <w:r>
        <w:rPr>
          <w:spacing w:val="-1"/>
        </w:rPr>
        <w:t> </w:t>
      </w:r>
      <w:r>
        <w:rPr/>
        <w:t>This</w:t>
      </w:r>
      <w:r>
        <w:rPr>
          <w:spacing w:val="-3"/>
        </w:rPr>
        <w:t> </w:t>
      </w:r>
      <w:r>
        <w:rPr/>
        <w:t>framework</w:t>
      </w:r>
      <w:r>
        <w:rPr>
          <w:spacing w:val="-1"/>
        </w:rPr>
        <w:t> </w:t>
      </w:r>
      <w:r>
        <w:rPr/>
        <w:t>was the first one to include 'Business Results' and really to present the whole business model.</w:t>
      </w:r>
    </w:p>
    <w:p>
      <w:pPr>
        <w:pStyle w:val="BodyText"/>
      </w:pPr>
    </w:p>
    <w:p>
      <w:pPr>
        <w:pStyle w:val="BodyText"/>
      </w:pPr>
    </w:p>
    <w:p>
      <w:pPr>
        <w:pStyle w:val="BodyText"/>
        <w:spacing w:line="480" w:lineRule="auto"/>
        <w:ind w:left="400" w:right="1316"/>
        <w:jc w:val="both"/>
      </w:pPr>
      <w:r>
        <w:rPr/>
        <w:t>Similar to the Baldrige award in the US, the European Quality Award in Europe is designed to increase the awareness throughout the European Community, in business in particular, of the growing importance of quality to their competitiveness in the increasingly global market and to their standard of living (Evans and Lindsay, 2001).</w:t>
      </w:r>
      <w:r>
        <w:rPr>
          <w:spacing w:val="80"/>
          <w:w w:val="150"/>
        </w:rPr>
        <w:t> </w:t>
      </w:r>
      <w:r>
        <w:rPr/>
        <w:t>Moreover, the EFQM Model emphasizes that it is to be recognized that process is the approach by which an organization harnesses and releases the talents of its people to produce the desired performance. In addition to this, improvement in performance can be achieved by improving processes and this can be brought about by involving the people. The simple model is that people improve performance by means of</w:t>
      </w:r>
      <w:r>
        <w:rPr>
          <w:spacing w:val="-1"/>
        </w:rPr>
        <w:t> </w:t>
      </w:r>
      <w:r>
        <w:rPr/>
        <w:t>good processes is shown in Figure</w:t>
      </w:r>
      <w:r>
        <w:rPr>
          <w:spacing w:val="-1"/>
        </w:rPr>
        <w:t> </w:t>
      </w:r>
      <w:r>
        <w:rPr/>
        <w:t>(3.6).</w:t>
      </w:r>
      <w:r>
        <w:rPr>
          <w:spacing w:val="80"/>
        </w:rPr>
        <w:t> </w:t>
      </w:r>
      <w:r>
        <w:rPr/>
        <w:t>Achieve</w:t>
      </w:r>
      <w:r>
        <w:rPr>
          <w:spacing w:val="-1"/>
        </w:rPr>
        <w:t> </w:t>
      </w:r>
      <w:r>
        <w:rPr/>
        <w:t>better</w:t>
      </w:r>
      <w:r>
        <w:rPr>
          <w:spacing w:val="-1"/>
        </w:rPr>
        <w:t> </w:t>
      </w:r>
      <w:r>
        <w:rPr/>
        <w:t>performance</w:t>
      </w:r>
      <w:r>
        <w:rPr>
          <w:spacing w:val="-1"/>
        </w:rPr>
        <w:t> </w:t>
      </w:r>
      <w:r>
        <w:rPr/>
        <w:t>through involvement of all employees (people) in continuous improvement of their processes.</w:t>
      </w:r>
    </w:p>
    <w:p>
      <w:pPr>
        <w:spacing w:after="0" w:line="480" w:lineRule="auto"/>
        <w:jc w:val="both"/>
        <w:sectPr>
          <w:pgSz w:w="12240" w:h="15840"/>
          <w:pgMar w:header="0" w:footer="1017" w:top="1360" w:bottom="1200" w:left="1040" w:right="120"/>
        </w:sectPr>
      </w:pPr>
    </w:p>
    <w:p>
      <w:pPr>
        <w:pStyle w:val="BodyText"/>
        <w:ind w:left="1441"/>
        <w:rPr>
          <w:sz w:val="20"/>
        </w:rPr>
      </w:pPr>
      <w:r>
        <w:rPr>
          <w:sz w:val="20"/>
        </w:rPr>
        <mc:AlternateContent>
          <mc:Choice Requires="wps">
            <w:drawing>
              <wp:inline distT="0" distB="0" distL="0" distR="0">
                <wp:extent cx="4627245" cy="2141855"/>
                <wp:effectExtent l="0" t="0" r="0" b="10794"/>
                <wp:docPr id="213" name="Group 213"/>
                <wp:cNvGraphicFramePr>
                  <a:graphicFrameLocks/>
                </wp:cNvGraphicFramePr>
                <a:graphic>
                  <a:graphicData uri="http://schemas.microsoft.com/office/word/2010/wordprocessingGroup">
                    <wpg:wgp>
                      <wpg:cNvPr id="213" name="Group 213"/>
                      <wpg:cNvGrpSpPr/>
                      <wpg:grpSpPr>
                        <a:xfrm>
                          <a:off x="0" y="0"/>
                          <a:ext cx="4627245" cy="2141855"/>
                          <a:chExt cx="4627245" cy="2141855"/>
                        </a:xfrm>
                      </wpg:grpSpPr>
                      <wps:wsp>
                        <wps:cNvPr id="214" name="Graphic 214"/>
                        <wps:cNvSpPr/>
                        <wps:spPr>
                          <a:xfrm>
                            <a:off x="1771967" y="4762"/>
                            <a:ext cx="686435" cy="2132330"/>
                          </a:xfrm>
                          <a:custGeom>
                            <a:avLst/>
                            <a:gdLst/>
                            <a:ahLst/>
                            <a:cxnLst/>
                            <a:rect l="l" t="t" r="r" b="b"/>
                            <a:pathLst>
                              <a:path w="686435" h="2132330">
                                <a:moveTo>
                                  <a:pt x="343217" y="0"/>
                                </a:moveTo>
                                <a:lnTo>
                                  <a:pt x="298472" y="8976"/>
                                </a:lnTo>
                                <a:lnTo>
                                  <a:pt x="255468" y="35158"/>
                                </a:lnTo>
                                <a:lnTo>
                                  <a:pt x="214566" y="77422"/>
                                </a:lnTo>
                                <a:lnTo>
                                  <a:pt x="176127" y="134643"/>
                                </a:lnTo>
                                <a:lnTo>
                                  <a:pt x="157945" y="168511"/>
                                </a:lnTo>
                                <a:lnTo>
                                  <a:pt x="140514" y="205698"/>
                                </a:lnTo>
                                <a:lnTo>
                                  <a:pt x="123881" y="246062"/>
                                </a:lnTo>
                                <a:lnTo>
                                  <a:pt x="108089" y="289463"/>
                                </a:lnTo>
                                <a:lnTo>
                                  <a:pt x="93185" y="335762"/>
                                </a:lnTo>
                                <a:lnTo>
                                  <a:pt x="79213" y="384816"/>
                                </a:lnTo>
                                <a:lnTo>
                                  <a:pt x="66219" y="436487"/>
                                </a:lnTo>
                                <a:lnTo>
                                  <a:pt x="54248" y="490632"/>
                                </a:lnTo>
                                <a:lnTo>
                                  <a:pt x="43344" y="547113"/>
                                </a:lnTo>
                                <a:lnTo>
                                  <a:pt x="33555" y="605788"/>
                                </a:lnTo>
                                <a:lnTo>
                                  <a:pt x="24924" y="666518"/>
                                </a:lnTo>
                                <a:lnTo>
                                  <a:pt x="17496" y="729161"/>
                                </a:lnTo>
                                <a:lnTo>
                                  <a:pt x="11318" y="793577"/>
                                </a:lnTo>
                                <a:lnTo>
                                  <a:pt x="6434" y="859626"/>
                                </a:lnTo>
                                <a:lnTo>
                                  <a:pt x="2889" y="927167"/>
                                </a:lnTo>
                                <a:lnTo>
                                  <a:pt x="730" y="996060"/>
                                </a:lnTo>
                                <a:lnTo>
                                  <a:pt x="0" y="1066165"/>
                                </a:lnTo>
                                <a:lnTo>
                                  <a:pt x="730" y="1136269"/>
                                </a:lnTo>
                                <a:lnTo>
                                  <a:pt x="2889" y="1205162"/>
                                </a:lnTo>
                                <a:lnTo>
                                  <a:pt x="6434" y="1272703"/>
                                </a:lnTo>
                                <a:lnTo>
                                  <a:pt x="11318" y="1338752"/>
                                </a:lnTo>
                                <a:lnTo>
                                  <a:pt x="17496" y="1403168"/>
                                </a:lnTo>
                                <a:lnTo>
                                  <a:pt x="24924" y="1465811"/>
                                </a:lnTo>
                                <a:lnTo>
                                  <a:pt x="33555" y="1526541"/>
                                </a:lnTo>
                                <a:lnTo>
                                  <a:pt x="43344" y="1585216"/>
                                </a:lnTo>
                                <a:lnTo>
                                  <a:pt x="54248" y="1641697"/>
                                </a:lnTo>
                                <a:lnTo>
                                  <a:pt x="66219" y="1695842"/>
                                </a:lnTo>
                                <a:lnTo>
                                  <a:pt x="79213" y="1747513"/>
                                </a:lnTo>
                                <a:lnTo>
                                  <a:pt x="93185" y="1796567"/>
                                </a:lnTo>
                                <a:lnTo>
                                  <a:pt x="108089" y="1842866"/>
                                </a:lnTo>
                                <a:lnTo>
                                  <a:pt x="123881" y="1886267"/>
                                </a:lnTo>
                                <a:lnTo>
                                  <a:pt x="140514" y="1926631"/>
                                </a:lnTo>
                                <a:lnTo>
                                  <a:pt x="157945" y="1963818"/>
                                </a:lnTo>
                                <a:lnTo>
                                  <a:pt x="176127" y="1997686"/>
                                </a:lnTo>
                                <a:lnTo>
                                  <a:pt x="214566" y="2054907"/>
                                </a:lnTo>
                                <a:lnTo>
                                  <a:pt x="255468" y="2097171"/>
                                </a:lnTo>
                                <a:lnTo>
                                  <a:pt x="298472" y="2123353"/>
                                </a:lnTo>
                                <a:lnTo>
                                  <a:pt x="343217" y="2132330"/>
                                </a:lnTo>
                                <a:lnTo>
                                  <a:pt x="365784" y="2130062"/>
                                </a:lnTo>
                                <a:lnTo>
                                  <a:pt x="409704" y="2112342"/>
                                </a:lnTo>
                                <a:lnTo>
                                  <a:pt x="451703" y="2077979"/>
                                </a:lnTo>
                                <a:lnTo>
                                  <a:pt x="491418" y="2028096"/>
                                </a:lnTo>
                                <a:lnTo>
                                  <a:pt x="528489" y="1963818"/>
                                </a:lnTo>
                                <a:lnTo>
                                  <a:pt x="545920" y="1926631"/>
                                </a:lnTo>
                                <a:lnTo>
                                  <a:pt x="562553" y="1886267"/>
                                </a:lnTo>
                                <a:lnTo>
                                  <a:pt x="578345" y="1842866"/>
                                </a:lnTo>
                                <a:lnTo>
                                  <a:pt x="593249" y="1796567"/>
                                </a:lnTo>
                                <a:lnTo>
                                  <a:pt x="607221" y="1747513"/>
                                </a:lnTo>
                                <a:lnTo>
                                  <a:pt x="620215" y="1695842"/>
                                </a:lnTo>
                                <a:lnTo>
                                  <a:pt x="632186" y="1641697"/>
                                </a:lnTo>
                                <a:lnTo>
                                  <a:pt x="643090" y="1585216"/>
                                </a:lnTo>
                                <a:lnTo>
                                  <a:pt x="652879" y="1526541"/>
                                </a:lnTo>
                                <a:lnTo>
                                  <a:pt x="661510" y="1465811"/>
                                </a:lnTo>
                                <a:lnTo>
                                  <a:pt x="668938" y="1403168"/>
                                </a:lnTo>
                                <a:lnTo>
                                  <a:pt x="675116" y="1338752"/>
                                </a:lnTo>
                                <a:lnTo>
                                  <a:pt x="680000" y="1272703"/>
                                </a:lnTo>
                                <a:lnTo>
                                  <a:pt x="683545" y="1205162"/>
                                </a:lnTo>
                                <a:lnTo>
                                  <a:pt x="685704" y="1136269"/>
                                </a:lnTo>
                                <a:lnTo>
                                  <a:pt x="686434" y="1066165"/>
                                </a:lnTo>
                                <a:lnTo>
                                  <a:pt x="685704" y="996060"/>
                                </a:lnTo>
                                <a:lnTo>
                                  <a:pt x="683545" y="927167"/>
                                </a:lnTo>
                                <a:lnTo>
                                  <a:pt x="680000" y="859626"/>
                                </a:lnTo>
                                <a:lnTo>
                                  <a:pt x="675116" y="793577"/>
                                </a:lnTo>
                                <a:lnTo>
                                  <a:pt x="668938" y="729161"/>
                                </a:lnTo>
                                <a:lnTo>
                                  <a:pt x="661510" y="666518"/>
                                </a:lnTo>
                                <a:lnTo>
                                  <a:pt x="652879" y="605788"/>
                                </a:lnTo>
                                <a:lnTo>
                                  <a:pt x="643090" y="547113"/>
                                </a:lnTo>
                                <a:lnTo>
                                  <a:pt x="632186" y="490632"/>
                                </a:lnTo>
                                <a:lnTo>
                                  <a:pt x="620215" y="436487"/>
                                </a:lnTo>
                                <a:lnTo>
                                  <a:pt x="607221" y="384816"/>
                                </a:lnTo>
                                <a:lnTo>
                                  <a:pt x="593249" y="335762"/>
                                </a:lnTo>
                                <a:lnTo>
                                  <a:pt x="578345" y="289463"/>
                                </a:lnTo>
                                <a:lnTo>
                                  <a:pt x="562553" y="246062"/>
                                </a:lnTo>
                                <a:lnTo>
                                  <a:pt x="545920" y="205698"/>
                                </a:lnTo>
                                <a:lnTo>
                                  <a:pt x="528489" y="168511"/>
                                </a:lnTo>
                                <a:lnTo>
                                  <a:pt x="510307" y="134643"/>
                                </a:lnTo>
                                <a:lnTo>
                                  <a:pt x="471868" y="77422"/>
                                </a:lnTo>
                                <a:lnTo>
                                  <a:pt x="430966" y="35158"/>
                                </a:lnTo>
                                <a:lnTo>
                                  <a:pt x="387962" y="8976"/>
                                </a:lnTo>
                                <a:lnTo>
                                  <a:pt x="343217" y="0"/>
                                </a:lnTo>
                                <a:close/>
                              </a:path>
                            </a:pathLst>
                          </a:custGeom>
                          <a:solidFill>
                            <a:srgbClr val="76923C"/>
                          </a:solidFill>
                        </wps:spPr>
                        <wps:bodyPr wrap="square" lIns="0" tIns="0" rIns="0" bIns="0" rtlCol="0">
                          <a:prstTxWarp prst="textNoShape">
                            <a:avLst/>
                          </a:prstTxWarp>
                          <a:noAutofit/>
                        </wps:bodyPr>
                      </wps:wsp>
                      <wps:wsp>
                        <wps:cNvPr id="215" name="Graphic 215"/>
                        <wps:cNvSpPr/>
                        <wps:spPr>
                          <a:xfrm>
                            <a:off x="1771967" y="4762"/>
                            <a:ext cx="686435" cy="2132330"/>
                          </a:xfrm>
                          <a:custGeom>
                            <a:avLst/>
                            <a:gdLst/>
                            <a:ahLst/>
                            <a:cxnLst/>
                            <a:rect l="l" t="t" r="r" b="b"/>
                            <a:pathLst>
                              <a:path w="686435" h="2132330">
                                <a:moveTo>
                                  <a:pt x="343217" y="0"/>
                                </a:moveTo>
                                <a:lnTo>
                                  <a:pt x="298472" y="8976"/>
                                </a:lnTo>
                                <a:lnTo>
                                  <a:pt x="255468" y="35158"/>
                                </a:lnTo>
                                <a:lnTo>
                                  <a:pt x="214566" y="77422"/>
                                </a:lnTo>
                                <a:lnTo>
                                  <a:pt x="176127" y="134643"/>
                                </a:lnTo>
                                <a:lnTo>
                                  <a:pt x="157945" y="168511"/>
                                </a:lnTo>
                                <a:lnTo>
                                  <a:pt x="140514" y="205698"/>
                                </a:lnTo>
                                <a:lnTo>
                                  <a:pt x="123881" y="246062"/>
                                </a:lnTo>
                                <a:lnTo>
                                  <a:pt x="108089" y="289463"/>
                                </a:lnTo>
                                <a:lnTo>
                                  <a:pt x="93185" y="335762"/>
                                </a:lnTo>
                                <a:lnTo>
                                  <a:pt x="79213" y="384816"/>
                                </a:lnTo>
                                <a:lnTo>
                                  <a:pt x="66219" y="436487"/>
                                </a:lnTo>
                                <a:lnTo>
                                  <a:pt x="54248" y="490632"/>
                                </a:lnTo>
                                <a:lnTo>
                                  <a:pt x="43344" y="547113"/>
                                </a:lnTo>
                                <a:lnTo>
                                  <a:pt x="33555" y="605788"/>
                                </a:lnTo>
                                <a:lnTo>
                                  <a:pt x="24924" y="666518"/>
                                </a:lnTo>
                                <a:lnTo>
                                  <a:pt x="17496" y="729161"/>
                                </a:lnTo>
                                <a:lnTo>
                                  <a:pt x="11318" y="793577"/>
                                </a:lnTo>
                                <a:lnTo>
                                  <a:pt x="6434" y="859626"/>
                                </a:lnTo>
                                <a:lnTo>
                                  <a:pt x="2889" y="927167"/>
                                </a:lnTo>
                                <a:lnTo>
                                  <a:pt x="730" y="996060"/>
                                </a:lnTo>
                                <a:lnTo>
                                  <a:pt x="0" y="1066165"/>
                                </a:lnTo>
                                <a:lnTo>
                                  <a:pt x="730" y="1136269"/>
                                </a:lnTo>
                                <a:lnTo>
                                  <a:pt x="2889" y="1205162"/>
                                </a:lnTo>
                                <a:lnTo>
                                  <a:pt x="6434" y="1272703"/>
                                </a:lnTo>
                                <a:lnTo>
                                  <a:pt x="11318" y="1338752"/>
                                </a:lnTo>
                                <a:lnTo>
                                  <a:pt x="17496" y="1403168"/>
                                </a:lnTo>
                                <a:lnTo>
                                  <a:pt x="24924" y="1465811"/>
                                </a:lnTo>
                                <a:lnTo>
                                  <a:pt x="33555" y="1526541"/>
                                </a:lnTo>
                                <a:lnTo>
                                  <a:pt x="43344" y="1585216"/>
                                </a:lnTo>
                                <a:lnTo>
                                  <a:pt x="54248" y="1641697"/>
                                </a:lnTo>
                                <a:lnTo>
                                  <a:pt x="66219" y="1695842"/>
                                </a:lnTo>
                                <a:lnTo>
                                  <a:pt x="79213" y="1747513"/>
                                </a:lnTo>
                                <a:lnTo>
                                  <a:pt x="93185" y="1796567"/>
                                </a:lnTo>
                                <a:lnTo>
                                  <a:pt x="108089" y="1842866"/>
                                </a:lnTo>
                                <a:lnTo>
                                  <a:pt x="123881" y="1886267"/>
                                </a:lnTo>
                                <a:lnTo>
                                  <a:pt x="140514" y="1926631"/>
                                </a:lnTo>
                                <a:lnTo>
                                  <a:pt x="157945" y="1963818"/>
                                </a:lnTo>
                                <a:lnTo>
                                  <a:pt x="176127" y="1997686"/>
                                </a:lnTo>
                                <a:lnTo>
                                  <a:pt x="214566" y="2054907"/>
                                </a:lnTo>
                                <a:lnTo>
                                  <a:pt x="255468" y="2097171"/>
                                </a:lnTo>
                                <a:lnTo>
                                  <a:pt x="298472" y="2123353"/>
                                </a:lnTo>
                                <a:lnTo>
                                  <a:pt x="343217" y="2132330"/>
                                </a:lnTo>
                                <a:lnTo>
                                  <a:pt x="365784" y="2130062"/>
                                </a:lnTo>
                                <a:lnTo>
                                  <a:pt x="409704" y="2112342"/>
                                </a:lnTo>
                                <a:lnTo>
                                  <a:pt x="451703" y="2077979"/>
                                </a:lnTo>
                                <a:lnTo>
                                  <a:pt x="491418" y="2028096"/>
                                </a:lnTo>
                                <a:lnTo>
                                  <a:pt x="528489" y="1963818"/>
                                </a:lnTo>
                                <a:lnTo>
                                  <a:pt x="545920" y="1926631"/>
                                </a:lnTo>
                                <a:lnTo>
                                  <a:pt x="562553" y="1886267"/>
                                </a:lnTo>
                                <a:lnTo>
                                  <a:pt x="578345" y="1842866"/>
                                </a:lnTo>
                                <a:lnTo>
                                  <a:pt x="593249" y="1796567"/>
                                </a:lnTo>
                                <a:lnTo>
                                  <a:pt x="607221" y="1747513"/>
                                </a:lnTo>
                                <a:lnTo>
                                  <a:pt x="620215" y="1695842"/>
                                </a:lnTo>
                                <a:lnTo>
                                  <a:pt x="632186" y="1641697"/>
                                </a:lnTo>
                                <a:lnTo>
                                  <a:pt x="643090" y="1585216"/>
                                </a:lnTo>
                                <a:lnTo>
                                  <a:pt x="652879" y="1526541"/>
                                </a:lnTo>
                                <a:lnTo>
                                  <a:pt x="661510" y="1465811"/>
                                </a:lnTo>
                                <a:lnTo>
                                  <a:pt x="668938" y="1403168"/>
                                </a:lnTo>
                                <a:lnTo>
                                  <a:pt x="675116" y="1338752"/>
                                </a:lnTo>
                                <a:lnTo>
                                  <a:pt x="680000" y="1272703"/>
                                </a:lnTo>
                                <a:lnTo>
                                  <a:pt x="683545" y="1205162"/>
                                </a:lnTo>
                                <a:lnTo>
                                  <a:pt x="685704" y="1136269"/>
                                </a:lnTo>
                                <a:lnTo>
                                  <a:pt x="686434" y="1066165"/>
                                </a:lnTo>
                                <a:lnTo>
                                  <a:pt x="685704" y="996060"/>
                                </a:lnTo>
                                <a:lnTo>
                                  <a:pt x="683545" y="927167"/>
                                </a:lnTo>
                                <a:lnTo>
                                  <a:pt x="680000" y="859626"/>
                                </a:lnTo>
                                <a:lnTo>
                                  <a:pt x="675116" y="793577"/>
                                </a:lnTo>
                                <a:lnTo>
                                  <a:pt x="668938" y="729161"/>
                                </a:lnTo>
                                <a:lnTo>
                                  <a:pt x="661510" y="666518"/>
                                </a:lnTo>
                                <a:lnTo>
                                  <a:pt x="652879" y="605788"/>
                                </a:lnTo>
                                <a:lnTo>
                                  <a:pt x="643090" y="547113"/>
                                </a:lnTo>
                                <a:lnTo>
                                  <a:pt x="632186" y="490632"/>
                                </a:lnTo>
                                <a:lnTo>
                                  <a:pt x="620215" y="436487"/>
                                </a:lnTo>
                                <a:lnTo>
                                  <a:pt x="607221" y="384816"/>
                                </a:lnTo>
                                <a:lnTo>
                                  <a:pt x="593249" y="335762"/>
                                </a:lnTo>
                                <a:lnTo>
                                  <a:pt x="578345" y="289463"/>
                                </a:lnTo>
                                <a:lnTo>
                                  <a:pt x="562553" y="246062"/>
                                </a:lnTo>
                                <a:lnTo>
                                  <a:pt x="545920" y="205698"/>
                                </a:lnTo>
                                <a:lnTo>
                                  <a:pt x="528489" y="168511"/>
                                </a:lnTo>
                                <a:lnTo>
                                  <a:pt x="510307" y="134643"/>
                                </a:lnTo>
                                <a:lnTo>
                                  <a:pt x="471868" y="77422"/>
                                </a:lnTo>
                                <a:lnTo>
                                  <a:pt x="430966" y="35158"/>
                                </a:lnTo>
                                <a:lnTo>
                                  <a:pt x="387962" y="8976"/>
                                </a:lnTo>
                                <a:lnTo>
                                  <a:pt x="343217" y="0"/>
                                </a:lnTo>
                                <a:close/>
                              </a:path>
                            </a:pathLst>
                          </a:custGeom>
                          <a:ln w="9525">
                            <a:solidFill>
                              <a:srgbClr val="000000"/>
                            </a:solidFill>
                            <a:prstDash val="solid"/>
                          </a:ln>
                        </wps:spPr>
                        <wps:bodyPr wrap="square" lIns="0" tIns="0" rIns="0" bIns="0" rtlCol="0">
                          <a:prstTxWarp prst="textNoShape">
                            <a:avLst/>
                          </a:prstTxWarp>
                          <a:noAutofit/>
                        </wps:bodyPr>
                      </wps:wsp>
                      <wps:wsp>
                        <wps:cNvPr id="216" name="Graphic 216"/>
                        <wps:cNvSpPr/>
                        <wps:spPr>
                          <a:xfrm>
                            <a:off x="1069657" y="1187185"/>
                            <a:ext cx="638810" cy="1270"/>
                          </a:xfrm>
                          <a:custGeom>
                            <a:avLst/>
                            <a:gdLst/>
                            <a:ahLst/>
                            <a:cxnLst/>
                            <a:rect l="l" t="t" r="r" b="b"/>
                            <a:pathLst>
                              <a:path w="638810" h="635">
                                <a:moveTo>
                                  <a:pt x="0" y="0"/>
                                </a:moveTo>
                                <a:lnTo>
                                  <a:pt x="638810" y="533"/>
                                </a:lnTo>
                              </a:path>
                            </a:pathLst>
                          </a:custGeom>
                          <a:ln w="12700">
                            <a:solidFill>
                              <a:srgbClr val="000000"/>
                            </a:solidFill>
                            <a:prstDash val="solid"/>
                          </a:ln>
                        </wps:spPr>
                        <wps:bodyPr wrap="square" lIns="0" tIns="0" rIns="0" bIns="0" rtlCol="0">
                          <a:prstTxWarp prst="textNoShape">
                            <a:avLst/>
                          </a:prstTxWarp>
                          <a:noAutofit/>
                        </wps:bodyPr>
                      </wps:wsp>
                      <wps:wsp>
                        <wps:cNvPr id="217" name="Graphic 217"/>
                        <wps:cNvSpPr/>
                        <wps:spPr>
                          <a:xfrm>
                            <a:off x="1006144" y="1149095"/>
                            <a:ext cx="765810" cy="76835"/>
                          </a:xfrm>
                          <a:custGeom>
                            <a:avLst/>
                            <a:gdLst/>
                            <a:ahLst/>
                            <a:cxnLst/>
                            <a:rect l="l" t="t" r="r" b="b"/>
                            <a:pathLst>
                              <a:path w="765810" h="76835">
                                <a:moveTo>
                                  <a:pt x="76238" y="0"/>
                                </a:moveTo>
                                <a:lnTo>
                                  <a:pt x="0" y="38036"/>
                                </a:lnTo>
                                <a:lnTo>
                                  <a:pt x="76174" y="76200"/>
                                </a:lnTo>
                                <a:lnTo>
                                  <a:pt x="76238" y="0"/>
                                </a:lnTo>
                                <a:close/>
                              </a:path>
                              <a:path w="765810" h="76835">
                                <a:moveTo>
                                  <a:pt x="765810" y="38671"/>
                                </a:moveTo>
                                <a:lnTo>
                                  <a:pt x="689648" y="508"/>
                                </a:lnTo>
                                <a:lnTo>
                                  <a:pt x="689584" y="76708"/>
                                </a:lnTo>
                                <a:lnTo>
                                  <a:pt x="765810" y="38671"/>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2521888" y="1144649"/>
                            <a:ext cx="720725" cy="15240"/>
                          </a:xfrm>
                          <a:custGeom>
                            <a:avLst/>
                            <a:gdLst/>
                            <a:ahLst/>
                            <a:cxnLst/>
                            <a:rect l="l" t="t" r="r" b="b"/>
                            <a:pathLst>
                              <a:path w="720725" h="15240">
                                <a:moveTo>
                                  <a:pt x="0" y="0"/>
                                </a:moveTo>
                                <a:lnTo>
                                  <a:pt x="720115" y="15113"/>
                                </a:lnTo>
                              </a:path>
                            </a:pathLst>
                          </a:custGeom>
                          <a:ln w="12700">
                            <a:solidFill>
                              <a:srgbClr val="000000"/>
                            </a:solidFill>
                            <a:prstDash val="solid"/>
                          </a:ln>
                        </wps:spPr>
                        <wps:bodyPr wrap="square" lIns="0" tIns="0" rIns="0" bIns="0" rtlCol="0">
                          <a:prstTxWarp prst="textNoShape">
                            <a:avLst/>
                          </a:prstTxWarp>
                          <a:noAutofit/>
                        </wps:bodyPr>
                      </wps:wsp>
                      <wps:wsp>
                        <wps:cNvPr id="219" name="Graphic 219"/>
                        <wps:cNvSpPr/>
                        <wps:spPr>
                          <a:xfrm>
                            <a:off x="2458390" y="1106817"/>
                            <a:ext cx="847725" cy="90805"/>
                          </a:xfrm>
                          <a:custGeom>
                            <a:avLst/>
                            <a:gdLst/>
                            <a:ahLst/>
                            <a:cxnLst/>
                            <a:rect l="l" t="t" r="r" b="b"/>
                            <a:pathLst>
                              <a:path w="847725" h="90805">
                                <a:moveTo>
                                  <a:pt x="76987" y="0"/>
                                </a:moveTo>
                                <a:lnTo>
                                  <a:pt x="0" y="36499"/>
                                </a:lnTo>
                                <a:lnTo>
                                  <a:pt x="75387" y="76187"/>
                                </a:lnTo>
                                <a:lnTo>
                                  <a:pt x="76987" y="0"/>
                                </a:lnTo>
                                <a:close/>
                              </a:path>
                              <a:path w="847725" h="90805">
                                <a:moveTo>
                                  <a:pt x="847102" y="54279"/>
                                </a:moveTo>
                                <a:lnTo>
                                  <a:pt x="771715" y="14592"/>
                                </a:lnTo>
                                <a:lnTo>
                                  <a:pt x="770115" y="90779"/>
                                </a:lnTo>
                                <a:lnTo>
                                  <a:pt x="847102" y="54279"/>
                                </a:lnTo>
                                <a:close/>
                              </a:path>
                            </a:pathLst>
                          </a:custGeom>
                          <a:solidFill>
                            <a:srgbClr val="000000"/>
                          </a:solidFill>
                        </wps:spPr>
                        <wps:bodyPr wrap="square" lIns="0" tIns="0" rIns="0" bIns="0" rtlCol="0">
                          <a:prstTxWarp prst="textNoShape">
                            <a:avLst/>
                          </a:prstTxWarp>
                          <a:noAutofit/>
                        </wps:bodyPr>
                      </wps:wsp>
                      <wps:wsp>
                        <wps:cNvPr id="220" name="Textbox 220"/>
                        <wps:cNvSpPr txBox="1"/>
                        <wps:spPr>
                          <a:xfrm>
                            <a:off x="1006153" y="0"/>
                            <a:ext cx="2299970" cy="2141855"/>
                          </a:xfrm>
                          <a:prstGeom prst="rect">
                            <a:avLst/>
                          </a:prstGeom>
                        </wps:spPr>
                        <wps:txbx>
                          <w:txbxContent>
                            <w:p>
                              <w:pPr>
                                <w:spacing w:line="240" w:lineRule="auto" w:before="0"/>
                                <w:rPr>
                                  <w:sz w:val="24"/>
                                </w:rPr>
                              </w:pPr>
                            </w:p>
                            <w:p>
                              <w:pPr>
                                <w:spacing w:line="240" w:lineRule="auto" w:before="4"/>
                                <w:rPr>
                                  <w:sz w:val="24"/>
                                </w:rPr>
                              </w:pPr>
                            </w:p>
                            <w:p>
                              <w:pPr>
                                <w:spacing w:line="276" w:lineRule="auto" w:before="0"/>
                                <w:ind w:left="1662" w:right="1793" w:firstLine="19"/>
                                <w:jc w:val="both"/>
                                <w:rPr>
                                  <w:rFonts w:ascii="Calibri"/>
                                  <w:b/>
                                  <w:sz w:val="24"/>
                                </w:rPr>
                              </w:pPr>
                              <w:r>
                                <w:rPr>
                                  <w:rFonts w:ascii="Calibri"/>
                                  <w:b/>
                                  <w:spacing w:val="-10"/>
                                  <w:sz w:val="24"/>
                                </w:rPr>
                                <w:t>P R O C E S S</w:t>
                              </w:r>
                            </w:p>
                          </w:txbxContent>
                        </wps:txbx>
                        <wps:bodyPr wrap="square" lIns="0" tIns="0" rIns="0" bIns="0" rtlCol="0">
                          <a:noAutofit/>
                        </wps:bodyPr>
                      </wps:wsp>
                      <wps:wsp>
                        <wps:cNvPr id="221" name="Textbox 221"/>
                        <wps:cNvSpPr txBox="1"/>
                        <wps:spPr>
                          <a:xfrm>
                            <a:off x="4762" y="858837"/>
                            <a:ext cx="1001394" cy="819785"/>
                          </a:xfrm>
                          <a:prstGeom prst="rect">
                            <a:avLst/>
                          </a:prstGeom>
                          <a:solidFill>
                            <a:srgbClr val="C6D9F1"/>
                          </a:solidFill>
                          <a:ln w="9525">
                            <a:solidFill>
                              <a:srgbClr val="000000"/>
                            </a:solidFill>
                            <a:prstDash val="solid"/>
                          </a:ln>
                        </wps:spPr>
                        <wps:txbx>
                          <w:txbxContent>
                            <w:p>
                              <w:pPr>
                                <w:spacing w:line="240" w:lineRule="auto" w:before="144"/>
                                <w:rPr>
                                  <w:color w:val="000000"/>
                                  <w:sz w:val="28"/>
                                </w:rPr>
                              </w:pPr>
                            </w:p>
                            <w:p>
                              <w:pPr>
                                <w:spacing w:before="0"/>
                                <w:ind w:left="378" w:right="0" w:firstLine="0"/>
                                <w:jc w:val="left"/>
                                <w:rPr>
                                  <w:rFonts w:ascii="Calibri"/>
                                  <w:b/>
                                  <w:color w:val="000000"/>
                                  <w:sz w:val="28"/>
                                </w:rPr>
                              </w:pPr>
                              <w:r>
                                <w:rPr>
                                  <w:rFonts w:ascii="Calibri"/>
                                  <w:b/>
                                  <w:color w:val="000000"/>
                                  <w:spacing w:val="-2"/>
                                  <w:sz w:val="28"/>
                                </w:rPr>
                                <w:t>People</w:t>
                              </w:r>
                            </w:p>
                          </w:txbxContent>
                        </wps:txbx>
                        <wps:bodyPr wrap="square" lIns="0" tIns="0" rIns="0" bIns="0" rtlCol="0">
                          <a:noAutofit/>
                        </wps:bodyPr>
                      </wps:wsp>
                      <wps:wsp>
                        <wps:cNvPr id="222" name="Textbox 222"/>
                        <wps:cNvSpPr txBox="1"/>
                        <wps:spPr>
                          <a:xfrm>
                            <a:off x="3306127" y="772477"/>
                            <a:ext cx="1316355" cy="819785"/>
                          </a:xfrm>
                          <a:prstGeom prst="rect">
                            <a:avLst/>
                          </a:prstGeom>
                          <a:solidFill>
                            <a:srgbClr val="C6D9F1"/>
                          </a:solidFill>
                          <a:ln w="9525">
                            <a:solidFill>
                              <a:srgbClr val="000000"/>
                            </a:solidFill>
                            <a:prstDash val="solid"/>
                          </a:ln>
                        </wps:spPr>
                        <wps:txbx>
                          <w:txbxContent>
                            <w:p>
                              <w:pPr>
                                <w:spacing w:line="240" w:lineRule="auto" w:before="143"/>
                                <w:rPr>
                                  <w:color w:val="000000"/>
                                  <w:sz w:val="28"/>
                                </w:rPr>
                              </w:pPr>
                            </w:p>
                            <w:p>
                              <w:pPr>
                                <w:spacing w:before="0"/>
                                <w:ind w:left="279" w:right="0" w:firstLine="0"/>
                                <w:jc w:val="left"/>
                                <w:rPr>
                                  <w:rFonts w:ascii="Calibri"/>
                                  <w:b/>
                                  <w:color w:val="000000"/>
                                  <w:sz w:val="28"/>
                                </w:rPr>
                              </w:pPr>
                              <w:r>
                                <w:rPr>
                                  <w:rFonts w:ascii="Calibri"/>
                                  <w:b/>
                                  <w:color w:val="000000"/>
                                  <w:spacing w:val="-2"/>
                                  <w:sz w:val="28"/>
                                </w:rPr>
                                <w:t>Performance</w:t>
                              </w:r>
                            </w:p>
                          </w:txbxContent>
                        </wps:txbx>
                        <wps:bodyPr wrap="square" lIns="0" tIns="0" rIns="0" bIns="0" rtlCol="0">
                          <a:noAutofit/>
                        </wps:bodyPr>
                      </wps:wsp>
                    </wpg:wgp>
                  </a:graphicData>
                </a:graphic>
              </wp:inline>
            </w:drawing>
          </mc:Choice>
          <mc:Fallback>
            <w:pict>
              <v:group style="width:364.35pt;height:168.65pt;mso-position-horizontal-relative:char;mso-position-vertical-relative:line" id="docshapegroup170" coordorigin="0,0" coordsize="7287,3373">
                <v:shape style="position:absolute;left:2790;top:7;width:1081;height:3358" id="docshape171" coordorigin="2790,8" coordsize="1081,3358" path="m3331,8l3261,22,3193,63,3128,129,3068,220,3039,273,3012,331,2986,395,2961,463,2937,536,2915,614,2895,695,2876,780,2859,869,2843,961,2830,1057,2818,1156,2808,1257,2801,1361,2795,1468,2792,1576,2790,1687,2792,1797,2795,1905,2801,2012,2808,2116,2818,2217,2830,2316,2843,2412,2859,2504,2876,2593,2895,2678,2915,2759,2937,2837,2961,2910,2986,2978,3012,3042,3039,3100,3068,3153,3128,3244,3193,3310,3261,3351,3331,3366,3367,3362,3436,3334,3502,3280,3564,3201,3623,3100,3650,3042,3676,2978,3701,2910,3725,2837,3747,2759,3767,2678,3786,2593,3803,2504,3819,2412,3832,2316,3844,2217,3854,2116,3861,2012,3867,1905,3870,1797,3871,1687,3870,1576,3867,1468,3861,1361,3854,1257,3844,1156,3832,1057,3819,961,3803,869,3786,780,3767,695,3747,614,3725,536,3701,463,3676,395,3650,331,3623,273,3594,220,3534,129,3469,63,3401,22,3331,8xe" filled="true" fillcolor="#76923c" stroked="false">
                  <v:path arrowok="t"/>
                  <v:fill type="solid"/>
                </v:shape>
                <v:shape style="position:absolute;left:2790;top:7;width:1081;height:3358" id="docshape172" coordorigin="2790,8" coordsize="1081,3358" path="m3331,8l3261,22,3193,63,3128,129,3068,220,3039,273,3012,331,2986,395,2961,463,2937,536,2915,614,2895,695,2876,780,2859,869,2843,961,2830,1057,2818,1156,2808,1257,2801,1361,2795,1468,2792,1576,2790,1687,2792,1797,2795,1905,2801,2012,2808,2116,2818,2217,2830,2316,2843,2412,2859,2504,2876,2593,2895,2678,2915,2759,2937,2837,2961,2910,2986,2978,3012,3042,3039,3100,3068,3153,3128,3244,3193,3310,3261,3351,3331,3366,3367,3362,3436,3334,3502,3280,3564,3201,3623,3100,3650,3042,3676,2978,3701,2910,3725,2837,3747,2759,3767,2678,3786,2593,3803,2504,3819,2412,3832,2316,3844,2217,3854,2116,3861,2012,3867,1905,3870,1797,3871,1687,3870,1576,3867,1468,3861,1361,3854,1257,3844,1156,3832,1057,3819,961,3803,869,3786,780,3767,695,3747,614,3725,536,3701,463,3676,395,3650,331,3623,273,3594,220,3534,129,3469,63,3401,22,3331,8xe" filled="false" stroked="true" strokeweight=".75pt" strokecolor="#000000">
                  <v:path arrowok="t"/>
                  <v:stroke dashstyle="solid"/>
                </v:shape>
                <v:line style="position:absolute" from="1684,1870" to="2690,1870" stroked="true" strokeweight="1pt" strokecolor="#000000">
                  <v:stroke dashstyle="solid"/>
                </v:line>
                <v:shape style="position:absolute;left:1584;top:1809;width:1206;height:121" id="docshape173" coordorigin="1584,1810" coordsize="1206,121" path="m1705,1810l1584,1869,1704,1930,1705,1810xm2790,1870l2671,1810,2670,1930,2790,1870xe" filled="true" fillcolor="#000000" stroked="false">
                  <v:path arrowok="t"/>
                  <v:fill type="solid"/>
                </v:shape>
                <v:line style="position:absolute" from="3971,1803" to="5106,1826" stroked="true" strokeweight="1pt" strokecolor="#000000">
                  <v:stroke dashstyle="solid"/>
                </v:line>
                <v:shape style="position:absolute;left:3871;top:1743;width:1335;height:143" id="docshape174" coordorigin="3871,1743" coordsize="1335,143" path="m3993,1743l3871,1800,3990,1863,3993,1743xm5206,1828l5087,1766,5084,1886,5206,1828xe" filled="true" fillcolor="#000000" stroked="false">
                  <v:path arrowok="t"/>
                  <v:fill type="solid"/>
                </v:shape>
                <v:shape style="position:absolute;left:1584;top:0;width:3622;height:3373" type="#_x0000_t202" id="docshape175" filled="false" stroked="false">
                  <v:textbox inset="0,0,0,0">
                    <w:txbxContent>
                      <w:p>
                        <w:pPr>
                          <w:spacing w:line="240" w:lineRule="auto" w:before="0"/>
                          <w:rPr>
                            <w:sz w:val="24"/>
                          </w:rPr>
                        </w:pPr>
                      </w:p>
                      <w:p>
                        <w:pPr>
                          <w:spacing w:line="240" w:lineRule="auto" w:before="4"/>
                          <w:rPr>
                            <w:sz w:val="24"/>
                          </w:rPr>
                        </w:pPr>
                      </w:p>
                      <w:p>
                        <w:pPr>
                          <w:spacing w:line="276" w:lineRule="auto" w:before="0"/>
                          <w:ind w:left="1662" w:right="1793" w:firstLine="19"/>
                          <w:jc w:val="both"/>
                          <w:rPr>
                            <w:rFonts w:ascii="Calibri"/>
                            <w:b/>
                            <w:sz w:val="24"/>
                          </w:rPr>
                        </w:pPr>
                        <w:r>
                          <w:rPr>
                            <w:rFonts w:ascii="Calibri"/>
                            <w:b/>
                            <w:spacing w:val="-10"/>
                            <w:sz w:val="24"/>
                          </w:rPr>
                          <w:t>P R O C E S S</w:t>
                        </w:r>
                      </w:p>
                    </w:txbxContent>
                  </v:textbox>
                  <w10:wrap type="none"/>
                </v:shape>
                <v:shape style="position:absolute;left:7;top:1352;width:1577;height:1291" type="#_x0000_t202" id="docshape176" filled="true" fillcolor="#c6d9f1" stroked="true" strokeweight=".75pt" strokecolor="#000000">
                  <v:textbox inset="0,0,0,0">
                    <w:txbxContent>
                      <w:p>
                        <w:pPr>
                          <w:spacing w:line="240" w:lineRule="auto" w:before="144"/>
                          <w:rPr>
                            <w:color w:val="000000"/>
                            <w:sz w:val="28"/>
                          </w:rPr>
                        </w:pPr>
                      </w:p>
                      <w:p>
                        <w:pPr>
                          <w:spacing w:before="0"/>
                          <w:ind w:left="378" w:right="0" w:firstLine="0"/>
                          <w:jc w:val="left"/>
                          <w:rPr>
                            <w:rFonts w:ascii="Calibri"/>
                            <w:b/>
                            <w:color w:val="000000"/>
                            <w:sz w:val="28"/>
                          </w:rPr>
                        </w:pPr>
                        <w:r>
                          <w:rPr>
                            <w:rFonts w:ascii="Calibri"/>
                            <w:b/>
                            <w:color w:val="000000"/>
                            <w:spacing w:val="-2"/>
                            <w:sz w:val="28"/>
                          </w:rPr>
                          <w:t>People</w:t>
                        </w:r>
                      </w:p>
                    </w:txbxContent>
                  </v:textbox>
                  <v:fill type="solid"/>
                  <v:stroke dashstyle="solid"/>
                  <w10:wrap type="none"/>
                </v:shape>
                <v:shape style="position:absolute;left:5206;top:1216;width:2073;height:1291" type="#_x0000_t202" id="docshape177" filled="true" fillcolor="#c6d9f1" stroked="true" strokeweight=".75pt" strokecolor="#000000">
                  <v:textbox inset="0,0,0,0">
                    <w:txbxContent>
                      <w:p>
                        <w:pPr>
                          <w:spacing w:line="240" w:lineRule="auto" w:before="143"/>
                          <w:rPr>
                            <w:color w:val="000000"/>
                            <w:sz w:val="28"/>
                          </w:rPr>
                        </w:pPr>
                      </w:p>
                      <w:p>
                        <w:pPr>
                          <w:spacing w:before="0"/>
                          <w:ind w:left="279" w:right="0" w:firstLine="0"/>
                          <w:jc w:val="left"/>
                          <w:rPr>
                            <w:rFonts w:ascii="Calibri"/>
                            <w:b/>
                            <w:color w:val="000000"/>
                            <w:sz w:val="28"/>
                          </w:rPr>
                        </w:pPr>
                        <w:r>
                          <w:rPr>
                            <w:rFonts w:ascii="Calibri"/>
                            <w:b/>
                            <w:color w:val="000000"/>
                            <w:spacing w:val="-2"/>
                            <w:sz w:val="28"/>
                          </w:rPr>
                          <w:t>Performance</w:t>
                        </w:r>
                      </w:p>
                    </w:txbxContent>
                  </v:textbox>
                  <v:fill type="solid"/>
                  <v:stroke dashstyle="solid"/>
                  <w10:wrap type="none"/>
                </v:shape>
              </v:group>
            </w:pict>
          </mc:Fallback>
        </mc:AlternateContent>
      </w:r>
      <w:r>
        <w:rPr>
          <w:sz w:val="20"/>
        </w:rPr>
      </w:r>
    </w:p>
    <w:p>
      <w:pPr>
        <w:pStyle w:val="Heading2"/>
        <w:spacing w:line="276" w:lineRule="auto" w:before="256"/>
        <w:ind w:right="4418"/>
        <w:jc w:val="left"/>
      </w:pPr>
      <w:r>
        <w:rPr/>
        <w:t>Figure</w:t>
      </w:r>
      <w:r>
        <w:rPr>
          <w:spacing w:val="-7"/>
        </w:rPr>
        <w:t> </w:t>
      </w:r>
      <w:r>
        <w:rPr/>
        <w:t>3.6:</w:t>
      </w:r>
      <w:r>
        <w:rPr>
          <w:spacing w:val="-7"/>
        </w:rPr>
        <w:t> </w:t>
      </w:r>
      <w:r>
        <w:rPr/>
        <w:t>The</w:t>
      </w:r>
      <w:r>
        <w:rPr>
          <w:spacing w:val="-7"/>
        </w:rPr>
        <w:t> </w:t>
      </w:r>
      <w:r>
        <w:rPr/>
        <w:t>Simple</w:t>
      </w:r>
      <w:r>
        <w:rPr>
          <w:spacing w:val="-5"/>
        </w:rPr>
        <w:t> </w:t>
      </w:r>
      <w:r>
        <w:rPr/>
        <w:t>Model</w:t>
      </w:r>
      <w:r>
        <w:rPr>
          <w:spacing w:val="-6"/>
        </w:rPr>
        <w:t> </w:t>
      </w:r>
      <w:r>
        <w:rPr/>
        <w:t>to</w:t>
      </w:r>
      <w:r>
        <w:rPr>
          <w:spacing w:val="-6"/>
        </w:rPr>
        <w:t> </w:t>
      </w:r>
      <w:r>
        <w:rPr/>
        <w:t>Improve</w:t>
      </w:r>
      <w:r>
        <w:rPr>
          <w:spacing w:val="-5"/>
        </w:rPr>
        <w:t> </w:t>
      </w:r>
      <w:r>
        <w:rPr/>
        <w:t>Performance Source: Oakland and Marosszeky (2006)</w:t>
      </w:r>
    </w:p>
    <w:p>
      <w:pPr>
        <w:pStyle w:val="BodyText"/>
        <w:spacing w:before="35"/>
        <w:rPr>
          <w:b/>
        </w:rPr>
      </w:pPr>
    </w:p>
    <w:p>
      <w:pPr>
        <w:pStyle w:val="BodyText"/>
        <w:spacing w:line="480" w:lineRule="auto"/>
        <w:ind w:left="399" w:right="1317" w:firstLine="60"/>
        <w:jc w:val="both"/>
      </w:pPr>
      <w:r>
        <w:rPr/>
        <w:t>According to Dubas and Nihawan (2005), the European foundation quality Model (EFQM) Excellence Model is a non- prescriptive framework based on nine criteria. Five of these are ‘Enablers’ and four are ‘Results’. The enablers’ criteria cover what an organization does. The Result criteria cover what an organization achieves. Results are caused by Enablers and feedbacks from Results help to improve Enablers. It contains a set of nine weighted criteria that are utilized in the assessment process. The model is based on the premise that : Excellent results with respect to performance, customers, people and society are achieved through leadership driving policy and strategy, that is delivered through people partnerships and Resources, and </w:t>
      </w:r>
      <w:r>
        <w:rPr>
          <w:spacing w:val="-2"/>
        </w:rPr>
        <w:t>Processes.</w:t>
      </w:r>
    </w:p>
    <w:p>
      <w:pPr>
        <w:pStyle w:val="BodyText"/>
        <w:spacing w:line="480" w:lineRule="auto" w:before="200"/>
        <w:ind w:left="399" w:right="1315" w:firstLine="302"/>
        <w:jc w:val="both"/>
      </w:pPr>
      <w:r>
        <w:rPr/>
        <w:t>Leadership</w:t>
      </w:r>
      <w:r>
        <w:rPr>
          <w:spacing w:val="-2"/>
        </w:rPr>
        <w:t> </w:t>
      </w:r>
      <w:r>
        <w:rPr/>
        <w:t>driven</w:t>
      </w:r>
      <w:r>
        <w:rPr>
          <w:spacing w:val="-2"/>
        </w:rPr>
        <w:t> </w:t>
      </w:r>
      <w:r>
        <w:rPr/>
        <w:t>policy</w:t>
      </w:r>
      <w:r>
        <w:rPr>
          <w:spacing w:val="-5"/>
        </w:rPr>
        <w:t> </w:t>
      </w:r>
      <w:r>
        <w:rPr/>
        <w:t>and</w:t>
      </w:r>
      <w:r>
        <w:rPr>
          <w:spacing w:val="-2"/>
        </w:rPr>
        <w:t> </w:t>
      </w:r>
      <w:r>
        <w:rPr/>
        <w:t>strategy</w:t>
      </w:r>
      <w:r>
        <w:rPr>
          <w:spacing w:val="-5"/>
        </w:rPr>
        <w:t> </w:t>
      </w:r>
      <w:r>
        <w:rPr/>
        <w:t>are</w:t>
      </w:r>
      <w:r>
        <w:rPr>
          <w:spacing w:val="-3"/>
        </w:rPr>
        <w:t> </w:t>
      </w:r>
      <w:r>
        <w:rPr/>
        <w:t>necessary</w:t>
      </w:r>
      <w:r>
        <w:rPr>
          <w:spacing w:val="-7"/>
        </w:rPr>
        <w:t> </w:t>
      </w:r>
      <w:r>
        <w:rPr/>
        <w:t>to</w:t>
      </w:r>
      <w:r>
        <w:rPr>
          <w:spacing w:val="-2"/>
        </w:rPr>
        <w:t> </w:t>
      </w:r>
      <w:r>
        <w:rPr/>
        <w:t>aid</w:t>
      </w:r>
      <w:r>
        <w:rPr>
          <w:spacing w:val="-2"/>
        </w:rPr>
        <w:t> </w:t>
      </w:r>
      <w:r>
        <w:rPr/>
        <w:t>customer,</w:t>
      </w:r>
      <w:r>
        <w:rPr>
          <w:spacing w:val="-1"/>
        </w:rPr>
        <w:t> </w:t>
      </w:r>
      <w:r>
        <w:rPr/>
        <w:t>employee</w:t>
      </w:r>
      <w:r>
        <w:rPr>
          <w:spacing w:val="-3"/>
        </w:rPr>
        <w:t> </w:t>
      </w:r>
      <w:r>
        <w:rPr/>
        <w:t>and</w:t>
      </w:r>
      <w:r>
        <w:rPr>
          <w:spacing w:val="-1"/>
        </w:rPr>
        <w:t> </w:t>
      </w:r>
      <w:r>
        <w:rPr/>
        <w:t>favourable society results, and besides these people partnerships, resources and processes are directed towards ultimate excellence in key performance results. The delivery of these results enables the drive towards innovation and learning.</w:t>
      </w:r>
      <w:r>
        <w:rPr>
          <w:spacing w:val="80"/>
        </w:rPr>
        <w:t> </w:t>
      </w:r>
      <w:r>
        <w:rPr/>
        <w:t>The EFQM Excellence Model is depicted below in Figure 3.7</w:t>
      </w:r>
    </w:p>
    <w:p>
      <w:pPr>
        <w:spacing w:after="0" w:line="480" w:lineRule="auto"/>
        <w:jc w:val="both"/>
        <w:sectPr>
          <w:pgSz w:w="12240" w:h="15840"/>
          <w:pgMar w:header="0" w:footer="1017" w:top="1460" w:bottom="1200" w:left="1040" w:right="120"/>
        </w:sectPr>
      </w:pPr>
    </w:p>
    <w:p>
      <w:pPr>
        <w:tabs>
          <w:tab w:pos="5458" w:val="left" w:leader="none"/>
        </w:tabs>
        <w:spacing w:line="240" w:lineRule="auto"/>
        <w:ind w:left="107" w:right="0" w:firstLine="0"/>
        <w:rPr>
          <w:sz w:val="20"/>
        </w:rPr>
      </w:pPr>
      <w:r>
        <w:rPr/>
        <mc:AlternateContent>
          <mc:Choice Requires="wps">
            <w:drawing>
              <wp:anchor distT="0" distB="0" distL="0" distR="0" allowOverlap="1" layoutInCell="1" locked="0" behindDoc="0" simplePos="0" relativeHeight="15747584">
                <wp:simplePos x="0" y="0"/>
                <wp:positionH relativeFrom="page">
                  <wp:posOffset>4205604</wp:posOffset>
                </wp:positionH>
                <wp:positionV relativeFrom="page">
                  <wp:posOffset>2499995</wp:posOffset>
                </wp:positionV>
                <wp:extent cx="922019" cy="6261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922019" cy="626110"/>
                        </a:xfrm>
                        <a:prstGeom prst="rect">
                          <a:avLst/>
                        </a:prstGeom>
                        <a:solidFill>
                          <a:srgbClr val="C6D9F1"/>
                        </a:solidFill>
                        <a:ln w="9525">
                          <a:solidFill>
                            <a:srgbClr val="000000"/>
                          </a:solidFill>
                          <a:prstDash val="solid"/>
                        </a:ln>
                      </wps:spPr>
                      <wps:txbx>
                        <w:txbxContent>
                          <w:p>
                            <w:pPr>
                              <w:spacing w:line="276" w:lineRule="auto" w:before="44"/>
                              <w:ind w:left="199" w:right="195" w:firstLine="2"/>
                              <w:jc w:val="center"/>
                              <w:rPr>
                                <w:rFonts w:ascii="Calibri"/>
                                <w:color w:val="000000"/>
                                <w:sz w:val="22"/>
                              </w:rPr>
                            </w:pPr>
                            <w:r>
                              <w:rPr>
                                <w:rFonts w:ascii="Calibri"/>
                                <w:color w:val="000000"/>
                                <w:spacing w:val="-2"/>
                                <w:sz w:val="22"/>
                              </w:rPr>
                              <w:t>Customer Satisfaction (200)</w:t>
                            </w:r>
                          </w:p>
                        </w:txbxContent>
                      </wps:txbx>
                      <wps:bodyPr wrap="square" lIns="0" tIns="0" rIns="0" bIns="0" rtlCol="0">
                        <a:noAutofit/>
                      </wps:bodyPr>
                    </wps:wsp>
                  </a:graphicData>
                </a:graphic>
              </wp:anchor>
            </w:drawing>
          </mc:Choice>
          <mc:Fallback>
            <w:pict>
              <v:shape style="position:absolute;margin-left:331.149994pt;margin-top:196.850006pt;width:72.6pt;height:49.3pt;mso-position-horizontal-relative:page;mso-position-vertical-relative:page;z-index:15747584" type="#_x0000_t202" id="docshape178" filled="true" fillcolor="#c6d9f1" stroked="true" strokeweight=".75pt" strokecolor="#000000">
                <v:textbox inset="0,0,0,0">
                  <w:txbxContent>
                    <w:p>
                      <w:pPr>
                        <w:spacing w:line="276" w:lineRule="auto" w:before="44"/>
                        <w:ind w:left="199" w:right="195" w:firstLine="2"/>
                        <w:jc w:val="center"/>
                        <w:rPr>
                          <w:rFonts w:ascii="Calibri"/>
                          <w:color w:val="000000"/>
                          <w:sz w:val="22"/>
                        </w:rPr>
                      </w:pPr>
                      <w:r>
                        <w:rPr>
                          <w:rFonts w:ascii="Calibri"/>
                          <w:color w:val="000000"/>
                          <w:spacing w:val="-2"/>
                          <w:sz w:val="22"/>
                        </w:rPr>
                        <w:t>Customer Satisfaction (200)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1953260</wp:posOffset>
                </wp:positionH>
                <wp:positionV relativeFrom="page">
                  <wp:posOffset>2411729</wp:posOffset>
                </wp:positionV>
                <wp:extent cx="884555" cy="66294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884555" cy="662940"/>
                        </a:xfrm>
                        <a:prstGeom prst="rect">
                          <a:avLst/>
                        </a:prstGeom>
                        <a:solidFill>
                          <a:srgbClr val="FFFF00"/>
                        </a:solidFill>
                        <a:ln w="9525">
                          <a:solidFill>
                            <a:srgbClr val="000000"/>
                          </a:solidFill>
                          <a:prstDash val="solid"/>
                        </a:ln>
                      </wps:spPr>
                      <wps:txbx>
                        <w:txbxContent>
                          <w:p>
                            <w:pPr>
                              <w:spacing w:line="276" w:lineRule="auto" w:before="70"/>
                              <w:ind w:left="317" w:right="313" w:hanging="3"/>
                              <w:jc w:val="center"/>
                              <w:rPr>
                                <w:rFonts w:ascii="Calibri"/>
                                <w:color w:val="000000"/>
                                <w:sz w:val="22"/>
                              </w:rPr>
                            </w:pPr>
                            <w:r>
                              <w:rPr>
                                <w:rFonts w:ascii="Calibri"/>
                                <w:color w:val="000000"/>
                                <w:sz w:val="22"/>
                              </w:rPr>
                              <w:t>Policy</w:t>
                            </w:r>
                            <w:r>
                              <w:rPr>
                                <w:rFonts w:ascii="Calibri"/>
                                <w:color w:val="000000"/>
                                <w:spacing w:val="-13"/>
                                <w:sz w:val="22"/>
                              </w:rPr>
                              <w:t> </w:t>
                            </w:r>
                            <w:r>
                              <w:rPr>
                                <w:rFonts w:ascii="Calibri"/>
                                <w:color w:val="000000"/>
                                <w:sz w:val="22"/>
                              </w:rPr>
                              <w:t>&amp; </w:t>
                            </w:r>
                            <w:r>
                              <w:rPr>
                                <w:rFonts w:ascii="Calibri"/>
                                <w:color w:val="000000"/>
                                <w:spacing w:val="-2"/>
                                <w:sz w:val="22"/>
                              </w:rPr>
                              <w:t>Strategy </w:t>
                            </w:r>
                            <w:r>
                              <w:rPr>
                                <w:rFonts w:ascii="Calibri"/>
                                <w:color w:val="000000"/>
                                <w:spacing w:val="-4"/>
                                <w:sz w:val="22"/>
                              </w:rPr>
                              <w:t>(80)</w:t>
                            </w:r>
                          </w:p>
                        </w:txbxContent>
                      </wps:txbx>
                      <wps:bodyPr wrap="square" lIns="0" tIns="0" rIns="0" bIns="0" rtlCol="0">
                        <a:noAutofit/>
                      </wps:bodyPr>
                    </wps:wsp>
                  </a:graphicData>
                </a:graphic>
              </wp:anchor>
            </w:drawing>
          </mc:Choice>
          <mc:Fallback>
            <w:pict>
              <v:shape style="position:absolute;margin-left:153.800003pt;margin-top:189.899994pt;width:69.650pt;height:52.2pt;mso-position-horizontal-relative:page;mso-position-vertical-relative:page;z-index:15748096" type="#_x0000_t202" id="docshape179" filled="true" fillcolor="#ffff00" stroked="true" strokeweight=".75pt" strokecolor="#000000">
                <v:textbox inset="0,0,0,0">
                  <w:txbxContent>
                    <w:p>
                      <w:pPr>
                        <w:spacing w:line="276" w:lineRule="auto" w:before="70"/>
                        <w:ind w:left="317" w:right="313" w:hanging="3"/>
                        <w:jc w:val="center"/>
                        <w:rPr>
                          <w:rFonts w:ascii="Calibri"/>
                          <w:color w:val="000000"/>
                          <w:sz w:val="22"/>
                        </w:rPr>
                      </w:pPr>
                      <w:r>
                        <w:rPr>
                          <w:rFonts w:ascii="Calibri"/>
                          <w:color w:val="000000"/>
                          <w:sz w:val="22"/>
                        </w:rPr>
                        <w:t>Policy</w:t>
                      </w:r>
                      <w:r>
                        <w:rPr>
                          <w:rFonts w:ascii="Calibri"/>
                          <w:color w:val="000000"/>
                          <w:spacing w:val="-13"/>
                          <w:sz w:val="22"/>
                        </w:rPr>
                        <w:t> </w:t>
                      </w:r>
                      <w:r>
                        <w:rPr>
                          <w:rFonts w:ascii="Calibri"/>
                          <w:color w:val="000000"/>
                          <w:sz w:val="22"/>
                        </w:rPr>
                        <w:t>&amp; </w:t>
                      </w:r>
                      <w:r>
                        <w:rPr>
                          <w:rFonts w:ascii="Calibri"/>
                          <w:color w:val="000000"/>
                          <w:spacing w:val="-2"/>
                          <w:sz w:val="22"/>
                        </w:rPr>
                        <w:t>Strategy </w:t>
                      </w:r>
                      <w:r>
                        <w:rPr>
                          <w:rFonts w:ascii="Calibri"/>
                          <w:color w:val="000000"/>
                          <w:spacing w:val="-4"/>
                          <w:sz w:val="22"/>
                        </w:rPr>
                        <w:t>(80)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1953260</wp:posOffset>
                </wp:positionH>
                <wp:positionV relativeFrom="page">
                  <wp:posOffset>1529714</wp:posOffset>
                </wp:positionV>
                <wp:extent cx="884555" cy="68834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884555" cy="688340"/>
                        </a:xfrm>
                        <a:prstGeom prst="rect">
                          <a:avLst/>
                        </a:prstGeom>
                        <a:solidFill>
                          <a:srgbClr val="FFFF00"/>
                        </a:solidFill>
                        <a:ln w="9525">
                          <a:solidFill>
                            <a:srgbClr val="000000"/>
                          </a:solidFill>
                          <a:prstDash val="solid"/>
                        </a:ln>
                      </wps:spPr>
                      <wps:txbx>
                        <w:txbxContent>
                          <w:p>
                            <w:pPr>
                              <w:spacing w:line="280" w:lineRule="auto" w:before="69"/>
                              <w:ind w:left="535" w:right="377" w:hanging="154"/>
                              <w:jc w:val="left"/>
                              <w:rPr>
                                <w:rFonts w:ascii="Calibri"/>
                                <w:color w:val="000000"/>
                                <w:sz w:val="22"/>
                              </w:rPr>
                            </w:pPr>
                            <w:r>
                              <w:rPr>
                                <w:rFonts w:ascii="Calibri"/>
                                <w:color w:val="000000"/>
                                <w:spacing w:val="-2"/>
                                <w:sz w:val="22"/>
                              </w:rPr>
                              <w:t>People </w:t>
                            </w:r>
                            <w:r>
                              <w:rPr>
                                <w:rFonts w:ascii="Calibri"/>
                                <w:color w:val="000000"/>
                                <w:spacing w:val="-4"/>
                                <w:sz w:val="22"/>
                              </w:rPr>
                              <w:t>(90)</w:t>
                            </w:r>
                          </w:p>
                        </w:txbxContent>
                      </wps:txbx>
                      <wps:bodyPr wrap="square" lIns="0" tIns="0" rIns="0" bIns="0" rtlCol="0">
                        <a:noAutofit/>
                      </wps:bodyPr>
                    </wps:wsp>
                  </a:graphicData>
                </a:graphic>
              </wp:anchor>
            </w:drawing>
          </mc:Choice>
          <mc:Fallback>
            <w:pict>
              <v:shape style="position:absolute;margin-left:153.800003pt;margin-top:120.449997pt;width:69.650pt;height:54.2pt;mso-position-horizontal-relative:page;mso-position-vertical-relative:page;z-index:15749120" type="#_x0000_t202" id="docshape180" filled="true" fillcolor="#ffff00" stroked="true" strokeweight=".75pt" strokecolor="#000000">
                <v:textbox inset="0,0,0,0">
                  <w:txbxContent>
                    <w:p>
                      <w:pPr>
                        <w:spacing w:line="280" w:lineRule="auto" w:before="69"/>
                        <w:ind w:left="535" w:right="377" w:hanging="154"/>
                        <w:jc w:val="left"/>
                        <w:rPr>
                          <w:rFonts w:ascii="Calibri"/>
                          <w:color w:val="000000"/>
                          <w:sz w:val="22"/>
                        </w:rPr>
                      </w:pPr>
                      <w:r>
                        <w:rPr>
                          <w:rFonts w:ascii="Calibri"/>
                          <w:color w:val="000000"/>
                          <w:spacing w:val="-2"/>
                          <w:sz w:val="22"/>
                        </w:rPr>
                        <w:t>People </w:t>
                      </w:r>
                      <w:r>
                        <w:rPr>
                          <w:rFonts w:ascii="Calibri"/>
                          <w:color w:val="000000"/>
                          <w:spacing w:val="-4"/>
                          <w:sz w:val="22"/>
                        </w:rPr>
                        <w:t>(90)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4131309</wp:posOffset>
                </wp:positionH>
                <wp:positionV relativeFrom="page">
                  <wp:posOffset>1478280</wp:posOffset>
                </wp:positionV>
                <wp:extent cx="996315" cy="73977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996315" cy="739775"/>
                        </a:xfrm>
                        <a:prstGeom prst="rect">
                          <a:avLst/>
                        </a:prstGeom>
                        <a:solidFill>
                          <a:srgbClr val="C6D9F1"/>
                        </a:solidFill>
                        <a:ln w="9525">
                          <a:solidFill>
                            <a:srgbClr val="000000"/>
                          </a:solidFill>
                          <a:prstDash val="solid"/>
                        </a:ln>
                      </wps:spPr>
                      <wps:txbx>
                        <w:txbxContent>
                          <w:p>
                            <w:pPr>
                              <w:spacing w:line="278" w:lineRule="auto" w:before="68"/>
                              <w:ind w:left="264" w:right="262" w:hanging="2"/>
                              <w:jc w:val="center"/>
                              <w:rPr>
                                <w:rFonts w:ascii="Calibri"/>
                                <w:color w:val="000000"/>
                                <w:sz w:val="22"/>
                              </w:rPr>
                            </w:pPr>
                            <w:r>
                              <w:rPr>
                                <w:rFonts w:ascii="Calibri"/>
                                <w:color w:val="000000"/>
                                <w:spacing w:val="-2"/>
                                <w:sz w:val="22"/>
                              </w:rPr>
                              <w:t>People satisfaction </w:t>
                            </w:r>
                            <w:r>
                              <w:rPr>
                                <w:rFonts w:ascii="Calibri"/>
                                <w:color w:val="000000"/>
                                <w:spacing w:val="-4"/>
                                <w:sz w:val="22"/>
                              </w:rPr>
                              <w:t>(90)</w:t>
                            </w:r>
                          </w:p>
                        </w:txbxContent>
                      </wps:txbx>
                      <wps:bodyPr wrap="square" lIns="0" tIns="0" rIns="0" bIns="0" rtlCol="0">
                        <a:noAutofit/>
                      </wps:bodyPr>
                    </wps:wsp>
                  </a:graphicData>
                </a:graphic>
              </wp:anchor>
            </w:drawing>
          </mc:Choice>
          <mc:Fallback>
            <w:pict>
              <v:shape style="position:absolute;margin-left:325.299988pt;margin-top:116.400002pt;width:78.45pt;height:58.25pt;mso-position-horizontal-relative:page;mso-position-vertical-relative:page;z-index:15750144" type="#_x0000_t202" id="docshape181" filled="true" fillcolor="#c6d9f1" stroked="true" strokeweight=".75pt" strokecolor="#000000">
                <v:textbox inset="0,0,0,0">
                  <w:txbxContent>
                    <w:p>
                      <w:pPr>
                        <w:spacing w:line="278" w:lineRule="auto" w:before="68"/>
                        <w:ind w:left="264" w:right="262" w:hanging="2"/>
                        <w:jc w:val="center"/>
                        <w:rPr>
                          <w:rFonts w:ascii="Calibri"/>
                          <w:color w:val="000000"/>
                          <w:sz w:val="22"/>
                        </w:rPr>
                      </w:pPr>
                      <w:r>
                        <w:rPr>
                          <w:rFonts w:ascii="Calibri"/>
                          <w:color w:val="000000"/>
                          <w:spacing w:val="-2"/>
                          <w:sz w:val="22"/>
                        </w:rPr>
                        <w:t>People satisfaction </w:t>
                      </w:r>
                      <w:r>
                        <w:rPr>
                          <w:rFonts w:ascii="Calibri"/>
                          <w:color w:val="000000"/>
                          <w:spacing w:val="-4"/>
                          <w:sz w:val="22"/>
                        </w:rPr>
                        <w:t>(90)</w:t>
                      </w:r>
                    </w:p>
                  </w:txbxContent>
                </v:textbox>
                <v:fill type="solid"/>
                <v:stroke dashstyle="solid"/>
                <w10:wrap type="none"/>
              </v:shape>
            </w:pict>
          </mc:Fallback>
        </mc:AlternateContent>
      </w:r>
      <w:r>
        <w:rPr>
          <w:sz w:val="20"/>
        </w:rPr>
        <mc:AlternateContent>
          <mc:Choice Requires="wps">
            <w:drawing>
              <wp:inline distT="0" distB="0" distL="0" distR="0">
                <wp:extent cx="3016885" cy="403860"/>
                <wp:effectExtent l="9525" t="0" r="2539" b="5714"/>
                <wp:docPr id="227" name="Group 227"/>
                <wp:cNvGraphicFramePr>
                  <a:graphicFrameLocks/>
                </wp:cNvGraphicFramePr>
                <a:graphic>
                  <a:graphicData uri="http://schemas.microsoft.com/office/word/2010/wordprocessingGroup">
                    <wpg:wgp>
                      <wpg:cNvPr id="227" name="Group 227"/>
                      <wpg:cNvGrpSpPr/>
                      <wpg:grpSpPr>
                        <a:xfrm>
                          <a:off x="0" y="0"/>
                          <a:ext cx="3016885" cy="403860"/>
                          <a:chExt cx="3016885" cy="403860"/>
                        </a:xfrm>
                      </wpg:grpSpPr>
                      <wps:wsp>
                        <wps:cNvPr id="228" name="Graphic 228"/>
                        <wps:cNvSpPr/>
                        <wps:spPr>
                          <a:xfrm>
                            <a:off x="4762" y="4762"/>
                            <a:ext cx="3007360" cy="394335"/>
                          </a:xfrm>
                          <a:custGeom>
                            <a:avLst/>
                            <a:gdLst/>
                            <a:ahLst/>
                            <a:cxnLst/>
                            <a:rect l="l" t="t" r="r" b="b"/>
                            <a:pathLst>
                              <a:path w="3007360" h="394335">
                                <a:moveTo>
                                  <a:pt x="2255520" y="0"/>
                                </a:moveTo>
                                <a:lnTo>
                                  <a:pt x="2255520" y="98577"/>
                                </a:lnTo>
                                <a:lnTo>
                                  <a:pt x="0" y="98577"/>
                                </a:lnTo>
                                <a:lnTo>
                                  <a:pt x="0" y="295744"/>
                                </a:lnTo>
                                <a:lnTo>
                                  <a:pt x="2255520" y="295744"/>
                                </a:lnTo>
                                <a:lnTo>
                                  <a:pt x="2255520" y="394335"/>
                                </a:lnTo>
                                <a:lnTo>
                                  <a:pt x="3007360" y="197167"/>
                                </a:lnTo>
                                <a:lnTo>
                                  <a:pt x="2255520" y="0"/>
                                </a:lnTo>
                                <a:close/>
                              </a:path>
                            </a:pathLst>
                          </a:custGeom>
                          <a:solidFill>
                            <a:srgbClr val="F2DBDB"/>
                          </a:solidFill>
                        </wps:spPr>
                        <wps:bodyPr wrap="square" lIns="0" tIns="0" rIns="0" bIns="0" rtlCol="0">
                          <a:prstTxWarp prst="textNoShape">
                            <a:avLst/>
                          </a:prstTxWarp>
                          <a:noAutofit/>
                        </wps:bodyPr>
                      </wps:wsp>
                      <wps:wsp>
                        <wps:cNvPr id="229" name="Graphic 229"/>
                        <wps:cNvSpPr/>
                        <wps:spPr>
                          <a:xfrm>
                            <a:off x="4762" y="4762"/>
                            <a:ext cx="3007360" cy="394335"/>
                          </a:xfrm>
                          <a:custGeom>
                            <a:avLst/>
                            <a:gdLst/>
                            <a:ahLst/>
                            <a:cxnLst/>
                            <a:rect l="l" t="t" r="r" b="b"/>
                            <a:pathLst>
                              <a:path w="3007360" h="394335">
                                <a:moveTo>
                                  <a:pt x="2255520" y="0"/>
                                </a:moveTo>
                                <a:lnTo>
                                  <a:pt x="2255520" y="98577"/>
                                </a:lnTo>
                                <a:lnTo>
                                  <a:pt x="0" y="98577"/>
                                </a:lnTo>
                                <a:lnTo>
                                  <a:pt x="0" y="295744"/>
                                </a:lnTo>
                                <a:lnTo>
                                  <a:pt x="2255520" y="295744"/>
                                </a:lnTo>
                                <a:lnTo>
                                  <a:pt x="2255520" y="394335"/>
                                </a:lnTo>
                                <a:lnTo>
                                  <a:pt x="3007360" y="197167"/>
                                </a:lnTo>
                                <a:lnTo>
                                  <a:pt x="2255520" y="0"/>
                                </a:lnTo>
                                <a:close/>
                              </a:path>
                            </a:pathLst>
                          </a:custGeom>
                          <a:ln w="9524">
                            <a:solidFill>
                              <a:srgbClr val="000000"/>
                            </a:solidFill>
                            <a:prstDash val="solid"/>
                          </a:ln>
                        </wps:spPr>
                        <wps:bodyPr wrap="square" lIns="0" tIns="0" rIns="0" bIns="0" rtlCol="0">
                          <a:prstTxWarp prst="textNoShape">
                            <a:avLst/>
                          </a:prstTxWarp>
                          <a:noAutofit/>
                        </wps:bodyPr>
                      </wps:wsp>
                      <wps:wsp>
                        <wps:cNvPr id="230" name="Textbox 230"/>
                        <wps:cNvSpPr txBox="1"/>
                        <wps:spPr>
                          <a:xfrm>
                            <a:off x="0" y="0"/>
                            <a:ext cx="3016885" cy="403860"/>
                          </a:xfrm>
                          <a:prstGeom prst="rect">
                            <a:avLst/>
                          </a:prstGeom>
                        </wps:spPr>
                        <wps:txbx>
                          <w:txbxContent>
                            <w:p>
                              <w:pPr>
                                <w:spacing w:before="202"/>
                                <w:ind w:left="0" w:right="780" w:firstLine="0"/>
                                <w:jc w:val="center"/>
                                <w:rPr>
                                  <w:rFonts w:ascii="Calibri"/>
                                  <w:sz w:val="22"/>
                                </w:rPr>
                              </w:pPr>
                              <w:r>
                                <w:rPr>
                                  <w:rFonts w:ascii="Calibri"/>
                                  <w:spacing w:val="-2"/>
                                  <w:sz w:val="22"/>
                                </w:rPr>
                                <w:t>Enablers</w:t>
                              </w:r>
                            </w:p>
                          </w:txbxContent>
                        </wps:txbx>
                        <wps:bodyPr wrap="square" lIns="0" tIns="0" rIns="0" bIns="0" rtlCol="0">
                          <a:noAutofit/>
                        </wps:bodyPr>
                      </wps:wsp>
                    </wpg:wgp>
                  </a:graphicData>
                </a:graphic>
              </wp:inline>
            </w:drawing>
          </mc:Choice>
          <mc:Fallback>
            <w:pict>
              <v:group style="width:237.55pt;height:31.8pt;mso-position-horizontal-relative:char;mso-position-vertical-relative:line" id="docshapegroup182" coordorigin="0,0" coordsize="4751,636">
                <v:shape style="position:absolute;left:7;top:7;width:4736;height:621" id="docshape183" coordorigin="8,8" coordsize="4736,621" path="m3560,8l3560,163,8,163,8,473,3560,473,3560,629,4744,318,3560,8xe" filled="true" fillcolor="#f2dbdb" stroked="false">
                  <v:path arrowok="t"/>
                  <v:fill type="solid"/>
                </v:shape>
                <v:shape style="position:absolute;left:7;top:7;width:4736;height:621" id="docshape184" coordorigin="8,8" coordsize="4736,621" path="m3560,8l3560,163,8,163,8,473,3560,473,3560,629,4744,318,3560,8xe" filled="false" stroked="true" strokeweight=".75pt" strokecolor="#000000">
                  <v:path arrowok="t"/>
                  <v:stroke dashstyle="solid"/>
                </v:shape>
                <v:shape style="position:absolute;left:0;top:0;width:4751;height:636" type="#_x0000_t202" id="docshape185" filled="false" stroked="false">
                  <v:textbox inset="0,0,0,0">
                    <w:txbxContent>
                      <w:p>
                        <w:pPr>
                          <w:spacing w:before="202"/>
                          <w:ind w:left="0" w:right="780" w:firstLine="0"/>
                          <w:jc w:val="center"/>
                          <w:rPr>
                            <w:rFonts w:ascii="Calibri"/>
                            <w:sz w:val="22"/>
                          </w:rPr>
                        </w:pPr>
                        <w:r>
                          <w:rPr>
                            <w:rFonts w:ascii="Calibri"/>
                            <w:spacing w:val="-2"/>
                            <w:sz w:val="22"/>
                          </w:rPr>
                          <w:t>Enablers</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345690" cy="403860"/>
                <wp:effectExtent l="9525" t="0" r="0" b="5714"/>
                <wp:docPr id="231" name="Group 231"/>
                <wp:cNvGraphicFramePr>
                  <a:graphicFrameLocks/>
                </wp:cNvGraphicFramePr>
                <a:graphic>
                  <a:graphicData uri="http://schemas.microsoft.com/office/word/2010/wordprocessingGroup">
                    <wpg:wgp>
                      <wpg:cNvPr id="231" name="Group 231"/>
                      <wpg:cNvGrpSpPr/>
                      <wpg:grpSpPr>
                        <a:xfrm>
                          <a:off x="0" y="0"/>
                          <a:ext cx="2345690" cy="403860"/>
                          <a:chExt cx="2345690" cy="403860"/>
                        </a:xfrm>
                      </wpg:grpSpPr>
                      <wps:wsp>
                        <wps:cNvPr id="232" name="Graphic 232"/>
                        <wps:cNvSpPr/>
                        <wps:spPr>
                          <a:xfrm>
                            <a:off x="4762" y="4762"/>
                            <a:ext cx="2336165" cy="394335"/>
                          </a:xfrm>
                          <a:custGeom>
                            <a:avLst/>
                            <a:gdLst/>
                            <a:ahLst/>
                            <a:cxnLst/>
                            <a:rect l="l" t="t" r="r" b="b"/>
                            <a:pathLst>
                              <a:path w="2336165" h="394335">
                                <a:moveTo>
                                  <a:pt x="1752117" y="0"/>
                                </a:moveTo>
                                <a:lnTo>
                                  <a:pt x="1752117" y="98577"/>
                                </a:lnTo>
                                <a:lnTo>
                                  <a:pt x="0" y="98577"/>
                                </a:lnTo>
                                <a:lnTo>
                                  <a:pt x="0" y="295744"/>
                                </a:lnTo>
                                <a:lnTo>
                                  <a:pt x="1752117" y="295744"/>
                                </a:lnTo>
                                <a:lnTo>
                                  <a:pt x="1752117" y="394335"/>
                                </a:lnTo>
                                <a:lnTo>
                                  <a:pt x="2336165" y="197167"/>
                                </a:lnTo>
                                <a:lnTo>
                                  <a:pt x="1752117" y="0"/>
                                </a:lnTo>
                                <a:close/>
                              </a:path>
                            </a:pathLst>
                          </a:custGeom>
                          <a:solidFill>
                            <a:srgbClr val="F2DBDB"/>
                          </a:solidFill>
                        </wps:spPr>
                        <wps:bodyPr wrap="square" lIns="0" tIns="0" rIns="0" bIns="0" rtlCol="0">
                          <a:prstTxWarp prst="textNoShape">
                            <a:avLst/>
                          </a:prstTxWarp>
                          <a:noAutofit/>
                        </wps:bodyPr>
                      </wps:wsp>
                      <wps:wsp>
                        <wps:cNvPr id="233" name="Graphic 233"/>
                        <wps:cNvSpPr/>
                        <wps:spPr>
                          <a:xfrm>
                            <a:off x="4762" y="4762"/>
                            <a:ext cx="2336165" cy="394335"/>
                          </a:xfrm>
                          <a:custGeom>
                            <a:avLst/>
                            <a:gdLst/>
                            <a:ahLst/>
                            <a:cxnLst/>
                            <a:rect l="l" t="t" r="r" b="b"/>
                            <a:pathLst>
                              <a:path w="2336165" h="394335">
                                <a:moveTo>
                                  <a:pt x="1752117" y="0"/>
                                </a:moveTo>
                                <a:lnTo>
                                  <a:pt x="1752117" y="98577"/>
                                </a:lnTo>
                                <a:lnTo>
                                  <a:pt x="0" y="98577"/>
                                </a:lnTo>
                                <a:lnTo>
                                  <a:pt x="0" y="295744"/>
                                </a:lnTo>
                                <a:lnTo>
                                  <a:pt x="1752117" y="295744"/>
                                </a:lnTo>
                                <a:lnTo>
                                  <a:pt x="1752117" y="394335"/>
                                </a:lnTo>
                                <a:lnTo>
                                  <a:pt x="2336165" y="197167"/>
                                </a:lnTo>
                                <a:lnTo>
                                  <a:pt x="1752117" y="0"/>
                                </a:lnTo>
                                <a:close/>
                              </a:path>
                            </a:pathLst>
                          </a:custGeom>
                          <a:ln w="9525">
                            <a:solidFill>
                              <a:srgbClr val="000000"/>
                            </a:solidFill>
                            <a:prstDash val="solid"/>
                          </a:ln>
                        </wps:spPr>
                        <wps:bodyPr wrap="square" lIns="0" tIns="0" rIns="0" bIns="0" rtlCol="0">
                          <a:prstTxWarp prst="textNoShape">
                            <a:avLst/>
                          </a:prstTxWarp>
                          <a:noAutofit/>
                        </wps:bodyPr>
                      </wps:wsp>
                      <wps:wsp>
                        <wps:cNvPr id="234" name="Textbox 234"/>
                        <wps:cNvSpPr txBox="1"/>
                        <wps:spPr>
                          <a:xfrm>
                            <a:off x="0" y="0"/>
                            <a:ext cx="2345690" cy="403860"/>
                          </a:xfrm>
                          <a:prstGeom prst="rect">
                            <a:avLst/>
                          </a:prstGeom>
                        </wps:spPr>
                        <wps:txbx>
                          <w:txbxContent>
                            <w:p>
                              <w:pPr>
                                <w:spacing w:before="202"/>
                                <w:ind w:left="879" w:right="0" w:firstLine="0"/>
                                <w:jc w:val="left"/>
                                <w:rPr>
                                  <w:rFonts w:ascii="Calibri"/>
                                  <w:sz w:val="22"/>
                                </w:rPr>
                              </w:pPr>
                              <w:r>
                                <w:rPr>
                                  <w:rFonts w:ascii="Calibri"/>
                                  <w:spacing w:val="-2"/>
                                  <w:sz w:val="22"/>
                                </w:rPr>
                                <w:t>Results</w:t>
                              </w:r>
                            </w:p>
                          </w:txbxContent>
                        </wps:txbx>
                        <wps:bodyPr wrap="square" lIns="0" tIns="0" rIns="0" bIns="0" rtlCol="0">
                          <a:noAutofit/>
                        </wps:bodyPr>
                      </wps:wsp>
                    </wpg:wgp>
                  </a:graphicData>
                </a:graphic>
              </wp:inline>
            </w:drawing>
          </mc:Choice>
          <mc:Fallback>
            <w:pict>
              <v:group style="width:184.7pt;height:31.8pt;mso-position-horizontal-relative:char;mso-position-vertical-relative:line" id="docshapegroup186" coordorigin="0,0" coordsize="3694,636">
                <v:shape style="position:absolute;left:7;top:7;width:3679;height:621" id="docshape187" coordorigin="8,8" coordsize="3679,621" path="m2767,8l2767,163,8,163,8,473,2767,473,2767,629,3687,318,2767,8xe" filled="true" fillcolor="#f2dbdb" stroked="false">
                  <v:path arrowok="t"/>
                  <v:fill type="solid"/>
                </v:shape>
                <v:shape style="position:absolute;left:7;top:7;width:3679;height:621" id="docshape188" coordorigin="8,8" coordsize="3679,621" path="m2767,8l2767,163,8,163,8,473,2767,473,2767,629,3687,318,2767,8xe" filled="false" stroked="true" strokeweight=".75pt" strokecolor="#000000">
                  <v:path arrowok="t"/>
                  <v:stroke dashstyle="solid"/>
                </v:shape>
                <v:shape style="position:absolute;left:0;top:0;width:3694;height:636" type="#_x0000_t202" id="docshape189" filled="false" stroked="false">
                  <v:textbox inset="0,0,0,0">
                    <w:txbxContent>
                      <w:p>
                        <w:pPr>
                          <w:spacing w:before="202"/>
                          <w:ind w:left="879" w:right="0" w:firstLine="0"/>
                          <w:jc w:val="left"/>
                          <w:rPr>
                            <w:rFonts w:ascii="Calibri"/>
                            <w:sz w:val="22"/>
                          </w:rPr>
                        </w:pPr>
                        <w:r>
                          <w:rPr>
                            <w:rFonts w:ascii="Calibri"/>
                            <w:spacing w:val="-2"/>
                            <w:sz w:val="22"/>
                          </w:rPr>
                          <w:t>Results</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604736">
                <wp:simplePos x="0" y="0"/>
                <wp:positionH relativeFrom="page">
                  <wp:posOffset>728662</wp:posOffset>
                </wp:positionH>
                <wp:positionV relativeFrom="paragraph">
                  <wp:posOffset>290113</wp:posOffset>
                </wp:positionV>
                <wp:extent cx="5743575" cy="479425"/>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5743575" cy="479425"/>
                          <a:chExt cx="5743575" cy="479425"/>
                        </a:xfrm>
                      </wpg:grpSpPr>
                      <wps:wsp>
                        <wps:cNvPr id="236" name="Graphic 236"/>
                        <wps:cNvSpPr/>
                        <wps:spPr>
                          <a:xfrm>
                            <a:off x="4762" y="4762"/>
                            <a:ext cx="5734050" cy="469900"/>
                          </a:xfrm>
                          <a:custGeom>
                            <a:avLst/>
                            <a:gdLst/>
                            <a:ahLst/>
                            <a:cxnLst/>
                            <a:rect l="l" t="t" r="r" b="b"/>
                            <a:pathLst>
                              <a:path w="5734050" h="469900">
                                <a:moveTo>
                                  <a:pt x="1433512" y="0"/>
                                </a:moveTo>
                                <a:lnTo>
                                  <a:pt x="0" y="234950"/>
                                </a:lnTo>
                                <a:lnTo>
                                  <a:pt x="1433512" y="469900"/>
                                </a:lnTo>
                                <a:lnTo>
                                  <a:pt x="1433512" y="352425"/>
                                </a:lnTo>
                                <a:lnTo>
                                  <a:pt x="5734050" y="352425"/>
                                </a:lnTo>
                                <a:lnTo>
                                  <a:pt x="5734050" y="117475"/>
                                </a:lnTo>
                                <a:lnTo>
                                  <a:pt x="1433512" y="117475"/>
                                </a:lnTo>
                                <a:lnTo>
                                  <a:pt x="1433512" y="0"/>
                                </a:lnTo>
                                <a:close/>
                              </a:path>
                            </a:pathLst>
                          </a:custGeom>
                          <a:solidFill>
                            <a:srgbClr val="F2DBDB"/>
                          </a:solidFill>
                        </wps:spPr>
                        <wps:bodyPr wrap="square" lIns="0" tIns="0" rIns="0" bIns="0" rtlCol="0">
                          <a:prstTxWarp prst="textNoShape">
                            <a:avLst/>
                          </a:prstTxWarp>
                          <a:noAutofit/>
                        </wps:bodyPr>
                      </wps:wsp>
                      <wps:wsp>
                        <wps:cNvPr id="237" name="Graphic 237"/>
                        <wps:cNvSpPr/>
                        <wps:spPr>
                          <a:xfrm>
                            <a:off x="4762" y="4762"/>
                            <a:ext cx="5734050" cy="469900"/>
                          </a:xfrm>
                          <a:custGeom>
                            <a:avLst/>
                            <a:gdLst/>
                            <a:ahLst/>
                            <a:cxnLst/>
                            <a:rect l="l" t="t" r="r" b="b"/>
                            <a:pathLst>
                              <a:path w="5734050" h="469900">
                                <a:moveTo>
                                  <a:pt x="1433512" y="469900"/>
                                </a:moveTo>
                                <a:lnTo>
                                  <a:pt x="1433512" y="352425"/>
                                </a:lnTo>
                                <a:lnTo>
                                  <a:pt x="5734050" y="352425"/>
                                </a:lnTo>
                                <a:lnTo>
                                  <a:pt x="5734050" y="117475"/>
                                </a:lnTo>
                                <a:lnTo>
                                  <a:pt x="1433512" y="117475"/>
                                </a:lnTo>
                                <a:lnTo>
                                  <a:pt x="1433512" y="0"/>
                                </a:lnTo>
                                <a:lnTo>
                                  <a:pt x="0" y="234950"/>
                                </a:lnTo>
                                <a:lnTo>
                                  <a:pt x="1433512" y="469900"/>
                                </a:lnTo>
                                <a:close/>
                              </a:path>
                            </a:pathLst>
                          </a:custGeom>
                          <a:ln w="9525">
                            <a:solidFill>
                              <a:srgbClr val="000000"/>
                            </a:solidFill>
                            <a:prstDash val="solid"/>
                          </a:ln>
                        </wps:spPr>
                        <wps:bodyPr wrap="square" lIns="0" tIns="0" rIns="0" bIns="0" rtlCol="0">
                          <a:prstTxWarp prst="textNoShape">
                            <a:avLst/>
                          </a:prstTxWarp>
                          <a:noAutofit/>
                        </wps:bodyPr>
                      </wps:wsp>
                      <wps:wsp>
                        <wps:cNvPr id="238" name="Textbox 238"/>
                        <wps:cNvSpPr txBox="1"/>
                        <wps:spPr>
                          <a:xfrm>
                            <a:off x="0" y="0"/>
                            <a:ext cx="5743575" cy="479425"/>
                          </a:xfrm>
                          <a:prstGeom prst="rect">
                            <a:avLst/>
                          </a:prstGeom>
                        </wps:spPr>
                        <wps:txbx>
                          <w:txbxContent>
                            <w:p>
                              <w:pPr>
                                <w:spacing w:before="231"/>
                                <w:ind w:left="2687" w:right="0" w:firstLine="0"/>
                                <w:jc w:val="left"/>
                                <w:rPr>
                                  <w:rFonts w:ascii="Calibri"/>
                                  <w:sz w:val="22"/>
                                </w:rPr>
                              </w:pPr>
                              <w:r>
                                <w:rPr>
                                  <w:rFonts w:ascii="Calibri"/>
                                  <w:sz w:val="22"/>
                                </w:rPr>
                                <w:t>Innovation</w:t>
                              </w:r>
                              <w:r>
                                <w:rPr>
                                  <w:rFonts w:ascii="Calibri"/>
                                  <w:spacing w:val="-4"/>
                                  <w:sz w:val="22"/>
                                </w:rPr>
                                <w:t> </w:t>
                              </w:r>
                              <w:r>
                                <w:rPr>
                                  <w:rFonts w:ascii="Calibri"/>
                                  <w:sz w:val="22"/>
                                </w:rPr>
                                <w:t>&amp;</w:t>
                              </w:r>
                              <w:r>
                                <w:rPr>
                                  <w:rFonts w:ascii="Calibri"/>
                                  <w:spacing w:val="-3"/>
                                  <w:sz w:val="22"/>
                                </w:rPr>
                                <w:t> </w:t>
                              </w:r>
                              <w:r>
                                <w:rPr>
                                  <w:rFonts w:ascii="Calibri"/>
                                  <w:spacing w:val="-2"/>
                                  <w:sz w:val="22"/>
                                </w:rPr>
                                <w:t>Learning</w:t>
                              </w:r>
                            </w:p>
                          </w:txbxContent>
                        </wps:txbx>
                        <wps:bodyPr wrap="square" lIns="0" tIns="0" rIns="0" bIns="0" rtlCol="0">
                          <a:noAutofit/>
                        </wps:bodyPr>
                      </wps:wsp>
                    </wpg:wgp>
                  </a:graphicData>
                </a:graphic>
              </wp:anchor>
            </w:drawing>
          </mc:Choice>
          <mc:Fallback>
            <w:pict>
              <v:group style="position:absolute;margin-left:57.375pt;margin-top:22.843555pt;width:452.25pt;height:37.75pt;mso-position-horizontal-relative:page;mso-position-vertical-relative:paragraph;z-index:-15711744;mso-wrap-distance-left:0;mso-wrap-distance-right:0" id="docshapegroup190" coordorigin="1148,457" coordsize="9045,755">
                <v:shape style="position:absolute;left:1155;top:464;width:9030;height:740" id="docshape191" coordorigin="1155,464" coordsize="9030,740" path="m3413,464l1155,834,3413,1204,3413,1019,10185,1019,10185,649,3413,649,3413,464xe" filled="true" fillcolor="#f2dbdb" stroked="false">
                  <v:path arrowok="t"/>
                  <v:fill type="solid"/>
                </v:shape>
                <v:shape style="position:absolute;left:1155;top:464;width:9030;height:740" id="docshape192" coordorigin="1155,464" coordsize="9030,740" path="m3413,1204l3413,1019,10185,1019,10185,649,3413,649,3413,464,1155,834,3413,1204xe" filled="false" stroked="true" strokeweight=".75pt" strokecolor="#000000">
                  <v:path arrowok="t"/>
                  <v:stroke dashstyle="solid"/>
                </v:shape>
                <v:shape style="position:absolute;left:1147;top:456;width:9045;height:755" type="#_x0000_t202" id="docshape193" filled="false" stroked="false">
                  <v:textbox inset="0,0,0,0">
                    <w:txbxContent>
                      <w:p>
                        <w:pPr>
                          <w:spacing w:before="231"/>
                          <w:ind w:left="2687" w:right="0" w:firstLine="0"/>
                          <w:jc w:val="left"/>
                          <w:rPr>
                            <w:rFonts w:ascii="Calibri"/>
                            <w:sz w:val="22"/>
                          </w:rPr>
                        </w:pPr>
                        <w:r>
                          <w:rPr>
                            <w:rFonts w:ascii="Calibri"/>
                            <w:sz w:val="22"/>
                          </w:rPr>
                          <w:t>Innovation</w:t>
                        </w:r>
                        <w:r>
                          <w:rPr>
                            <w:rFonts w:ascii="Calibri"/>
                            <w:spacing w:val="-4"/>
                            <w:sz w:val="22"/>
                          </w:rPr>
                          <w:t> </w:t>
                        </w:r>
                        <w:r>
                          <w:rPr>
                            <w:rFonts w:ascii="Calibri"/>
                            <w:sz w:val="22"/>
                          </w:rPr>
                          <w:t>&amp;</w:t>
                        </w:r>
                        <w:r>
                          <w:rPr>
                            <w:rFonts w:ascii="Calibri"/>
                            <w:spacing w:val="-3"/>
                            <w:sz w:val="22"/>
                          </w:rPr>
                          <w:t> </w:t>
                        </w:r>
                        <w:r>
                          <w:rPr>
                            <w:rFonts w:ascii="Calibri"/>
                            <w:spacing w:val="-2"/>
                            <w:sz w:val="22"/>
                          </w:rPr>
                          <w:t>Learning</w:t>
                        </w:r>
                      </w:p>
                    </w:txbxContent>
                  </v:textbox>
                  <w10:wrap type="none"/>
                </v:shape>
                <w10:wrap type="topAndBottom"/>
              </v:group>
            </w:pict>
          </mc:Fallback>
        </mc:AlternateContent>
      </w:r>
    </w:p>
    <w:p>
      <w:pPr>
        <w:pStyle w:val="BodyText"/>
        <w:spacing w:before="164"/>
      </w:pPr>
    </w:p>
    <w:p>
      <w:pPr>
        <w:pStyle w:val="Heading2"/>
        <w:spacing w:line="360" w:lineRule="auto"/>
        <w:ind w:right="6112"/>
        <w:jc w:val="left"/>
      </w:pPr>
      <w:r>
        <w:rPr/>
        <mc:AlternateContent>
          <mc:Choice Requires="wps">
            <w:drawing>
              <wp:anchor distT="0" distB="0" distL="0" distR="0" allowOverlap="1" layoutInCell="1" locked="0" behindDoc="0" simplePos="0" relativeHeight="15746048">
                <wp:simplePos x="0" y="0"/>
                <wp:positionH relativeFrom="page">
                  <wp:posOffset>714375</wp:posOffset>
                </wp:positionH>
                <wp:positionV relativeFrom="paragraph">
                  <wp:posOffset>-3751882</wp:posOffset>
                </wp:positionV>
                <wp:extent cx="1111885" cy="257429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1111885" cy="2574290"/>
                          <a:chExt cx="1111885" cy="2574290"/>
                        </a:xfrm>
                      </wpg:grpSpPr>
                      <wps:wsp>
                        <wps:cNvPr id="240" name="Graphic 240"/>
                        <wps:cNvSpPr/>
                        <wps:spPr>
                          <a:xfrm>
                            <a:off x="12700" y="25399"/>
                            <a:ext cx="1099185" cy="2548890"/>
                          </a:xfrm>
                          <a:custGeom>
                            <a:avLst/>
                            <a:gdLst/>
                            <a:ahLst/>
                            <a:cxnLst/>
                            <a:rect l="l" t="t" r="r" b="b"/>
                            <a:pathLst>
                              <a:path w="1099185" h="2548890">
                                <a:moveTo>
                                  <a:pt x="1099185" y="0"/>
                                </a:moveTo>
                                <a:lnTo>
                                  <a:pt x="1067435" y="0"/>
                                </a:lnTo>
                                <a:lnTo>
                                  <a:pt x="1067435" y="19050"/>
                                </a:lnTo>
                                <a:lnTo>
                                  <a:pt x="1067435" y="38100"/>
                                </a:lnTo>
                                <a:lnTo>
                                  <a:pt x="1080135" y="38100"/>
                                </a:lnTo>
                                <a:lnTo>
                                  <a:pt x="1067435" y="38112"/>
                                </a:lnTo>
                                <a:lnTo>
                                  <a:pt x="1067435" y="2510790"/>
                                </a:lnTo>
                                <a:lnTo>
                                  <a:pt x="19050" y="2510790"/>
                                </a:lnTo>
                                <a:lnTo>
                                  <a:pt x="19050" y="19050"/>
                                </a:lnTo>
                                <a:lnTo>
                                  <a:pt x="6350" y="19050"/>
                                </a:lnTo>
                                <a:lnTo>
                                  <a:pt x="6350" y="0"/>
                                </a:lnTo>
                                <a:lnTo>
                                  <a:pt x="0" y="0"/>
                                </a:lnTo>
                                <a:lnTo>
                                  <a:pt x="0" y="19050"/>
                                </a:lnTo>
                                <a:lnTo>
                                  <a:pt x="0" y="2529840"/>
                                </a:lnTo>
                                <a:lnTo>
                                  <a:pt x="0" y="2548890"/>
                                </a:lnTo>
                                <a:lnTo>
                                  <a:pt x="1099185" y="2548890"/>
                                </a:lnTo>
                                <a:lnTo>
                                  <a:pt x="1099185" y="2529840"/>
                                </a:lnTo>
                                <a:lnTo>
                                  <a:pt x="1099185" y="19062"/>
                                </a:lnTo>
                                <a:lnTo>
                                  <a:pt x="1080135" y="19062"/>
                                </a:lnTo>
                                <a:lnTo>
                                  <a:pt x="1099185" y="19050"/>
                                </a:lnTo>
                                <a:lnTo>
                                  <a:pt x="1099185" y="0"/>
                                </a:lnTo>
                                <a:close/>
                              </a:path>
                            </a:pathLst>
                          </a:custGeom>
                          <a:solidFill>
                            <a:srgbClr val="974706">
                              <a:alpha val="50195"/>
                            </a:srgbClr>
                          </a:solidFill>
                        </wps:spPr>
                        <wps:bodyPr wrap="square" lIns="0" tIns="0" rIns="0" bIns="0" rtlCol="0">
                          <a:prstTxWarp prst="textNoShape">
                            <a:avLst/>
                          </a:prstTxWarp>
                          <a:noAutofit/>
                        </wps:bodyPr>
                      </wps:wsp>
                      <wps:wsp>
                        <wps:cNvPr id="241" name="Graphic 241"/>
                        <wps:cNvSpPr/>
                        <wps:spPr>
                          <a:xfrm>
                            <a:off x="19050" y="19050"/>
                            <a:ext cx="1061085" cy="2510790"/>
                          </a:xfrm>
                          <a:custGeom>
                            <a:avLst/>
                            <a:gdLst/>
                            <a:ahLst/>
                            <a:cxnLst/>
                            <a:rect l="l" t="t" r="r" b="b"/>
                            <a:pathLst>
                              <a:path w="1061085" h="2510790">
                                <a:moveTo>
                                  <a:pt x="1061085" y="0"/>
                                </a:moveTo>
                                <a:lnTo>
                                  <a:pt x="0" y="0"/>
                                </a:lnTo>
                                <a:lnTo>
                                  <a:pt x="0" y="2510789"/>
                                </a:lnTo>
                                <a:lnTo>
                                  <a:pt x="1061085" y="2510789"/>
                                </a:lnTo>
                                <a:lnTo>
                                  <a:pt x="1061085" y="0"/>
                                </a:lnTo>
                                <a:close/>
                              </a:path>
                            </a:pathLst>
                          </a:custGeom>
                          <a:solidFill>
                            <a:srgbClr val="F79646"/>
                          </a:solidFill>
                        </wps:spPr>
                        <wps:bodyPr wrap="square" lIns="0" tIns="0" rIns="0" bIns="0" rtlCol="0">
                          <a:prstTxWarp prst="textNoShape">
                            <a:avLst/>
                          </a:prstTxWarp>
                          <a:noAutofit/>
                        </wps:bodyPr>
                      </wps:wsp>
                      <wps:wsp>
                        <wps:cNvPr id="242" name="Graphic 242"/>
                        <wps:cNvSpPr/>
                        <wps:spPr>
                          <a:xfrm>
                            <a:off x="19050" y="19050"/>
                            <a:ext cx="1061085" cy="2510790"/>
                          </a:xfrm>
                          <a:custGeom>
                            <a:avLst/>
                            <a:gdLst/>
                            <a:ahLst/>
                            <a:cxnLst/>
                            <a:rect l="l" t="t" r="r" b="b"/>
                            <a:pathLst>
                              <a:path w="1061085" h="2510790">
                                <a:moveTo>
                                  <a:pt x="0" y="2510789"/>
                                </a:moveTo>
                                <a:lnTo>
                                  <a:pt x="1061085" y="2510789"/>
                                </a:lnTo>
                                <a:lnTo>
                                  <a:pt x="1061085" y="0"/>
                                </a:lnTo>
                                <a:lnTo>
                                  <a:pt x="0" y="0"/>
                                </a:lnTo>
                                <a:lnTo>
                                  <a:pt x="0" y="2510789"/>
                                </a:lnTo>
                                <a:close/>
                              </a:path>
                            </a:pathLst>
                          </a:custGeom>
                          <a:ln w="38100">
                            <a:solidFill>
                              <a:srgbClr val="F2F2F2"/>
                            </a:solidFill>
                            <a:prstDash val="solid"/>
                          </a:ln>
                        </wps:spPr>
                        <wps:bodyPr wrap="square" lIns="0" tIns="0" rIns="0" bIns="0" rtlCol="0">
                          <a:prstTxWarp prst="textNoShape">
                            <a:avLst/>
                          </a:prstTxWarp>
                          <a:noAutofit/>
                        </wps:bodyPr>
                      </wps:wsp>
                      <wps:wsp>
                        <wps:cNvPr id="243" name="Textbox 243"/>
                        <wps:cNvSpPr txBox="1"/>
                        <wps:spPr>
                          <a:xfrm>
                            <a:off x="38100" y="38100"/>
                            <a:ext cx="1022985" cy="2472690"/>
                          </a:xfrm>
                          <a:prstGeom prst="rect">
                            <a:avLst/>
                          </a:prstGeom>
                        </wps:spPr>
                        <wps:txbx>
                          <w:txbxContent>
                            <w:p>
                              <w:pPr>
                                <w:spacing w:line="240" w:lineRule="auto" w:before="0"/>
                                <w:rPr>
                                  <w:sz w:val="28"/>
                                </w:rPr>
                              </w:pPr>
                            </w:p>
                            <w:p>
                              <w:pPr>
                                <w:spacing w:line="240" w:lineRule="auto" w:before="0"/>
                                <w:rPr>
                                  <w:sz w:val="28"/>
                                </w:rPr>
                              </w:pPr>
                            </w:p>
                            <w:p>
                              <w:pPr>
                                <w:spacing w:line="240" w:lineRule="auto" w:before="292"/>
                                <w:rPr>
                                  <w:sz w:val="28"/>
                                </w:rPr>
                              </w:pPr>
                            </w:p>
                            <w:p>
                              <w:pPr>
                                <w:spacing w:line="273" w:lineRule="auto" w:before="1"/>
                                <w:ind w:left="504" w:right="168" w:hanging="337"/>
                                <w:jc w:val="left"/>
                                <w:rPr>
                                  <w:rFonts w:ascii="Calibri"/>
                                  <w:b/>
                                  <w:sz w:val="28"/>
                                </w:rPr>
                              </w:pPr>
                              <w:r>
                                <w:rPr>
                                  <w:rFonts w:ascii="Calibri"/>
                                  <w:b/>
                                  <w:spacing w:val="-2"/>
                                  <w:sz w:val="28"/>
                                </w:rPr>
                                <w:t>Leadership (100)</w:t>
                              </w:r>
                            </w:p>
                          </w:txbxContent>
                        </wps:txbx>
                        <wps:bodyPr wrap="square" lIns="0" tIns="0" rIns="0" bIns="0" rtlCol="0">
                          <a:noAutofit/>
                        </wps:bodyPr>
                      </wps:wsp>
                    </wpg:wgp>
                  </a:graphicData>
                </a:graphic>
              </wp:anchor>
            </w:drawing>
          </mc:Choice>
          <mc:Fallback>
            <w:pict>
              <v:group style="position:absolute;margin-left:56.25pt;margin-top:-295.423828pt;width:87.55pt;height:202.7pt;mso-position-horizontal-relative:page;mso-position-vertical-relative:paragraph;z-index:15746048" id="docshapegroup194" coordorigin="1125,-5908" coordsize="1751,4054">
                <v:shape style="position:absolute;left:1145;top:-5869;width:1731;height:4014" id="docshape195" coordorigin="1145,-5868" coordsize="1731,4014" path="m2876,-5868l2826,-5868,2826,-5838,2826,-5808,2846,-5808,2826,-5808,2826,-1914,1175,-1914,1175,-5838,1155,-5838,1155,-5868,1145,-5868,1145,-5838,1145,-1884,1145,-1854,2876,-1854,2876,-1884,2876,-5838,2846,-5838,2876,-5838,2876,-5868xe" filled="true" fillcolor="#974706" stroked="false">
                  <v:path arrowok="t"/>
                  <v:fill opacity="32896f" type="solid"/>
                </v:shape>
                <v:rect style="position:absolute;left:1155;top:-5879;width:1671;height:3954" id="docshape196" filled="true" fillcolor="#f79646" stroked="false">
                  <v:fill type="solid"/>
                </v:rect>
                <v:rect style="position:absolute;left:1155;top:-5879;width:1671;height:3954" id="docshape197" filled="false" stroked="true" strokeweight="3pt" strokecolor="#f2f2f2">
                  <v:stroke dashstyle="solid"/>
                </v:rect>
                <v:shape style="position:absolute;left:1185;top:-5849;width:1611;height:3894" type="#_x0000_t202" id="docshape198" filled="false" stroked="false">
                  <v:textbox inset="0,0,0,0">
                    <w:txbxContent>
                      <w:p>
                        <w:pPr>
                          <w:spacing w:line="240" w:lineRule="auto" w:before="0"/>
                          <w:rPr>
                            <w:sz w:val="28"/>
                          </w:rPr>
                        </w:pPr>
                      </w:p>
                      <w:p>
                        <w:pPr>
                          <w:spacing w:line="240" w:lineRule="auto" w:before="0"/>
                          <w:rPr>
                            <w:sz w:val="28"/>
                          </w:rPr>
                        </w:pPr>
                      </w:p>
                      <w:p>
                        <w:pPr>
                          <w:spacing w:line="240" w:lineRule="auto" w:before="292"/>
                          <w:rPr>
                            <w:sz w:val="28"/>
                          </w:rPr>
                        </w:pPr>
                      </w:p>
                      <w:p>
                        <w:pPr>
                          <w:spacing w:line="273" w:lineRule="auto" w:before="1"/>
                          <w:ind w:left="504" w:right="168" w:hanging="337"/>
                          <w:jc w:val="left"/>
                          <w:rPr>
                            <w:rFonts w:ascii="Calibri"/>
                            <w:b/>
                            <w:sz w:val="28"/>
                          </w:rPr>
                        </w:pPr>
                        <w:r>
                          <w:rPr>
                            <w:rFonts w:ascii="Calibri"/>
                            <w:b/>
                            <w:spacing w:val="-2"/>
                            <w:sz w:val="28"/>
                          </w:rPr>
                          <w:t>Leadership (100)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1953260</wp:posOffset>
                </wp:positionH>
                <wp:positionV relativeFrom="paragraph">
                  <wp:posOffset>-1729407</wp:posOffset>
                </wp:positionV>
                <wp:extent cx="949325" cy="69723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949325" cy="697230"/>
                        </a:xfrm>
                        <a:prstGeom prst="rect">
                          <a:avLst/>
                        </a:prstGeom>
                        <a:solidFill>
                          <a:srgbClr val="FFFF00"/>
                        </a:solidFill>
                        <a:ln w="9525">
                          <a:solidFill>
                            <a:srgbClr val="000000"/>
                          </a:solidFill>
                          <a:prstDash val="solid"/>
                        </a:ln>
                      </wps:spPr>
                      <wps:txbx>
                        <w:txbxContent>
                          <w:p>
                            <w:pPr>
                              <w:spacing w:line="276" w:lineRule="auto" w:before="69"/>
                              <w:ind w:left="178" w:right="172" w:firstLine="0"/>
                              <w:jc w:val="center"/>
                              <w:rPr>
                                <w:rFonts w:ascii="Calibri"/>
                                <w:color w:val="000000"/>
                                <w:sz w:val="22"/>
                              </w:rPr>
                            </w:pPr>
                            <w:r>
                              <w:rPr>
                                <w:rFonts w:ascii="Calibri"/>
                                <w:color w:val="000000"/>
                                <w:spacing w:val="-2"/>
                                <w:sz w:val="22"/>
                              </w:rPr>
                              <w:t>Partnerships </w:t>
                            </w:r>
                            <w:r>
                              <w:rPr>
                                <w:rFonts w:ascii="Calibri"/>
                                <w:color w:val="000000"/>
                                <w:sz w:val="22"/>
                              </w:rPr>
                              <w:t>&amp;</w:t>
                            </w:r>
                            <w:r>
                              <w:rPr>
                                <w:rFonts w:ascii="Calibri"/>
                                <w:color w:val="000000"/>
                                <w:spacing w:val="-13"/>
                                <w:sz w:val="22"/>
                              </w:rPr>
                              <w:t> </w:t>
                            </w:r>
                            <w:r>
                              <w:rPr>
                                <w:rFonts w:ascii="Calibri"/>
                                <w:color w:val="000000"/>
                                <w:sz w:val="22"/>
                              </w:rPr>
                              <w:t>Resources </w:t>
                            </w:r>
                            <w:r>
                              <w:rPr>
                                <w:rFonts w:ascii="Calibri"/>
                                <w:color w:val="000000"/>
                                <w:spacing w:val="-4"/>
                                <w:sz w:val="22"/>
                              </w:rPr>
                              <w:t>(90)</w:t>
                            </w:r>
                          </w:p>
                        </w:txbxContent>
                      </wps:txbx>
                      <wps:bodyPr wrap="square" lIns="0" tIns="0" rIns="0" bIns="0" rtlCol="0">
                        <a:noAutofit/>
                      </wps:bodyPr>
                    </wps:wsp>
                  </a:graphicData>
                </a:graphic>
              </wp:anchor>
            </w:drawing>
          </mc:Choice>
          <mc:Fallback>
            <w:pict>
              <v:shape style="position:absolute;margin-left:153.800003pt;margin-top:-136.173828pt;width:74.75pt;height:54.9pt;mso-position-horizontal-relative:page;mso-position-vertical-relative:paragraph;z-index:15746560" type="#_x0000_t202" id="docshape199" filled="true" fillcolor="#ffff00" stroked="true" strokeweight=".75pt" strokecolor="#000000">
                <v:textbox inset="0,0,0,0">
                  <w:txbxContent>
                    <w:p>
                      <w:pPr>
                        <w:spacing w:line="276" w:lineRule="auto" w:before="69"/>
                        <w:ind w:left="178" w:right="172" w:firstLine="0"/>
                        <w:jc w:val="center"/>
                        <w:rPr>
                          <w:rFonts w:ascii="Calibri"/>
                          <w:color w:val="000000"/>
                          <w:sz w:val="22"/>
                        </w:rPr>
                      </w:pPr>
                      <w:r>
                        <w:rPr>
                          <w:rFonts w:ascii="Calibri"/>
                          <w:color w:val="000000"/>
                          <w:spacing w:val="-2"/>
                          <w:sz w:val="22"/>
                        </w:rPr>
                        <w:t>Partnerships </w:t>
                      </w:r>
                      <w:r>
                        <w:rPr>
                          <w:rFonts w:ascii="Calibri"/>
                          <w:color w:val="000000"/>
                          <w:sz w:val="22"/>
                        </w:rPr>
                        <w:t>&amp;</w:t>
                      </w:r>
                      <w:r>
                        <w:rPr>
                          <w:rFonts w:ascii="Calibri"/>
                          <w:color w:val="000000"/>
                          <w:spacing w:val="-13"/>
                          <w:sz w:val="22"/>
                        </w:rPr>
                        <w:t> </w:t>
                      </w:r>
                      <w:r>
                        <w:rPr>
                          <w:rFonts w:ascii="Calibri"/>
                          <w:color w:val="000000"/>
                          <w:sz w:val="22"/>
                        </w:rPr>
                        <w:t>Resources </w:t>
                      </w:r>
                      <w:r>
                        <w:rPr>
                          <w:rFonts w:ascii="Calibri"/>
                          <w:color w:val="000000"/>
                          <w:spacing w:val="-4"/>
                          <w:sz w:val="22"/>
                        </w:rPr>
                        <w:t>(90)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4131309</wp:posOffset>
                </wp:positionH>
                <wp:positionV relativeFrom="paragraph">
                  <wp:posOffset>-1854502</wp:posOffset>
                </wp:positionV>
                <wp:extent cx="996315" cy="69659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996315" cy="696595"/>
                        </a:xfrm>
                        <a:prstGeom prst="rect">
                          <a:avLst/>
                        </a:prstGeom>
                        <a:solidFill>
                          <a:srgbClr val="C6D9F1"/>
                        </a:solidFill>
                        <a:ln w="9525">
                          <a:solidFill>
                            <a:srgbClr val="000000"/>
                          </a:solidFill>
                          <a:prstDash val="solid"/>
                        </a:ln>
                      </wps:spPr>
                      <wps:txbx>
                        <w:txbxContent>
                          <w:p>
                            <w:pPr>
                              <w:spacing w:line="276" w:lineRule="auto" w:before="70"/>
                              <w:ind w:left="314" w:right="310" w:firstLine="0"/>
                              <w:jc w:val="center"/>
                              <w:rPr>
                                <w:rFonts w:ascii="Calibri"/>
                                <w:color w:val="000000"/>
                                <w:sz w:val="22"/>
                              </w:rPr>
                            </w:pPr>
                            <w:r>
                              <w:rPr>
                                <w:rFonts w:ascii="Calibri"/>
                                <w:color w:val="000000"/>
                                <w:sz w:val="22"/>
                              </w:rPr>
                              <w:t>Impact</w:t>
                            </w:r>
                            <w:r>
                              <w:rPr>
                                <w:rFonts w:ascii="Calibri"/>
                                <w:color w:val="000000"/>
                                <w:spacing w:val="-13"/>
                                <w:sz w:val="22"/>
                              </w:rPr>
                              <w:t> </w:t>
                            </w:r>
                            <w:r>
                              <w:rPr>
                                <w:rFonts w:ascii="Calibri"/>
                                <w:color w:val="000000"/>
                                <w:sz w:val="22"/>
                              </w:rPr>
                              <w:t>on </w:t>
                            </w:r>
                            <w:r>
                              <w:rPr>
                                <w:rFonts w:ascii="Calibri"/>
                                <w:color w:val="000000"/>
                                <w:spacing w:val="-2"/>
                                <w:sz w:val="22"/>
                              </w:rPr>
                              <w:t>Society </w:t>
                            </w:r>
                            <w:r>
                              <w:rPr>
                                <w:rFonts w:ascii="Calibri"/>
                                <w:color w:val="000000"/>
                                <w:spacing w:val="-4"/>
                                <w:sz w:val="22"/>
                              </w:rPr>
                              <w:t>(60)</w:t>
                            </w:r>
                          </w:p>
                        </w:txbxContent>
                      </wps:txbx>
                      <wps:bodyPr wrap="square" lIns="0" tIns="0" rIns="0" bIns="0" rtlCol="0">
                        <a:noAutofit/>
                      </wps:bodyPr>
                    </wps:wsp>
                  </a:graphicData>
                </a:graphic>
              </wp:anchor>
            </w:drawing>
          </mc:Choice>
          <mc:Fallback>
            <w:pict>
              <v:shape style="position:absolute;margin-left:325.299988pt;margin-top:-146.023834pt;width:78.45pt;height:54.85pt;mso-position-horizontal-relative:page;mso-position-vertical-relative:paragraph;z-index:15747072" type="#_x0000_t202" id="docshape200" filled="true" fillcolor="#c6d9f1" stroked="true" strokeweight=".75pt" strokecolor="#000000">
                <v:textbox inset="0,0,0,0">
                  <w:txbxContent>
                    <w:p>
                      <w:pPr>
                        <w:spacing w:line="276" w:lineRule="auto" w:before="70"/>
                        <w:ind w:left="314" w:right="310" w:firstLine="0"/>
                        <w:jc w:val="center"/>
                        <w:rPr>
                          <w:rFonts w:ascii="Calibri"/>
                          <w:color w:val="000000"/>
                          <w:sz w:val="22"/>
                        </w:rPr>
                      </w:pPr>
                      <w:r>
                        <w:rPr>
                          <w:rFonts w:ascii="Calibri"/>
                          <w:color w:val="000000"/>
                          <w:sz w:val="22"/>
                        </w:rPr>
                        <w:t>Impact</w:t>
                      </w:r>
                      <w:r>
                        <w:rPr>
                          <w:rFonts w:ascii="Calibri"/>
                          <w:color w:val="000000"/>
                          <w:spacing w:val="-13"/>
                          <w:sz w:val="22"/>
                        </w:rPr>
                        <w:t> </w:t>
                      </w:r>
                      <w:r>
                        <w:rPr>
                          <w:rFonts w:ascii="Calibri"/>
                          <w:color w:val="000000"/>
                          <w:sz w:val="22"/>
                        </w:rPr>
                        <w:t>on </w:t>
                      </w:r>
                      <w:r>
                        <w:rPr>
                          <w:rFonts w:ascii="Calibri"/>
                          <w:color w:val="000000"/>
                          <w:spacing w:val="-2"/>
                          <w:sz w:val="22"/>
                        </w:rPr>
                        <w:t>Society </w:t>
                      </w:r>
                      <w:r>
                        <w:rPr>
                          <w:rFonts w:ascii="Calibri"/>
                          <w:color w:val="000000"/>
                          <w:spacing w:val="-4"/>
                          <w:sz w:val="22"/>
                        </w:rPr>
                        <w:t>(60)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3042285</wp:posOffset>
                </wp:positionH>
                <wp:positionV relativeFrom="paragraph">
                  <wp:posOffset>-3681397</wp:posOffset>
                </wp:positionV>
                <wp:extent cx="940435" cy="245935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940435" cy="2459355"/>
                        </a:xfrm>
                        <a:prstGeom prst="rect">
                          <a:avLst/>
                        </a:prstGeom>
                        <a:solidFill>
                          <a:srgbClr val="92D050"/>
                        </a:solidFill>
                        <a:ln w="9525">
                          <a:solidFill>
                            <a:srgbClr val="000000"/>
                          </a:solidFill>
                          <a:prstDash val="solid"/>
                        </a:ln>
                      </wps:spPr>
                      <wps:txbx>
                        <w:txbxContent>
                          <w:p>
                            <w:pPr>
                              <w:pStyle w:val="BodyText"/>
                              <w:rPr>
                                <w:color w:val="000000"/>
                                <w:sz w:val="28"/>
                              </w:rPr>
                            </w:pPr>
                          </w:p>
                          <w:p>
                            <w:pPr>
                              <w:pStyle w:val="BodyText"/>
                              <w:rPr>
                                <w:color w:val="000000"/>
                                <w:sz w:val="28"/>
                              </w:rPr>
                            </w:pPr>
                          </w:p>
                          <w:p>
                            <w:pPr>
                              <w:pStyle w:val="BodyText"/>
                              <w:spacing w:before="291"/>
                              <w:rPr>
                                <w:color w:val="000000"/>
                                <w:sz w:val="28"/>
                              </w:rPr>
                            </w:pPr>
                          </w:p>
                          <w:p>
                            <w:pPr>
                              <w:spacing w:line="278" w:lineRule="auto" w:before="1"/>
                              <w:ind w:left="433" w:right="0" w:hanging="267"/>
                              <w:jc w:val="left"/>
                              <w:rPr>
                                <w:rFonts w:ascii="Calibri"/>
                                <w:b/>
                                <w:color w:val="000000"/>
                                <w:sz w:val="28"/>
                              </w:rPr>
                            </w:pPr>
                            <w:r>
                              <w:rPr>
                                <w:rFonts w:ascii="Calibri"/>
                                <w:b/>
                                <w:color w:val="000000"/>
                                <w:spacing w:val="-2"/>
                                <w:sz w:val="28"/>
                              </w:rPr>
                              <w:t>Processes (140)</w:t>
                            </w:r>
                          </w:p>
                        </w:txbxContent>
                      </wps:txbx>
                      <wps:bodyPr wrap="square" lIns="0" tIns="0" rIns="0" bIns="0" rtlCol="0">
                        <a:noAutofit/>
                      </wps:bodyPr>
                    </wps:wsp>
                  </a:graphicData>
                </a:graphic>
              </wp:anchor>
            </w:drawing>
          </mc:Choice>
          <mc:Fallback>
            <w:pict>
              <v:shape style="position:absolute;margin-left:239.550003pt;margin-top:-289.873840pt;width:74.05pt;height:193.65pt;mso-position-horizontal-relative:page;mso-position-vertical-relative:paragraph;z-index:15748608" type="#_x0000_t202" id="docshape201" filled="true" fillcolor="#92d050" stroked="true" strokeweight=".75pt" strokecolor="#000000">
                <v:textbox inset="0,0,0,0">
                  <w:txbxContent>
                    <w:p>
                      <w:pPr>
                        <w:pStyle w:val="BodyText"/>
                        <w:rPr>
                          <w:color w:val="000000"/>
                          <w:sz w:val="28"/>
                        </w:rPr>
                      </w:pPr>
                    </w:p>
                    <w:p>
                      <w:pPr>
                        <w:pStyle w:val="BodyText"/>
                        <w:rPr>
                          <w:color w:val="000000"/>
                          <w:sz w:val="28"/>
                        </w:rPr>
                      </w:pPr>
                    </w:p>
                    <w:p>
                      <w:pPr>
                        <w:pStyle w:val="BodyText"/>
                        <w:spacing w:before="291"/>
                        <w:rPr>
                          <w:color w:val="000000"/>
                          <w:sz w:val="28"/>
                        </w:rPr>
                      </w:pPr>
                    </w:p>
                    <w:p>
                      <w:pPr>
                        <w:spacing w:line="278" w:lineRule="auto" w:before="1"/>
                        <w:ind w:left="433" w:right="0" w:hanging="267"/>
                        <w:jc w:val="left"/>
                        <w:rPr>
                          <w:rFonts w:ascii="Calibri"/>
                          <w:b/>
                          <w:color w:val="000000"/>
                          <w:sz w:val="28"/>
                        </w:rPr>
                      </w:pPr>
                      <w:r>
                        <w:rPr>
                          <w:rFonts w:ascii="Calibri"/>
                          <w:b/>
                          <w:color w:val="000000"/>
                          <w:spacing w:val="-2"/>
                          <w:sz w:val="28"/>
                        </w:rPr>
                        <w:t>Processes (140)</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5266690</wp:posOffset>
                </wp:positionH>
                <wp:positionV relativeFrom="paragraph">
                  <wp:posOffset>-3732832</wp:posOffset>
                </wp:positionV>
                <wp:extent cx="1200785" cy="256159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200785" cy="2561590"/>
                        </a:xfrm>
                        <a:prstGeom prst="rect">
                          <a:avLst/>
                        </a:prstGeom>
                        <a:solidFill>
                          <a:srgbClr val="E5DFEC"/>
                        </a:solidFill>
                        <a:ln w="9525">
                          <a:solidFill>
                            <a:srgbClr val="000000"/>
                          </a:solidFill>
                          <a:prstDash val="solid"/>
                        </a:ln>
                      </wps:spPr>
                      <wps:txbx>
                        <w:txbxContent>
                          <w:p>
                            <w:pPr>
                              <w:pStyle w:val="BodyText"/>
                              <w:rPr>
                                <w:color w:val="000000"/>
                                <w:sz w:val="28"/>
                              </w:rPr>
                            </w:pPr>
                          </w:p>
                          <w:p>
                            <w:pPr>
                              <w:pStyle w:val="BodyText"/>
                              <w:rPr>
                                <w:color w:val="000000"/>
                                <w:sz w:val="28"/>
                              </w:rPr>
                            </w:pPr>
                          </w:p>
                          <w:p>
                            <w:pPr>
                              <w:pStyle w:val="BodyText"/>
                              <w:spacing w:before="202"/>
                              <w:rPr>
                                <w:color w:val="000000"/>
                                <w:sz w:val="28"/>
                              </w:rPr>
                            </w:pPr>
                          </w:p>
                          <w:p>
                            <w:pPr>
                              <w:spacing w:line="276" w:lineRule="auto" w:before="0"/>
                              <w:ind w:left="184" w:right="184" w:firstLine="3"/>
                              <w:jc w:val="center"/>
                              <w:rPr>
                                <w:rFonts w:ascii="Calibri"/>
                                <w:b/>
                                <w:color w:val="000000"/>
                                <w:sz w:val="22"/>
                              </w:rPr>
                            </w:pPr>
                            <w:r>
                              <w:rPr>
                                <w:rFonts w:ascii="Calibri"/>
                                <w:b/>
                                <w:color w:val="000000"/>
                                <w:spacing w:val="-4"/>
                                <w:sz w:val="28"/>
                              </w:rPr>
                              <w:t>Key </w:t>
                            </w:r>
                            <w:r>
                              <w:rPr>
                                <w:rFonts w:ascii="Calibri"/>
                                <w:b/>
                                <w:color w:val="000000"/>
                                <w:spacing w:val="-2"/>
                                <w:sz w:val="28"/>
                              </w:rPr>
                              <w:t>Performance (Business Results)</w:t>
                            </w:r>
                            <w:r>
                              <w:rPr>
                                <w:rFonts w:ascii="Calibri"/>
                                <w:b/>
                                <w:color w:val="000000"/>
                                <w:spacing w:val="40"/>
                                <w:sz w:val="28"/>
                              </w:rPr>
                              <w:t> </w:t>
                            </w:r>
                            <w:r>
                              <w:rPr>
                                <w:rFonts w:ascii="Calibri"/>
                                <w:b/>
                                <w:color w:val="000000"/>
                                <w:spacing w:val="-2"/>
                                <w:sz w:val="28"/>
                              </w:rPr>
                              <w:t>(150</w:t>
                            </w:r>
                            <w:r>
                              <w:rPr>
                                <w:rFonts w:ascii="Calibri"/>
                                <w:b/>
                                <w:color w:val="000000"/>
                                <w:spacing w:val="-2"/>
                                <w:sz w:val="22"/>
                              </w:rPr>
                              <w:t>)</w:t>
                            </w:r>
                          </w:p>
                        </w:txbxContent>
                      </wps:txbx>
                      <wps:bodyPr wrap="square" lIns="0" tIns="0" rIns="0" bIns="0" rtlCol="0">
                        <a:noAutofit/>
                      </wps:bodyPr>
                    </wps:wsp>
                  </a:graphicData>
                </a:graphic>
              </wp:anchor>
            </w:drawing>
          </mc:Choice>
          <mc:Fallback>
            <w:pict>
              <v:shape style="position:absolute;margin-left:414.700012pt;margin-top:-293.923828pt;width:94.55pt;height:201.7pt;mso-position-horizontal-relative:page;mso-position-vertical-relative:paragraph;z-index:15749632" type="#_x0000_t202" id="docshape202" filled="true" fillcolor="#e5dfec" stroked="true" strokeweight=".75pt" strokecolor="#000000">
                <v:textbox inset="0,0,0,0">
                  <w:txbxContent>
                    <w:p>
                      <w:pPr>
                        <w:pStyle w:val="BodyText"/>
                        <w:rPr>
                          <w:color w:val="000000"/>
                          <w:sz w:val="28"/>
                        </w:rPr>
                      </w:pPr>
                    </w:p>
                    <w:p>
                      <w:pPr>
                        <w:pStyle w:val="BodyText"/>
                        <w:rPr>
                          <w:color w:val="000000"/>
                          <w:sz w:val="28"/>
                        </w:rPr>
                      </w:pPr>
                    </w:p>
                    <w:p>
                      <w:pPr>
                        <w:pStyle w:val="BodyText"/>
                        <w:spacing w:before="202"/>
                        <w:rPr>
                          <w:color w:val="000000"/>
                          <w:sz w:val="28"/>
                        </w:rPr>
                      </w:pPr>
                    </w:p>
                    <w:p>
                      <w:pPr>
                        <w:spacing w:line="276" w:lineRule="auto" w:before="0"/>
                        <w:ind w:left="184" w:right="184" w:firstLine="3"/>
                        <w:jc w:val="center"/>
                        <w:rPr>
                          <w:rFonts w:ascii="Calibri"/>
                          <w:b/>
                          <w:color w:val="000000"/>
                          <w:sz w:val="22"/>
                        </w:rPr>
                      </w:pPr>
                      <w:r>
                        <w:rPr>
                          <w:rFonts w:ascii="Calibri"/>
                          <w:b/>
                          <w:color w:val="000000"/>
                          <w:spacing w:val="-4"/>
                          <w:sz w:val="28"/>
                        </w:rPr>
                        <w:t>Key </w:t>
                      </w:r>
                      <w:r>
                        <w:rPr>
                          <w:rFonts w:ascii="Calibri"/>
                          <w:b/>
                          <w:color w:val="000000"/>
                          <w:spacing w:val="-2"/>
                          <w:sz w:val="28"/>
                        </w:rPr>
                        <w:t>Performance (Business Results)</w:t>
                      </w:r>
                      <w:r>
                        <w:rPr>
                          <w:rFonts w:ascii="Calibri"/>
                          <w:b/>
                          <w:color w:val="000000"/>
                          <w:spacing w:val="40"/>
                          <w:sz w:val="28"/>
                        </w:rPr>
                        <w:t> </w:t>
                      </w:r>
                      <w:r>
                        <w:rPr>
                          <w:rFonts w:ascii="Calibri"/>
                          <w:b/>
                          <w:color w:val="000000"/>
                          <w:spacing w:val="-2"/>
                          <w:sz w:val="28"/>
                        </w:rPr>
                        <w:t>(150</w:t>
                      </w:r>
                      <w:r>
                        <w:rPr>
                          <w:rFonts w:ascii="Calibri"/>
                          <w:b/>
                          <w:color w:val="000000"/>
                          <w:spacing w:val="-2"/>
                          <w:sz w:val="22"/>
                        </w:rPr>
                        <w:t>)</w:t>
                      </w:r>
                    </w:p>
                  </w:txbxContent>
                </v:textbox>
                <v:fill type="solid"/>
                <v:stroke dashstyle="solid"/>
                <w10:wrap type="none"/>
              </v:shape>
            </w:pict>
          </mc:Fallback>
        </mc:AlternateContent>
      </w:r>
      <w:r>
        <w:rPr/>
        <w:t>Figure</w:t>
      </w:r>
      <w:r>
        <w:rPr>
          <w:spacing w:val="-9"/>
        </w:rPr>
        <w:t> </w:t>
      </w:r>
      <w:r>
        <w:rPr/>
        <w:t>3.7:</w:t>
      </w:r>
      <w:r>
        <w:rPr>
          <w:spacing w:val="-9"/>
        </w:rPr>
        <w:t> </w:t>
      </w:r>
      <w:r>
        <w:rPr/>
        <w:t>The</w:t>
      </w:r>
      <w:r>
        <w:rPr>
          <w:spacing w:val="-9"/>
        </w:rPr>
        <w:t> </w:t>
      </w:r>
      <w:r>
        <w:rPr/>
        <w:t>EFQM</w:t>
      </w:r>
      <w:r>
        <w:rPr>
          <w:spacing w:val="-8"/>
        </w:rPr>
        <w:t> </w:t>
      </w:r>
      <w:r>
        <w:rPr/>
        <w:t>Excellence</w:t>
      </w:r>
      <w:r>
        <w:rPr>
          <w:spacing w:val="-9"/>
        </w:rPr>
        <w:t> </w:t>
      </w:r>
      <w:r>
        <w:rPr/>
        <w:t>Model Source:</w:t>
      </w:r>
      <w:r>
        <w:rPr>
          <w:spacing w:val="-4"/>
        </w:rPr>
        <w:t> </w:t>
      </w:r>
      <w:r>
        <w:rPr/>
        <w:t>Oakland</w:t>
      </w:r>
      <w:r>
        <w:rPr>
          <w:spacing w:val="-2"/>
        </w:rPr>
        <w:t> </w:t>
      </w:r>
      <w:r>
        <w:rPr/>
        <w:t>and</w:t>
      </w:r>
      <w:r>
        <w:rPr>
          <w:spacing w:val="-4"/>
        </w:rPr>
        <w:t> </w:t>
      </w:r>
      <w:r>
        <w:rPr/>
        <w:t>Marosszeky</w:t>
      </w:r>
      <w:r>
        <w:rPr>
          <w:spacing w:val="-3"/>
        </w:rPr>
        <w:t> </w:t>
      </w:r>
      <w:r>
        <w:rPr>
          <w:spacing w:val="-2"/>
        </w:rPr>
        <w:t>(2006)</w:t>
      </w:r>
    </w:p>
    <w:p>
      <w:pPr>
        <w:pStyle w:val="BodyText"/>
        <w:spacing w:before="130"/>
        <w:rPr>
          <w:b/>
        </w:rPr>
      </w:pPr>
    </w:p>
    <w:p>
      <w:pPr>
        <w:pStyle w:val="BodyText"/>
        <w:spacing w:line="480" w:lineRule="auto"/>
        <w:ind w:left="400" w:right="1320"/>
        <w:jc w:val="both"/>
      </w:pPr>
      <w:r>
        <w:rPr/>
        <w:t>The EFQM publication for the new millennium of the so-called 'Excellence Model' captures much of the learning and provides a framework which organisation can use by following these ten steps:</w:t>
      </w:r>
    </w:p>
    <w:p>
      <w:pPr>
        <w:pStyle w:val="ListParagraph"/>
        <w:numPr>
          <w:ilvl w:val="0"/>
          <w:numId w:val="32"/>
        </w:numPr>
        <w:tabs>
          <w:tab w:pos="1119" w:val="left" w:leader="none"/>
        </w:tabs>
        <w:spacing w:line="240" w:lineRule="auto" w:before="3" w:after="0"/>
        <w:ind w:left="1119" w:right="0" w:hanging="359"/>
        <w:jc w:val="both"/>
        <w:rPr>
          <w:sz w:val="24"/>
        </w:rPr>
      </w:pPr>
      <w:r>
        <w:rPr>
          <w:sz w:val="24"/>
        </w:rPr>
        <w:t>Set</w:t>
      </w:r>
      <w:r>
        <w:rPr>
          <w:spacing w:val="-3"/>
          <w:sz w:val="24"/>
        </w:rPr>
        <w:t> </w:t>
      </w:r>
      <w:r>
        <w:rPr>
          <w:sz w:val="24"/>
        </w:rPr>
        <w:t>direction</w:t>
      </w:r>
      <w:r>
        <w:rPr>
          <w:spacing w:val="-3"/>
          <w:sz w:val="24"/>
        </w:rPr>
        <w:t> </w:t>
      </w:r>
      <w:r>
        <w:rPr>
          <w:sz w:val="24"/>
        </w:rPr>
        <w:t>through</w:t>
      </w:r>
      <w:r>
        <w:rPr>
          <w:spacing w:val="-2"/>
          <w:sz w:val="24"/>
        </w:rPr>
        <w:t> leadership;</w:t>
      </w:r>
    </w:p>
    <w:p>
      <w:pPr>
        <w:pStyle w:val="ListParagraph"/>
        <w:numPr>
          <w:ilvl w:val="0"/>
          <w:numId w:val="32"/>
        </w:numPr>
        <w:tabs>
          <w:tab w:pos="1119" w:val="left" w:leader="none"/>
        </w:tabs>
        <w:spacing w:line="240" w:lineRule="auto" w:before="139" w:after="0"/>
        <w:ind w:left="1119" w:right="0" w:hanging="359"/>
        <w:jc w:val="left"/>
        <w:rPr>
          <w:sz w:val="24"/>
        </w:rPr>
      </w:pPr>
      <w:r>
        <w:rPr>
          <w:sz w:val="24"/>
        </w:rPr>
        <w:t>Establish</w:t>
      </w:r>
      <w:r>
        <w:rPr>
          <w:spacing w:val="-1"/>
          <w:sz w:val="24"/>
        </w:rPr>
        <w:t> </w:t>
      </w:r>
      <w:r>
        <w:rPr>
          <w:sz w:val="24"/>
        </w:rPr>
        <w:t>the</w:t>
      </w:r>
      <w:r>
        <w:rPr>
          <w:spacing w:val="-2"/>
          <w:sz w:val="24"/>
        </w:rPr>
        <w:t> </w:t>
      </w:r>
      <w:r>
        <w:rPr>
          <w:sz w:val="24"/>
        </w:rPr>
        <w:t>results</w:t>
      </w:r>
      <w:r>
        <w:rPr>
          <w:spacing w:val="-1"/>
          <w:sz w:val="24"/>
        </w:rPr>
        <w:t> </w:t>
      </w:r>
      <w:r>
        <w:rPr>
          <w:sz w:val="24"/>
        </w:rPr>
        <w:t>they</w:t>
      </w:r>
      <w:r>
        <w:rPr>
          <w:spacing w:val="-4"/>
          <w:sz w:val="24"/>
        </w:rPr>
        <w:t> </w:t>
      </w:r>
      <w:r>
        <w:rPr>
          <w:sz w:val="24"/>
        </w:rPr>
        <w:t>want</w:t>
      </w:r>
      <w:r>
        <w:rPr>
          <w:spacing w:val="-1"/>
          <w:sz w:val="24"/>
        </w:rPr>
        <w:t> </w:t>
      </w:r>
      <w:r>
        <w:rPr>
          <w:sz w:val="24"/>
        </w:rPr>
        <w:t>to </w:t>
      </w:r>
      <w:r>
        <w:rPr>
          <w:spacing w:val="-2"/>
          <w:sz w:val="24"/>
        </w:rPr>
        <w:t>achieve;</w:t>
      </w:r>
    </w:p>
    <w:p>
      <w:pPr>
        <w:pStyle w:val="ListParagraph"/>
        <w:numPr>
          <w:ilvl w:val="0"/>
          <w:numId w:val="32"/>
        </w:numPr>
        <w:tabs>
          <w:tab w:pos="1119" w:val="left" w:leader="none"/>
        </w:tabs>
        <w:spacing w:line="240" w:lineRule="auto" w:before="137" w:after="0"/>
        <w:ind w:left="1119" w:right="0" w:hanging="359"/>
        <w:jc w:val="left"/>
        <w:rPr>
          <w:sz w:val="24"/>
        </w:rPr>
      </w:pPr>
      <w:r>
        <w:rPr>
          <w:sz w:val="24"/>
        </w:rPr>
        <w:t>Establish</w:t>
      </w:r>
      <w:r>
        <w:rPr>
          <w:spacing w:val="-1"/>
          <w:sz w:val="24"/>
        </w:rPr>
        <w:t> </w:t>
      </w:r>
      <w:r>
        <w:rPr>
          <w:sz w:val="24"/>
        </w:rPr>
        <w:t>and drive</w:t>
      </w:r>
      <w:r>
        <w:rPr>
          <w:spacing w:val="-1"/>
          <w:sz w:val="24"/>
        </w:rPr>
        <w:t> </w:t>
      </w:r>
      <w:r>
        <w:rPr>
          <w:sz w:val="24"/>
        </w:rPr>
        <w:t>policy</w:t>
      </w:r>
      <w:r>
        <w:rPr>
          <w:spacing w:val="-3"/>
          <w:sz w:val="24"/>
        </w:rPr>
        <w:t> </w:t>
      </w:r>
      <w:r>
        <w:rPr>
          <w:sz w:val="24"/>
        </w:rPr>
        <w:t>and strategy</w:t>
      </w:r>
      <w:r>
        <w:rPr>
          <w:spacing w:val="-5"/>
          <w:sz w:val="24"/>
        </w:rPr>
        <w:t> </w:t>
      </w:r>
      <w:r>
        <w:rPr>
          <w:spacing w:val="-10"/>
          <w:sz w:val="24"/>
        </w:rPr>
        <w:t>;</w:t>
      </w:r>
    </w:p>
    <w:p>
      <w:pPr>
        <w:pStyle w:val="ListParagraph"/>
        <w:numPr>
          <w:ilvl w:val="0"/>
          <w:numId w:val="32"/>
        </w:numPr>
        <w:tabs>
          <w:tab w:pos="1119" w:val="left" w:leader="none"/>
        </w:tabs>
        <w:spacing w:line="360" w:lineRule="auto" w:before="139" w:after="0"/>
        <w:ind w:left="1119" w:right="1318" w:hanging="360"/>
        <w:jc w:val="left"/>
        <w:rPr>
          <w:sz w:val="24"/>
        </w:rPr>
      </w:pPr>
      <w:r>
        <w:rPr>
          <w:sz w:val="24"/>
        </w:rPr>
        <w:t>Set</w:t>
      </w:r>
      <w:r>
        <w:rPr>
          <w:spacing w:val="28"/>
          <w:sz w:val="24"/>
        </w:rPr>
        <w:t> </w:t>
      </w:r>
      <w:r>
        <w:rPr>
          <w:sz w:val="24"/>
        </w:rPr>
        <w:t>up</w:t>
      </w:r>
      <w:r>
        <w:rPr>
          <w:spacing w:val="28"/>
          <w:sz w:val="24"/>
        </w:rPr>
        <w:t> </w:t>
      </w:r>
      <w:r>
        <w:rPr>
          <w:sz w:val="24"/>
        </w:rPr>
        <w:t>and</w:t>
      </w:r>
      <w:r>
        <w:rPr>
          <w:spacing w:val="30"/>
          <w:sz w:val="24"/>
        </w:rPr>
        <w:t> </w:t>
      </w:r>
      <w:r>
        <w:rPr>
          <w:sz w:val="24"/>
        </w:rPr>
        <w:t>manage</w:t>
      </w:r>
      <w:r>
        <w:rPr>
          <w:spacing w:val="29"/>
          <w:sz w:val="24"/>
        </w:rPr>
        <w:t> </w:t>
      </w:r>
      <w:r>
        <w:rPr>
          <w:sz w:val="24"/>
        </w:rPr>
        <w:t>appropriately their</w:t>
      </w:r>
      <w:r>
        <w:rPr>
          <w:spacing w:val="29"/>
          <w:sz w:val="24"/>
        </w:rPr>
        <w:t> </w:t>
      </w:r>
      <w:r>
        <w:rPr>
          <w:sz w:val="24"/>
        </w:rPr>
        <w:t>approach</w:t>
      </w:r>
      <w:r>
        <w:rPr>
          <w:spacing w:val="33"/>
          <w:sz w:val="24"/>
        </w:rPr>
        <w:t> </w:t>
      </w:r>
      <w:r>
        <w:rPr>
          <w:sz w:val="24"/>
        </w:rPr>
        <w:t>to</w:t>
      </w:r>
      <w:r>
        <w:rPr>
          <w:spacing w:val="28"/>
          <w:sz w:val="24"/>
        </w:rPr>
        <w:t> </w:t>
      </w:r>
      <w:r>
        <w:rPr>
          <w:sz w:val="24"/>
        </w:rPr>
        <w:t>processes,</w:t>
      </w:r>
      <w:r>
        <w:rPr>
          <w:spacing w:val="28"/>
          <w:sz w:val="24"/>
        </w:rPr>
        <w:t> </w:t>
      </w:r>
      <w:r>
        <w:rPr>
          <w:sz w:val="24"/>
        </w:rPr>
        <w:t>people,</w:t>
      </w:r>
      <w:r>
        <w:rPr>
          <w:spacing w:val="28"/>
          <w:sz w:val="24"/>
        </w:rPr>
        <w:t> </w:t>
      </w:r>
      <w:r>
        <w:rPr>
          <w:sz w:val="24"/>
        </w:rPr>
        <w:t>partnerships</w:t>
      </w:r>
      <w:r>
        <w:rPr>
          <w:spacing w:val="28"/>
          <w:sz w:val="24"/>
        </w:rPr>
        <w:t> </w:t>
      </w:r>
      <w:r>
        <w:rPr>
          <w:sz w:val="24"/>
        </w:rPr>
        <w:t>and </w:t>
      </w:r>
      <w:r>
        <w:rPr>
          <w:spacing w:val="-2"/>
          <w:sz w:val="24"/>
        </w:rPr>
        <w:t>resources;</w:t>
      </w:r>
    </w:p>
    <w:p>
      <w:pPr>
        <w:pStyle w:val="ListParagraph"/>
        <w:numPr>
          <w:ilvl w:val="0"/>
          <w:numId w:val="32"/>
        </w:numPr>
        <w:tabs>
          <w:tab w:pos="1120" w:val="left" w:leader="none"/>
        </w:tabs>
        <w:spacing w:line="360" w:lineRule="auto" w:before="0" w:after="0"/>
        <w:ind w:left="1120" w:right="1320" w:hanging="360"/>
        <w:jc w:val="left"/>
        <w:rPr>
          <w:sz w:val="24"/>
        </w:rPr>
      </w:pPr>
      <w:r>
        <w:rPr>
          <w:sz w:val="24"/>
        </w:rPr>
        <w:t>Deploy the approaches to ensure achievement of the policies, strategies and thereby the</w:t>
      </w:r>
      <w:r>
        <w:rPr>
          <w:spacing w:val="40"/>
          <w:sz w:val="24"/>
        </w:rPr>
        <w:t> </w:t>
      </w:r>
      <w:r>
        <w:rPr>
          <w:spacing w:val="-2"/>
          <w:sz w:val="24"/>
        </w:rPr>
        <w:t>results;</w:t>
      </w:r>
    </w:p>
    <w:p>
      <w:pPr>
        <w:spacing w:after="0" w:line="360" w:lineRule="auto"/>
        <w:jc w:val="left"/>
        <w:rPr>
          <w:sz w:val="24"/>
        </w:rPr>
        <w:sectPr>
          <w:pgSz w:w="12240" w:h="15840"/>
          <w:pgMar w:header="0" w:footer="1017" w:top="1520" w:bottom="1200" w:left="1040" w:right="120"/>
        </w:sectPr>
      </w:pPr>
    </w:p>
    <w:p>
      <w:pPr>
        <w:pStyle w:val="ListParagraph"/>
        <w:numPr>
          <w:ilvl w:val="0"/>
          <w:numId w:val="32"/>
        </w:numPr>
        <w:tabs>
          <w:tab w:pos="1119" w:val="left" w:leader="none"/>
        </w:tabs>
        <w:spacing w:line="360" w:lineRule="auto" w:before="74" w:after="0"/>
        <w:ind w:left="1119" w:right="1315" w:hanging="360"/>
        <w:jc w:val="left"/>
        <w:rPr>
          <w:sz w:val="24"/>
        </w:rPr>
      </w:pPr>
      <w:r>
        <w:rPr>
          <w:sz w:val="24"/>
        </w:rPr>
        <w:t>Assess the 'business' performance, in terms of</w:t>
      </w:r>
      <w:r>
        <w:rPr>
          <w:spacing w:val="26"/>
          <w:sz w:val="24"/>
        </w:rPr>
        <w:t> </w:t>
      </w:r>
      <w:r>
        <w:rPr>
          <w:sz w:val="24"/>
        </w:rPr>
        <w:t>customers, their own</w:t>
      </w:r>
      <w:r>
        <w:rPr>
          <w:spacing w:val="26"/>
          <w:sz w:val="24"/>
        </w:rPr>
        <w:t> </w:t>
      </w:r>
      <w:r>
        <w:rPr>
          <w:sz w:val="24"/>
        </w:rPr>
        <w:t>people and society</w:t>
      </w:r>
      <w:r>
        <w:rPr>
          <w:spacing w:val="40"/>
          <w:sz w:val="24"/>
        </w:rPr>
        <w:t> </w:t>
      </w:r>
      <w:r>
        <w:rPr>
          <w:spacing w:val="-2"/>
          <w:sz w:val="24"/>
        </w:rPr>
        <w:t>results;</w:t>
      </w:r>
    </w:p>
    <w:p>
      <w:pPr>
        <w:pStyle w:val="ListParagraph"/>
        <w:numPr>
          <w:ilvl w:val="0"/>
          <w:numId w:val="32"/>
        </w:numPr>
        <w:tabs>
          <w:tab w:pos="1117" w:val="left" w:leader="none"/>
        </w:tabs>
        <w:spacing w:line="240" w:lineRule="auto" w:before="0" w:after="0"/>
        <w:ind w:left="1117" w:right="0" w:hanging="358"/>
        <w:jc w:val="left"/>
        <w:rPr>
          <w:sz w:val="24"/>
        </w:rPr>
      </w:pPr>
      <w:r>
        <w:rPr>
          <w:sz w:val="24"/>
        </w:rPr>
        <w:t>Assess</w:t>
      </w:r>
      <w:r>
        <w:rPr>
          <w:spacing w:val="-1"/>
          <w:sz w:val="24"/>
        </w:rPr>
        <w:t> </w:t>
      </w:r>
      <w:r>
        <w:rPr>
          <w:sz w:val="24"/>
        </w:rPr>
        <w:t>the</w:t>
      </w:r>
      <w:r>
        <w:rPr>
          <w:spacing w:val="-2"/>
          <w:sz w:val="24"/>
        </w:rPr>
        <w:t> </w:t>
      </w:r>
      <w:r>
        <w:rPr>
          <w:sz w:val="24"/>
        </w:rPr>
        <w:t>achievements</w:t>
      </w:r>
      <w:r>
        <w:rPr>
          <w:spacing w:val="1"/>
          <w:sz w:val="24"/>
        </w:rPr>
        <w:t> </w:t>
      </w:r>
      <w:r>
        <w:rPr>
          <w:sz w:val="24"/>
        </w:rPr>
        <w:t>of</w:t>
      </w:r>
      <w:r>
        <w:rPr>
          <w:spacing w:val="-1"/>
          <w:sz w:val="24"/>
        </w:rPr>
        <w:t> </w:t>
      </w:r>
      <w:r>
        <w:rPr>
          <w:sz w:val="24"/>
        </w:rPr>
        <w:t>key</w:t>
      </w:r>
      <w:r>
        <w:rPr>
          <w:spacing w:val="-6"/>
          <w:sz w:val="24"/>
        </w:rPr>
        <w:t> </w:t>
      </w:r>
      <w:r>
        <w:rPr>
          <w:sz w:val="24"/>
        </w:rPr>
        <w:t>performance</w:t>
      </w:r>
      <w:r>
        <w:rPr>
          <w:spacing w:val="-1"/>
          <w:sz w:val="24"/>
        </w:rPr>
        <w:t> </w:t>
      </w:r>
      <w:r>
        <w:rPr>
          <w:spacing w:val="-2"/>
          <w:sz w:val="24"/>
        </w:rPr>
        <w:t>results;</w:t>
      </w:r>
    </w:p>
    <w:p>
      <w:pPr>
        <w:pStyle w:val="ListParagraph"/>
        <w:numPr>
          <w:ilvl w:val="0"/>
          <w:numId w:val="32"/>
        </w:numPr>
        <w:tabs>
          <w:tab w:pos="1118" w:val="left" w:leader="none"/>
        </w:tabs>
        <w:spacing w:line="240" w:lineRule="auto" w:before="137" w:after="0"/>
        <w:ind w:left="1118" w:right="0" w:hanging="359"/>
        <w:jc w:val="left"/>
        <w:rPr>
          <w:sz w:val="24"/>
        </w:rPr>
      </w:pPr>
      <w:r>
        <w:rPr>
          <w:sz w:val="24"/>
        </w:rPr>
        <w:t>Review</w:t>
      </w:r>
      <w:r>
        <w:rPr>
          <w:spacing w:val="-5"/>
          <w:sz w:val="24"/>
        </w:rPr>
        <w:t> </w:t>
      </w:r>
      <w:r>
        <w:rPr>
          <w:sz w:val="24"/>
        </w:rPr>
        <w:t>performance</w:t>
      </w:r>
      <w:r>
        <w:rPr>
          <w:spacing w:val="-3"/>
          <w:sz w:val="24"/>
        </w:rPr>
        <w:t> </w:t>
      </w:r>
      <w:r>
        <w:rPr>
          <w:sz w:val="24"/>
        </w:rPr>
        <w:t>for</w:t>
      </w:r>
      <w:r>
        <w:rPr>
          <w:spacing w:val="-1"/>
          <w:sz w:val="24"/>
        </w:rPr>
        <w:t> </w:t>
      </w:r>
      <w:r>
        <w:rPr>
          <w:sz w:val="24"/>
        </w:rPr>
        <w:t>strengths and</w:t>
      </w:r>
      <w:r>
        <w:rPr>
          <w:spacing w:val="-2"/>
          <w:sz w:val="24"/>
        </w:rPr>
        <w:t> </w:t>
      </w:r>
      <w:r>
        <w:rPr>
          <w:sz w:val="24"/>
        </w:rPr>
        <w:t>areas</w:t>
      </w:r>
      <w:r>
        <w:rPr>
          <w:spacing w:val="-2"/>
          <w:sz w:val="24"/>
        </w:rPr>
        <w:t> </w:t>
      </w:r>
      <w:r>
        <w:rPr>
          <w:sz w:val="24"/>
        </w:rPr>
        <w:t>for</w:t>
      </w:r>
      <w:r>
        <w:rPr>
          <w:spacing w:val="-3"/>
          <w:sz w:val="24"/>
        </w:rPr>
        <w:t> </w:t>
      </w:r>
      <w:r>
        <w:rPr>
          <w:sz w:val="24"/>
        </w:rPr>
        <w:t>improvement</w:t>
      </w:r>
      <w:r>
        <w:rPr>
          <w:spacing w:val="-1"/>
          <w:sz w:val="24"/>
        </w:rPr>
        <w:t> </w:t>
      </w:r>
      <w:r>
        <w:rPr>
          <w:spacing w:val="-10"/>
          <w:sz w:val="24"/>
        </w:rPr>
        <w:t>;</w:t>
      </w:r>
    </w:p>
    <w:p>
      <w:pPr>
        <w:pStyle w:val="ListParagraph"/>
        <w:numPr>
          <w:ilvl w:val="0"/>
          <w:numId w:val="32"/>
        </w:numPr>
        <w:tabs>
          <w:tab w:pos="1119" w:val="left" w:leader="none"/>
        </w:tabs>
        <w:spacing w:line="240" w:lineRule="auto" w:before="139" w:after="0"/>
        <w:ind w:left="1119" w:right="0" w:hanging="360"/>
        <w:jc w:val="left"/>
        <w:rPr>
          <w:sz w:val="24"/>
        </w:rPr>
      </w:pPr>
      <w:r>
        <w:rPr>
          <w:sz w:val="24"/>
        </w:rPr>
        <w:t>Innovate</w:t>
      </w:r>
      <w:r>
        <w:rPr>
          <w:spacing w:val="-5"/>
          <w:sz w:val="24"/>
        </w:rPr>
        <w:t> </w:t>
      </w:r>
      <w:r>
        <w:rPr>
          <w:sz w:val="24"/>
        </w:rPr>
        <w:t>to</w:t>
      </w:r>
      <w:r>
        <w:rPr>
          <w:spacing w:val="-2"/>
          <w:sz w:val="24"/>
        </w:rPr>
        <w:t> </w:t>
      </w:r>
      <w:r>
        <w:rPr>
          <w:sz w:val="24"/>
        </w:rPr>
        <w:t>deliver</w:t>
      </w:r>
      <w:r>
        <w:rPr>
          <w:spacing w:val="-3"/>
          <w:sz w:val="24"/>
        </w:rPr>
        <w:t> </w:t>
      </w:r>
      <w:r>
        <w:rPr>
          <w:sz w:val="24"/>
        </w:rPr>
        <w:t>performance</w:t>
      </w:r>
      <w:r>
        <w:rPr>
          <w:spacing w:val="-3"/>
          <w:sz w:val="24"/>
        </w:rPr>
        <w:t> </w:t>
      </w:r>
      <w:r>
        <w:rPr>
          <w:sz w:val="24"/>
        </w:rPr>
        <w:t>improvements;</w:t>
      </w:r>
      <w:r>
        <w:rPr>
          <w:spacing w:val="-1"/>
          <w:sz w:val="24"/>
        </w:rPr>
        <w:t> </w:t>
      </w:r>
      <w:r>
        <w:rPr>
          <w:spacing w:val="-4"/>
          <w:sz w:val="24"/>
        </w:rPr>
        <w:t>and,</w:t>
      </w:r>
    </w:p>
    <w:p>
      <w:pPr>
        <w:pStyle w:val="ListParagraph"/>
        <w:numPr>
          <w:ilvl w:val="0"/>
          <w:numId w:val="32"/>
        </w:numPr>
        <w:tabs>
          <w:tab w:pos="1119" w:val="left" w:leader="none"/>
        </w:tabs>
        <w:spacing w:line="240" w:lineRule="auto" w:before="137" w:after="0"/>
        <w:ind w:left="1119" w:right="0" w:hanging="360"/>
        <w:jc w:val="left"/>
        <w:rPr>
          <w:sz w:val="24"/>
        </w:rPr>
      </w:pPr>
      <w:r>
        <w:rPr>
          <w:sz w:val="24"/>
        </w:rPr>
        <w:t>Learn</w:t>
      </w:r>
      <w:r>
        <w:rPr>
          <w:spacing w:val="-1"/>
          <w:sz w:val="24"/>
        </w:rPr>
        <w:t> </w:t>
      </w:r>
      <w:r>
        <w:rPr>
          <w:sz w:val="24"/>
        </w:rPr>
        <w:t>more</w:t>
      </w:r>
      <w:r>
        <w:rPr>
          <w:spacing w:val="-1"/>
          <w:sz w:val="24"/>
        </w:rPr>
        <w:t> </w:t>
      </w:r>
      <w:r>
        <w:rPr>
          <w:sz w:val="24"/>
        </w:rPr>
        <w:t>about</w:t>
      </w:r>
      <w:r>
        <w:rPr>
          <w:spacing w:val="-1"/>
          <w:sz w:val="24"/>
        </w:rPr>
        <w:t> </w:t>
      </w:r>
      <w:r>
        <w:rPr>
          <w:sz w:val="24"/>
        </w:rPr>
        <w:t>the</w:t>
      </w:r>
      <w:r>
        <w:rPr>
          <w:spacing w:val="-1"/>
          <w:sz w:val="24"/>
        </w:rPr>
        <w:t> </w:t>
      </w:r>
      <w:r>
        <w:rPr>
          <w:sz w:val="24"/>
        </w:rPr>
        <w:t>effects</w:t>
      </w:r>
      <w:r>
        <w:rPr>
          <w:spacing w:val="-1"/>
          <w:sz w:val="24"/>
        </w:rPr>
        <w:t> </w:t>
      </w:r>
      <w:r>
        <w:rPr>
          <w:sz w:val="24"/>
        </w:rPr>
        <w:t>of</w:t>
      </w:r>
      <w:r>
        <w:rPr>
          <w:spacing w:val="-1"/>
          <w:sz w:val="24"/>
        </w:rPr>
        <w:t> </w:t>
      </w:r>
      <w:r>
        <w:rPr>
          <w:sz w:val="24"/>
        </w:rPr>
        <w:t>the</w:t>
      </w:r>
      <w:r>
        <w:rPr>
          <w:spacing w:val="-2"/>
          <w:sz w:val="24"/>
        </w:rPr>
        <w:t> </w:t>
      </w:r>
      <w:r>
        <w:rPr>
          <w:sz w:val="24"/>
        </w:rPr>
        <w:t>enablers on</w:t>
      </w:r>
      <w:r>
        <w:rPr>
          <w:spacing w:val="-1"/>
          <w:sz w:val="24"/>
        </w:rPr>
        <w:t> </w:t>
      </w:r>
      <w:r>
        <w:rPr>
          <w:sz w:val="24"/>
        </w:rPr>
        <w:t>the</w:t>
      </w:r>
      <w:r>
        <w:rPr>
          <w:spacing w:val="-1"/>
          <w:sz w:val="24"/>
        </w:rPr>
        <w:t> </w:t>
      </w:r>
      <w:r>
        <w:rPr>
          <w:spacing w:val="-2"/>
          <w:sz w:val="24"/>
        </w:rPr>
        <w:t>result.</w:t>
      </w:r>
    </w:p>
    <w:p>
      <w:pPr>
        <w:pStyle w:val="BodyText"/>
        <w:spacing w:before="60"/>
      </w:pPr>
    </w:p>
    <w:p>
      <w:pPr>
        <w:pStyle w:val="BodyText"/>
        <w:spacing w:line="480" w:lineRule="auto"/>
        <w:ind w:left="399" w:right="1313"/>
        <w:jc w:val="both"/>
      </w:pPr>
      <w:r>
        <w:rPr/>
        <w:t>MaCarthy (2005), in study about the impact of EFQM Excellence model on leadership in</w:t>
      </w:r>
      <w:r>
        <w:rPr>
          <w:spacing w:val="40"/>
        </w:rPr>
        <w:t> </w:t>
      </w:r>
      <w:r>
        <w:rPr/>
        <w:t>German and UK</w:t>
      </w:r>
      <w:r>
        <w:rPr>
          <w:spacing w:val="-1"/>
        </w:rPr>
        <w:t> </w:t>
      </w:r>
      <w:r>
        <w:rPr/>
        <w:t>organisations found there were more</w:t>
      </w:r>
      <w:r>
        <w:rPr>
          <w:spacing w:val="-1"/>
        </w:rPr>
        <w:t> </w:t>
      </w:r>
      <w:r>
        <w:rPr/>
        <w:t>differences in perceptions of</w:t>
      </w:r>
      <w:r>
        <w:rPr>
          <w:spacing w:val="-1"/>
        </w:rPr>
        <w:t> </w:t>
      </w:r>
      <w:r>
        <w:rPr/>
        <w:t>good practice between German organisations recognised for excellence and German organisations not using</w:t>
      </w:r>
      <w:r>
        <w:rPr>
          <w:spacing w:val="80"/>
        </w:rPr>
        <w:t> </w:t>
      </w:r>
      <w:r>
        <w:rPr/>
        <w:t>the Excellence Model than between German and UK organisations. In the UK, there were more differences between what was described as good practice and what was described as usual practice among organisations not using the Excellence Model than among organisations recognised for excellence. German assessors differed in their view of good practices from UK assessors and German organisations.</w:t>
      </w:r>
    </w:p>
    <w:p>
      <w:pPr>
        <w:pStyle w:val="BodyText"/>
        <w:spacing w:before="144"/>
      </w:pPr>
    </w:p>
    <w:p>
      <w:pPr>
        <w:pStyle w:val="Heading3"/>
        <w:numPr>
          <w:ilvl w:val="3"/>
          <w:numId w:val="30"/>
        </w:numPr>
        <w:tabs>
          <w:tab w:pos="1839" w:val="left" w:leader="none"/>
        </w:tabs>
        <w:spacing w:line="240" w:lineRule="auto" w:before="0" w:after="0"/>
        <w:ind w:left="1839" w:right="0" w:hanging="1439"/>
        <w:jc w:val="both"/>
      </w:pPr>
      <w:r>
        <w:rPr/>
        <w:t>The</w:t>
      </w:r>
      <w:r>
        <w:rPr>
          <w:spacing w:val="-2"/>
        </w:rPr>
        <w:t> </w:t>
      </w:r>
      <w:r>
        <w:rPr/>
        <w:t>new model</w:t>
      </w:r>
      <w:r>
        <w:rPr>
          <w:spacing w:val="-1"/>
        </w:rPr>
        <w:t> </w:t>
      </w:r>
      <w:r>
        <w:rPr/>
        <w:t>for </w:t>
      </w:r>
      <w:r>
        <w:rPr>
          <w:spacing w:val="-5"/>
        </w:rPr>
        <w:t>TQM</w:t>
      </w:r>
    </w:p>
    <w:p>
      <w:pPr>
        <w:pStyle w:val="BodyText"/>
        <w:spacing w:line="480" w:lineRule="auto" w:before="272"/>
        <w:ind w:left="400" w:right="1317"/>
        <w:jc w:val="both"/>
      </w:pPr>
      <w:r>
        <w:rPr/>
        <w:t>The new TQM model provides the basis of excellence in the industry and covers all angles and aspects of an organisation and its operations. It is based on the excellent work done during the last century. Oakland (2006), presents a new model for TQM that addresses the hard and soft issues of quality. As shown in Figure (3.8) performance improved through better planning, and the management of people and the processes in which they work. These are the keys to</w:t>
      </w:r>
      <w:r>
        <w:rPr>
          <w:spacing w:val="40"/>
        </w:rPr>
        <w:t> </w:t>
      </w:r>
      <w:r>
        <w:rPr/>
        <w:t>delivering quality products and services to customers. These four Ps are important in to delivering quality products and service to customers. The early frameworks of TQM involved three</w:t>
      </w:r>
      <w:r>
        <w:rPr>
          <w:spacing w:val="23"/>
        </w:rPr>
        <w:t> </w:t>
      </w:r>
      <w:r>
        <w:rPr/>
        <w:t>Cs,</w:t>
      </w:r>
      <w:r>
        <w:rPr>
          <w:spacing w:val="25"/>
        </w:rPr>
        <w:t> </w:t>
      </w:r>
      <w:r>
        <w:rPr/>
        <w:t>culture,</w:t>
      </w:r>
      <w:r>
        <w:rPr>
          <w:spacing w:val="24"/>
        </w:rPr>
        <w:t> </w:t>
      </w:r>
      <w:r>
        <w:rPr/>
        <w:t>communication</w:t>
      </w:r>
      <w:r>
        <w:rPr>
          <w:spacing w:val="25"/>
        </w:rPr>
        <w:t> </w:t>
      </w:r>
      <w:r>
        <w:rPr/>
        <w:t>and</w:t>
      </w:r>
      <w:r>
        <w:rPr>
          <w:spacing w:val="24"/>
        </w:rPr>
        <w:t> </w:t>
      </w:r>
      <w:r>
        <w:rPr/>
        <w:t>commitment,</w:t>
      </w:r>
      <w:r>
        <w:rPr>
          <w:spacing w:val="25"/>
        </w:rPr>
        <w:t> </w:t>
      </w:r>
      <w:r>
        <w:rPr/>
        <w:t>which</w:t>
      </w:r>
      <w:r>
        <w:rPr>
          <w:spacing w:val="25"/>
        </w:rPr>
        <w:t> </w:t>
      </w:r>
      <w:r>
        <w:rPr/>
        <w:t>we</w:t>
      </w:r>
      <w:r>
        <w:rPr>
          <w:spacing w:val="23"/>
        </w:rPr>
        <w:t> </w:t>
      </w:r>
      <w:r>
        <w:rPr/>
        <w:t>can</w:t>
      </w:r>
      <w:r>
        <w:rPr>
          <w:spacing w:val="25"/>
        </w:rPr>
        <w:t> </w:t>
      </w:r>
      <w:r>
        <w:rPr/>
        <w:t>never</w:t>
      </w:r>
      <w:r>
        <w:rPr>
          <w:spacing w:val="26"/>
        </w:rPr>
        <w:t> </w:t>
      </w:r>
      <w:r>
        <w:rPr/>
        <w:t>underestimate</w:t>
      </w:r>
      <w:r>
        <w:rPr>
          <w:spacing w:val="24"/>
        </w:rPr>
        <w:t> </w:t>
      </w:r>
      <w:r>
        <w:rPr/>
        <w:t>as</w:t>
      </w:r>
      <w:r>
        <w:rPr>
          <w:spacing w:val="25"/>
        </w:rPr>
        <w:t> </w:t>
      </w:r>
      <w:r>
        <w:rPr>
          <w:spacing w:val="-4"/>
        </w:rPr>
        <w:t>they</w:t>
      </w:r>
    </w:p>
    <w:p>
      <w:pPr>
        <w:spacing w:after="0" w:line="480" w:lineRule="auto"/>
        <w:jc w:val="both"/>
        <w:sectPr>
          <w:pgSz w:w="12240" w:h="15840"/>
          <w:pgMar w:header="0" w:footer="1017" w:top="1360" w:bottom="1200" w:left="1040" w:right="120"/>
        </w:sectPr>
      </w:pPr>
    </w:p>
    <w:p>
      <w:pPr>
        <w:pStyle w:val="BodyText"/>
        <w:spacing w:line="482" w:lineRule="auto" w:before="72"/>
        <w:ind w:left="400" w:right="1318"/>
        <w:jc w:val="both"/>
      </w:pPr>
      <w:r>
        <w:rPr/>
        <w:t>are the foundation of the TQM framework. Oakland adds these are the "soft foundations" which must encase the hard necessities of planning, people and processes.</w:t>
      </w:r>
    </w:p>
    <w:p>
      <w:pPr>
        <w:pStyle w:val="BodyText"/>
        <w:rPr>
          <w:sz w:val="20"/>
        </w:rPr>
      </w:pPr>
    </w:p>
    <w:p>
      <w:pPr>
        <w:pStyle w:val="BodyText"/>
        <w:spacing w:before="42"/>
        <w:rPr>
          <w:sz w:val="20"/>
        </w:rPr>
      </w:pPr>
      <w:r>
        <w:rPr/>
        <mc:AlternateContent>
          <mc:Choice Requires="wps">
            <w:drawing>
              <wp:anchor distT="0" distB="0" distL="0" distR="0" allowOverlap="1" layoutInCell="1" locked="0" behindDoc="1" simplePos="0" relativeHeight="487609856">
                <wp:simplePos x="0" y="0"/>
                <wp:positionH relativeFrom="page">
                  <wp:posOffset>1055052</wp:posOffset>
                </wp:positionH>
                <wp:positionV relativeFrom="paragraph">
                  <wp:posOffset>188654</wp:posOffset>
                </wp:positionV>
                <wp:extent cx="4683125" cy="3415029"/>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4683125" cy="3415029"/>
                          <a:chExt cx="4683125" cy="3415029"/>
                        </a:xfrm>
                      </wpg:grpSpPr>
                      <wps:wsp>
                        <wps:cNvPr id="249" name="Graphic 249"/>
                        <wps:cNvSpPr/>
                        <wps:spPr>
                          <a:xfrm>
                            <a:off x="891222" y="494347"/>
                            <a:ext cx="3279140" cy="2915920"/>
                          </a:xfrm>
                          <a:custGeom>
                            <a:avLst/>
                            <a:gdLst/>
                            <a:ahLst/>
                            <a:cxnLst/>
                            <a:rect l="l" t="t" r="r" b="b"/>
                            <a:pathLst>
                              <a:path w="3279140" h="2915920">
                                <a:moveTo>
                                  <a:pt x="1639570" y="0"/>
                                </a:moveTo>
                                <a:lnTo>
                                  <a:pt x="1588498" y="693"/>
                                </a:lnTo>
                                <a:lnTo>
                                  <a:pt x="1537816" y="2761"/>
                                </a:lnTo>
                                <a:lnTo>
                                  <a:pt x="1487546" y="6183"/>
                                </a:lnTo>
                                <a:lnTo>
                                  <a:pt x="1437710" y="10938"/>
                                </a:lnTo>
                                <a:lnTo>
                                  <a:pt x="1388331" y="17007"/>
                                </a:lnTo>
                                <a:lnTo>
                                  <a:pt x="1339432" y="24369"/>
                                </a:lnTo>
                                <a:lnTo>
                                  <a:pt x="1291036" y="33004"/>
                                </a:lnTo>
                                <a:lnTo>
                                  <a:pt x="1243164" y="42893"/>
                                </a:lnTo>
                                <a:lnTo>
                                  <a:pt x="1195841" y="54014"/>
                                </a:lnTo>
                                <a:lnTo>
                                  <a:pt x="1149088" y="66348"/>
                                </a:lnTo>
                                <a:lnTo>
                                  <a:pt x="1102927" y="79875"/>
                                </a:lnTo>
                                <a:lnTo>
                                  <a:pt x="1057383" y="94575"/>
                                </a:lnTo>
                                <a:lnTo>
                                  <a:pt x="1012477" y="110426"/>
                                </a:lnTo>
                                <a:lnTo>
                                  <a:pt x="968233" y="127410"/>
                                </a:lnTo>
                                <a:lnTo>
                                  <a:pt x="924672" y="145505"/>
                                </a:lnTo>
                                <a:lnTo>
                                  <a:pt x="881817" y="164693"/>
                                </a:lnTo>
                                <a:lnTo>
                                  <a:pt x="839692" y="184952"/>
                                </a:lnTo>
                                <a:lnTo>
                                  <a:pt x="798318" y="206262"/>
                                </a:lnTo>
                                <a:lnTo>
                                  <a:pt x="757719" y="228604"/>
                                </a:lnTo>
                                <a:lnTo>
                                  <a:pt x="717917" y="251957"/>
                                </a:lnTo>
                                <a:lnTo>
                                  <a:pt x="678935" y="276302"/>
                                </a:lnTo>
                                <a:lnTo>
                                  <a:pt x="640795" y="301617"/>
                                </a:lnTo>
                                <a:lnTo>
                                  <a:pt x="603520" y="327882"/>
                                </a:lnTo>
                                <a:lnTo>
                                  <a:pt x="567133" y="355079"/>
                                </a:lnTo>
                                <a:lnTo>
                                  <a:pt x="531657" y="383185"/>
                                </a:lnTo>
                                <a:lnTo>
                                  <a:pt x="497114" y="412182"/>
                                </a:lnTo>
                                <a:lnTo>
                                  <a:pt x="463526" y="442049"/>
                                </a:lnTo>
                                <a:lnTo>
                                  <a:pt x="430917" y="472766"/>
                                </a:lnTo>
                                <a:lnTo>
                                  <a:pt x="399310" y="504313"/>
                                </a:lnTo>
                                <a:lnTo>
                                  <a:pt x="368726" y="536670"/>
                                </a:lnTo>
                                <a:lnTo>
                                  <a:pt x="339188" y="569815"/>
                                </a:lnTo>
                                <a:lnTo>
                                  <a:pt x="310720" y="603731"/>
                                </a:lnTo>
                                <a:lnTo>
                                  <a:pt x="283343" y="638395"/>
                                </a:lnTo>
                                <a:lnTo>
                                  <a:pt x="257081" y="673788"/>
                                </a:lnTo>
                                <a:lnTo>
                                  <a:pt x="231956" y="709890"/>
                                </a:lnTo>
                                <a:lnTo>
                                  <a:pt x="207991" y="746681"/>
                                </a:lnTo>
                                <a:lnTo>
                                  <a:pt x="185208" y="784140"/>
                                </a:lnTo>
                                <a:lnTo>
                                  <a:pt x="163630" y="822248"/>
                                </a:lnTo>
                                <a:lnTo>
                                  <a:pt x="143281" y="860984"/>
                                </a:lnTo>
                                <a:lnTo>
                                  <a:pt x="124181" y="900328"/>
                                </a:lnTo>
                                <a:lnTo>
                                  <a:pt x="106355" y="940259"/>
                                </a:lnTo>
                                <a:lnTo>
                                  <a:pt x="89825" y="980759"/>
                                </a:lnTo>
                                <a:lnTo>
                                  <a:pt x="74613" y="1021806"/>
                                </a:lnTo>
                                <a:lnTo>
                                  <a:pt x="60743" y="1063381"/>
                                </a:lnTo>
                                <a:lnTo>
                                  <a:pt x="48236" y="1105462"/>
                                </a:lnTo>
                                <a:lnTo>
                                  <a:pt x="37116" y="1148031"/>
                                </a:lnTo>
                                <a:lnTo>
                                  <a:pt x="27405" y="1191067"/>
                                </a:lnTo>
                                <a:lnTo>
                                  <a:pt x="19125" y="1234550"/>
                                </a:lnTo>
                                <a:lnTo>
                                  <a:pt x="12300" y="1278459"/>
                                </a:lnTo>
                                <a:lnTo>
                                  <a:pt x="6953" y="1322775"/>
                                </a:lnTo>
                                <a:lnTo>
                                  <a:pt x="3105" y="1367477"/>
                                </a:lnTo>
                                <a:lnTo>
                                  <a:pt x="780" y="1412545"/>
                                </a:lnTo>
                                <a:lnTo>
                                  <a:pt x="0" y="1457960"/>
                                </a:lnTo>
                                <a:lnTo>
                                  <a:pt x="780" y="1503374"/>
                                </a:lnTo>
                                <a:lnTo>
                                  <a:pt x="3105" y="1548442"/>
                                </a:lnTo>
                                <a:lnTo>
                                  <a:pt x="6953" y="1593144"/>
                                </a:lnTo>
                                <a:lnTo>
                                  <a:pt x="12300" y="1637460"/>
                                </a:lnTo>
                                <a:lnTo>
                                  <a:pt x="19125" y="1681369"/>
                                </a:lnTo>
                                <a:lnTo>
                                  <a:pt x="27405" y="1724852"/>
                                </a:lnTo>
                                <a:lnTo>
                                  <a:pt x="37116" y="1767888"/>
                                </a:lnTo>
                                <a:lnTo>
                                  <a:pt x="48236" y="1810457"/>
                                </a:lnTo>
                                <a:lnTo>
                                  <a:pt x="60743" y="1852538"/>
                                </a:lnTo>
                                <a:lnTo>
                                  <a:pt x="74613" y="1894113"/>
                                </a:lnTo>
                                <a:lnTo>
                                  <a:pt x="89825" y="1935160"/>
                                </a:lnTo>
                                <a:lnTo>
                                  <a:pt x="106355" y="1975660"/>
                                </a:lnTo>
                                <a:lnTo>
                                  <a:pt x="124181" y="2015591"/>
                                </a:lnTo>
                                <a:lnTo>
                                  <a:pt x="143281" y="2054935"/>
                                </a:lnTo>
                                <a:lnTo>
                                  <a:pt x="163630" y="2093671"/>
                                </a:lnTo>
                                <a:lnTo>
                                  <a:pt x="185208" y="2131779"/>
                                </a:lnTo>
                                <a:lnTo>
                                  <a:pt x="207991" y="2169238"/>
                                </a:lnTo>
                                <a:lnTo>
                                  <a:pt x="231956" y="2206029"/>
                                </a:lnTo>
                                <a:lnTo>
                                  <a:pt x="257081" y="2242131"/>
                                </a:lnTo>
                                <a:lnTo>
                                  <a:pt x="283343" y="2277524"/>
                                </a:lnTo>
                                <a:lnTo>
                                  <a:pt x="310720" y="2312188"/>
                                </a:lnTo>
                                <a:lnTo>
                                  <a:pt x="339188" y="2346104"/>
                                </a:lnTo>
                                <a:lnTo>
                                  <a:pt x="368726" y="2379249"/>
                                </a:lnTo>
                                <a:lnTo>
                                  <a:pt x="399310" y="2411606"/>
                                </a:lnTo>
                                <a:lnTo>
                                  <a:pt x="430917" y="2443153"/>
                                </a:lnTo>
                                <a:lnTo>
                                  <a:pt x="463526" y="2473870"/>
                                </a:lnTo>
                                <a:lnTo>
                                  <a:pt x="497114" y="2503737"/>
                                </a:lnTo>
                                <a:lnTo>
                                  <a:pt x="531657" y="2532734"/>
                                </a:lnTo>
                                <a:lnTo>
                                  <a:pt x="567133" y="2560840"/>
                                </a:lnTo>
                                <a:lnTo>
                                  <a:pt x="603520" y="2588037"/>
                                </a:lnTo>
                                <a:lnTo>
                                  <a:pt x="640795" y="2614302"/>
                                </a:lnTo>
                                <a:lnTo>
                                  <a:pt x="678935" y="2639617"/>
                                </a:lnTo>
                                <a:lnTo>
                                  <a:pt x="717917" y="2663962"/>
                                </a:lnTo>
                                <a:lnTo>
                                  <a:pt x="757719" y="2687315"/>
                                </a:lnTo>
                                <a:lnTo>
                                  <a:pt x="798318" y="2709657"/>
                                </a:lnTo>
                                <a:lnTo>
                                  <a:pt x="839692" y="2730967"/>
                                </a:lnTo>
                                <a:lnTo>
                                  <a:pt x="881817" y="2751226"/>
                                </a:lnTo>
                                <a:lnTo>
                                  <a:pt x="924672" y="2770414"/>
                                </a:lnTo>
                                <a:lnTo>
                                  <a:pt x="968233" y="2788509"/>
                                </a:lnTo>
                                <a:lnTo>
                                  <a:pt x="1012477" y="2805493"/>
                                </a:lnTo>
                                <a:lnTo>
                                  <a:pt x="1057383" y="2821344"/>
                                </a:lnTo>
                                <a:lnTo>
                                  <a:pt x="1102927" y="2836044"/>
                                </a:lnTo>
                                <a:lnTo>
                                  <a:pt x="1149088" y="2849571"/>
                                </a:lnTo>
                                <a:lnTo>
                                  <a:pt x="1195841" y="2861905"/>
                                </a:lnTo>
                                <a:lnTo>
                                  <a:pt x="1243164" y="2873026"/>
                                </a:lnTo>
                                <a:lnTo>
                                  <a:pt x="1291036" y="2882915"/>
                                </a:lnTo>
                                <a:lnTo>
                                  <a:pt x="1339432" y="2891550"/>
                                </a:lnTo>
                                <a:lnTo>
                                  <a:pt x="1388331" y="2898912"/>
                                </a:lnTo>
                                <a:lnTo>
                                  <a:pt x="1437710" y="2904981"/>
                                </a:lnTo>
                                <a:lnTo>
                                  <a:pt x="1487546" y="2909736"/>
                                </a:lnTo>
                                <a:lnTo>
                                  <a:pt x="1537816" y="2913158"/>
                                </a:lnTo>
                                <a:lnTo>
                                  <a:pt x="1588498" y="2915226"/>
                                </a:lnTo>
                                <a:lnTo>
                                  <a:pt x="1639570" y="2915920"/>
                                </a:lnTo>
                                <a:lnTo>
                                  <a:pt x="1690641" y="2915226"/>
                                </a:lnTo>
                                <a:lnTo>
                                  <a:pt x="1741323" y="2913158"/>
                                </a:lnTo>
                                <a:lnTo>
                                  <a:pt x="1791593" y="2909736"/>
                                </a:lnTo>
                                <a:lnTo>
                                  <a:pt x="1841429" y="2904981"/>
                                </a:lnTo>
                                <a:lnTo>
                                  <a:pt x="1890808" y="2898912"/>
                                </a:lnTo>
                                <a:lnTo>
                                  <a:pt x="1939707" y="2891550"/>
                                </a:lnTo>
                                <a:lnTo>
                                  <a:pt x="1988103" y="2882915"/>
                                </a:lnTo>
                                <a:lnTo>
                                  <a:pt x="2035975" y="2873026"/>
                                </a:lnTo>
                                <a:lnTo>
                                  <a:pt x="2083298" y="2861905"/>
                                </a:lnTo>
                                <a:lnTo>
                                  <a:pt x="2130051" y="2849571"/>
                                </a:lnTo>
                                <a:lnTo>
                                  <a:pt x="2176212" y="2836044"/>
                                </a:lnTo>
                                <a:lnTo>
                                  <a:pt x="2221756" y="2821344"/>
                                </a:lnTo>
                                <a:lnTo>
                                  <a:pt x="2266662" y="2805493"/>
                                </a:lnTo>
                                <a:lnTo>
                                  <a:pt x="2310906" y="2788509"/>
                                </a:lnTo>
                                <a:lnTo>
                                  <a:pt x="2354467" y="2770414"/>
                                </a:lnTo>
                                <a:lnTo>
                                  <a:pt x="2397322" y="2751226"/>
                                </a:lnTo>
                                <a:lnTo>
                                  <a:pt x="2439447" y="2730967"/>
                                </a:lnTo>
                                <a:lnTo>
                                  <a:pt x="2480821" y="2709657"/>
                                </a:lnTo>
                                <a:lnTo>
                                  <a:pt x="2521420" y="2687315"/>
                                </a:lnTo>
                                <a:lnTo>
                                  <a:pt x="2561222" y="2663962"/>
                                </a:lnTo>
                                <a:lnTo>
                                  <a:pt x="2600204" y="2639617"/>
                                </a:lnTo>
                                <a:lnTo>
                                  <a:pt x="2638344" y="2614302"/>
                                </a:lnTo>
                                <a:lnTo>
                                  <a:pt x="2675619" y="2588037"/>
                                </a:lnTo>
                                <a:lnTo>
                                  <a:pt x="2712006" y="2560840"/>
                                </a:lnTo>
                                <a:lnTo>
                                  <a:pt x="2747482" y="2532734"/>
                                </a:lnTo>
                                <a:lnTo>
                                  <a:pt x="2782025" y="2503737"/>
                                </a:lnTo>
                                <a:lnTo>
                                  <a:pt x="2815613" y="2473870"/>
                                </a:lnTo>
                                <a:lnTo>
                                  <a:pt x="2848222" y="2443153"/>
                                </a:lnTo>
                                <a:lnTo>
                                  <a:pt x="2879829" y="2411606"/>
                                </a:lnTo>
                                <a:lnTo>
                                  <a:pt x="2910413" y="2379249"/>
                                </a:lnTo>
                                <a:lnTo>
                                  <a:pt x="2939951" y="2346104"/>
                                </a:lnTo>
                                <a:lnTo>
                                  <a:pt x="2968419" y="2312188"/>
                                </a:lnTo>
                                <a:lnTo>
                                  <a:pt x="2995796" y="2277524"/>
                                </a:lnTo>
                                <a:lnTo>
                                  <a:pt x="3022058" y="2242131"/>
                                </a:lnTo>
                                <a:lnTo>
                                  <a:pt x="3047183" y="2206029"/>
                                </a:lnTo>
                                <a:lnTo>
                                  <a:pt x="3071148" y="2169238"/>
                                </a:lnTo>
                                <a:lnTo>
                                  <a:pt x="3093931" y="2131779"/>
                                </a:lnTo>
                                <a:lnTo>
                                  <a:pt x="3115509" y="2093671"/>
                                </a:lnTo>
                                <a:lnTo>
                                  <a:pt x="3135858" y="2054935"/>
                                </a:lnTo>
                                <a:lnTo>
                                  <a:pt x="3154958" y="2015591"/>
                                </a:lnTo>
                                <a:lnTo>
                                  <a:pt x="3172784" y="1975660"/>
                                </a:lnTo>
                                <a:lnTo>
                                  <a:pt x="3189314" y="1935160"/>
                                </a:lnTo>
                                <a:lnTo>
                                  <a:pt x="3204526" y="1894113"/>
                                </a:lnTo>
                                <a:lnTo>
                                  <a:pt x="3218396" y="1852538"/>
                                </a:lnTo>
                                <a:lnTo>
                                  <a:pt x="3230903" y="1810457"/>
                                </a:lnTo>
                                <a:lnTo>
                                  <a:pt x="3242023" y="1767888"/>
                                </a:lnTo>
                                <a:lnTo>
                                  <a:pt x="3251734" y="1724852"/>
                                </a:lnTo>
                                <a:lnTo>
                                  <a:pt x="3260014" y="1681369"/>
                                </a:lnTo>
                                <a:lnTo>
                                  <a:pt x="3266839" y="1637460"/>
                                </a:lnTo>
                                <a:lnTo>
                                  <a:pt x="3272186" y="1593144"/>
                                </a:lnTo>
                                <a:lnTo>
                                  <a:pt x="3276034" y="1548442"/>
                                </a:lnTo>
                                <a:lnTo>
                                  <a:pt x="3278359" y="1503374"/>
                                </a:lnTo>
                                <a:lnTo>
                                  <a:pt x="3279140" y="1457960"/>
                                </a:lnTo>
                                <a:lnTo>
                                  <a:pt x="3278359" y="1412545"/>
                                </a:lnTo>
                                <a:lnTo>
                                  <a:pt x="3276034" y="1367477"/>
                                </a:lnTo>
                                <a:lnTo>
                                  <a:pt x="3272186" y="1322775"/>
                                </a:lnTo>
                                <a:lnTo>
                                  <a:pt x="3266839" y="1278459"/>
                                </a:lnTo>
                                <a:lnTo>
                                  <a:pt x="3260014" y="1234550"/>
                                </a:lnTo>
                                <a:lnTo>
                                  <a:pt x="3251734" y="1191067"/>
                                </a:lnTo>
                                <a:lnTo>
                                  <a:pt x="3242023" y="1148031"/>
                                </a:lnTo>
                                <a:lnTo>
                                  <a:pt x="3230903" y="1105462"/>
                                </a:lnTo>
                                <a:lnTo>
                                  <a:pt x="3218396" y="1063381"/>
                                </a:lnTo>
                                <a:lnTo>
                                  <a:pt x="3204526" y="1021806"/>
                                </a:lnTo>
                                <a:lnTo>
                                  <a:pt x="3189314" y="980759"/>
                                </a:lnTo>
                                <a:lnTo>
                                  <a:pt x="3172784" y="940259"/>
                                </a:lnTo>
                                <a:lnTo>
                                  <a:pt x="3154958" y="900328"/>
                                </a:lnTo>
                                <a:lnTo>
                                  <a:pt x="3135858" y="860984"/>
                                </a:lnTo>
                                <a:lnTo>
                                  <a:pt x="3115509" y="822248"/>
                                </a:lnTo>
                                <a:lnTo>
                                  <a:pt x="3093931" y="784140"/>
                                </a:lnTo>
                                <a:lnTo>
                                  <a:pt x="3071148" y="746681"/>
                                </a:lnTo>
                                <a:lnTo>
                                  <a:pt x="3047183" y="709890"/>
                                </a:lnTo>
                                <a:lnTo>
                                  <a:pt x="3022058" y="673788"/>
                                </a:lnTo>
                                <a:lnTo>
                                  <a:pt x="2995796" y="638395"/>
                                </a:lnTo>
                                <a:lnTo>
                                  <a:pt x="2968419" y="603731"/>
                                </a:lnTo>
                                <a:lnTo>
                                  <a:pt x="2939951" y="569815"/>
                                </a:lnTo>
                                <a:lnTo>
                                  <a:pt x="2910413" y="536670"/>
                                </a:lnTo>
                                <a:lnTo>
                                  <a:pt x="2879829" y="504313"/>
                                </a:lnTo>
                                <a:lnTo>
                                  <a:pt x="2848222" y="472766"/>
                                </a:lnTo>
                                <a:lnTo>
                                  <a:pt x="2815613" y="442049"/>
                                </a:lnTo>
                                <a:lnTo>
                                  <a:pt x="2782025" y="412182"/>
                                </a:lnTo>
                                <a:lnTo>
                                  <a:pt x="2747482" y="383185"/>
                                </a:lnTo>
                                <a:lnTo>
                                  <a:pt x="2712006" y="355079"/>
                                </a:lnTo>
                                <a:lnTo>
                                  <a:pt x="2675619" y="327882"/>
                                </a:lnTo>
                                <a:lnTo>
                                  <a:pt x="2638344" y="301617"/>
                                </a:lnTo>
                                <a:lnTo>
                                  <a:pt x="2600204" y="276302"/>
                                </a:lnTo>
                                <a:lnTo>
                                  <a:pt x="2561222" y="251957"/>
                                </a:lnTo>
                                <a:lnTo>
                                  <a:pt x="2521420" y="228604"/>
                                </a:lnTo>
                                <a:lnTo>
                                  <a:pt x="2480821" y="206262"/>
                                </a:lnTo>
                                <a:lnTo>
                                  <a:pt x="2439447" y="184952"/>
                                </a:lnTo>
                                <a:lnTo>
                                  <a:pt x="2397322" y="164693"/>
                                </a:lnTo>
                                <a:lnTo>
                                  <a:pt x="2354467" y="145505"/>
                                </a:lnTo>
                                <a:lnTo>
                                  <a:pt x="2310906" y="127410"/>
                                </a:lnTo>
                                <a:lnTo>
                                  <a:pt x="2266662" y="110426"/>
                                </a:lnTo>
                                <a:lnTo>
                                  <a:pt x="2221756" y="94575"/>
                                </a:lnTo>
                                <a:lnTo>
                                  <a:pt x="2176212" y="79875"/>
                                </a:lnTo>
                                <a:lnTo>
                                  <a:pt x="2130051" y="66348"/>
                                </a:lnTo>
                                <a:lnTo>
                                  <a:pt x="2083298" y="54014"/>
                                </a:lnTo>
                                <a:lnTo>
                                  <a:pt x="2035975" y="42893"/>
                                </a:lnTo>
                                <a:lnTo>
                                  <a:pt x="1988103" y="33004"/>
                                </a:lnTo>
                                <a:lnTo>
                                  <a:pt x="1939707" y="24369"/>
                                </a:lnTo>
                                <a:lnTo>
                                  <a:pt x="1890808" y="17007"/>
                                </a:lnTo>
                                <a:lnTo>
                                  <a:pt x="1841429" y="10938"/>
                                </a:lnTo>
                                <a:lnTo>
                                  <a:pt x="1791593" y="6183"/>
                                </a:lnTo>
                                <a:lnTo>
                                  <a:pt x="1741323" y="2761"/>
                                </a:lnTo>
                                <a:lnTo>
                                  <a:pt x="1690641" y="693"/>
                                </a:lnTo>
                                <a:lnTo>
                                  <a:pt x="1639570" y="0"/>
                                </a:lnTo>
                                <a:close/>
                              </a:path>
                            </a:pathLst>
                          </a:custGeom>
                          <a:ln w="9524">
                            <a:solidFill>
                              <a:srgbClr val="000000"/>
                            </a:solidFill>
                            <a:prstDash val="solid"/>
                          </a:ln>
                        </wps:spPr>
                        <wps:bodyPr wrap="square" lIns="0" tIns="0" rIns="0" bIns="0" rtlCol="0">
                          <a:prstTxWarp prst="textNoShape">
                            <a:avLst/>
                          </a:prstTxWarp>
                          <a:noAutofit/>
                        </wps:bodyPr>
                      </wps:wsp>
                      <pic:pic>
                        <pic:nvPicPr>
                          <pic:cNvPr id="250" name="Image 250"/>
                          <pic:cNvPicPr/>
                        </pic:nvPicPr>
                        <pic:blipFill>
                          <a:blip r:embed="rId13" cstate="print"/>
                          <a:stretch>
                            <a:fillRect/>
                          </a:stretch>
                        </pic:blipFill>
                        <pic:spPr>
                          <a:xfrm>
                            <a:off x="1915482" y="4768"/>
                            <a:ext cx="1367784" cy="847719"/>
                          </a:xfrm>
                          <a:prstGeom prst="rect">
                            <a:avLst/>
                          </a:prstGeom>
                        </pic:spPr>
                      </pic:pic>
                      <wps:wsp>
                        <wps:cNvPr id="251" name="Graphic 251"/>
                        <wps:cNvSpPr/>
                        <wps:spPr>
                          <a:xfrm>
                            <a:off x="1915477" y="4762"/>
                            <a:ext cx="1367790" cy="847725"/>
                          </a:xfrm>
                          <a:custGeom>
                            <a:avLst/>
                            <a:gdLst/>
                            <a:ahLst/>
                            <a:cxnLst/>
                            <a:rect l="l" t="t" r="r" b="b"/>
                            <a:pathLst>
                              <a:path w="1367790" h="847725">
                                <a:moveTo>
                                  <a:pt x="683894" y="0"/>
                                </a:moveTo>
                                <a:lnTo>
                                  <a:pt x="624883" y="1555"/>
                                </a:lnTo>
                                <a:lnTo>
                                  <a:pt x="567266" y="6137"/>
                                </a:lnTo>
                                <a:lnTo>
                                  <a:pt x="511248" y="13619"/>
                                </a:lnTo>
                                <a:lnTo>
                                  <a:pt x="457035" y="23873"/>
                                </a:lnTo>
                                <a:lnTo>
                                  <a:pt x="404833" y="36772"/>
                                </a:lnTo>
                                <a:lnTo>
                                  <a:pt x="354846" y="52188"/>
                                </a:lnTo>
                                <a:lnTo>
                                  <a:pt x="307279" y="69996"/>
                                </a:lnTo>
                                <a:lnTo>
                                  <a:pt x="262339" y="90067"/>
                                </a:lnTo>
                                <a:lnTo>
                                  <a:pt x="220230" y="112274"/>
                                </a:lnTo>
                                <a:lnTo>
                                  <a:pt x="181157" y="136490"/>
                                </a:lnTo>
                                <a:lnTo>
                                  <a:pt x="145325" y="162588"/>
                                </a:lnTo>
                                <a:lnTo>
                                  <a:pt x="112941" y="190441"/>
                                </a:lnTo>
                                <a:lnTo>
                                  <a:pt x="84208" y="219922"/>
                                </a:lnTo>
                                <a:lnTo>
                                  <a:pt x="59333" y="250903"/>
                                </a:lnTo>
                                <a:lnTo>
                                  <a:pt x="38520" y="283257"/>
                                </a:lnTo>
                                <a:lnTo>
                                  <a:pt x="9903" y="351576"/>
                                </a:lnTo>
                                <a:lnTo>
                                  <a:pt x="0" y="423862"/>
                                </a:lnTo>
                                <a:lnTo>
                                  <a:pt x="2510" y="460437"/>
                                </a:lnTo>
                                <a:lnTo>
                                  <a:pt x="21975" y="530867"/>
                                </a:lnTo>
                                <a:lnTo>
                                  <a:pt x="59333" y="596821"/>
                                </a:lnTo>
                                <a:lnTo>
                                  <a:pt x="84208" y="627802"/>
                                </a:lnTo>
                                <a:lnTo>
                                  <a:pt x="112941" y="657283"/>
                                </a:lnTo>
                                <a:lnTo>
                                  <a:pt x="145325" y="685136"/>
                                </a:lnTo>
                                <a:lnTo>
                                  <a:pt x="181157" y="711234"/>
                                </a:lnTo>
                                <a:lnTo>
                                  <a:pt x="220230" y="735450"/>
                                </a:lnTo>
                                <a:lnTo>
                                  <a:pt x="262339" y="757657"/>
                                </a:lnTo>
                                <a:lnTo>
                                  <a:pt x="307279" y="777728"/>
                                </a:lnTo>
                                <a:lnTo>
                                  <a:pt x="354846" y="795536"/>
                                </a:lnTo>
                                <a:lnTo>
                                  <a:pt x="404833" y="810952"/>
                                </a:lnTo>
                                <a:lnTo>
                                  <a:pt x="457035" y="823851"/>
                                </a:lnTo>
                                <a:lnTo>
                                  <a:pt x="511248" y="834105"/>
                                </a:lnTo>
                                <a:lnTo>
                                  <a:pt x="567266" y="841587"/>
                                </a:lnTo>
                                <a:lnTo>
                                  <a:pt x="624883" y="846169"/>
                                </a:lnTo>
                                <a:lnTo>
                                  <a:pt x="683894" y="847725"/>
                                </a:lnTo>
                                <a:lnTo>
                                  <a:pt x="742906" y="846169"/>
                                </a:lnTo>
                                <a:lnTo>
                                  <a:pt x="800523" y="841587"/>
                                </a:lnTo>
                                <a:lnTo>
                                  <a:pt x="856541" y="834105"/>
                                </a:lnTo>
                                <a:lnTo>
                                  <a:pt x="910754" y="823851"/>
                                </a:lnTo>
                                <a:lnTo>
                                  <a:pt x="962956" y="810952"/>
                                </a:lnTo>
                                <a:lnTo>
                                  <a:pt x="1012943" y="795536"/>
                                </a:lnTo>
                                <a:lnTo>
                                  <a:pt x="1060510" y="777728"/>
                                </a:lnTo>
                                <a:lnTo>
                                  <a:pt x="1105450" y="757657"/>
                                </a:lnTo>
                                <a:lnTo>
                                  <a:pt x="1147559" y="735450"/>
                                </a:lnTo>
                                <a:lnTo>
                                  <a:pt x="1186632" y="711234"/>
                                </a:lnTo>
                                <a:lnTo>
                                  <a:pt x="1222464" y="685136"/>
                                </a:lnTo>
                                <a:lnTo>
                                  <a:pt x="1254848" y="657283"/>
                                </a:lnTo>
                                <a:lnTo>
                                  <a:pt x="1283581" y="627802"/>
                                </a:lnTo>
                                <a:lnTo>
                                  <a:pt x="1308456" y="596821"/>
                                </a:lnTo>
                                <a:lnTo>
                                  <a:pt x="1329269" y="564467"/>
                                </a:lnTo>
                                <a:lnTo>
                                  <a:pt x="1357886" y="496148"/>
                                </a:lnTo>
                                <a:lnTo>
                                  <a:pt x="1367789" y="423862"/>
                                </a:lnTo>
                                <a:lnTo>
                                  <a:pt x="1365279" y="387287"/>
                                </a:lnTo>
                                <a:lnTo>
                                  <a:pt x="1345814" y="316857"/>
                                </a:lnTo>
                                <a:lnTo>
                                  <a:pt x="1308456" y="250903"/>
                                </a:lnTo>
                                <a:lnTo>
                                  <a:pt x="1283581" y="219922"/>
                                </a:lnTo>
                                <a:lnTo>
                                  <a:pt x="1254848" y="190441"/>
                                </a:lnTo>
                                <a:lnTo>
                                  <a:pt x="1222464" y="162588"/>
                                </a:lnTo>
                                <a:lnTo>
                                  <a:pt x="1186632" y="136490"/>
                                </a:lnTo>
                                <a:lnTo>
                                  <a:pt x="1147559" y="112274"/>
                                </a:lnTo>
                                <a:lnTo>
                                  <a:pt x="1105450" y="90067"/>
                                </a:lnTo>
                                <a:lnTo>
                                  <a:pt x="1060510" y="69996"/>
                                </a:lnTo>
                                <a:lnTo>
                                  <a:pt x="1012943" y="52188"/>
                                </a:lnTo>
                                <a:lnTo>
                                  <a:pt x="962956" y="36772"/>
                                </a:lnTo>
                                <a:lnTo>
                                  <a:pt x="910754" y="23873"/>
                                </a:lnTo>
                                <a:lnTo>
                                  <a:pt x="856541" y="13619"/>
                                </a:lnTo>
                                <a:lnTo>
                                  <a:pt x="800523" y="6137"/>
                                </a:lnTo>
                                <a:lnTo>
                                  <a:pt x="742906" y="1555"/>
                                </a:lnTo>
                                <a:lnTo>
                                  <a:pt x="683894"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252" name="Image 252"/>
                          <pic:cNvPicPr/>
                        </pic:nvPicPr>
                        <pic:blipFill>
                          <a:blip r:embed="rId14" cstate="print"/>
                          <a:stretch>
                            <a:fillRect/>
                          </a:stretch>
                        </pic:blipFill>
                        <pic:spPr>
                          <a:xfrm>
                            <a:off x="1860237" y="1399227"/>
                            <a:ext cx="1367784" cy="1033134"/>
                          </a:xfrm>
                          <a:prstGeom prst="rect">
                            <a:avLst/>
                          </a:prstGeom>
                        </pic:spPr>
                      </pic:pic>
                      <wps:wsp>
                        <wps:cNvPr id="253" name="Graphic 253"/>
                        <wps:cNvSpPr/>
                        <wps:spPr>
                          <a:xfrm>
                            <a:off x="1860232" y="1399222"/>
                            <a:ext cx="1367790" cy="1033144"/>
                          </a:xfrm>
                          <a:custGeom>
                            <a:avLst/>
                            <a:gdLst/>
                            <a:ahLst/>
                            <a:cxnLst/>
                            <a:rect l="l" t="t" r="r" b="b"/>
                            <a:pathLst>
                              <a:path w="1367790" h="1033144">
                                <a:moveTo>
                                  <a:pt x="683894" y="0"/>
                                </a:moveTo>
                                <a:lnTo>
                                  <a:pt x="630446" y="1554"/>
                                </a:lnTo>
                                <a:lnTo>
                                  <a:pt x="578123" y="6139"/>
                                </a:lnTo>
                                <a:lnTo>
                                  <a:pt x="527078" y="13642"/>
                                </a:lnTo>
                                <a:lnTo>
                                  <a:pt x="477462" y="23947"/>
                                </a:lnTo>
                                <a:lnTo>
                                  <a:pt x="429428" y="36938"/>
                                </a:lnTo>
                                <a:lnTo>
                                  <a:pt x="383127" y="52503"/>
                                </a:lnTo>
                                <a:lnTo>
                                  <a:pt x="338711" y="70524"/>
                                </a:lnTo>
                                <a:lnTo>
                                  <a:pt x="296334" y="90889"/>
                                </a:lnTo>
                                <a:lnTo>
                                  <a:pt x="256145" y="113481"/>
                                </a:lnTo>
                                <a:lnTo>
                                  <a:pt x="218299" y="138187"/>
                                </a:lnTo>
                                <a:lnTo>
                                  <a:pt x="182945" y="164891"/>
                                </a:lnTo>
                                <a:lnTo>
                                  <a:pt x="150238" y="193478"/>
                                </a:lnTo>
                                <a:lnTo>
                                  <a:pt x="120328" y="223834"/>
                                </a:lnTo>
                                <a:lnTo>
                                  <a:pt x="93367" y="255843"/>
                                </a:lnTo>
                                <a:lnTo>
                                  <a:pt x="69508" y="289392"/>
                                </a:lnTo>
                                <a:lnTo>
                                  <a:pt x="48903" y="324365"/>
                                </a:lnTo>
                                <a:lnTo>
                                  <a:pt x="31703" y="360647"/>
                                </a:lnTo>
                                <a:lnTo>
                                  <a:pt x="18061" y="398123"/>
                                </a:lnTo>
                                <a:lnTo>
                                  <a:pt x="8128" y="436680"/>
                                </a:lnTo>
                                <a:lnTo>
                                  <a:pt x="2057" y="476201"/>
                                </a:lnTo>
                                <a:lnTo>
                                  <a:pt x="0" y="516572"/>
                                </a:lnTo>
                                <a:lnTo>
                                  <a:pt x="2057" y="556943"/>
                                </a:lnTo>
                                <a:lnTo>
                                  <a:pt x="8128" y="596464"/>
                                </a:lnTo>
                                <a:lnTo>
                                  <a:pt x="18061" y="635021"/>
                                </a:lnTo>
                                <a:lnTo>
                                  <a:pt x="31703" y="672497"/>
                                </a:lnTo>
                                <a:lnTo>
                                  <a:pt x="48903" y="708779"/>
                                </a:lnTo>
                                <a:lnTo>
                                  <a:pt x="69508" y="743752"/>
                                </a:lnTo>
                                <a:lnTo>
                                  <a:pt x="93367" y="777301"/>
                                </a:lnTo>
                                <a:lnTo>
                                  <a:pt x="120328" y="809310"/>
                                </a:lnTo>
                                <a:lnTo>
                                  <a:pt x="150238" y="839666"/>
                                </a:lnTo>
                                <a:lnTo>
                                  <a:pt x="182945" y="868253"/>
                                </a:lnTo>
                                <a:lnTo>
                                  <a:pt x="218299" y="894957"/>
                                </a:lnTo>
                                <a:lnTo>
                                  <a:pt x="256145" y="919663"/>
                                </a:lnTo>
                                <a:lnTo>
                                  <a:pt x="296334" y="942255"/>
                                </a:lnTo>
                                <a:lnTo>
                                  <a:pt x="338711" y="962620"/>
                                </a:lnTo>
                                <a:lnTo>
                                  <a:pt x="383127" y="980641"/>
                                </a:lnTo>
                                <a:lnTo>
                                  <a:pt x="429428" y="996206"/>
                                </a:lnTo>
                                <a:lnTo>
                                  <a:pt x="477462" y="1009197"/>
                                </a:lnTo>
                                <a:lnTo>
                                  <a:pt x="527078" y="1019502"/>
                                </a:lnTo>
                                <a:lnTo>
                                  <a:pt x="578123" y="1027005"/>
                                </a:lnTo>
                                <a:lnTo>
                                  <a:pt x="630446" y="1031590"/>
                                </a:lnTo>
                                <a:lnTo>
                                  <a:pt x="683894" y="1033144"/>
                                </a:lnTo>
                                <a:lnTo>
                                  <a:pt x="737343" y="1031590"/>
                                </a:lnTo>
                                <a:lnTo>
                                  <a:pt x="789666" y="1027005"/>
                                </a:lnTo>
                                <a:lnTo>
                                  <a:pt x="840711" y="1019502"/>
                                </a:lnTo>
                                <a:lnTo>
                                  <a:pt x="890327" y="1009197"/>
                                </a:lnTo>
                                <a:lnTo>
                                  <a:pt x="938361" y="996206"/>
                                </a:lnTo>
                                <a:lnTo>
                                  <a:pt x="984662" y="980641"/>
                                </a:lnTo>
                                <a:lnTo>
                                  <a:pt x="1029078" y="962620"/>
                                </a:lnTo>
                                <a:lnTo>
                                  <a:pt x="1071455" y="942255"/>
                                </a:lnTo>
                                <a:lnTo>
                                  <a:pt x="1111644" y="919663"/>
                                </a:lnTo>
                                <a:lnTo>
                                  <a:pt x="1149490" y="894957"/>
                                </a:lnTo>
                                <a:lnTo>
                                  <a:pt x="1184844" y="868253"/>
                                </a:lnTo>
                                <a:lnTo>
                                  <a:pt x="1217551" y="839666"/>
                                </a:lnTo>
                                <a:lnTo>
                                  <a:pt x="1247461" y="809310"/>
                                </a:lnTo>
                                <a:lnTo>
                                  <a:pt x="1274422" y="777301"/>
                                </a:lnTo>
                                <a:lnTo>
                                  <a:pt x="1298281" y="743752"/>
                                </a:lnTo>
                                <a:lnTo>
                                  <a:pt x="1318886" y="708779"/>
                                </a:lnTo>
                                <a:lnTo>
                                  <a:pt x="1336086" y="672497"/>
                                </a:lnTo>
                                <a:lnTo>
                                  <a:pt x="1349728" y="635021"/>
                                </a:lnTo>
                                <a:lnTo>
                                  <a:pt x="1359661" y="596464"/>
                                </a:lnTo>
                                <a:lnTo>
                                  <a:pt x="1365732" y="556943"/>
                                </a:lnTo>
                                <a:lnTo>
                                  <a:pt x="1367789" y="516572"/>
                                </a:lnTo>
                                <a:lnTo>
                                  <a:pt x="1365732" y="476201"/>
                                </a:lnTo>
                                <a:lnTo>
                                  <a:pt x="1359661" y="436680"/>
                                </a:lnTo>
                                <a:lnTo>
                                  <a:pt x="1349728" y="398123"/>
                                </a:lnTo>
                                <a:lnTo>
                                  <a:pt x="1336086" y="360647"/>
                                </a:lnTo>
                                <a:lnTo>
                                  <a:pt x="1318886" y="324365"/>
                                </a:lnTo>
                                <a:lnTo>
                                  <a:pt x="1298281" y="289392"/>
                                </a:lnTo>
                                <a:lnTo>
                                  <a:pt x="1274422" y="255843"/>
                                </a:lnTo>
                                <a:lnTo>
                                  <a:pt x="1247461" y="223834"/>
                                </a:lnTo>
                                <a:lnTo>
                                  <a:pt x="1217551" y="193478"/>
                                </a:lnTo>
                                <a:lnTo>
                                  <a:pt x="1184844" y="164891"/>
                                </a:lnTo>
                                <a:lnTo>
                                  <a:pt x="1149490" y="138187"/>
                                </a:lnTo>
                                <a:lnTo>
                                  <a:pt x="1111644" y="113481"/>
                                </a:lnTo>
                                <a:lnTo>
                                  <a:pt x="1071455" y="90889"/>
                                </a:lnTo>
                                <a:lnTo>
                                  <a:pt x="1029078" y="70524"/>
                                </a:lnTo>
                                <a:lnTo>
                                  <a:pt x="984662" y="52503"/>
                                </a:lnTo>
                                <a:lnTo>
                                  <a:pt x="938361" y="36938"/>
                                </a:lnTo>
                                <a:lnTo>
                                  <a:pt x="890327" y="23947"/>
                                </a:lnTo>
                                <a:lnTo>
                                  <a:pt x="840711" y="13642"/>
                                </a:lnTo>
                                <a:lnTo>
                                  <a:pt x="789666" y="6139"/>
                                </a:lnTo>
                                <a:lnTo>
                                  <a:pt x="737343" y="1554"/>
                                </a:lnTo>
                                <a:lnTo>
                                  <a:pt x="683894"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254" name="Image 254"/>
                          <pic:cNvPicPr/>
                        </pic:nvPicPr>
                        <pic:blipFill>
                          <a:blip r:embed="rId15" cstate="print"/>
                          <a:stretch>
                            <a:fillRect/>
                          </a:stretch>
                        </pic:blipFill>
                        <pic:spPr>
                          <a:xfrm>
                            <a:off x="3541077" y="2432367"/>
                            <a:ext cx="1137279" cy="870579"/>
                          </a:xfrm>
                          <a:prstGeom prst="rect">
                            <a:avLst/>
                          </a:prstGeom>
                        </pic:spPr>
                      </pic:pic>
                      <wps:wsp>
                        <wps:cNvPr id="255" name="Graphic 255"/>
                        <wps:cNvSpPr/>
                        <wps:spPr>
                          <a:xfrm>
                            <a:off x="3541077" y="2432367"/>
                            <a:ext cx="1137285" cy="870585"/>
                          </a:xfrm>
                          <a:custGeom>
                            <a:avLst/>
                            <a:gdLst/>
                            <a:ahLst/>
                            <a:cxnLst/>
                            <a:rect l="l" t="t" r="r" b="b"/>
                            <a:pathLst>
                              <a:path w="1137285" h="870585">
                                <a:moveTo>
                                  <a:pt x="568642" y="0"/>
                                </a:moveTo>
                                <a:lnTo>
                                  <a:pt x="513875" y="1992"/>
                                </a:lnTo>
                                <a:lnTo>
                                  <a:pt x="460582" y="7848"/>
                                </a:lnTo>
                                <a:lnTo>
                                  <a:pt x="409000" y="17385"/>
                                </a:lnTo>
                                <a:lnTo>
                                  <a:pt x="359368" y="30420"/>
                                </a:lnTo>
                                <a:lnTo>
                                  <a:pt x="311925" y="46772"/>
                                </a:lnTo>
                                <a:lnTo>
                                  <a:pt x="266908" y="66258"/>
                                </a:lnTo>
                                <a:lnTo>
                                  <a:pt x="224555" y="88695"/>
                                </a:lnTo>
                                <a:lnTo>
                                  <a:pt x="185106" y="113902"/>
                                </a:lnTo>
                                <a:lnTo>
                                  <a:pt x="148797" y="141696"/>
                                </a:lnTo>
                                <a:lnTo>
                                  <a:pt x="115869" y="171894"/>
                                </a:lnTo>
                                <a:lnTo>
                                  <a:pt x="86557" y="204314"/>
                                </a:lnTo>
                                <a:lnTo>
                                  <a:pt x="61102" y="238775"/>
                                </a:lnTo>
                                <a:lnTo>
                                  <a:pt x="39740" y="275092"/>
                                </a:lnTo>
                                <a:lnTo>
                                  <a:pt x="22711" y="313085"/>
                                </a:lnTo>
                                <a:lnTo>
                                  <a:pt x="10252" y="352571"/>
                                </a:lnTo>
                                <a:lnTo>
                                  <a:pt x="2602" y="393368"/>
                                </a:lnTo>
                                <a:lnTo>
                                  <a:pt x="0" y="435292"/>
                                </a:lnTo>
                                <a:lnTo>
                                  <a:pt x="2602" y="477216"/>
                                </a:lnTo>
                                <a:lnTo>
                                  <a:pt x="10252" y="518013"/>
                                </a:lnTo>
                                <a:lnTo>
                                  <a:pt x="22711" y="557499"/>
                                </a:lnTo>
                                <a:lnTo>
                                  <a:pt x="39740" y="595492"/>
                                </a:lnTo>
                                <a:lnTo>
                                  <a:pt x="61102" y="631809"/>
                                </a:lnTo>
                                <a:lnTo>
                                  <a:pt x="86557" y="666270"/>
                                </a:lnTo>
                                <a:lnTo>
                                  <a:pt x="115869" y="698690"/>
                                </a:lnTo>
                                <a:lnTo>
                                  <a:pt x="148797" y="728888"/>
                                </a:lnTo>
                                <a:lnTo>
                                  <a:pt x="185106" y="756682"/>
                                </a:lnTo>
                                <a:lnTo>
                                  <a:pt x="224555" y="781889"/>
                                </a:lnTo>
                                <a:lnTo>
                                  <a:pt x="266908" y="804326"/>
                                </a:lnTo>
                                <a:lnTo>
                                  <a:pt x="311925" y="823812"/>
                                </a:lnTo>
                                <a:lnTo>
                                  <a:pt x="359368" y="840164"/>
                                </a:lnTo>
                                <a:lnTo>
                                  <a:pt x="409000" y="853199"/>
                                </a:lnTo>
                                <a:lnTo>
                                  <a:pt x="460582" y="862736"/>
                                </a:lnTo>
                                <a:lnTo>
                                  <a:pt x="513875" y="868592"/>
                                </a:lnTo>
                                <a:lnTo>
                                  <a:pt x="568642" y="870585"/>
                                </a:lnTo>
                                <a:lnTo>
                                  <a:pt x="623409" y="868592"/>
                                </a:lnTo>
                                <a:lnTo>
                                  <a:pt x="676702" y="862736"/>
                                </a:lnTo>
                                <a:lnTo>
                                  <a:pt x="728284" y="853199"/>
                                </a:lnTo>
                                <a:lnTo>
                                  <a:pt x="777916" y="840164"/>
                                </a:lnTo>
                                <a:lnTo>
                                  <a:pt x="825359" y="823812"/>
                                </a:lnTo>
                                <a:lnTo>
                                  <a:pt x="870376" y="804326"/>
                                </a:lnTo>
                                <a:lnTo>
                                  <a:pt x="912729" y="781889"/>
                                </a:lnTo>
                                <a:lnTo>
                                  <a:pt x="952178" y="756682"/>
                                </a:lnTo>
                                <a:lnTo>
                                  <a:pt x="988487" y="728888"/>
                                </a:lnTo>
                                <a:lnTo>
                                  <a:pt x="1021415" y="698690"/>
                                </a:lnTo>
                                <a:lnTo>
                                  <a:pt x="1050727" y="666270"/>
                                </a:lnTo>
                                <a:lnTo>
                                  <a:pt x="1076182" y="631809"/>
                                </a:lnTo>
                                <a:lnTo>
                                  <a:pt x="1097544" y="595492"/>
                                </a:lnTo>
                                <a:lnTo>
                                  <a:pt x="1114573" y="557499"/>
                                </a:lnTo>
                                <a:lnTo>
                                  <a:pt x="1127032" y="518013"/>
                                </a:lnTo>
                                <a:lnTo>
                                  <a:pt x="1134682" y="477216"/>
                                </a:lnTo>
                                <a:lnTo>
                                  <a:pt x="1137284" y="435292"/>
                                </a:lnTo>
                                <a:lnTo>
                                  <a:pt x="1134682" y="393368"/>
                                </a:lnTo>
                                <a:lnTo>
                                  <a:pt x="1127032" y="352571"/>
                                </a:lnTo>
                                <a:lnTo>
                                  <a:pt x="1114573" y="313085"/>
                                </a:lnTo>
                                <a:lnTo>
                                  <a:pt x="1097544" y="275092"/>
                                </a:lnTo>
                                <a:lnTo>
                                  <a:pt x="1076182" y="238775"/>
                                </a:lnTo>
                                <a:lnTo>
                                  <a:pt x="1050727" y="204314"/>
                                </a:lnTo>
                                <a:lnTo>
                                  <a:pt x="1021415" y="171894"/>
                                </a:lnTo>
                                <a:lnTo>
                                  <a:pt x="988487" y="141696"/>
                                </a:lnTo>
                                <a:lnTo>
                                  <a:pt x="952178" y="113902"/>
                                </a:lnTo>
                                <a:lnTo>
                                  <a:pt x="912729" y="88695"/>
                                </a:lnTo>
                                <a:lnTo>
                                  <a:pt x="870376" y="66258"/>
                                </a:lnTo>
                                <a:lnTo>
                                  <a:pt x="825359" y="46772"/>
                                </a:lnTo>
                                <a:lnTo>
                                  <a:pt x="777916" y="30420"/>
                                </a:lnTo>
                                <a:lnTo>
                                  <a:pt x="728284" y="17385"/>
                                </a:lnTo>
                                <a:lnTo>
                                  <a:pt x="676702" y="7848"/>
                                </a:lnTo>
                                <a:lnTo>
                                  <a:pt x="623409" y="1992"/>
                                </a:lnTo>
                                <a:lnTo>
                                  <a:pt x="568642"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256" name="Image 256"/>
                          <pic:cNvPicPr/>
                        </pic:nvPicPr>
                        <pic:blipFill>
                          <a:blip r:embed="rId16" cstate="print"/>
                          <a:stretch>
                            <a:fillRect/>
                          </a:stretch>
                        </pic:blipFill>
                        <pic:spPr>
                          <a:xfrm>
                            <a:off x="4762" y="2312352"/>
                            <a:ext cx="1236344" cy="879474"/>
                          </a:xfrm>
                          <a:prstGeom prst="rect">
                            <a:avLst/>
                          </a:prstGeom>
                        </pic:spPr>
                      </pic:pic>
                      <wps:wsp>
                        <wps:cNvPr id="257" name="Graphic 257"/>
                        <wps:cNvSpPr/>
                        <wps:spPr>
                          <a:xfrm>
                            <a:off x="4762" y="2312352"/>
                            <a:ext cx="1236345" cy="879475"/>
                          </a:xfrm>
                          <a:custGeom>
                            <a:avLst/>
                            <a:gdLst/>
                            <a:ahLst/>
                            <a:cxnLst/>
                            <a:rect l="l" t="t" r="r" b="b"/>
                            <a:pathLst>
                              <a:path w="1236345" h="879475">
                                <a:moveTo>
                                  <a:pt x="618172" y="0"/>
                                </a:moveTo>
                                <a:lnTo>
                                  <a:pt x="561903" y="1796"/>
                                </a:lnTo>
                                <a:lnTo>
                                  <a:pt x="507050" y="7084"/>
                                </a:lnTo>
                                <a:lnTo>
                                  <a:pt x="453830" y="15706"/>
                                </a:lnTo>
                                <a:lnTo>
                                  <a:pt x="402464" y="27509"/>
                                </a:lnTo>
                                <a:lnTo>
                                  <a:pt x="353167" y="42336"/>
                                </a:lnTo>
                                <a:lnTo>
                                  <a:pt x="306160" y="60033"/>
                                </a:lnTo>
                                <a:lnTo>
                                  <a:pt x="261659" y="80445"/>
                                </a:lnTo>
                                <a:lnTo>
                                  <a:pt x="219883" y="103415"/>
                                </a:lnTo>
                                <a:lnTo>
                                  <a:pt x="181051" y="128790"/>
                                </a:lnTo>
                                <a:lnTo>
                                  <a:pt x="145379" y="156414"/>
                                </a:lnTo>
                                <a:lnTo>
                                  <a:pt x="113088" y="186131"/>
                                </a:lnTo>
                                <a:lnTo>
                                  <a:pt x="84394" y="217787"/>
                                </a:lnTo>
                                <a:lnTo>
                                  <a:pt x="59516" y="251226"/>
                                </a:lnTo>
                                <a:lnTo>
                                  <a:pt x="38672" y="286292"/>
                                </a:lnTo>
                                <a:lnTo>
                                  <a:pt x="22080" y="322832"/>
                                </a:lnTo>
                                <a:lnTo>
                                  <a:pt x="9958" y="360690"/>
                                </a:lnTo>
                                <a:lnTo>
                                  <a:pt x="2526" y="399710"/>
                                </a:lnTo>
                                <a:lnTo>
                                  <a:pt x="0" y="439737"/>
                                </a:lnTo>
                                <a:lnTo>
                                  <a:pt x="2526" y="479764"/>
                                </a:lnTo>
                                <a:lnTo>
                                  <a:pt x="9958" y="518784"/>
                                </a:lnTo>
                                <a:lnTo>
                                  <a:pt x="22080" y="556642"/>
                                </a:lnTo>
                                <a:lnTo>
                                  <a:pt x="38672" y="593182"/>
                                </a:lnTo>
                                <a:lnTo>
                                  <a:pt x="59516" y="628248"/>
                                </a:lnTo>
                                <a:lnTo>
                                  <a:pt x="84394" y="661687"/>
                                </a:lnTo>
                                <a:lnTo>
                                  <a:pt x="113088" y="693343"/>
                                </a:lnTo>
                                <a:lnTo>
                                  <a:pt x="145379" y="723060"/>
                                </a:lnTo>
                                <a:lnTo>
                                  <a:pt x="181051" y="750684"/>
                                </a:lnTo>
                                <a:lnTo>
                                  <a:pt x="219883" y="776059"/>
                                </a:lnTo>
                                <a:lnTo>
                                  <a:pt x="261659" y="799029"/>
                                </a:lnTo>
                                <a:lnTo>
                                  <a:pt x="306160" y="819441"/>
                                </a:lnTo>
                                <a:lnTo>
                                  <a:pt x="353167" y="837138"/>
                                </a:lnTo>
                                <a:lnTo>
                                  <a:pt x="402464" y="851965"/>
                                </a:lnTo>
                                <a:lnTo>
                                  <a:pt x="453830" y="863768"/>
                                </a:lnTo>
                                <a:lnTo>
                                  <a:pt x="507050" y="872390"/>
                                </a:lnTo>
                                <a:lnTo>
                                  <a:pt x="561903" y="877678"/>
                                </a:lnTo>
                                <a:lnTo>
                                  <a:pt x="618172" y="879475"/>
                                </a:lnTo>
                                <a:lnTo>
                                  <a:pt x="674441" y="877678"/>
                                </a:lnTo>
                                <a:lnTo>
                                  <a:pt x="729294" y="872390"/>
                                </a:lnTo>
                                <a:lnTo>
                                  <a:pt x="782514" y="863768"/>
                                </a:lnTo>
                                <a:lnTo>
                                  <a:pt x="833880" y="851965"/>
                                </a:lnTo>
                                <a:lnTo>
                                  <a:pt x="883177" y="837138"/>
                                </a:lnTo>
                                <a:lnTo>
                                  <a:pt x="930184" y="819441"/>
                                </a:lnTo>
                                <a:lnTo>
                                  <a:pt x="974685" y="799029"/>
                                </a:lnTo>
                                <a:lnTo>
                                  <a:pt x="1016461" y="776059"/>
                                </a:lnTo>
                                <a:lnTo>
                                  <a:pt x="1055293" y="750684"/>
                                </a:lnTo>
                                <a:lnTo>
                                  <a:pt x="1090965" y="723060"/>
                                </a:lnTo>
                                <a:lnTo>
                                  <a:pt x="1123256" y="693343"/>
                                </a:lnTo>
                                <a:lnTo>
                                  <a:pt x="1151950" y="661687"/>
                                </a:lnTo>
                                <a:lnTo>
                                  <a:pt x="1176828" y="628248"/>
                                </a:lnTo>
                                <a:lnTo>
                                  <a:pt x="1197672" y="593182"/>
                                </a:lnTo>
                                <a:lnTo>
                                  <a:pt x="1214264" y="556642"/>
                                </a:lnTo>
                                <a:lnTo>
                                  <a:pt x="1226386" y="518784"/>
                                </a:lnTo>
                                <a:lnTo>
                                  <a:pt x="1233818" y="479764"/>
                                </a:lnTo>
                                <a:lnTo>
                                  <a:pt x="1236345" y="439737"/>
                                </a:lnTo>
                                <a:lnTo>
                                  <a:pt x="1233818" y="399710"/>
                                </a:lnTo>
                                <a:lnTo>
                                  <a:pt x="1226386" y="360690"/>
                                </a:lnTo>
                                <a:lnTo>
                                  <a:pt x="1214264" y="322832"/>
                                </a:lnTo>
                                <a:lnTo>
                                  <a:pt x="1197672" y="286292"/>
                                </a:lnTo>
                                <a:lnTo>
                                  <a:pt x="1176828" y="251226"/>
                                </a:lnTo>
                                <a:lnTo>
                                  <a:pt x="1151950" y="217787"/>
                                </a:lnTo>
                                <a:lnTo>
                                  <a:pt x="1123256" y="186131"/>
                                </a:lnTo>
                                <a:lnTo>
                                  <a:pt x="1090965" y="156414"/>
                                </a:lnTo>
                                <a:lnTo>
                                  <a:pt x="1055293" y="128790"/>
                                </a:lnTo>
                                <a:lnTo>
                                  <a:pt x="1016461" y="103415"/>
                                </a:lnTo>
                                <a:lnTo>
                                  <a:pt x="974685" y="80445"/>
                                </a:lnTo>
                                <a:lnTo>
                                  <a:pt x="930184" y="60033"/>
                                </a:lnTo>
                                <a:lnTo>
                                  <a:pt x="883177" y="42336"/>
                                </a:lnTo>
                                <a:lnTo>
                                  <a:pt x="833880" y="27509"/>
                                </a:lnTo>
                                <a:lnTo>
                                  <a:pt x="782514" y="15706"/>
                                </a:lnTo>
                                <a:lnTo>
                                  <a:pt x="729294" y="7084"/>
                                </a:lnTo>
                                <a:lnTo>
                                  <a:pt x="674441" y="1796"/>
                                </a:lnTo>
                                <a:lnTo>
                                  <a:pt x="618172" y="0"/>
                                </a:lnTo>
                                <a:close/>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1287462" y="1085532"/>
                            <a:ext cx="2550160" cy="1893570"/>
                          </a:xfrm>
                          <a:custGeom>
                            <a:avLst/>
                            <a:gdLst/>
                            <a:ahLst/>
                            <a:cxnLst/>
                            <a:rect l="l" t="t" r="r" b="b"/>
                            <a:pathLst>
                              <a:path w="2550160" h="1893570">
                                <a:moveTo>
                                  <a:pt x="868032" y="0"/>
                                </a:moveTo>
                                <a:lnTo>
                                  <a:pt x="0" y="0"/>
                                </a:lnTo>
                                <a:lnTo>
                                  <a:pt x="0" y="360045"/>
                                </a:lnTo>
                                <a:lnTo>
                                  <a:pt x="868032" y="360045"/>
                                </a:lnTo>
                                <a:lnTo>
                                  <a:pt x="868032" y="0"/>
                                </a:lnTo>
                                <a:close/>
                              </a:path>
                              <a:path w="2550160" h="1893570">
                                <a:moveTo>
                                  <a:pt x="1940560" y="1533525"/>
                                </a:moveTo>
                                <a:lnTo>
                                  <a:pt x="675005" y="1533525"/>
                                </a:lnTo>
                                <a:lnTo>
                                  <a:pt x="675005" y="1893570"/>
                                </a:lnTo>
                                <a:lnTo>
                                  <a:pt x="1940560" y="1893570"/>
                                </a:lnTo>
                                <a:lnTo>
                                  <a:pt x="1940560" y="1533525"/>
                                </a:lnTo>
                                <a:close/>
                              </a:path>
                              <a:path w="2550160" h="1893570">
                                <a:moveTo>
                                  <a:pt x="2550160" y="0"/>
                                </a:moveTo>
                                <a:lnTo>
                                  <a:pt x="1275715" y="0"/>
                                </a:lnTo>
                                <a:lnTo>
                                  <a:pt x="1275715" y="285750"/>
                                </a:lnTo>
                                <a:lnTo>
                                  <a:pt x="2550160" y="285750"/>
                                </a:lnTo>
                                <a:lnTo>
                                  <a:pt x="2550160"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2466022" y="914082"/>
                            <a:ext cx="128905" cy="501650"/>
                          </a:xfrm>
                          <a:custGeom>
                            <a:avLst/>
                            <a:gdLst/>
                            <a:ahLst/>
                            <a:cxnLst/>
                            <a:rect l="l" t="t" r="r" b="b"/>
                            <a:pathLst>
                              <a:path w="128905" h="501650">
                                <a:moveTo>
                                  <a:pt x="128905" y="0"/>
                                </a:moveTo>
                                <a:lnTo>
                                  <a:pt x="97155" y="0"/>
                                </a:lnTo>
                                <a:lnTo>
                                  <a:pt x="97155" y="19050"/>
                                </a:lnTo>
                                <a:lnTo>
                                  <a:pt x="97155" y="38100"/>
                                </a:lnTo>
                                <a:lnTo>
                                  <a:pt x="90805" y="38100"/>
                                </a:lnTo>
                                <a:lnTo>
                                  <a:pt x="90805" y="457200"/>
                                </a:lnTo>
                                <a:lnTo>
                                  <a:pt x="38100" y="457200"/>
                                </a:lnTo>
                                <a:lnTo>
                                  <a:pt x="19050" y="457200"/>
                                </a:lnTo>
                                <a:lnTo>
                                  <a:pt x="19050" y="19050"/>
                                </a:lnTo>
                                <a:lnTo>
                                  <a:pt x="6350" y="19050"/>
                                </a:lnTo>
                                <a:lnTo>
                                  <a:pt x="6350" y="0"/>
                                </a:lnTo>
                                <a:lnTo>
                                  <a:pt x="0" y="0"/>
                                </a:lnTo>
                                <a:lnTo>
                                  <a:pt x="0" y="19050"/>
                                </a:lnTo>
                                <a:lnTo>
                                  <a:pt x="0" y="482600"/>
                                </a:lnTo>
                                <a:lnTo>
                                  <a:pt x="0" y="501650"/>
                                </a:lnTo>
                                <a:lnTo>
                                  <a:pt x="128905" y="501650"/>
                                </a:lnTo>
                                <a:lnTo>
                                  <a:pt x="128905" y="482600"/>
                                </a:lnTo>
                                <a:lnTo>
                                  <a:pt x="128905" y="19050"/>
                                </a:lnTo>
                                <a:lnTo>
                                  <a:pt x="128905" y="0"/>
                                </a:lnTo>
                                <a:close/>
                              </a:path>
                            </a:pathLst>
                          </a:custGeom>
                          <a:solidFill>
                            <a:srgbClr val="974706">
                              <a:alpha val="50195"/>
                            </a:srgbClr>
                          </a:solidFill>
                        </wps:spPr>
                        <wps:bodyPr wrap="square" lIns="0" tIns="0" rIns="0" bIns="0" rtlCol="0">
                          <a:prstTxWarp prst="textNoShape">
                            <a:avLst/>
                          </a:prstTxWarp>
                          <a:noAutofit/>
                        </wps:bodyPr>
                      </wps:wsp>
                      <wps:wsp>
                        <wps:cNvPr id="260" name="Graphic 260"/>
                        <wps:cNvSpPr/>
                        <wps:spPr>
                          <a:xfrm>
                            <a:off x="2472372" y="907732"/>
                            <a:ext cx="90805" cy="463550"/>
                          </a:xfrm>
                          <a:custGeom>
                            <a:avLst/>
                            <a:gdLst/>
                            <a:ahLst/>
                            <a:cxnLst/>
                            <a:rect l="l" t="t" r="r" b="b"/>
                            <a:pathLst>
                              <a:path w="90805" h="463550">
                                <a:moveTo>
                                  <a:pt x="90804" y="0"/>
                                </a:moveTo>
                                <a:lnTo>
                                  <a:pt x="0" y="0"/>
                                </a:lnTo>
                                <a:lnTo>
                                  <a:pt x="0" y="463550"/>
                                </a:lnTo>
                                <a:lnTo>
                                  <a:pt x="90804" y="463550"/>
                                </a:lnTo>
                                <a:lnTo>
                                  <a:pt x="90804" y="0"/>
                                </a:lnTo>
                                <a:close/>
                              </a:path>
                            </a:pathLst>
                          </a:custGeom>
                          <a:solidFill>
                            <a:srgbClr val="F79646"/>
                          </a:solidFill>
                        </wps:spPr>
                        <wps:bodyPr wrap="square" lIns="0" tIns="0" rIns="0" bIns="0" rtlCol="0">
                          <a:prstTxWarp prst="textNoShape">
                            <a:avLst/>
                          </a:prstTxWarp>
                          <a:noAutofit/>
                        </wps:bodyPr>
                      </wps:wsp>
                      <wps:wsp>
                        <wps:cNvPr id="261" name="Graphic 261"/>
                        <wps:cNvSpPr/>
                        <wps:spPr>
                          <a:xfrm>
                            <a:off x="2472372" y="907732"/>
                            <a:ext cx="90805" cy="463550"/>
                          </a:xfrm>
                          <a:custGeom>
                            <a:avLst/>
                            <a:gdLst/>
                            <a:ahLst/>
                            <a:cxnLst/>
                            <a:rect l="l" t="t" r="r" b="b"/>
                            <a:pathLst>
                              <a:path w="90805" h="463550">
                                <a:moveTo>
                                  <a:pt x="0" y="463550"/>
                                </a:moveTo>
                                <a:lnTo>
                                  <a:pt x="90804" y="463550"/>
                                </a:lnTo>
                                <a:lnTo>
                                  <a:pt x="90804" y="0"/>
                                </a:lnTo>
                                <a:lnTo>
                                  <a:pt x="0" y="0"/>
                                </a:lnTo>
                                <a:lnTo>
                                  <a:pt x="0" y="463550"/>
                                </a:lnTo>
                                <a:close/>
                              </a:path>
                            </a:pathLst>
                          </a:custGeom>
                          <a:ln w="38100">
                            <a:solidFill>
                              <a:srgbClr val="F2F2F2"/>
                            </a:solidFill>
                            <a:prstDash val="solid"/>
                          </a:ln>
                        </wps:spPr>
                        <wps:bodyPr wrap="square" lIns="0" tIns="0" rIns="0" bIns="0" rtlCol="0">
                          <a:prstTxWarp prst="textNoShape">
                            <a:avLst/>
                          </a:prstTxWarp>
                          <a:noAutofit/>
                        </wps:bodyPr>
                      </wps:wsp>
                      <wps:wsp>
                        <wps:cNvPr id="262" name="Graphic 262"/>
                        <wps:cNvSpPr/>
                        <wps:spPr>
                          <a:xfrm>
                            <a:off x="1216205" y="2188126"/>
                            <a:ext cx="724535" cy="640715"/>
                          </a:xfrm>
                          <a:custGeom>
                            <a:avLst/>
                            <a:gdLst/>
                            <a:ahLst/>
                            <a:cxnLst/>
                            <a:rect l="l" t="t" r="r" b="b"/>
                            <a:pathLst>
                              <a:path w="724535" h="640715">
                                <a:moveTo>
                                  <a:pt x="634657" y="0"/>
                                </a:moveTo>
                                <a:lnTo>
                                  <a:pt x="0" y="533819"/>
                                </a:lnTo>
                                <a:lnTo>
                                  <a:pt x="89522" y="640245"/>
                                </a:lnTo>
                                <a:lnTo>
                                  <a:pt x="121425" y="613410"/>
                                </a:lnTo>
                                <a:lnTo>
                                  <a:pt x="91833" y="613410"/>
                                </a:lnTo>
                                <a:lnTo>
                                  <a:pt x="26847" y="536143"/>
                                </a:lnTo>
                                <a:lnTo>
                                  <a:pt x="632345" y="26847"/>
                                </a:lnTo>
                                <a:lnTo>
                                  <a:pt x="657237" y="26847"/>
                                </a:lnTo>
                                <a:lnTo>
                                  <a:pt x="634657" y="0"/>
                                </a:lnTo>
                                <a:close/>
                              </a:path>
                              <a:path w="724535" h="640715">
                                <a:moveTo>
                                  <a:pt x="632345" y="26847"/>
                                </a:moveTo>
                                <a:lnTo>
                                  <a:pt x="26847" y="536143"/>
                                </a:lnTo>
                                <a:lnTo>
                                  <a:pt x="91833" y="613410"/>
                                </a:lnTo>
                                <a:lnTo>
                                  <a:pt x="123752" y="586562"/>
                                </a:lnTo>
                                <a:lnTo>
                                  <a:pt x="94145" y="586562"/>
                                </a:lnTo>
                                <a:lnTo>
                                  <a:pt x="53682" y="538454"/>
                                </a:lnTo>
                                <a:lnTo>
                                  <a:pt x="630021" y="53682"/>
                                </a:lnTo>
                                <a:lnTo>
                                  <a:pt x="654919" y="53682"/>
                                </a:lnTo>
                                <a:lnTo>
                                  <a:pt x="632345" y="26847"/>
                                </a:lnTo>
                                <a:close/>
                              </a:path>
                              <a:path w="724535" h="640715">
                                <a:moveTo>
                                  <a:pt x="657237" y="26847"/>
                                </a:moveTo>
                                <a:lnTo>
                                  <a:pt x="632345" y="26847"/>
                                </a:lnTo>
                                <a:lnTo>
                                  <a:pt x="697331" y="104101"/>
                                </a:lnTo>
                                <a:lnTo>
                                  <a:pt x="91833" y="613410"/>
                                </a:lnTo>
                                <a:lnTo>
                                  <a:pt x="121425" y="613410"/>
                                </a:lnTo>
                                <a:lnTo>
                                  <a:pt x="724166" y="106426"/>
                                </a:lnTo>
                                <a:lnTo>
                                  <a:pt x="657237" y="26847"/>
                                </a:lnTo>
                                <a:close/>
                              </a:path>
                              <a:path w="724535" h="640715">
                                <a:moveTo>
                                  <a:pt x="630021" y="53682"/>
                                </a:moveTo>
                                <a:lnTo>
                                  <a:pt x="53682" y="538454"/>
                                </a:lnTo>
                                <a:lnTo>
                                  <a:pt x="94145" y="586562"/>
                                </a:lnTo>
                                <a:lnTo>
                                  <a:pt x="670496" y="101790"/>
                                </a:lnTo>
                                <a:lnTo>
                                  <a:pt x="630021" y="53682"/>
                                </a:lnTo>
                                <a:close/>
                              </a:path>
                              <a:path w="724535" h="640715">
                                <a:moveTo>
                                  <a:pt x="654919" y="53682"/>
                                </a:moveTo>
                                <a:lnTo>
                                  <a:pt x="630021" y="53682"/>
                                </a:lnTo>
                                <a:lnTo>
                                  <a:pt x="670496" y="101790"/>
                                </a:lnTo>
                                <a:lnTo>
                                  <a:pt x="94145" y="586562"/>
                                </a:lnTo>
                                <a:lnTo>
                                  <a:pt x="123752" y="586562"/>
                                </a:lnTo>
                                <a:lnTo>
                                  <a:pt x="697331" y="104101"/>
                                </a:lnTo>
                                <a:lnTo>
                                  <a:pt x="654919" y="53682"/>
                                </a:lnTo>
                                <a:close/>
                              </a:path>
                            </a:pathLst>
                          </a:custGeom>
                          <a:solidFill>
                            <a:srgbClr val="974706">
                              <a:alpha val="50195"/>
                            </a:srgbClr>
                          </a:solidFill>
                        </wps:spPr>
                        <wps:bodyPr wrap="square" lIns="0" tIns="0" rIns="0" bIns="0" rtlCol="0">
                          <a:prstTxWarp prst="textNoShape">
                            <a:avLst/>
                          </a:prstTxWarp>
                          <a:noAutofit/>
                        </wps:bodyPr>
                      </wps:wsp>
                      <wps:wsp>
                        <wps:cNvPr id="263" name="Graphic 263"/>
                        <wps:cNvSpPr/>
                        <wps:spPr>
                          <a:xfrm>
                            <a:off x="1230348" y="2189570"/>
                            <a:ext cx="670560" cy="586740"/>
                          </a:xfrm>
                          <a:custGeom>
                            <a:avLst/>
                            <a:gdLst/>
                            <a:ahLst/>
                            <a:cxnLst/>
                            <a:rect l="l" t="t" r="r" b="b"/>
                            <a:pathLst>
                              <a:path w="670560" h="586740">
                                <a:moveTo>
                                  <a:pt x="605497" y="0"/>
                                </a:moveTo>
                                <a:lnTo>
                                  <a:pt x="0" y="509295"/>
                                </a:lnTo>
                                <a:lnTo>
                                  <a:pt x="64985" y="586562"/>
                                </a:lnTo>
                                <a:lnTo>
                                  <a:pt x="670483" y="77266"/>
                                </a:lnTo>
                                <a:lnTo>
                                  <a:pt x="605497" y="0"/>
                                </a:lnTo>
                                <a:close/>
                              </a:path>
                            </a:pathLst>
                          </a:custGeom>
                          <a:solidFill>
                            <a:srgbClr val="F79646"/>
                          </a:solidFill>
                        </wps:spPr>
                        <wps:bodyPr wrap="square" lIns="0" tIns="0" rIns="0" bIns="0" rtlCol="0">
                          <a:prstTxWarp prst="textNoShape">
                            <a:avLst/>
                          </a:prstTxWarp>
                          <a:noAutofit/>
                        </wps:bodyPr>
                      </wps:wsp>
                      <wps:wsp>
                        <wps:cNvPr id="264" name="Graphic 264"/>
                        <wps:cNvSpPr/>
                        <wps:spPr>
                          <a:xfrm>
                            <a:off x="1230348" y="2189570"/>
                            <a:ext cx="670560" cy="586740"/>
                          </a:xfrm>
                          <a:custGeom>
                            <a:avLst/>
                            <a:gdLst/>
                            <a:ahLst/>
                            <a:cxnLst/>
                            <a:rect l="l" t="t" r="r" b="b"/>
                            <a:pathLst>
                              <a:path w="670560" h="586740">
                                <a:moveTo>
                                  <a:pt x="0" y="509295"/>
                                </a:moveTo>
                                <a:lnTo>
                                  <a:pt x="64985" y="586562"/>
                                </a:lnTo>
                                <a:lnTo>
                                  <a:pt x="670483" y="77266"/>
                                </a:lnTo>
                                <a:lnTo>
                                  <a:pt x="605497" y="0"/>
                                </a:lnTo>
                                <a:lnTo>
                                  <a:pt x="0" y="509295"/>
                                </a:lnTo>
                                <a:close/>
                              </a:path>
                            </a:pathLst>
                          </a:custGeom>
                          <a:ln w="38100">
                            <a:solidFill>
                              <a:srgbClr val="F2F2F2"/>
                            </a:solidFill>
                            <a:prstDash val="solid"/>
                          </a:ln>
                        </wps:spPr>
                        <wps:bodyPr wrap="square" lIns="0" tIns="0" rIns="0" bIns="0" rtlCol="0">
                          <a:prstTxWarp prst="textNoShape">
                            <a:avLst/>
                          </a:prstTxWarp>
                          <a:noAutofit/>
                        </wps:bodyPr>
                      </wps:wsp>
                      <wps:wsp>
                        <wps:cNvPr id="265" name="Graphic 265"/>
                        <wps:cNvSpPr/>
                        <wps:spPr>
                          <a:xfrm>
                            <a:off x="3136013" y="2168258"/>
                            <a:ext cx="559435" cy="697865"/>
                          </a:xfrm>
                          <a:custGeom>
                            <a:avLst/>
                            <a:gdLst/>
                            <a:ahLst/>
                            <a:cxnLst/>
                            <a:rect l="l" t="t" r="r" b="b"/>
                            <a:pathLst>
                              <a:path w="559435" h="697865">
                                <a:moveTo>
                                  <a:pt x="130022" y="0"/>
                                </a:moveTo>
                                <a:lnTo>
                                  <a:pt x="0" y="92163"/>
                                </a:lnTo>
                                <a:lnTo>
                                  <a:pt x="429272" y="697763"/>
                                </a:lnTo>
                                <a:lnTo>
                                  <a:pt x="466735" y="671207"/>
                                </a:lnTo>
                                <a:lnTo>
                                  <a:pt x="433806" y="671207"/>
                                </a:lnTo>
                                <a:lnTo>
                                  <a:pt x="26555" y="96697"/>
                                </a:lnTo>
                                <a:lnTo>
                                  <a:pt x="125501" y="26555"/>
                                </a:lnTo>
                                <a:lnTo>
                                  <a:pt x="148847" y="26555"/>
                                </a:lnTo>
                                <a:lnTo>
                                  <a:pt x="130022" y="0"/>
                                </a:lnTo>
                                <a:close/>
                              </a:path>
                              <a:path w="559435" h="697865">
                                <a:moveTo>
                                  <a:pt x="125501" y="26555"/>
                                </a:moveTo>
                                <a:lnTo>
                                  <a:pt x="26555" y="96697"/>
                                </a:lnTo>
                                <a:lnTo>
                                  <a:pt x="433806" y="671207"/>
                                </a:lnTo>
                                <a:lnTo>
                                  <a:pt x="471267" y="644652"/>
                                </a:lnTo>
                                <a:lnTo>
                                  <a:pt x="438327" y="644652"/>
                                </a:lnTo>
                                <a:lnTo>
                                  <a:pt x="53111" y="101219"/>
                                </a:lnTo>
                                <a:lnTo>
                                  <a:pt x="120980" y="53111"/>
                                </a:lnTo>
                                <a:lnTo>
                                  <a:pt x="144325" y="53111"/>
                                </a:lnTo>
                                <a:lnTo>
                                  <a:pt x="125501" y="26555"/>
                                </a:lnTo>
                                <a:close/>
                              </a:path>
                              <a:path w="559435" h="697865">
                                <a:moveTo>
                                  <a:pt x="148847" y="26555"/>
                                </a:moveTo>
                                <a:lnTo>
                                  <a:pt x="125501" y="26555"/>
                                </a:lnTo>
                                <a:lnTo>
                                  <a:pt x="532752" y="601065"/>
                                </a:lnTo>
                                <a:lnTo>
                                  <a:pt x="433806" y="671207"/>
                                </a:lnTo>
                                <a:lnTo>
                                  <a:pt x="466735" y="671207"/>
                                </a:lnTo>
                                <a:lnTo>
                                  <a:pt x="559308" y="605586"/>
                                </a:lnTo>
                                <a:lnTo>
                                  <a:pt x="148847" y="26555"/>
                                </a:lnTo>
                                <a:close/>
                              </a:path>
                              <a:path w="559435" h="697865">
                                <a:moveTo>
                                  <a:pt x="120980" y="53111"/>
                                </a:moveTo>
                                <a:lnTo>
                                  <a:pt x="53111" y="101219"/>
                                </a:lnTo>
                                <a:lnTo>
                                  <a:pt x="438327" y="644652"/>
                                </a:lnTo>
                                <a:lnTo>
                                  <a:pt x="506196" y="596544"/>
                                </a:lnTo>
                                <a:lnTo>
                                  <a:pt x="120980" y="53111"/>
                                </a:lnTo>
                                <a:close/>
                              </a:path>
                              <a:path w="559435" h="697865">
                                <a:moveTo>
                                  <a:pt x="144325" y="53111"/>
                                </a:moveTo>
                                <a:lnTo>
                                  <a:pt x="120980" y="53111"/>
                                </a:lnTo>
                                <a:lnTo>
                                  <a:pt x="506196" y="596544"/>
                                </a:lnTo>
                                <a:lnTo>
                                  <a:pt x="438327" y="644652"/>
                                </a:lnTo>
                                <a:lnTo>
                                  <a:pt x="471267" y="644652"/>
                                </a:lnTo>
                                <a:lnTo>
                                  <a:pt x="532752" y="601065"/>
                                </a:lnTo>
                                <a:lnTo>
                                  <a:pt x="144325" y="53111"/>
                                </a:lnTo>
                                <a:close/>
                              </a:path>
                            </a:pathLst>
                          </a:custGeom>
                          <a:solidFill>
                            <a:srgbClr val="974706">
                              <a:alpha val="50195"/>
                            </a:srgbClr>
                          </a:solidFill>
                        </wps:spPr>
                        <wps:bodyPr wrap="square" lIns="0" tIns="0" rIns="0" bIns="0" rtlCol="0">
                          <a:prstTxWarp prst="textNoShape">
                            <a:avLst/>
                          </a:prstTxWarp>
                          <a:noAutofit/>
                        </wps:bodyPr>
                      </wps:wsp>
                      <wps:wsp>
                        <wps:cNvPr id="266" name="Graphic 266"/>
                        <wps:cNvSpPr/>
                        <wps:spPr>
                          <a:xfrm>
                            <a:off x="3149865" y="2169411"/>
                            <a:ext cx="506730" cy="645160"/>
                          </a:xfrm>
                          <a:custGeom>
                            <a:avLst/>
                            <a:gdLst/>
                            <a:ahLst/>
                            <a:cxnLst/>
                            <a:rect l="l" t="t" r="r" b="b"/>
                            <a:pathLst>
                              <a:path w="506730" h="645160">
                                <a:moveTo>
                                  <a:pt x="98945" y="0"/>
                                </a:moveTo>
                                <a:lnTo>
                                  <a:pt x="0" y="70142"/>
                                </a:lnTo>
                                <a:lnTo>
                                  <a:pt x="407250" y="644652"/>
                                </a:lnTo>
                                <a:lnTo>
                                  <a:pt x="506196" y="574509"/>
                                </a:lnTo>
                                <a:lnTo>
                                  <a:pt x="98945" y="0"/>
                                </a:lnTo>
                                <a:close/>
                              </a:path>
                            </a:pathLst>
                          </a:custGeom>
                          <a:solidFill>
                            <a:srgbClr val="F79646"/>
                          </a:solidFill>
                        </wps:spPr>
                        <wps:bodyPr wrap="square" lIns="0" tIns="0" rIns="0" bIns="0" rtlCol="0">
                          <a:prstTxWarp prst="textNoShape">
                            <a:avLst/>
                          </a:prstTxWarp>
                          <a:noAutofit/>
                        </wps:bodyPr>
                      </wps:wsp>
                      <wps:wsp>
                        <wps:cNvPr id="267" name="Graphic 267"/>
                        <wps:cNvSpPr/>
                        <wps:spPr>
                          <a:xfrm>
                            <a:off x="3149865" y="2169411"/>
                            <a:ext cx="506730" cy="645160"/>
                          </a:xfrm>
                          <a:custGeom>
                            <a:avLst/>
                            <a:gdLst/>
                            <a:ahLst/>
                            <a:cxnLst/>
                            <a:rect l="l" t="t" r="r" b="b"/>
                            <a:pathLst>
                              <a:path w="506730" h="645160">
                                <a:moveTo>
                                  <a:pt x="0" y="70142"/>
                                </a:moveTo>
                                <a:lnTo>
                                  <a:pt x="407250" y="644652"/>
                                </a:lnTo>
                                <a:lnTo>
                                  <a:pt x="506196" y="574509"/>
                                </a:lnTo>
                                <a:lnTo>
                                  <a:pt x="98945" y="0"/>
                                </a:lnTo>
                                <a:lnTo>
                                  <a:pt x="0" y="70142"/>
                                </a:lnTo>
                                <a:close/>
                              </a:path>
                            </a:pathLst>
                          </a:custGeom>
                          <a:ln w="38100">
                            <a:solidFill>
                              <a:srgbClr val="F2F2F2"/>
                            </a:solidFill>
                            <a:prstDash val="solid"/>
                          </a:ln>
                        </wps:spPr>
                        <wps:bodyPr wrap="square" lIns="0" tIns="0" rIns="0" bIns="0" rtlCol="0">
                          <a:prstTxWarp prst="textNoShape">
                            <a:avLst/>
                          </a:prstTxWarp>
                          <a:noAutofit/>
                        </wps:bodyPr>
                      </wps:wsp>
                      <wps:wsp>
                        <wps:cNvPr id="268" name="Textbox 268"/>
                        <wps:cNvSpPr txBox="1"/>
                        <wps:spPr>
                          <a:xfrm>
                            <a:off x="2323655" y="407606"/>
                            <a:ext cx="56388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Planning</w:t>
                              </w:r>
                            </w:p>
                          </w:txbxContent>
                        </wps:txbx>
                        <wps:bodyPr wrap="square" lIns="0" tIns="0" rIns="0" bIns="0" rtlCol="0">
                          <a:noAutofit/>
                        </wps:bodyPr>
                      </wps:wsp>
                      <wps:wsp>
                        <wps:cNvPr id="269" name="Textbox 269"/>
                        <wps:cNvSpPr txBox="1"/>
                        <wps:spPr>
                          <a:xfrm>
                            <a:off x="1378775" y="1158938"/>
                            <a:ext cx="53911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CULTURE</w:t>
                              </w:r>
                            </w:p>
                          </w:txbxContent>
                        </wps:txbx>
                        <wps:bodyPr wrap="square" lIns="0" tIns="0" rIns="0" bIns="0" rtlCol="0">
                          <a:noAutofit/>
                        </wps:bodyPr>
                      </wps:wsp>
                      <wps:wsp>
                        <wps:cNvPr id="270" name="Textbox 270"/>
                        <wps:cNvSpPr txBox="1"/>
                        <wps:spPr>
                          <a:xfrm>
                            <a:off x="2654363" y="1158938"/>
                            <a:ext cx="107759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COMMUNICATION</w:t>
                              </w:r>
                            </w:p>
                          </w:txbxContent>
                        </wps:txbx>
                        <wps:bodyPr wrap="square" lIns="0" tIns="0" rIns="0" bIns="0" rtlCol="0">
                          <a:noAutofit/>
                        </wps:bodyPr>
                      </wps:wsp>
                      <wps:wsp>
                        <wps:cNvPr id="271" name="Textbox 271"/>
                        <wps:cNvSpPr txBox="1"/>
                        <wps:spPr>
                          <a:xfrm>
                            <a:off x="2134679" y="1829498"/>
                            <a:ext cx="83185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Performance</w:t>
                              </w:r>
                            </w:p>
                          </w:txbxContent>
                        </wps:txbx>
                        <wps:bodyPr wrap="square" lIns="0" tIns="0" rIns="0" bIns="0" rtlCol="0">
                          <a:noAutofit/>
                        </wps:bodyPr>
                      </wps:wsp>
                      <wps:wsp>
                        <wps:cNvPr id="272" name="Textbox 272"/>
                        <wps:cNvSpPr txBox="1"/>
                        <wps:spPr>
                          <a:xfrm>
                            <a:off x="404939" y="2722562"/>
                            <a:ext cx="449580"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People</w:t>
                              </w:r>
                            </w:p>
                          </w:txbxContent>
                        </wps:txbx>
                        <wps:bodyPr wrap="square" lIns="0" tIns="0" rIns="0" bIns="0" rtlCol="0">
                          <a:noAutofit/>
                        </wps:bodyPr>
                      </wps:wsp>
                      <wps:wsp>
                        <wps:cNvPr id="273" name="Textbox 273"/>
                        <wps:cNvSpPr txBox="1"/>
                        <wps:spPr>
                          <a:xfrm>
                            <a:off x="2053907" y="2692082"/>
                            <a:ext cx="86931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COMMITMENT</w:t>
                              </w:r>
                            </w:p>
                          </w:txbxContent>
                        </wps:txbx>
                        <wps:bodyPr wrap="square" lIns="0" tIns="0" rIns="0" bIns="0" rtlCol="0">
                          <a:noAutofit/>
                        </wps:bodyPr>
                      </wps:wsp>
                      <wps:wsp>
                        <wps:cNvPr id="274" name="Textbox 274"/>
                        <wps:cNvSpPr txBox="1"/>
                        <wps:spPr>
                          <a:xfrm>
                            <a:off x="3868991" y="2838386"/>
                            <a:ext cx="492759" cy="152400"/>
                          </a:xfrm>
                          <a:prstGeom prst="rect">
                            <a:avLst/>
                          </a:prstGeom>
                        </wps:spPr>
                        <wps:txbx>
                          <w:txbxContent>
                            <w:p>
                              <w:pPr>
                                <w:spacing w:line="240" w:lineRule="exact" w:before="0"/>
                                <w:ind w:left="0" w:right="0" w:firstLine="0"/>
                                <w:jc w:val="left"/>
                                <w:rPr>
                                  <w:rFonts w:ascii="Calibri"/>
                                  <w:b/>
                                  <w:sz w:val="24"/>
                                </w:rPr>
                              </w:pPr>
                              <w:r>
                                <w:rPr>
                                  <w:rFonts w:ascii="Calibri"/>
                                  <w:b/>
                                  <w:spacing w:val="-2"/>
                                  <w:sz w:val="24"/>
                                </w:rPr>
                                <w:t>Process</w:t>
                              </w:r>
                            </w:p>
                          </w:txbxContent>
                        </wps:txbx>
                        <wps:bodyPr wrap="square" lIns="0" tIns="0" rIns="0" bIns="0" rtlCol="0">
                          <a:noAutofit/>
                        </wps:bodyPr>
                      </wps:wsp>
                    </wpg:wgp>
                  </a:graphicData>
                </a:graphic>
              </wp:anchor>
            </w:drawing>
          </mc:Choice>
          <mc:Fallback>
            <w:pict>
              <v:group style="position:absolute;margin-left:83.074997pt;margin-top:14.854688pt;width:368.75pt;height:268.9pt;mso-position-horizontal-relative:page;mso-position-vertical-relative:paragraph;z-index:-15706624;mso-wrap-distance-left:0;mso-wrap-distance-right:0" id="docshapegroup203" coordorigin="1661,297" coordsize="7375,5378">
                <v:shape style="position:absolute;left:3065;top:1075;width:5164;height:4592" id="docshape204" coordorigin="3065,1076" coordsize="5164,4592" path="m5647,1076l5567,1077,5487,1080,5408,1085,5329,1093,5251,1102,5174,1114,5098,1128,5023,1143,4948,1161,4875,1180,4802,1201,4730,1225,4659,1249,4590,1276,4521,1305,4454,1335,4387,1367,4322,1400,4258,1436,4196,1472,4134,1511,4074,1551,4015,1592,3958,1635,3902,1679,3848,1725,3795,1772,3744,1820,3694,1870,3646,1921,3599,1973,3554,2026,3511,2081,3470,2137,3430,2194,3393,2251,3357,2310,3323,2370,3291,2431,3261,2493,3232,2556,3206,2620,3183,2685,3161,2750,3141,2816,3123,2884,3108,2951,3095,3020,3084,3089,3076,3159,3070,3229,3066,3300,3065,3372,3066,3443,3070,3514,3076,3584,3084,3654,3095,3723,3108,3792,3123,3860,3141,3927,3161,3993,3183,4058,3206,4123,3232,4187,3261,4250,3291,4312,3323,4373,3357,4433,3393,4492,3430,4550,3470,4607,3511,4662,3554,4717,3599,4770,3646,4822,3694,4873,3744,4923,3795,4971,3848,5018,3902,5064,3958,5108,4015,5151,4074,5193,4134,5232,4196,5271,4258,5308,4322,5343,4387,5376,4454,5408,4521,5438,4590,5467,4659,5494,4730,5519,4802,5542,4875,5563,4948,5583,5023,5600,5098,5616,5174,5629,5251,5641,5329,5650,5408,5658,5487,5663,5567,5667,5647,5668,5727,5667,5807,5663,5886,5658,5965,5650,6043,5641,6120,5629,6196,5616,6271,5600,6346,5583,6419,5563,6492,5542,6564,5519,6635,5494,6704,5467,6773,5438,6840,5408,6907,5376,6972,5343,7036,5308,7098,5271,7160,5232,7220,5193,7279,5151,7336,5108,7392,5064,7446,5018,7499,4971,7550,4923,7600,4873,7648,4822,7695,4770,7740,4717,7783,4662,7824,4607,7864,4550,7901,4492,7937,4433,7971,4373,8003,4312,8033,4250,8062,4187,8088,4123,8111,4058,8133,3993,8153,3927,8171,3860,8186,3792,8199,3723,8210,3654,8218,3584,8224,3514,8228,3443,8229,3372,8228,3300,8224,3229,8218,3159,8210,3089,8199,3020,8186,2951,8171,2884,8153,2816,8133,2750,8111,2685,8088,2620,8062,2556,8033,2493,8003,2431,7971,2370,7937,2310,7901,2251,7864,2194,7824,2137,7783,2081,7740,2026,7695,1973,7648,1921,7600,1870,7550,1820,7499,1772,7446,1725,7392,1679,7336,1635,7279,1592,7220,1551,7160,1511,7098,1472,7036,1436,6972,1400,6907,1367,6840,1335,6773,1305,6704,1276,6635,1249,6564,1225,6492,1201,6419,1180,6346,1161,6271,1143,6196,1128,6120,1114,6043,1102,5965,1093,5886,1085,5807,1080,5727,1077,5647,1076xe" filled="false" stroked="true" strokeweight=".75pt" strokecolor="#000000">
                  <v:path arrowok="t"/>
                  <v:stroke dashstyle="solid"/>
                </v:shape>
                <v:shape style="position:absolute;left:4678;top:304;width:2154;height:1335" type="#_x0000_t75" id="docshape205" stroked="false">
                  <v:imagedata r:id="rId13" o:title=""/>
                </v:shape>
                <v:shape style="position:absolute;left:4678;top:304;width:2154;height:1335" id="docshape206" coordorigin="4678,305" coordsize="2154,1335" path="m5755,305l5662,307,5571,314,5483,326,5398,342,5316,363,5237,387,5162,415,5091,446,5025,481,4963,520,4907,561,4856,605,4811,651,4771,700,4739,751,4694,858,4678,972,4682,1030,4713,1141,4771,1244,4811,1293,4856,1340,4907,1384,4963,1425,5025,1463,5091,1498,5162,1529,5237,1557,5316,1582,5398,1602,5483,1618,5571,1630,5662,1637,5755,1640,5848,1637,5939,1630,6027,1618,6112,1602,6194,1582,6273,1557,6348,1529,6419,1498,6485,1463,6547,1425,6603,1384,6654,1340,6699,1293,6739,1244,6771,1194,6816,1086,6832,972,6828,914,6797,804,6739,700,6699,651,6654,605,6603,561,6547,520,6485,481,6419,446,6348,415,6273,387,6194,363,6112,342,6027,326,5939,314,5848,307,5755,305xe" filled="false" stroked="true" strokeweight=".75pt" strokecolor="#000000">
                  <v:path arrowok="t"/>
                  <v:stroke dashstyle="solid"/>
                </v:shape>
                <v:shape style="position:absolute;left:4591;top:2500;width:2154;height:1627" type="#_x0000_t75" id="docshape207" stroked="false">
                  <v:imagedata r:id="rId14" o:title=""/>
                </v:shape>
                <v:shape style="position:absolute;left:4591;top:2500;width:2154;height:1627" id="docshape208" coordorigin="4591,2501" coordsize="2154,1627" path="m5668,2501l5584,2503,5501,2510,5421,2522,5343,2538,5267,2559,5194,2583,5124,2612,5058,2644,4994,2679,4935,2718,4879,2760,4828,2805,4780,2853,4738,2903,4700,2956,4668,3011,4641,3069,4619,3128,4604,3188,4594,3251,4591,3314,4594,3378,4604,3440,4619,3501,4641,3560,4668,3617,4700,3672,4738,3725,4780,3775,4828,3823,4879,3868,4935,3910,4994,3949,5058,3984,5124,4017,5194,4045,5267,4069,5343,4090,5421,4106,5501,4118,5584,4125,5668,4128,5752,4125,5835,4118,5915,4106,5993,4090,6069,4069,6142,4045,6212,4017,6278,3984,6342,3949,6401,3910,6457,3868,6508,3823,6556,3775,6598,3725,6636,3672,6668,3617,6695,3560,6717,3501,6732,3440,6742,3378,6745,3314,6742,3251,6732,3188,6717,3128,6695,3069,6668,3011,6636,2956,6598,2903,6556,2853,6508,2805,6457,2760,6401,2718,6342,2679,6278,2644,6212,2612,6142,2583,6069,2559,5993,2538,5915,2522,5835,2510,5752,2503,5668,2501xe" filled="false" stroked="true" strokeweight=".75pt" strokecolor="#000000">
                  <v:path arrowok="t"/>
                  <v:stroke dashstyle="solid"/>
                </v:shape>
                <v:shape style="position:absolute;left:7238;top:4127;width:1791;height:1371" type="#_x0000_t75" id="docshape209" stroked="false">
                  <v:imagedata r:id="rId15" o:title=""/>
                </v:shape>
                <v:shape style="position:absolute;left:7238;top:4127;width:1791;height:1371" id="docshape210" coordorigin="7238,4128" coordsize="1791,1371" path="m8134,4128l8047,4131,7963,4140,7882,4155,7804,4176,7729,4201,7658,4232,7592,4267,7530,4307,7472,4351,7420,4398,7374,4449,7334,4504,7301,4561,7274,4621,7254,4683,7242,4747,7238,4813,7242,4879,7254,4943,7274,5006,7301,5065,7334,5123,7374,5177,7420,5228,7472,5275,7530,5319,7592,5359,7658,5394,7729,5425,7804,5451,7882,5471,7963,5486,8047,5495,8134,5499,8220,5495,8304,5486,8385,5471,8463,5451,8538,5425,8609,5394,8675,5359,8737,5319,8795,5275,8847,5228,8893,5177,8933,5123,8966,5065,8993,5006,9013,4943,9025,4879,9029,4813,9025,4747,9013,4683,8993,4621,8966,4561,8933,4504,8893,4449,8847,4398,8795,4351,8737,4307,8675,4267,8609,4232,8538,4201,8463,4176,8385,4155,8304,4140,8220,4131,8134,4128xe" filled="false" stroked="true" strokeweight=".75pt" strokecolor="#000000">
                  <v:path arrowok="t"/>
                  <v:stroke dashstyle="solid"/>
                </v:shape>
                <v:shape style="position:absolute;left:1669;top:3938;width:1947;height:1385" type="#_x0000_t75" id="docshape211" stroked="false">
                  <v:imagedata r:id="rId16" o:title=""/>
                </v:shape>
                <v:shape style="position:absolute;left:1669;top:3938;width:1947;height:1385" id="docshape212" coordorigin="1669,3939" coordsize="1947,1385" path="m2642,3939l2554,3941,2468,3950,2384,3963,2303,3982,2225,4005,2151,4033,2081,4065,2015,4101,1954,4141,1898,4185,1847,4232,1802,4282,1763,4334,1730,4389,1704,4447,1685,4507,1673,4568,1669,4631,1673,4694,1685,4756,1704,4815,1730,4873,1763,4928,1802,4981,1847,5030,1898,5077,1954,5121,2015,5161,2081,5197,2151,5229,2225,5257,2303,5280,2384,5299,2468,5312,2554,5321,2642,5324,2731,5321,2817,5312,2901,5299,2982,5280,3060,5257,3134,5229,3204,5197,3270,5161,3331,5121,3387,5077,3438,5030,3483,4981,3522,4928,3555,4873,3581,4815,3600,4756,3612,4694,3616,4631,3612,4568,3600,4507,3581,4447,3555,4389,3522,4334,3483,4282,3438,4232,3387,4185,3331,4141,3270,4101,3204,4065,3134,4033,3060,4005,2982,3982,2901,3963,2817,3950,2731,3941,2642,3939xe" filled="false" stroked="true" strokeweight=".75pt" strokecolor="#000000">
                  <v:path arrowok="t"/>
                  <v:stroke dashstyle="solid"/>
                </v:shape>
                <v:shape style="position:absolute;left:3689;top:2006;width:4016;height:2982" id="docshape213" coordorigin="3689,2007" coordsize="4016,2982" path="m5056,2007l3689,2007,3689,2574,5056,2574,5056,2007xm6745,4422l4752,4422,4752,4989,6745,4989,6745,4422xm7705,2007l5698,2007,5698,2457,7705,2457,7705,2007xe" filled="true" fillcolor="#ffffff" stroked="false">
                  <v:path arrowok="t"/>
                  <v:fill type="solid"/>
                </v:shape>
                <v:shape style="position:absolute;left:5545;top:1736;width:203;height:790" id="docshape214" coordorigin="5545,1737" coordsize="203,790" path="m5748,1737l5698,1737,5698,1767,5698,1797,5688,1797,5688,2457,5605,2457,5575,2457,5575,1767,5555,1767,5555,1737,5545,1737,5545,1767,5545,2497,5545,2527,5748,2527,5748,2497,5748,1767,5748,1737xe" filled="true" fillcolor="#974706" stroked="false">
                  <v:path arrowok="t"/>
                  <v:fill opacity="32896f" type="solid"/>
                </v:shape>
                <v:rect style="position:absolute;left:5555;top:1726;width:143;height:730" id="docshape215" filled="true" fillcolor="#f79646" stroked="false">
                  <v:fill type="solid"/>
                </v:rect>
                <v:rect style="position:absolute;left:5555;top:1726;width:143;height:730" id="docshape216" filled="false" stroked="true" strokeweight="3pt" strokecolor="#f2f2f2">
                  <v:stroke dashstyle="solid"/>
                </v:rect>
                <v:shape style="position:absolute;left:3576;top:3742;width:1141;height:1009" id="docshape217" coordorigin="3577,3743" coordsize="1141,1009" path="m4576,3743l3577,4584,3718,4751,3768,4709,3721,4709,3619,4587,4573,3785,4612,3785,4576,3743xm4573,3785l3619,4587,3721,4709,3772,4667,3725,4667,3661,4591,4569,3828,4608,3828,4573,3785xm4612,3785l4573,3785,4675,3907,3721,4709,3768,4709,4717,3911,4612,3785xm4569,3828l3661,4591,3725,4667,4633,3903,4569,3828xm4608,3828l4569,3828,4633,3903,3725,4667,3772,4667,4675,3907,4608,3828xe" filled="true" fillcolor="#974706" stroked="false">
                  <v:path arrowok="t"/>
                  <v:fill opacity="32896f" type="solid"/>
                </v:shape>
                <v:shape style="position:absolute;left:3599;top:3745;width:1056;height:924" id="docshape218" coordorigin="3599,3745" coordsize="1056,924" path="m4553,3745l3599,4547,3701,4669,4655,3867,4553,3745xe" filled="true" fillcolor="#f79646" stroked="false">
                  <v:path arrowok="t"/>
                  <v:fill type="solid"/>
                </v:shape>
                <v:shape style="position:absolute;left:3599;top:3745;width:1056;height:924" id="docshape219" coordorigin="3599,3745" coordsize="1056,924" path="m3599,4547l3701,4669,4655,3867,4553,3745,3599,4547xe" filled="false" stroked="true" strokeweight="3pt" strokecolor="#f2f2f2">
                  <v:path arrowok="t"/>
                  <v:stroke dashstyle="solid"/>
                </v:shape>
                <v:shape style="position:absolute;left:6600;top:3711;width:881;height:1099" id="docshape220" coordorigin="6600,3712" coordsize="881,1099" path="m6805,3712l6600,3857,7276,4811,7335,4769,7283,4769,6642,3864,6798,3753,6835,3753,6805,3712xm6798,3753l6642,3864,7283,4769,7342,4727,7290,4727,6684,3871,6791,3795,6827,3795,6798,3753xm6835,3753l6798,3753,7439,4658,7283,4769,7335,4769,7481,4665,6835,3753xm6791,3795l6684,3871,7290,4727,7397,4651,6791,3795xm6827,3795l6791,3795,7397,4651,7290,4727,7342,4727,7439,4658,6827,3795xe" filled="true" fillcolor="#974706" stroked="false">
                  <v:path arrowok="t"/>
                  <v:fill opacity="32896f" type="solid"/>
                </v:shape>
                <v:shape style="position:absolute;left:6621;top:3713;width:798;height:1016" id="docshape221" coordorigin="6622,3713" coordsize="798,1016" path="m6778,3713l6622,3824,7263,4729,7419,4618,6778,3713xe" filled="true" fillcolor="#f79646" stroked="false">
                  <v:path arrowok="t"/>
                  <v:fill type="solid"/>
                </v:shape>
                <v:shape style="position:absolute;left:6621;top:3713;width:798;height:1016" id="docshape222" coordorigin="6622,3713" coordsize="798,1016" path="m6622,3824l7263,4729,7419,4618,6778,3713,6622,3824xe" filled="false" stroked="true" strokeweight="3pt" strokecolor="#f2f2f2">
                  <v:path arrowok="t"/>
                  <v:stroke dashstyle="solid"/>
                </v:shape>
                <v:shape style="position:absolute;left:5320;top:939;width:888;height:240" type="#_x0000_t202" id="docshape223" filled="false" stroked="false">
                  <v:textbox inset="0,0,0,0">
                    <w:txbxContent>
                      <w:p>
                        <w:pPr>
                          <w:spacing w:line="240" w:lineRule="exact" w:before="0"/>
                          <w:ind w:left="0" w:right="0" w:firstLine="0"/>
                          <w:jc w:val="left"/>
                          <w:rPr>
                            <w:rFonts w:ascii="Calibri"/>
                            <w:b/>
                            <w:sz w:val="24"/>
                          </w:rPr>
                        </w:pPr>
                        <w:r>
                          <w:rPr>
                            <w:rFonts w:ascii="Calibri"/>
                            <w:b/>
                            <w:spacing w:val="-2"/>
                            <w:sz w:val="24"/>
                          </w:rPr>
                          <w:t>Planning</w:t>
                        </w:r>
                      </w:p>
                    </w:txbxContent>
                  </v:textbox>
                  <w10:wrap type="none"/>
                </v:shape>
                <v:shape style="position:absolute;left:3832;top:2122;width:849;height:221" type="#_x0000_t202" id="docshape224" filled="false" stroked="false">
                  <v:textbox inset="0,0,0,0">
                    <w:txbxContent>
                      <w:p>
                        <w:pPr>
                          <w:spacing w:line="221" w:lineRule="exact" w:before="0"/>
                          <w:ind w:left="0" w:right="0" w:firstLine="0"/>
                          <w:jc w:val="left"/>
                          <w:rPr>
                            <w:rFonts w:ascii="Calibri"/>
                            <w:sz w:val="22"/>
                          </w:rPr>
                        </w:pPr>
                        <w:r>
                          <w:rPr>
                            <w:rFonts w:ascii="Calibri"/>
                            <w:spacing w:val="-2"/>
                            <w:sz w:val="22"/>
                          </w:rPr>
                          <w:t>CULTURE</w:t>
                        </w:r>
                      </w:p>
                    </w:txbxContent>
                  </v:textbox>
                  <w10:wrap type="none"/>
                </v:shape>
                <v:shape style="position:absolute;left:5841;top:2122;width:1697;height:221" type="#_x0000_t202" id="docshape225" filled="false" stroked="false">
                  <v:textbox inset="0,0,0,0">
                    <w:txbxContent>
                      <w:p>
                        <w:pPr>
                          <w:spacing w:line="221" w:lineRule="exact" w:before="0"/>
                          <w:ind w:left="0" w:right="0" w:firstLine="0"/>
                          <w:jc w:val="left"/>
                          <w:rPr>
                            <w:rFonts w:ascii="Calibri"/>
                            <w:sz w:val="22"/>
                          </w:rPr>
                        </w:pPr>
                        <w:r>
                          <w:rPr>
                            <w:rFonts w:ascii="Calibri"/>
                            <w:spacing w:val="-2"/>
                            <w:sz w:val="22"/>
                          </w:rPr>
                          <w:t>COMMUNICATION</w:t>
                        </w:r>
                      </w:p>
                    </w:txbxContent>
                  </v:textbox>
                  <w10:wrap type="none"/>
                </v:shape>
                <v:shape style="position:absolute;left:5023;top:3178;width:1310;height:240" type="#_x0000_t202" id="docshape226" filled="false" stroked="false">
                  <v:textbox inset="0,0,0,0">
                    <w:txbxContent>
                      <w:p>
                        <w:pPr>
                          <w:spacing w:line="240" w:lineRule="exact" w:before="0"/>
                          <w:ind w:left="0" w:right="0" w:firstLine="0"/>
                          <w:jc w:val="left"/>
                          <w:rPr>
                            <w:rFonts w:ascii="Calibri"/>
                            <w:b/>
                            <w:sz w:val="24"/>
                          </w:rPr>
                        </w:pPr>
                        <w:r>
                          <w:rPr>
                            <w:rFonts w:ascii="Calibri"/>
                            <w:b/>
                            <w:spacing w:val="-2"/>
                            <w:sz w:val="24"/>
                          </w:rPr>
                          <w:t>Performance</w:t>
                        </w:r>
                      </w:p>
                    </w:txbxContent>
                  </v:textbox>
                  <w10:wrap type="none"/>
                </v:shape>
                <v:shape style="position:absolute;left:2299;top:4584;width:708;height:240" type="#_x0000_t202" id="docshape227" filled="false" stroked="false">
                  <v:textbox inset="0,0,0,0">
                    <w:txbxContent>
                      <w:p>
                        <w:pPr>
                          <w:spacing w:line="240" w:lineRule="exact" w:before="0"/>
                          <w:ind w:left="0" w:right="0" w:firstLine="0"/>
                          <w:jc w:val="left"/>
                          <w:rPr>
                            <w:rFonts w:ascii="Calibri"/>
                            <w:b/>
                            <w:sz w:val="24"/>
                          </w:rPr>
                        </w:pPr>
                        <w:r>
                          <w:rPr>
                            <w:rFonts w:ascii="Calibri"/>
                            <w:b/>
                            <w:spacing w:val="-2"/>
                            <w:sz w:val="24"/>
                          </w:rPr>
                          <w:t>People</w:t>
                        </w:r>
                      </w:p>
                    </w:txbxContent>
                  </v:textbox>
                  <w10:wrap type="none"/>
                </v:shape>
                <v:shape style="position:absolute;left:4896;top:4536;width:1369;height:221" type="#_x0000_t202" id="docshape228" filled="false" stroked="false">
                  <v:textbox inset="0,0,0,0">
                    <w:txbxContent>
                      <w:p>
                        <w:pPr>
                          <w:spacing w:line="221" w:lineRule="exact" w:before="0"/>
                          <w:ind w:left="0" w:right="0" w:firstLine="0"/>
                          <w:jc w:val="left"/>
                          <w:rPr>
                            <w:rFonts w:ascii="Calibri"/>
                            <w:sz w:val="22"/>
                          </w:rPr>
                        </w:pPr>
                        <w:r>
                          <w:rPr>
                            <w:rFonts w:ascii="Calibri"/>
                            <w:spacing w:val="-2"/>
                            <w:sz w:val="22"/>
                          </w:rPr>
                          <w:t>COMMITMENT</w:t>
                        </w:r>
                      </w:p>
                    </w:txbxContent>
                  </v:textbox>
                  <w10:wrap type="none"/>
                </v:shape>
                <v:shape style="position:absolute;left:7754;top:4767;width:776;height:240" type="#_x0000_t202" id="docshape229" filled="false" stroked="false">
                  <v:textbox inset="0,0,0,0">
                    <w:txbxContent>
                      <w:p>
                        <w:pPr>
                          <w:spacing w:line="240" w:lineRule="exact" w:before="0"/>
                          <w:ind w:left="0" w:right="0" w:firstLine="0"/>
                          <w:jc w:val="left"/>
                          <w:rPr>
                            <w:rFonts w:ascii="Calibri"/>
                            <w:b/>
                            <w:sz w:val="24"/>
                          </w:rPr>
                        </w:pPr>
                        <w:r>
                          <w:rPr>
                            <w:rFonts w:ascii="Calibri"/>
                            <w:b/>
                            <w:spacing w:val="-2"/>
                            <w:sz w:val="24"/>
                          </w:rPr>
                          <w:t>Process</w:t>
                        </w:r>
                      </w:p>
                    </w:txbxContent>
                  </v:textbox>
                  <w10:wrap type="none"/>
                </v:shape>
                <w10:wrap type="topAndBottom"/>
              </v:group>
            </w:pict>
          </mc:Fallback>
        </mc:AlternateContent>
      </w:r>
    </w:p>
    <w:p>
      <w:pPr>
        <w:pStyle w:val="BodyText"/>
      </w:pPr>
    </w:p>
    <w:p>
      <w:pPr>
        <w:pStyle w:val="BodyText"/>
        <w:spacing w:before="144"/>
      </w:pPr>
    </w:p>
    <w:p>
      <w:pPr>
        <w:pStyle w:val="Heading2"/>
        <w:spacing w:line="360" w:lineRule="auto"/>
        <w:ind w:right="4418"/>
        <w:jc w:val="left"/>
      </w:pPr>
      <w:r>
        <w:rPr/>
        <w:t>Figure</w:t>
      </w:r>
      <w:r>
        <w:rPr>
          <w:spacing w:val="-7"/>
        </w:rPr>
        <w:t> </w:t>
      </w:r>
      <w:r>
        <w:rPr/>
        <w:t>3.8:</w:t>
      </w:r>
      <w:r>
        <w:rPr>
          <w:spacing w:val="-7"/>
        </w:rPr>
        <w:t> </w:t>
      </w:r>
      <w:r>
        <w:rPr/>
        <w:t>New</w:t>
      </w:r>
      <w:r>
        <w:rPr>
          <w:spacing w:val="-2"/>
        </w:rPr>
        <w:t> </w:t>
      </w:r>
      <w:r>
        <w:rPr/>
        <w:t>Framework</w:t>
      </w:r>
      <w:r>
        <w:rPr>
          <w:spacing w:val="-6"/>
        </w:rPr>
        <w:t> </w:t>
      </w:r>
      <w:r>
        <w:rPr/>
        <w:t>for</w:t>
      </w:r>
      <w:r>
        <w:rPr>
          <w:spacing w:val="-7"/>
        </w:rPr>
        <w:t> </w:t>
      </w:r>
      <w:r>
        <w:rPr/>
        <w:t>Total</w:t>
      </w:r>
      <w:r>
        <w:rPr>
          <w:spacing w:val="-6"/>
        </w:rPr>
        <w:t> </w:t>
      </w:r>
      <w:r>
        <w:rPr/>
        <w:t>Quality</w:t>
      </w:r>
      <w:r>
        <w:rPr>
          <w:spacing w:val="-8"/>
        </w:rPr>
        <w:t> </w:t>
      </w:r>
      <w:r>
        <w:rPr/>
        <w:t>Management Source: Oakland and Marosszeky (2006)</w:t>
      </w:r>
    </w:p>
    <w:p>
      <w:pPr>
        <w:pStyle w:val="BodyText"/>
        <w:spacing w:before="156"/>
        <w:rPr>
          <w:b/>
        </w:rPr>
      </w:pPr>
    </w:p>
    <w:p>
      <w:pPr>
        <w:pStyle w:val="Heading3"/>
        <w:numPr>
          <w:ilvl w:val="3"/>
          <w:numId w:val="30"/>
        </w:numPr>
        <w:tabs>
          <w:tab w:pos="1839" w:val="left" w:leader="none"/>
        </w:tabs>
        <w:spacing w:line="240" w:lineRule="auto" w:before="0" w:after="0"/>
        <w:ind w:left="1839" w:right="0" w:hanging="1439"/>
        <w:jc w:val="left"/>
      </w:pPr>
      <w:r>
        <w:rPr/>
        <w:t>Australian</w:t>
      </w:r>
      <w:r>
        <w:rPr>
          <w:spacing w:val="-3"/>
        </w:rPr>
        <w:t> </w:t>
      </w:r>
      <w:r>
        <w:rPr/>
        <w:t>quality</w:t>
      </w:r>
      <w:r>
        <w:rPr>
          <w:spacing w:val="-4"/>
        </w:rPr>
        <w:t> </w:t>
      </w:r>
      <w:r>
        <w:rPr/>
        <w:t>award</w:t>
      </w:r>
      <w:r>
        <w:rPr>
          <w:spacing w:val="-2"/>
        </w:rPr>
        <w:t> (AQA):</w:t>
      </w:r>
    </w:p>
    <w:p>
      <w:pPr>
        <w:pStyle w:val="BodyText"/>
        <w:spacing w:before="156"/>
        <w:rPr>
          <w:b/>
          <w:i/>
        </w:rPr>
      </w:pPr>
    </w:p>
    <w:p>
      <w:pPr>
        <w:pStyle w:val="BodyText"/>
        <w:spacing w:line="480" w:lineRule="auto" w:before="1"/>
        <w:ind w:left="400" w:right="1319"/>
        <w:jc w:val="both"/>
      </w:pPr>
      <w:r>
        <w:rPr/>
        <w:t>The Australian Quality Award provides a model certified by the Australian Quality Council, an organisation recognized by the Commonwealth Government of Australia as the top organisation for quality management.</w:t>
      </w:r>
    </w:p>
    <w:p>
      <w:pPr>
        <w:pStyle w:val="BodyText"/>
        <w:spacing w:line="480" w:lineRule="auto" w:before="160"/>
        <w:ind w:left="400" w:right="1319"/>
        <w:jc w:val="both"/>
      </w:pPr>
      <w:r>
        <w:rPr/>
        <w:t>The Council measures quality performance through six categories of criteria. The people, information and analysis, strategy, policy, and planning</w:t>
      </w:r>
      <w:r>
        <w:rPr>
          <w:spacing w:val="-1"/>
        </w:rPr>
        <w:t> </w:t>
      </w:r>
      <w:r>
        <w:rPr/>
        <w:t>categories have the greatest effect on the quality</w:t>
      </w:r>
      <w:r>
        <w:rPr>
          <w:spacing w:val="51"/>
          <w:w w:val="150"/>
        </w:rPr>
        <w:t> </w:t>
      </w:r>
      <w:r>
        <w:rPr/>
        <w:t>of</w:t>
      </w:r>
      <w:r>
        <w:rPr>
          <w:spacing w:val="58"/>
          <w:w w:val="150"/>
        </w:rPr>
        <w:t> </w:t>
      </w:r>
      <w:r>
        <w:rPr/>
        <w:t>processes,</w:t>
      </w:r>
      <w:r>
        <w:rPr>
          <w:spacing w:val="61"/>
          <w:w w:val="150"/>
        </w:rPr>
        <w:t> </w:t>
      </w:r>
      <w:r>
        <w:rPr/>
        <w:t>according</w:t>
      </w:r>
      <w:r>
        <w:rPr>
          <w:spacing w:val="56"/>
          <w:w w:val="150"/>
        </w:rPr>
        <w:t> </w:t>
      </w:r>
      <w:r>
        <w:rPr/>
        <w:t>to</w:t>
      </w:r>
      <w:r>
        <w:rPr>
          <w:spacing w:val="58"/>
          <w:w w:val="150"/>
        </w:rPr>
        <w:t> </w:t>
      </w:r>
      <w:r>
        <w:rPr/>
        <w:t>the</w:t>
      </w:r>
      <w:r>
        <w:rPr>
          <w:spacing w:val="57"/>
          <w:w w:val="150"/>
        </w:rPr>
        <w:t> </w:t>
      </w:r>
      <w:r>
        <w:rPr/>
        <w:t>model.</w:t>
      </w:r>
      <w:r>
        <w:rPr>
          <w:spacing w:val="61"/>
          <w:w w:val="150"/>
        </w:rPr>
        <w:t> </w:t>
      </w:r>
      <w:r>
        <w:rPr/>
        <w:t>The</w:t>
      </w:r>
      <w:r>
        <w:rPr>
          <w:spacing w:val="57"/>
          <w:w w:val="150"/>
        </w:rPr>
        <w:t> </w:t>
      </w:r>
      <w:r>
        <w:rPr/>
        <w:t>quality</w:t>
      </w:r>
      <w:r>
        <w:rPr>
          <w:spacing w:val="54"/>
          <w:w w:val="150"/>
        </w:rPr>
        <w:t> </w:t>
      </w:r>
      <w:r>
        <w:rPr/>
        <w:t>of</w:t>
      </w:r>
      <w:r>
        <w:rPr>
          <w:spacing w:val="58"/>
          <w:w w:val="150"/>
        </w:rPr>
        <w:t> </w:t>
      </w:r>
      <w:r>
        <w:rPr/>
        <w:t>processes,</w:t>
      </w:r>
      <w:r>
        <w:rPr>
          <w:spacing w:val="58"/>
          <w:w w:val="150"/>
        </w:rPr>
        <w:t> </w:t>
      </w:r>
      <w:r>
        <w:rPr/>
        <w:t>in</w:t>
      </w:r>
      <w:r>
        <w:rPr>
          <w:spacing w:val="58"/>
          <w:w w:val="150"/>
        </w:rPr>
        <w:t> </w:t>
      </w:r>
      <w:r>
        <w:rPr/>
        <w:t>turn,</w:t>
      </w:r>
      <w:r>
        <w:rPr>
          <w:spacing w:val="58"/>
          <w:w w:val="150"/>
        </w:rPr>
        <w:t> </w:t>
      </w:r>
      <w:r>
        <w:rPr>
          <w:spacing w:val="-2"/>
        </w:rPr>
        <w:t>affects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organisational</w:t>
      </w:r>
      <w:r>
        <w:rPr>
          <w:spacing w:val="-1"/>
        </w:rPr>
        <w:t> </w:t>
      </w:r>
      <w:r>
        <w:rPr/>
        <w:t>performance.</w:t>
      </w:r>
      <w:r>
        <w:rPr>
          <w:spacing w:val="-1"/>
        </w:rPr>
        <w:t> </w:t>
      </w:r>
      <w:r>
        <w:rPr/>
        <w:t>Customer focus and</w:t>
      </w:r>
      <w:r>
        <w:rPr>
          <w:spacing w:val="-1"/>
        </w:rPr>
        <w:t> </w:t>
      </w:r>
      <w:r>
        <w:rPr/>
        <w:t>leadership are</w:t>
      </w:r>
      <w:r>
        <w:rPr>
          <w:spacing w:val="-2"/>
        </w:rPr>
        <w:t> </w:t>
      </w:r>
      <w:r>
        <w:rPr/>
        <w:t>key</w:t>
      </w:r>
      <w:r>
        <w:rPr>
          <w:spacing w:val="-3"/>
        </w:rPr>
        <w:t> </w:t>
      </w:r>
      <w:r>
        <w:rPr/>
        <w:t>elements,</w:t>
      </w:r>
      <w:r>
        <w:rPr>
          <w:spacing w:val="-1"/>
        </w:rPr>
        <w:t> </w:t>
      </w:r>
      <w:r>
        <w:rPr/>
        <w:t>interacting</w:t>
      </w:r>
      <w:r>
        <w:rPr>
          <w:spacing w:val="-3"/>
        </w:rPr>
        <w:t> </w:t>
      </w:r>
      <w:r>
        <w:rPr/>
        <w:t>with all the</w:t>
      </w:r>
      <w:r>
        <w:rPr>
          <w:spacing w:val="-1"/>
        </w:rPr>
        <w:t> </w:t>
      </w:r>
      <w:r>
        <w:rPr/>
        <w:t>other</w:t>
      </w:r>
      <w:r>
        <w:rPr>
          <w:spacing w:val="-1"/>
        </w:rPr>
        <w:t> </w:t>
      </w:r>
      <w:r>
        <w:rPr/>
        <w:t>parts of</w:t>
      </w:r>
      <w:r>
        <w:rPr>
          <w:spacing w:val="-1"/>
        </w:rPr>
        <w:t> </w:t>
      </w:r>
      <w:r>
        <w:rPr/>
        <w:t>the</w:t>
      </w:r>
      <w:r>
        <w:rPr>
          <w:spacing w:val="-1"/>
        </w:rPr>
        <w:t> </w:t>
      </w:r>
      <w:r>
        <w:rPr/>
        <w:t>model. Although it is similar</w:t>
      </w:r>
      <w:r>
        <w:rPr>
          <w:spacing w:val="-1"/>
        </w:rPr>
        <w:t> </w:t>
      </w:r>
      <w:r>
        <w:rPr/>
        <w:t>to the</w:t>
      </w:r>
      <w:r>
        <w:rPr>
          <w:spacing w:val="-1"/>
        </w:rPr>
        <w:t> </w:t>
      </w:r>
      <w:r>
        <w:rPr/>
        <w:t>MBNQA, the</w:t>
      </w:r>
      <w:r>
        <w:rPr>
          <w:spacing w:val="-1"/>
        </w:rPr>
        <w:t> </w:t>
      </w:r>
      <w:r>
        <w:rPr/>
        <w:t>Australian Quality</w:t>
      </w:r>
      <w:r>
        <w:rPr>
          <w:spacing w:val="-5"/>
        </w:rPr>
        <w:t> </w:t>
      </w:r>
      <w:r>
        <w:rPr/>
        <w:t>Award has an increased emphasis on the significance of multicultural management (Ahmed, 2010).</w:t>
      </w:r>
    </w:p>
    <w:p>
      <w:pPr>
        <w:pStyle w:val="BodyText"/>
        <w:spacing w:line="480" w:lineRule="auto" w:before="161"/>
        <w:ind w:left="399" w:right="1313"/>
        <w:jc w:val="both"/>
      </w:pPr>
      <w:r>
        <w:rPr/>
        <w:t>The AQA's evaluation framework consists of six examination categories: leadership, policy and planning, information and analysis, people, customer focus, and quality of process/product and service. The</w:t>
      </w:r>
      <w:r>
        <w:rPr>
          <w:spacing w:val="-1"/>
        </w:rPr>
        <w:t> </w:t>
      </w:r>
      <w:r>
        <w:rPr/>
        <w:t>design is a quality</w:t>
      </w:r>
      <w:r>
        <w:rPr>
          <w:spacing w:val="-4"/>
        </w:rPr>
        <w:t> </w:t>
      </w:r>
      <w:r>
        <w:rPr/>
        <w:t>oriented process and procedure, based on the</w:t>
      </w:r>
      <w:r>
        <w:rPr>
          <w:spacing w:val="-1"/>
        </w:rPr>
        <w:t> </w:t>
      </w:r>
      <w:r>
        <w:rPr/>
        <w:t>premise that quality improvement requires an influential leadership which leads the quality programme forward and nurtures a creative and innovative workforce capable of improving output quality and meet customer satisfaction. The Australian Quality Award evaluation framework is depicted in the figure 3.9 below:</w:t>
      </w:r>
    </w:p>
    <w:p>
      <w:pPr>
        <w:pStyle w:val="BodyText"/>
        <w:spacing w:before="44"/>
        <w:rPr>
          <w:sz w:val="20"/>
        </w:rPr>
      </w:pPr>
      <w:r>
        <w:rPr/>
        <w:drawing>
          <wp:anchor distT="0" distB="0" distL="0" distR="0" allowOverlap="1" layoutInCell="1" locked="0" behindDoc="1" simplePos="0" relativeHeight="487610368">
            <wp:simplePos x="0" y="0"/>
            <wp:positionH relativeFrom="page">
              <wp:posOffset>908684</wp:posOffset>
            </wp:positionH>
            <wp:positionV relativeFrom="paragraph">
              <wp:posOffset>189526</wp:posOffset>
            </wp:positionV>
            <wp:extent cx="4507295" cy="2572512"/>
            <wp:effectExtent l="0" t="0" r="0" b="0"/>
            <wp:wrapTopAndBottom/>
            <wp:docPr id="275" name="Image 275" descr="https://www.saiglobal.com/ABEF%20image.jpg"/>
            <wp:cNvGraphicFramePr>
              <a:graphicFrameLocks/>
            </wp:cNvGraphicFramePr>
            <a:graphic>
              <a:graphicData uri="http://schemas.openxmlformats.org/drawingml/2006/picture">
                <pic:pic>
                  <pic:nvPicPr>
                    <pic:cNvPr id="275" name="Image 275" descr="https://www.saiglobal.com/ABEF%20image.jpg"/>
                    <pic:cNvPicPr/>
                  </pic:nvPicPr>
                  <pic:blipFill>
                    <a:blip r:embed="rId17" cstate="print"/>
                    <a:stretch>
                      <a:fillRect/>
                    </a:stretch>
                  </pic:blipFill>
                  <pic:spPr>
                    <a:xfrm>
                      <a:off x="0" y="0"/>
                      <a:ext cx="4507295" cy="2572512"/>
                    </a:xfrm>
                    <a:prstGeom prst="rect">
                      <a:avLst/>
                    </a:prstGeom>
                  </pic:spPr>
                </pic:pic>
              </a:graphicData>
            </a:graphic>
          </wp:anchor>
        </w:drawing>
      </w:r>
    </w:p>
    <w:p>
      <w:pPr>
        <w:pStyle w:val="BodyText"/>
        <w:spacing w:before="92"/>
      </w:pPr>
    </w:p>
    <w:p>
      <w:pPr>
        <w:pStyle w:val="Heading2"/>
        <w:spacing w:line="360" w:lineRule="auto" w:before="1"/>
        <w:ind w:left="1839" w:right="3757"/>
        <w:jc w:val="left"/>
      </w:pPr>
      <w:r>
        <w:rPr/>
        <w:t>Figure</w:t>
      </w:r>
      <w:r>
        <w:rPr>
          <w:spacing w:val="-7"/>
        </w:rPr>
        <w:t> </w:t>
      </w:r>
      <w:r>
        <w:rPr/>
        <w:t>3.9:</w:t>
      </w:r>
      <w:r>
        <w:rPr>
          <w:spacing w:val="-7"/>
        </w:rPr>
        <w:t> </w:t>
      </w:r>
      <w:r>
        <w:rPr/>
        <w:t>The</w:t>
      </w:r>
      <w:r>
        <w:rPr>
          <w:spacing w:val="-7"/>
        </w:rPr>
        <w:t> </w:t>
      </w:r>
      <w:r>
        <w:rPr/>
        <w:t>Austrian</w:t>
      </w:r>
      <w:r>
        <w:rPr>
          <w:spacing w:val="-6"/>
        </w:rPr>
        <w:t> </w:t>
      </w:r>
      <w:r>
        <w:rPr/>
        <w:t>Quality</w:t>
      </w:r>
      <w:r>
        <w:rPr>
          <w:spacing w:val="-6"/>
        </w:rPr>
        <w:t> </w:t>
      </w:r>
      <w:r>
        <w:rPr/>
        <w:t>Award</w:t>
      </w:r>
      <w:r>
        <w:rPr>
          <w:spacing w:val="-6"/>
        </w:rPr>
        <w:t> </w:t>
      </w:r>
      <w:r>
        <w:rPr/>
        <w:t>Model Source: SAI Global (2018)</w:t>
      </w:r>
    </w:p>
    <w:p>
      <w:pPr>
        <w:pStyle w:val="BodyText"/>
        <w:spacing w:before="268"/>
        <w:rPr>
          <w:b/>
        </w:rPr>
      </w:pPr>
    </w:p>
    <w:p>
      <w:pPr>
        <w:pStyle w:val="BodyText"/>
        <w:spacing w:line="480" w:lineRule="auto" w:before="1"/>
        <w:ind w:left="399" w:right="1319"/>
        <w:jc w:val="both"/>
      </w:pPr>
      <w:r>
        <w:rPr/>
        <w:t>The model emphasises that management has to focus on internal customer satisfaction and workforce motivation to ensure full satisfaction for the external customer.</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Furthermore, the model implies that customer focus has to be taken into consideration within every activity to assure quality improvement and customer satisfaction. The AQA model core concepts and application assessment are similar to the Baldrige and European Quality Awards including application process, assessment, interviews, site visits and point values, but it neglects the business results in the evaluation process.</w:t>
      </w:r>
    </w:p>
    <w:p>
      <w:pPr>
        <w:pStyle w:val="BodyText"/>
        <w:spacing w:before="141"/>
      </w:pPr>
    </w:p>
    <w:p>
      <w:pPr>
        <w:pStyle w:val="Heading3"/>
        <w:numPr>
          <w:ilvl w:val="3"/>
          <w:numId w:val="30"/>
        </w:numPr>
        <w:tabs>
          <w:tab w:pos="1839" w:val="left" w:leader="none"/>
        </w:tabs>
        <w:spacing w:line="240" w:lineRule="auto" w:before="0" w:after="0"/>
        <w:ind w:left="1839" w:right="0" w:hanging="1439"/>
        <w:jc w:val="both"/>
      </w:pPr>
      <w:r>
        <w:rPr/>
        <w:t>King</w:t>
      </w:r>
      <w:r>
        <w:rPr>
          <w:spacing w:val="-4"/>
        </w:rPr>
        <w:t> </w:t>
      </w:r>
      <w:r>
        <w:rPr/>
        <w:t>Abdullah</w:t>
      </w:r>
      <w:r>
        <w:rPr>
          <w:spacing w:val="-2"/>
        </w:rPr>
        <w:t> </w:t>
      </w:r>
      <w:r>
        <w:rPr/>
        <w:t>II</w:t>
      </w:r>
      <w:r>
        <w:rPr>
          <w:spacing w:val="-2"/>
        </w:rPr>
        <w:t> </w:t>
      </w:r>
      <w:r>
        <w:rPr/>
        <w:t>award</w:t>
      </w:r>
      <w:r>
        <w:rPr>
          <w:spacing w:val="-4"/>
        </w:rPr>
        <w:t> </w:t>
      </w:r>
      <w:r>
        <w:rPr/>
        <w:t>for</w:t>
      </w:r>
      <w:r>
        <w:rPr>
          <w:spacing w:val="-2"/>
        </w:rPr>
        <w:t> </w:t>
      </w:r>
      <w:r>
        <w:rPr/>
        <w:t>excellence</w:t>
      </w:r>
      <w:r>
        <w:rPr>
          <w:spacing w:val="-2"/>
        </w:rPr>
        <w:t> (KAAE)</w:t>
      </w:r>
    </w:p>
    <w:p>
      <w:pPr>
        <w:pStyle w:val="BodyText"/>
        <w:spacing w:line="480" w:lineRule="auto" w:before="272"/>
        <w:ind w:left="400" w:right="1311"/>
        <w:jc w:val="both"/>
      </w:pPr>
      <w:r>
        <w:rPr/>
        <w:t>The King Abdullah II Award for Excellence was established by a royal decree in 2002. This award aims at enhancing the competitiveness of Jordanian businesses by promoting quality awareness and performance excellence, recognizing quality and business achievements of Jordanian organizations, and publicizing these organizations’ successful performance strategies and sharing them. The Award helps promote the concepts of excellence, innovation, quality and transparency in all government departments and institutions.</w:t>
      </w:r>
    </w:p>
    <w:p>
      <w:pPr>
        <w:pStyle w:val="BodyText"/>
        <w:spacing w:line="480" w:lineRule="auto" w:before="161"/>
        <w:ind w:left="399" w:right="1316" w:firstLine="60"/>
        <w:jc w:val="both"/>
      </w:pPr>
      <w:r>
        <w:rPr/>
        <w:t>The model examines leadership capacity to direct the organisation effectively to achieve the organisational goals and the provision of necessary resources. In addition, the award focuses on the general framework of the organisation's strategic planning, and examines the relationship between organisational culture and leadership commitment to employee improvement and enhancing organisation core value, achieving missions and strategic goals (Ahmed, 2010). The award also examines organisational procedures and policies in the area of predicting and</w:t>
      </w:r>
      <w:r>
        <w:rPr>
          <w:spacing w:val="40"/>
        </w:rPr>
        <w:t> </w:t>
      </w:r>
      <w:r>
        <w:rPr/>
        <w:t>strategic planning in terms of organisational vision, mission and strategies to achieve organisational goals by understanding the external and internal environments. In addition, it examines</w:t>
      </w:r>
      <w:r>
        <w:rPr>
          <w:spacing w:val="59"/>
          <w:w w:val="150"/>
        </w:rPr>
        <w:t> </w:t>
      </w:r>
      <w:r>
        <w:rPr/>
        <w:t>their</w:t>
      </w:r>
      <w:r>
        <w:rPr>
          <w:spacing w:val="61"/>
          <w:w w:val="150"/>
        </w:rPr>
        <w:t> </w:t>
      </w:r>
      <w:r>
        <w:rPr/>
        <w:t>ability</w:t>
      </w:r>
      <w:r>
        <w:rPr>
          <w:spacing w:val="57"/>
          <w:w w:val="150"/>
        </w:rPr>
        <w:t> </w:t>
      </w:r>
      <w:r>
        <w:rPr/>
        <w:t>to</w:t>
      </w:r>
      <w:r>
        <w:rPr>
          <w:spacing w:val="63"/>
          <w:w w:val="150"/>
        </w:rPr>
        <w:t> </w:t>
      </w:r>
      <w:r>
        <w:rPr/>
        <w:t>transfer</w:t>
      </w:r>
      <w:r>
        <w:rPr>
          <w:spacing w:val="61"/>
          <w:w w:val="150"/>
        </w:rPr>
        <w:t> </w:t>
      </w:r>
      <w:r>
        <w:rPr/>
        <w:t>these</w:t>
      </w:r>
      <w:r>
        <w:rPr>
          <w:spacing w:val="61"/>
          <w:w w:val="150"/>
        </w:rPr>
        <w:t> </w:t>
      </w:r>
      <w:r>
        <w:rPr/>
        <w:t>strategies</w:t>
      </w:r>
      <w:r>
        <w:rPr>
          <w:spacing w:val="61"/>
          <w:w w:val="150"/>
        </w:rPr>
        <w:t> </w:t>
      </w:r>
      <w:r>
        <w:rPr/>
        <w:t>into</w:t>
      </w:r>
      <w:r>
        <w:rPr>
          <w:spacing w:val="62"/>
          <w:w w:val="150"/>
        </w:rPr>
        <w:t> </w:t>
      </w:r>
      <w:r>
        <w:rPr/>
        <w:t>real</w:t>
      </w:r>
      <w:r>
        <w:rPr>
          <w:spacing w:val="63"/>
          <w:w w:val="150"/>
        </w:rPr>
        <w:t> </w:t>
      </w:r>
      <w:r>
        <w:rPr/>
        <w:t>work,</w:t>
      </w:r>
      <w:r>
        <w:rPr>
          <w:spacing w:val="62"/>
          <w:w w:val="150"/>
        </w:rPr>
        <w:t> </w:t>
      </w:r>
      <w:r>
        <w:rPr/>
        <w:t>and</w:t>
      </w:r>
      <w:r>
        <w:rPr>
          <w:spacing w:val="62"/>
          <w:w w:val="150"/>
        </w:rPr>
        <w:t> </w:t>
      </w:r>
      <w:r>
        <w:rPr/>
        <w:t>also</w:t>
      </w:r>
      <w:r>
        <w:rPr>
          <w:spacing w:val="62"/>
          <w:w w:val="150"/>
        </w:rPr>
        <w:t> </w:t>
      </w:r>
      <w:r>
        <w:rPr/>
        <w:t>whether</w:t>
      </w:r>
      <w:r>
        <w:rPr>
          <w:spacing w:val="61"/>
          <w:w w:val="150"/>
        </w:rPr>
        <w:t> </w:t>
      </w:r>
      <w:r>
        <w:rPr>
          <w:spacing w:val="-5"/>
        </w:rPr>
        <w:t>the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organisations are able to manage their human resource management, finance and information </w:t>
      </w:r>
      <w:r>
        <w:rPr>
          <w:spacing w:val="-2"/>
        </w:rPr>
        <w:t>systems.</w:t>
      </w:r>
    </w:p>
    <w:p>
      <w:pPr>
        <w:pStyle w:val="BodyText"/>
      </w:pPr>
    </w:p>
    <w:p>
      <w:pPr>
        <w:pStyle w:val="BodyText"/>
      </w:pPr>
    </w:p>
    <w:p>
      <w:pPr>
        <w:pStyle w:val="BodyText"/>
        <w:spacing w:line="480" w:lineRule="auto"/>
        <w:ind w:left="400" w:right="1314"/>
        <w:jc w:val="both"/>
      </w:pPr>
      <w:r>
        <w:rPr/>
        <w:t>The choice of a quality model or quality system is a critical issue because it depends on the</w:t>
      </w:r>
      <w:r>
        <w:rPr>
          <w:spacing w:val="40"/>
        </w:rPr>
        <w:t> </w:t>
      </w:r>
      <w:r>
        <w:rPr/>
        <w:t>vision of the organisation. There are many models, and each model can provide an idea to any organisation, but there is no model that can furnish all the solutions for all organisational requirements. Therefore, quality models or quality systems provide a concrete foundation to communicate as to how an organisation should work and identify the responsibilities of all members participating in the organisation. Table (3.4) present the different quality models.</w:t>
      </w:r>
    </w:p>
    <w:p>
      <w:pPr>
        <w:spacing w:after="0" w:line="480" w:lineRule="auto"/>
        <w:jc w:val="both"/>
        <w:sectPr>
          <w:pgSz w:w="12240" w:h="15840"/>
          <w:pgMar w:header="0" w:footer="1017" w:top="1360" w:bottom="1200" w:left="1040" w:right="120"/>
        </w:sectPr>
      </w:pPr>
    </w:p>
    <w:p>
      <w:pPr>
        <w:spacing w:before="79"/>
        <w:ind w:left="400" w:right="0" w:firstLine="0"/>
        <w:jc w:val="left"/>
        <w:rPr>
          <w:b/>
          <w:sz w:val="24"/>
        </w:rPr>
      </w:pPr>
      <w:r>
        <w:rPr>
          <w:b/>
          <w:sz w:val="24"/>
        </w:rPr>
        <w:t>Table</w:t>
      </w:r>
      <w:r>
        <w:rPr>
          <w:b/>
          <w:spacing w:val="-3"/>
          <w:sz w:val="24"/>
        </w:rPr>
        <w:t> </w:t>
      </w:r>
      <w:r>
        <w:rPr>
          <w:b/>
          <w:sz w:val="24"/>
        </w:rPr>
        <w:t>3.4</w:t>
      </w:r>
      <w:r>
        <w:rPr>
          <w:b/>
          <w:spacing w:val="-2"/>
          <w:sz w:val="24"/>
        </w:rPr>
        <w:t> </w:t>
      </w:r>
      <w:r>
        <w:rPr>
          <w:b/>
          <w:sz w:val="24"/>
        </w:rPr>
        <w:t>Comparison</w:t>
      </w:r>
      <w:r>
        <w:rPr>
          <w:b/>
          <w:spacing w:val="-2"/>
          <w:sz w:val="24"/>
        </w:rPr>
        <w:t> </w:t>
      </w:r>
      <w:r>
        <w:rPr>
          <w:b/>
          <w:sz w:val="24"/>
        </w:rPr>
        <w:t>of</w:t>
      </w:r>
      <w:r>
        <w:rPr>
          <w:b/>
          <w:spacing w:val="-2"/>
          <w:sz w:val="24"/>
        </w:rPr>
        <w:t> </w:t>
      </w:r>
      <w:r>
        <w:rPr>
          <w:b/>
          <w:sz w:val="24"/>
        </w:rPr>
        <w:t>different</w:t>
      </w:r>
      <w:r>
        <w:rPr>
          <w:b/>
          <w:spacing w:val="-2"/>
          <w:sz w:val="24"/>
        </w:rPr>
        <w:t> </w:t>
      </w:r>
      <w:r>
        <w:rPr>
          <w:b/>
          <w:sz w:val="24"/>
        </w:rPr>
        <w:t>Quality</w:t>
      </w:r>
      <w:r>
        <w:rPr>
          <w:b/>
          <w:spacing w:val="-2"/>
          <w:sz w:val="24"/>
        </w:rPr>
        <w:t> Models</w:t>
      </w:r>
    </w:p>
    <w:p>
      <w:pPr>
        <w:pStyle w:val="BodyText"/>
        <w:rPr>
          <w:b/>
          <w:sz w:val="20"/>
        </w:rPr>
      </w:pPr>
    </w:p>
    <w:p>
      <w:pPr>
        <w:pStyle w:val="BodyText"/>
        <w:spacing w:before="16"/>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7"/>
        <w:gridCol w:w="3836"/>
        <w:gridCol w:w="1507"/>
        <w:gridCol w:w="2403"/>
      </w:tblGrid>
      <w:tr>
        <w:trPr>
          <w:trHeight w:val="1828" w:hRule="atLeast"/>
        </w:trPr>
        <w:tc>
          <w:tcPr>
            <w:tcW w:w="1797" w:type="dxa"/>
            <w:shd w:val="clear" w:color="auto" w:fill="DBE5F1"/>
          </w:tcPr>
          <w:p>
            <w:pPr>
              <w:pStyle w:val="TableParagraph"/>
              <w:spacing w:line="275" w:lineRule="exact"/>
              <w:ind w:left="108"/>
              <w:rPr>
                <w:b/>
                <w:sz w:val="24"/>
              </w:rPr>
            </w:pPr>
            <w:r>
              <w:rPr>
                <w:b/>
                <w:spacing w:val="-2"/>
                <w:sz w:val="24"/>
              </w:rPr>
              <w:t>Models</w:t>
            </w:r>
          </w:p>
        </w:tc>
        <w:tc>
          <w:tcPr>
            <w:tcW w:w="3836" w:type="dxa"/>
            <w:shd w:val="clear" w:color="auto" w:fill="DBE5F1"/>
          </w:tcPr>
          <w:p>
            <w:pPr>
              <w:pStyle w:val="TableParagraph"/>
              <w:spacing w:line="275" w:lineRule="exact"/>
              <w:ind w:left="123"/>
              <w:rPr>
                <w:b/>
                <w:sz w:val="24"/>
              </w:rPr>
            </w:pPr>
            <w:r>
              <w:rPr>
                <w:b/>
                <w:spacing w:val="-2"/>
                <w:sz w:val="24"/>
              </w:rPr>
              <w:t>Criteria</w:t>
            </w:r>
          </w:p>
        </w:tc>
        <w:tc>
          <w:tcPr>
            <w:tcW w:w="1507" w:type="dxa"/>
            <w:shd w:val="clear" w:color="auto" w:fill="DBE5F1"/>
          </w:tcPr>
          <w:p>
            <w:pPr>
              <w:pStyle w:val="TableParagraph"/>
              <w:spacing w:line="275" w:lineRule="exact"/>
              <w:ind w:left="-18"/>
              <w:rPr>
                <w:b/>
                <w:sz w:val="24"/>
              </w:rPr>
            </w:pPr>
            <w:r>
              <w:rPr>
                <w:b/>
                <w:spacing w:val="-2"/>
                <w:sz w:val="24"/>
              </w:rPr>
              <w:t>Focuses</w:t>
            </w:r>
          </w:p>
        </w:tc>
        <w:tc>
          <w:tcPr>
            <w:tcW w:w="2403" w:type="dxa"/>
            <w:shd w:val="clear" w:color="auto" w:fill="DBE5F1"/>
          </w:tcPr>
          <w:p>
            <w:pPr>
              <w:pStyle w:val="TableParagraph"/>
              <w:spacing w:line="360" w:lineRule="auto"/>
              <w:ind w:left="4" w:right="187"/>
              <w:rPr>
                <w:b/>
                <w:sz w:val="24"/>
              </w:rPr>
            </w:pPr>
            <w:r>
              <w:rPr>
                <w:b/>
                <w:sz w:val="24"/>
              </w:rPr>
              <w:t>Most important elements have an impact on construction</w:t>
            </w:r>
            <w:r>
              <w:rPr>
                <w:b/>
                <w:spacing w:val="-15"/>
                <w:sz w:val="24"/>
              </w:rPr>
              <w:t> </w:t>
            </w:r>
            <w:r>
              <w:rPr>
                <w:b/>
                <w:sz w:val="24"/>
              </w:rPr>
              <w:t>industry</w:t>
            </w:r>
          </w:p>
        </w:tc>
      </w:tr>
      <w:tr>
        <w:trPr>
          <w:trHeight w:val="1977" w:hRule="atLeast"/>
        </w:trPr>
        <w:tc>
          <w:tcPr>
            <w:tcW w:w="1797" w:type="dxa"/>
          </w:tcPr>
          <w:p>
            <w:pPr>
              <w:pStyle w:val="TableParagraph"/>
              <w:spacing w:line="270" w:lineRule="exact"/>
              <w:ind w:left="108"/>
              <w:rPr>
                <w:sz w:val="24"/>
              </w:rPr>
            </w:pPr>
            <w:r>
              <w:rPr>
                <w:sz w:val="24"/>
              </w:rPr>
              <w:t>TQMEF</w:t>
            </w:r>
            <w:r>
              <w:rPr>
                <w:spacing w:val="-5"/>
                <w:sz w:val="24"/>
              </w:rPr>
              <w:t> </w:t>
            </w:r>
            <w:r>
              <w:rPr>
                <w:spacing w:val="-2"/>
                <w:sz w:val="24"/>
              </w:rPr>
              <w:t>(TQM-</w:t>
            </w:r>
          </w:p>
          <w:p>
            <w:pPr>
              <w:pStyle w:val="TableParagraph"/>
              <w:spacing w:line="360" w:lineRule="auto" w:before="137"/>
              <w:ind w:left="108" w:right="171"/>
              <w:rPr>
                <w:sz w:val="24"/>
              </w:rPr>
            </w:pPr>
            <w:r>
              <w:rPr>
                <w:spacing w:val="-2"/>
                <w:sz w:val="24"/>
              </w:rPr>
              <w:t>Efficiency) Model</w:t>
            </w:r>
          </w:p>
        </w:tc>
        <w:tc>
          <w:tcPr>
            <w:tcW w:w="3836" w:type="dxa"/>
          </w:tcPr>
          <w:p>
            <w:pPr>
              <w:pStyle w:val="TableParagraph"/>
              <w:spacing w:line="360" w:lineRule="auto"/>
              <w:ind w:left="123"/>
              <w:rPr>
                <w:sz w:val="24"/>
              </w:rPr>
            </w:pPr>
            <w:r>
              <w:rPr>
                <w:sz w:val="24"/>
              </w:rPr>
              <w:t>Process</w:t>
            </w:r>
            <w:r>
              <w:rPr>
                <w:spacing w:val="-14"/>
                <w:sz w:val="24"/>
              </w:rPr>
              <w:t> </w:t>
            </w:r>
            <w:r>
              <w:rPr>
                <w:sz w:val="24"/>
              </w:rPr>
              <w:t>and</w:t>
            </w:r>
            <w:r>
              <w:rPr>
                <w:spacing w:val="-14"/>
                <w:sz w:val="24"/>
              </w:rPr>
              <w:t> </w:t>
            </w:r>
            <w:r>
              <w:rPr>
                <w:sz w:val="24"/>
              </w:rPr>
              <w:t>Efficiency,</w:t>
            </w:r>
            <w:r>
              <w:rPr>
                <w:spacing w:val="-12"/>
                <w:sz w:val="24"/>
              </w:rPr>
              <w:t> </w:t>
            </w:r>
            <w:r>
              <w:rPr>
                <w:sz w:val="24"/>
              </w:rPr>
              <w:t>Customer Focused performance, People Management, Team Building &amp;Business partner Development</w:t>
            </w:r>
          </w:p>
        </w:tc>
        <w:tc>
          <w:tcPr>
            <w:tcW w:w="1507" w:type="dxa"/>
          </w:tcPr>
          <w:p>
            <w:pPr>
              <w:pStyle w:val="TableParagraph"/>
              <w:spacing w:line="360" w:lineRule="auto"/>
              <w:ind w:left="232"/>
              <w:rPr>
                <w:sz w:val="24"/>
              </w:rPr>
            </w:pPr>
            <w:r>
              <w:rPr>
                <w:sz w:val="24"/>
              </w:rPr>
              <w:t>Process</w:t>
            </w:r>
            <w:r>
              <w:rPr>
                <w:spacing w:val="-15"/>
                <w:sz w:val="24"/>
              </w:rPr>
              <w:t> </w:t>
            </w:r>
            <w:r>
              <w:rPr>
                <w:sz w:val="24"/>
              </w:rPr>
              <w:t>&amp; </w:t>
            </w:r>
            <w:r>
              <w:rPr>
                <w:spacing w:val="-2"/>
                <w:sz w:val="24"/>
              </w:rPr>
              <w:t>Efficiency</w:t>
            </w:r>
          </w:p>
        </w:tc>
        <w:tc>
          <w:tcPr>
            <w:tcW w:w="2403" w:type="dxa"/>
          </w:tcPr>
          <w:p>
            <w:pPr>
              <w:pStyle w:val="TableParagraph"/>
              <w:spacing w:line="360" w:lineRule="auto"/>
              <w:ind w:left="227" w:right="187"/>
              <w:rPr>
                <w:sz w:val="24"/>
              </w:rPr>
            </w:pPr>
            <w:r>
              <w:rPr>
                <w:sz w:val="24"/>
              </w:rPr>
              <w:t>Process, Customer, People</w:t>
            </w:r>
            <w:r>
              <w:rPr>
                <w:spacing w:val="-2"/>
                <w:sz w:val="24"/>
              </w:rPr>
              <w:t> </w:t>
            </w:r>
            <w:r>
              <w:rPr>
                <w:spacing w:val="-2"/>
                <w:sz w:val="24"/>
              </w:rPr>
              <w:t>management</w:t>
            </w:r>
          </w:p>
        </w:tc>
      </w:tr>
      <w:tr>
        <w:trPr>
          <w:trHeight w:val="1495" w:hRule="atLeast"/>
        </w:trPr>
        <w:tc>
          <w:tcPr>
            <w:tcW w:w="1797" w:type="dxa"/>
            <w:shd w:val="clear" w:color="auto" w:fill="DBE5F1"/>
          </w:tcPr>
          <w:p>
            <w:pPr>
              <w:pStyle w:val="TableParagraph"/>
              <w:spacing w:line="270" w:lineRule="exact"/>
              <w:ind w:left="108"/>
              <w:rPr>
                <w:sz w:val="24"/>
              </w:rPr>
            </w:pPr>
            <w:r>
              <w:rPr>
                <w:sz w:val="24"/>
              </w:rPr>
              <w:t>Oakland</w:t>
            </w:r>
            <w:r>
              <w:rPr>
                <w:spacing w:val="-5"/>
                <w:sz w:val="24"/>
              </w:rPr>
              <w:t> </w:t>
            </w:r>
            <w:r>
              <w:rPr>
                <w:spacing w:val="-4"/>
                <w:sz w:val="24"/>
              </w:rPr>
              <w:t>Model</w:t>
            </w:r>
          </w:p>
        </w:tc>
        <w:tc>
          <w:tcPr>
            <w:tcW w:w="3836" w:type="dxa"/>
            <w:shd w:val="clear" w:color="auto" w:fill="DBE5F1"/>
          </w:tcPr>
          <w:p>
            <w:pPr>
              <w:pStyle w:val="TableParagraph"/>
              <w:spacing w:line="360" w:lineRule="auto"/>
              <w:ind w:left="123"/>
              <w:rPr>
                <w:sz w:val="24"/>
              </w:rPr>
            </w:pPr>
            <w:r>
              <w:rPr>
                <w:sz w:val="24"/>
              </w:rPr>
              <w:t>(3c) Culture, Communication, Commitment + (4P) Planning, Performance,</w:t>
            </w:r>
            <w:r>
              <w:rPr>
                <w:spacing w:val="-15"/>
                <w:sz w:val="24"/>
              </w:rPr>
              <w:t> </w:t>
            </w:r>
            <w:r>
              <w:rPr>
                <w:sz w:val="24"/>
              </w:rPr>
              <w:t>Processes</w:t>
            </w:r>
            <w:r>
              <w:rPr>
                <w:spacing w:val="-15"/>
                <w:sz w:val="24"/>
              </w:rPr>
              <w:t> </w:t>
            </w:r>
            <w:r>
              <w:rPr>
                <w:sz w:val="24"/>
              </w:rPr>
              <w:t>+People</w:t>
            </w:r>
          </w:p>
        </w:tc>
        <w:tc>
          <w:tcPr>
            <w:tcW w:w="1507" w:type="dxa"/>
            <w:shd w:val="clear" w:color="auto" w:fill="DBE5F1"/>
          </w:tcPr>
          <w:p>
            <w:pPr>
              <w:pStyle w:val="TableParagraph"/>
              <w:spacing w:line="270" w:lineRule="exact"/>
              <w:ind w:left="232"/>
              <w:rPr>
                <w:sz w:val="24"/>
              </w:rPr>
            </w:pPr>
            <w:r>
              <w:rPr>
                <w:spacing w:val="-2"/>
                <w:sz w:val="24"/>
              </w:rPr>
              <w:t>Commitment</w:t>
            </w:r>
          </w:p>
        </w:tc>
        <w:tc>
          <w:tcPr>
            <w:tcW w:w="2403" w:type="dxa"/>
            <w:shd w:val="clear" w:color="auto" w:fill="DBE5F1"/>
          </w:tcPr>
          <w:p>
            <w:pPr>
              <w:pStyle w:val="TableParagraph"/>
              <w:spacing w:line="360" w:lineRule="auto"/>
              <w:ind w:left="227" w:right="617"/>
              <w:rPr>
                <w:sz w:val="24"/>
              </w:rPr>
            </w:pPr>
            <w:r>
              <w:rPr>
                <w:spacing w:val="-2"/>
                <w:sz w:val="24"/>
              </w:rPr>
              <w:t>Commitment, </w:t>
            </w:r>
            <w:r>
              <w:rPr>
                <w:sz w:val="24"/>
              </w:rPr>
              <w:t>Culture,</w:t>
            </w:r>
            <w:r>
              <w:rPr>
                <w:spacing w:val="-15"/>
                <w:sz w:val="24"/>
              </w:rPr>
              <w:t> </w:t>
            </w:r>
            <w:r>
              <w:rPr>
                <w:sz w:val="24"/>
              </w:rPr>
              <w:t>People, </w:t>
            </w:r>
            <w:r>
              <w:rPr>
                <w:spacing w:val="-2"/>
                <w:sz w:val="24"/>
              </w:rPr>
              <w:t>Processes</w:t>
            </w:r>
          </w:p>
        </w:tc>
      </w:tr>
      <w:tr>
        <w:trPr>
          <w:trHeight w:val="2476" w:hRule="atLeast"/>
        </w:trPr>
        <w:tc>
          <w:tcPr>
            <w:tcW w:w="1797" w:type="dxa"/>
          </w:tcPr>
          <w:p>
            <w:pPr>
              <w:pStyle w:val="TableParagraph"/>
              <w:spacing w:line="270" w:lineRule="exact"/>
              <w:ind w:left="108"/>
              <w:rPr>
                <w:sz w:val="24"/>
              </w:rPr>
            </w:pPr>
            <w:r>
              <w:rPr>
                <w:spacing w:val="-2"/>
                <w:sz w:val="24"/>
              </w:rPr>
              <w:t>MBNQA</w:t>
            </w:r>
          </w:p>
          <w:p>
            <w:pPr>
              <w:pStyle w:val="TableParagraph"/>
              <w:spacing w:line="360" w:lineRule="auto" w:before="137"/>
              <w:ind w:left="108" w:right="171"/>
              <w:rPr>
                <w:sz w:val="24"/>
              </w:rPr>
            </w:pPr>
            <w:r>
              <w:rPr>
                <w:spacing w:val="-2"/>
                <w:sz w:val="24"/>
              </w:rPr>
              <w:t>(Malcolm Baldrige National </w:t>
            </w:r>
            <w:r>
              <w:rPr>
                <w:sz w:val="24"/>
              </w:rPr>
              <w:t>Quality</w:t>
            </w:r>
            <w:r>
              <w:rPr>
                <w:spacing w:val="-15"/>
                <w:sz w:val="24"/>
              </w:rPr>
              <w:t> </w:t>
            </w:r>
            <w:r>
              <w:rPr>
                <w:sz w:val="24"/>
              </w:rPr>
              <w:t>Award)</w:t>
            </w:r>
          </w:p>
        </w:tc>
        <w:tc>
          <w:tcPr>
            <w:tcW w:w="3836" w:type="dxa"/>
          </w:tcPr>
          <w:p>
            <w:pPr>
              <w:pStyle w:val="TableParagraph"/>
              <w:spacing w:line="360" w:lineRule="auto"/>
              <w:ind w:left="123" w:right="-29"/>
              <w:jc w:val="both"/>
              <w:rPr>
                <w:sz w:val="24"/>
              </w:rPr>
            </w:pPr>
            <w:r>
              <w:rPr>
                <w:sz w:val="24"/>
              </w:rPr>
              <w:t>Leadership, Strategic Planning, Customer and Market, Information</w:t>
            </w:r>
            <w:r>
              <w:rPr>
                <w:spacing w:val="40"/>
                <w:sz w:val="24"/>
              </w:rPr>
              <w:t> </w:t>
            </w:r>
            <w:r>
              <w:rPr>
                <w:sz w:val="24"/>
              </w:rPr>
              <w:t>and analysis, Human Resource Focus, Process management, Business</w:t>
            </w:r>
            <w:r>
              <w:rPr>
                <w:spacing w:val="40"/>
                <w:sz w:val="24"/>
              </w:rPr>
              <w:t> </w:t>
            </w:r>
            <w:r>
              <w:rPr>
                <w:spacing w:val="-2"/>
                <w:sz w:val="24"/>
              </w:rPr>
              <w:t>Results</w:t>
            </w:r>
          </w:p>
        </w:tc>
        <w:tc>
          <w:tcPr>
            <w:tcW w:w="1507" w:type="dxa"/>
          </w:tcPr>
          <w:p>
            <w:pPr>
              <w:pStyle w:val="TableParagraph"/>
              <w:spacing w:line="270" w:lineRule="exact"/>
              <w:ind w:left="232"/>
              <w:rPr>
                <w:sz w:val="24"/>
              </w:rPr>
            </w:pPr>
            <w:r>
              <w:rPr>
                <w:spacing w:val="-2"/>
                <w:sz w:val="24"/>
              </w:rPr>
              <w:t>Leadership</w:t>
            </w:r>
          </w:p>
        </w:tc>
        <w:tc>
          <w:tcPr>
            <w:tcW w:w="2403" w:type="dxa"/>
          </w:tcPr>
          <w:p>
            <w:pPr>
              <w:pStyle w:val="TableParagraph"/>
              <w:tabs>
                <w:tab w:pos="1586" w:val="left" w:leader="none"/>
              </w:tabs>
              <w:spacing w:line="360" w:lineRule="auto"/>
              <w:ind w:left="227" w:right="109"/>
              <w:rPr>
                <w:sz w:val="24"/>
              </w:rPr>
            </w:pPr>
            <w:r>
              <w:rPr>
                <w:spacing w:val="-2"/>
                <w:sz w:val="24"/>
              </w:rPr>
              <w:t>Leadership,</w:t>
            </w:r>
            <w:r>
              <w:rPr>
                <w:sz w:val="24"/>
              </w:rPr>
              <w:tab/>
            </w:r>
            <w:r>
              <w:rPr>
                <w:spacing w:val="-4"/>
                <w:sz w:val="24"/>
              </w:rPr>
              <w:t>Human </w:t>
            </w:r>
            <w:r>
              <w:rPr>
                <w:sz w:val="24"/>
              </w:rPr>
              <w:t>Resources,</w:t>
            </w:r>
            <w:r>
              <w:rPr>
                <w:spacing w:val="-4"/>
                <w:sz w:val="24"/>
              </w:rPr>
              <w:t> </w:t>
            </w:r>
            <w:r>
              <w:rPr>
                <w:spacing w:val="-2"/>
                <w:sz w:val="24"/>
              </w:rPr>
              <w:t>Processes</w:t>
            </w:r>
          </w:p>
        </w:tc>
      </w:tr>
      <w:tr>
        <w:trPr>
          <w:trHeight w:val="2068" w:hRule="atLeast"/>
        </w:trPr>
        <w:tc>
          <w:tcPr>
            <w:tcW w:w="1797" w:type="dxa"/>
            <w:shd w:val="clear" w:color="auto" w:fill="DBE5F1"/>
          </w:tcPr>
          <w:p>
            <w:pPr>
              <w:pStyle w:val="TableParagraph"/>
              <w:spacing w:line="270" w:lineRule="exact"/>
              <w:ind w:left="108"/>
              <w:rPr>
                <w:sz w:val="24"/>
              </w:rPr>
            </w:pPr>
            <w:r>
              <w:rPr>
                <w:spacing w:val="-4"/>
                <w:sz w:val="24"/>
              </w:rPr>
              <w:t>EFQM</w:t>
            </w:r>
          </w:p>
          <w:p>
            <w:pPr>
              <w:pStyle w:val="TableParagraph"/>
              <w:spacing w:line="360" w:lineRule="auto" w:before="137"/>
              <w:ind w:left="108"/>
              <w:rPr>
                <w:sz w:val="24"/>
              </w:rPr>
            </w:pPr>
            <w:r>
              <w:rPr>
                <w:spacing w:val="-2"/>
                <w:sz w:val="24"/>
              </w:rPr>
              <w:t>(European Foundation Quality</w:t>
            </w:r>
          </w:p>
          <w:p>
            <w:pPr>
              <w:pStyle w:val="TableParagraph"/>
              <w:spacing w:before="1"/>
              <w:ind w:left="108"/>
              <w:rPr>
                <w:sz w:val="24"/>
              </w:rPr>
            </w:pPr>
            <w:r>
              <w:rPr>
                <w:spacing w:val="-2"/>
                <w:sz w:val="24"/>
              </w:rPr>
              <w:t>Management)</w:t>
            </w:r>
          </w:p>
        </w:tc>
        <w:tc>
          <w:tcPr>
            <w:tcW w:w="3836" w:type="dxa"/>
            <w:shd w:val="clear" w:color="auto" w:fill="DBE5F1"/>
          </w:tcPr>
          <w:p>
            <w:pPr>
              <w:pStyle w:val="TableParagraph"/>
              <w:spacing w:line="360" w:lineRule="auto"/>
              <w:ind w:left="123"/>
              <w:rPr>
                <w:sz w:val="24"/>
              </w:rPr>
            </w:pPr>
            <w:r>
              <w:rPr>
                <w:sz w:val="24"/>
              </w:rPr>
              <w:t>Leadership, People, Policy and Strategy</w:t>
            </w:r>
            <w:r>
              <w:rPr>
                <w:spacing w:val="-13"/>
                <w:sz w:val="24"/>
              </w:rPr>
              <w:t> </w:t>
            </w:r>
            <w:r>
              <w:rPr>
                <w:sz w:val="24"/>
              </w:rPr>
              <w:t>+</w:t>
            </w:r>
            <w:r>
              <w:rPr>
                <w:spacing w:val="-11"/>
                <w:sz w:val="24"/>
              </w:rPr>
              <w:t> </w:t>
            </w:r>
            <w:r>
              <w:rPr>
                <w:sz w:val="24"/>
              </w:rPr>
              <w:t>Partnership</w:t>
            </w:r>
            <w:r>
              <w:rPr>
                <w:spacing w:val="-8"/>
                <w:sz w:val="24"/>
              </w:rPr>
              <w:t> </w:t>
            </w:r>
            <w:r>
              <w:rPr>
                <w:sz w:val="24"/>
              </w:rPr>
              <w:t>&amp;</w:t>
            </w:r>
            <w:r>
              <w:rPr>
                <w:spacing w:val="-10"/>
                <w:sz w:val="24"/>
              </w:rPr>
              <w:t> </w:t>
            </w:r>
            <w:r>
              <w:rPr>
                <w:sz w:val="24"/>
              </w:rPr>
              <w:t>Resources+ Processes+ People Satisfaction + Customer Satisfaction+ Impact on</w:t>
            </w:r>
          </w:p>
          <w:p>
            <w:pPr>
              <w:pStyle w:val="TableParagraph"/>
              <w:ind w:left="123"/>
              <w:rPr>
                <w:sz w:val="24"/>
              </w:rPr>
            </w:pPr>
            <w:r>
              <w:rPr>
                <w:sz w:val="24"/>
              </w:rPr>
              <w:t>Society</w:t>
            </w:r>
            <w:r>
              <w:rPr>
                <w:spacing w:val="-5"/>
                <w:sz w:val="24"/>
              </w:rPr>
              <w:t> </w:t>
            </w:r>
            <w:r>
              <w:rPr>
                <w:sz w:val="24"/>
              </w:rPr>
              <w:t>+</w:t>
            </w:r>
            <w:r>
              <w:rPr>
                <w:spacing w:val="2"/>
                <w:sz w:val="24"/>
              </w:rPr>
              <w:t> </w:t>
            </w:r>
            <w:r>
              <w:rPr>
                <w:sz w:val="24"/>
              </w:rPr>
              <w:t>Key</w:t>
            </w:r>
            <w:r>
              <w:rPr>
                <w:spacing w:val="-4"/>
                <w:sz w:val="24"/>
              </w:rPr>
              <w:t> </w:t>
            </w:r>
            <w:r>
              <w:rPr>
                <w:spacing w:val="-2"/>
                <w:sz w:val="24"/>
              </w:rPr>
              <w:t>Performance</w:t>
            </w:r>
          </w:p>
        </w:tc>
        <w:tc>
          <w:tcPr>
            <w:tcW w:w="1507" w:type="dxa"/>
            <w:shd w:val="clear" w:color="auto" w:fill="DBE5F1"/>
          </w:tcPr>
          <w:p>
            <w:pPr>
              <w:pStyle w:val="TableParagraph"/>
              <w:spacing w:line="270" w:lineRule="exact"/>
              <w:ind w:left="232"/>
              <w:rPr>
                <w:sz w:val="24"/>
              </w:rPr>
            </w:pPr>
            <w:r>
              <w:rPr>
                <w:spacing w:val="-2"/>
                <w:sz w:val="24"/>
              </w:rPr>
              <w:t>Leadership</w:t>
            </w:r>
          </w:p>
        </w:tc>
        <w:tc>
          <w:tcPr>
            <w:tcW w:w="2403" w:type="dxa"/>
            <w:shd w:val="clear" w:color="auto" w:fill="DBE5F1"/>
          </w:tcPr>
          <w:p>
            <w:pPr>
              <w:pStyle w:val="TableParagraph"/>
              <w:spacing w:line="360" w:lineRule="auto"/>
              <w:ind w:left="227" w:right="271"/>
              <w:rPr>
                <w:sz w:val="24"/>
              </w:rPr>
            </w:pPr>
            <w:r>
              <w:rPr>
                <w:sz w:val="24"/>
              </w:rPr>
              <w:t>Leadership,</w:t>
            </w:r>
            <w:r>
              <w:rPr>
                <w:spacing w:val="-15"/>
                <w:sz w:val="24"/>
              </w:rPr>
              <w:t> </w:t>
            </w:r>
            <w:r>
              <w:rPr>
                <w:sz w:val="24"/>
              </w:rPr>
              <w:t>People, </w:t>
            </w:r>
            <w:r>
              <w:rPr>
                <w:spacing w:val="-2"/>
                <w:sz w:val="24"/>
              </w:rPr>
              <w:t>Customers, </w:t>
            </w:r>
            <w:r>
              <w:rPr>
                <w:sz w:val="24"/>
              </w:rPr>
              <w:t>Processes, Society</w:t>
            </w:r>
          </w:p>
        </w:tc>
      </w:tr>
    </w:tbl>
    <w:p>
      <w:pPr>
        <w:spacing w:before="2"/>
        <w:ind w:left="580" w:right="0" w:firstLine="0"/>
        <w:jc w:val="left"/>
        <w:rPr>
          <w:b/>
          <w:sz w:val="24"/>
        </w:rPr>
      </w:pPr>
      <w:r>
        <w:rPr>
          <w:b/>
          <w:sz w:val="24"/>
        </w:rPr>
        <w:t>Source:</w:t>
      </w:r>
      <w:r>
        <w:rPr>
          <w:b/>
          <w:spacing w:val="-4"/>
          <w:sz w:val="24"/>
        </w:rPr>
        <w:t> </w:t>
      </w:r>
      <w:r>
        <w:rPr>
          <w:b/>
          <w:sz w:val="24"/>
        </w:rPr>
        <w:t>Ahmed</w:t>
      </w:r>
      <w:r>
        <w:rPr>
          <w:b/>
          <w:spacing w:val="-3"/>
          <w:sz w:val="24"/>
        </w:rPr>
        <w:t> </w:t>
      </w:r>
      <w:r>
        <w:rPr>
          <w:b/>
          <w:spacing w:val="-2"/>
          <w:sz w:val="24"/>
        </w:rPr>
        <w:t>(2010)</w:t>
      </w:r>
    </w:p>
    <w:p>
      <w:pPr>
        <w:pStyle w:val="BodyText"/>
        <w:spacing w:before="197"/>
        <w:rPr>
          <w:b/>
        </w:rPr>
      </w:pPr>
    </w:p>
    <w:p>
      <w:pPr>
        <w:pStyle w:val="ListParagraph"/>
        <w:numPr>
          <w:ilvl w:val="1"/>
          <w:numId w:val="18"/>
        </w:numPr>
        <w:tabs>
          <w:tab w:pos="1119" w:val="left" w:leader="none"/>
        </w:tabs>
        <w:spacing w:line="240" w:lineRule="auto" w:before="0" w:after="0"/>
        <w:ind w:left="1119" w:right="0" w:hanging="719"/>
        <w:jc w:val="left"/>
        <w:rPr>
          <w:b/>
          <w:sz w:val="24"/>
        </w:rPr>
      </w:pPr>
      <w:r>
        <w:rPr>
          <w:b/>
          <w:sz w:val="24"/>
        </w:rPr>
        <w:t>Results</w:t>
      </w:r>
      <w:r>
        <w:rPr>
          <w:b/>
          <w:spacing w:val="-4"/>
          <w:sz w:val="24"/>
        </w:rPr>
        <w:t> </w:t>
      </w:r>
      <w:r>
        <w:rPr>
          <w:b/>
          <w:sz w:val="24"/>
        </w:rPr>
        <w:t>of</w:t>
      </w:r>
      <w:r>
        <w:rPr>
          <w:b/>
          <w:spacing w:val="-1"/>
          <w:sz w:val="24"/>
        </w:rPr>
        <w:t> </w:t>
      </w:r>
      <w:r>
        <w:rPr>
          <w:b/>
          <w:sz w:val="24"/>
        </w:rPr>
        <w:t>the</w:t>
      </w:r>
      <w:r>
        <w:rPr>
          <w:b/>
          <w:spacing w:val="-3"/>
          <w:sz w:val="24"/>
        </w:rPr>
        <w:t> </w:t>
      </w:r>
      <w:r>
        <w:rPr>
          <w:b/>
          <w:sz w:val="24"/>
        </w:rPr>
        <w:t>Review</w:t>
      </w:r>
      <w:r>
        <w:rPr>
          <w:b/>
          <w:spacing w:val="-1"/>
          <w:sz w:val="24"/>
        </w:rPr>
        <w:t> </w:t>
      </w:r>
      <w:r>
        <w:rPr>
          <w:b/>
          <w:sz w:val="24"/>
        </w:rPr>
        <w:t>of</w:t>
      </w:r>
      <w:r>
        <w:rPr>
          <w:b/>
          <w:spacing w:val="-2"/>
          <w:sz w:val="24"/>
        </w:rPr>
        <w:t> </w:t>
      </w:r>
      <w:r>
        <w:rPr>
          <w:b/>
          <w:sz w:val="24"/>
        </w:rPr>
        <w:t>Total</w:t>
      </w:r>
      <w:r>
        <w:rPr>
          <w:b/>
          <w:spacing w:val="-2"/>
          <w:sz w:val="24"/>
        </w:rPr>
        <w:t> </w:t>
      </w:r>
      <w:r>
        <w:rPr>
          <w:b/>
          <w:sz w:val="24"/>
        </w:rPr>
        <w:t>Quality</w:t>
      </w:r>
      <w:r>
        <w:rPr>
          <w:b/>
          <w:spacing w:val="-2"/>
          <w:sz w:val="24"/>
        </w:rPr>
        <w:t> </w:t>
      </w:r>
      <w:r>
        <w:rPr>
          <w:b/>
          <w:sz w:val="24"/>
        </w:rPr>
        <w:t>Management</w:t>
      </w:r>
      <w:r>
        <w:rPr>
          <w:b/>
          <w:spacing w:val="-2"/>
          <w:sz w:val="24"/>
        </w:rPr>
        <w:t> Models</w:t>
      </w:r>
    </w:p>
    <w:p>
      <w:pPr>
        <w:pStyle w:val="BodyText"/>
        <w:spacing w:before="156"/>
        <w:rPr>
          <w:b/>
        </w:rPr>
      </w:pPr>
    </w:p>
    <w:p>
      <w:pPr>
        <w:pStyle w:val="BodyText"/>
        <w:spacing w:line="480" w:lineRule="auto"/>
        <w:ind w:left="400" w:right="1319"/>
      </w:pPr>
      <w:r>
        <w:rPr/>
        <w:t>After reviewing the Total Quality Management models, it becomes clear that all are attempting</w:t>
      </w:r>
      <w:r>
        <w:rPr>
          <w:spacing w:val="40"/>
        </w:rPr>
        <w:t> </w:t>
      </w:r>
      <w:r>
        <w:rPr/>
        <w:t>to</w:t>
      </w:r>
      <w:r>
        <w:rPr>
          <w:spacing w:val="20"/>
        </w:rPr>
        <w:t> </w:t>
      </w:r>
      <w:r>
        <w:rPr/>
        <w:t>help</w:t>
      </w:r>
      <w:r>
        <w:rPr>
          <w:spacing w:val="20"/>
        </w:rPr>
        <w:t> </w:t>
      </w:r>
      <w:r>
        <w:rPr/>
        <w:t>an</w:t>
      </w:r>
      <w:r>
        <w:rPr>
          <w:spacing w:val="23"/>
        </w:rPr>
        <w:t> </w:t>
      </w:r>
      <w:r>
        <w:rPr/>
        <w:t>organisation</w:t>
      </w:r>
      <w:r>
        <w:rPr>
          <w:spacing w:val="20"/>
        </w:rPr>
        <w:t> </w:t>
      </w:r>
      <w:r>
        <w:rPr/>
        <w:t>towards</w:t>
      </w:r>
      <w:r>
        <w:rPr>
          <w:spacing w:val="20"/>
        </w:rPr>
        <w:t> </w:t>
      </w:r>
      <w:r>
        <w:rPr/>
        <w:t>total</w:t>
      </w:r>
      <w:r>
        <w:rPr>
          <w:spacing w:val="22"/>
        </w:rPr>
        <w:t> </w:t>
      </w:r>
      <w:r>
        <w:rPr/>
        <w:t>quality</w:t>
      </w:r>
      <w:r>
        <w:rPr>
          <w:spacing w:val="19"/>
        </w:rPr>
        <w:t> </w:t>
      </w:r>
      <w:r>
        <w:rPr/>
        <w:t>implementation</w:t>
      </w:r>
      <w:r>
        <w:rPr>
          <w:spacing w:val="20"/>
        </w:rPr>
        <w:t> </w:t>
      </w:r>
      <w:r>
        <w:rPr/>
        <w:t>and</w:t>
      </w:r>
      <w:r>
        <w:rPr>
          <w:spacing w:val="23"/>
        </w:rPr>
        <w:t> </w:t>
      </w:r>
      <w:r>
        <w:rPr/>
        <w:t>adoption.</w:t>
      </w:r>
      <w:r>
        <w:rPr>
          <w:spacing w:val="20"/>
        </w:rPr>
        <w:t> </w:t>
      </w:r>
      <w:r>
        <w:rPr/>
        <w:t>Deming</w:t>
      </w:r>
      <w:r>
        <w:rPr>
          <w:spacing w:val="18"/>
        </w:rPr>
        <w:t> </w:t>
      </w:r>
      <w:r>
        <w:rPr/>
        <w:t>Model</w:t>
      </w:r>
      <w:r>
        <w:rPr>
          <w:spacing w:val="23"/>
        </w:rPr>
        <w:t> </w:t>
      </w:r>
      <w:r>
        <w:rPr/>
        <w:t>is</w:t>
      </w:r>
      <w:r>
        <w:rPr>
          <w:spacing w:val="23"/>
        </w:rPr>
        <w:t> </w:t>
      </w:r>
      <w:r>
        <w:rPr>
          <w:spacing w:val="-10"/>
        </w:rPr>
        <w:t>a</w:t>
      </w:r>
    </w:p>
    <w:p>
      <w:pPr>
        <w:spacing w:after="0" w:line="480" w:lineRule="auto"/>
        <w:sectPr>
          <w:pgSz w:w="12240" w:h="15840"/>
          <w:pgMar w:header="0" w:footer="1017" w:top="1360" w:bottom="1200" w:left="1040" w:right="120"/>
        </w:sectPr>
      </w:pPr>
    </w:p>
    <w:p>
      <w:pPr>
        <w:pStyle w:val="BodyText"/>
        <w:spacing w:line="480" w:lineRule="auto" w:before="72"/>
        <w:ind w:left="399" w:right="1315"/>
        <w:jc w:val="both"/>
      </w:pPr>
      <w:r>
        <w:rPr/>
        <w:t>prescriptive model in terms of the practices, tools and techniques such as quality circles, quality control, standardisation and statistical analysis. EQA model provides organisations with an implementable</w:t>
      </w:r>
      <w:r>
        <w:rPr>
          <w:spacing w:val="-3"/>
        </w:rPr>
        <w:t> </w:t>
      </w:r>
      <w:r>
        <w:rPr/>
        <w:t>TQM</w:t>
      </w:r>
      <w:r>
        <w:rPr>
          <w:spacing w:val="-2"/>
        </w:rPr>
        <w:t> </w:t>
      </w:r>
      <w:r>
        <w:rPr/>
        <w:t>model,</w:t>
      </w:r>
      <w:r>
        <w:rPr>
          <w:spacing w:val="-2"/>
        </w:rPr>
        <w:t> </w:t>
      </w:r>
      <w:r>
        <w:rPr/>
        <w:t>effective</w:t>
      </w:r>
      <w:r>
        <w:rPr>
          <w:spacing w:val="-3"/>
        </w:rPr>
        <w:t> </w:t>
      </w:r>
      <w:r>
        <w:rPr/>
        <w:t>benchmarking</w:t>
      </w:r>
      <w:r>
        <w:rPr>
          <w:spacing w:val="-4"/>
        </w:rPr>
        <w:t> </w:t>
      </w:r>
      <w:r>
        <w:rPr/>
        <w:t>tool,</w:t>
      </w:r>
      <w:r>
        <w:rPr>
          <w:spacing w:val="-2"/>
        </w:rPr>
        <w:t> </w:t>
      </w:r>
      <w:r>
        <w:rPr/>
        <w:t>self-assessment methods</w:t>
      </w:r>
      <w:r>
        <w:rPr>
          <w:spacing w:val="-2"/>
        </w:rPr>
        <w:t> </w:t>
      </w:r>
      <w:r>
        <w:rPr/>
        <w:t>and</w:t>
      </w:r>
      <w:r>
        <w:rPr>
          <w:spacing w:val="-2"/>
        </w:rPr>
        <w:t> </w:t>
      </w:r>
      <w:r>
        <w:rPr/>
        <w:t>a</w:t>
      </w:r>
      <w:r>
        <w:rPr>
          <w:spacing w:val="-3"/>
        </w:rPr>
        <w:t> </w:t>
      </w:r>
      <w:r>
        <w:rPr/>
        <w:t>method for sharing good practice and experience. The model is useful and helps organisations towards quality improvement and competitiveness, On the other hand, the model has its shortcomings in terms of missing some fundamental elements in quality improvement such as research and development, innovation and strategic positioning.</w:t>
      </w:r>
    </w:p>
    <w:p>
      <w:pPr>
        <w:pStyle w:val="BodyText"/>
        <w:spacing w:line="480" w:lineRule="auto" w:before="161"/>
        <w:ind w:left="399" w:right="1316"/>
        <w:jc w:val="both"/>
      </w:pPr>
      <w:r>
        <w:rPr/>
        <w:t>The Baldrige Award, EQA, AQA and KAA attempt to model TQM by</w:t>
      </w:r>
      <w:r>
        <w:rPr>
          <w:spacing w:val="-5"/>
        </w:rPr>
        <w:t> </w:t>
      </w:r>
      <w:r>
        <w:rPr/>
        <w:t>identifying its constituent parts, and assume that there is a relationship between the different constituents of TQM such as relationship between design and process implementation and the end results, or relationship between management styles and attitudes. Furthermore, they are based on an underlying framework linking organisation, values, process, activities and results together, at the same time providing a checklist of quality management categories.</w:t>
      </w:r>
    </w:p>
    <w:p>
      <w:pPr>
        <w:pStyle w:val="BodyText"/>
        <w:spacing w:line="480" w:lineRule="auto" w:before="158"/>
        <w:ind w:left="399" w:right="1315"/>
        <w:jc w:val="both"/>
      </w:pPr>
      <w:r>
        <w:rPr/>
        <w:t>The AQA and the Baldrige Award are based on the premise that there are two key elements underpinning the efforts of introducing total quality: management leadership and external customer focus, whereas the EQA and KAA emphasise the fundamental role of top management commitment on quality management achievement, but the focus on external customer is explicit and it manifests itself in a number of ways including the sort of examination to deal with customer satisfaction and the requirement for the applicants to provide evidence of benchmarking. However, the Baldrige Award, AQA, EQA and KAA point out that customers play the major role in determining products and services quality and that the goal of quality improvement is improved by enhancing customer satisfaction, whereas with EQA, ‘excellence’</w:t>
      </w:r>
      <w:r>
        <w:rPr>
          <w:spacing w:val="40"/>
        </w:rPr>
        <w:t> </w:t>
      </w:r>
      <w:r>
        <w:rPr/>
        <w:t>in</w:t>
      </w:r>
      <w:r>
        <w:rPr>
          <w:spacing w:val="44"/>
        </w:rPr>
        <w:t> </w:t>
      </w:r>
      <w:r>
        <w:rPr/>
        <w:t>service</w:t>
      </w:r>
      <w:r>
        <w:rPr>
          <w:spacing w:val="46"/>
        </w:rPr>
        <w:t> </w:t>
      </w:r>
      <w:r>
        <w:rPr/>
        <w:t>delivery</w:t>
      </w:r>
      <w:r>
        <w:rPr>
          <w:spacing w:val="39"/>
        </w:rPr>
        <w:t> </w:t>
      </w:r>
      <w:r>
        <w:rPr/>
        <w:t>is</w:t>
      </w:r>
      <w:r>
        <w:rPr>
          <w:spacing w:val="47"/>
        </w:rPr>
        <w:t> </w:t>
      </w:r>
      <w:r>
        <w:rPr/>
        <w:t>the</w:t>
      </w:r>
      <w:r>
        <w:rPr>
          <w:spacing w:val="46"/>
        </w:rPr>
        <w:t> </w:t>
      </w:r>
      <w:r>
        <w:rPr/>
        <w:t>underlying</w:t>
      </w:r>
      <w:r>
        <w:rPr>
          <w:spacing w:val="44"/>
        </w:rPr>
        <w:t> </w:t>
      </w:r>
      <w:r>
        <w:rPr/>
        <w:t>philosophy</w:t>
      </w:r>
      <w:r>
        <w:rPr>
          <w:spacing w:val="44"/>
        </w:rPr>
        <w:t> </w:t>
      </w:r>
      <w:r>
        <w:rPr/>
        <w:t>of</w:t>
      </w:r>
      <w:r>
        <w:rPr>
          <w:spacing w:val="46"/>
        </w:rPr>
        <w:t> </w:t>
      </w:r>
      <w:r>
        <w:rPr/>
        <w:t>the</w:t>
      </w:r>
      <w:r>
        <w:rPr>
          <w:spacing w:val="46"/>
        </w:rPr>
        <w:t> </w:t>
      </w:r>
      <w:r>
        <w:rPr/>
        <w:t>Charter</w:t>
      </w:r>
      <w:r>
        <w:rPr>
          <w:spacing w:val="46"/>
        </w:rPr>
        <w:t> </w:t>
      </w:r>
      <w:r>
        <w:rPr/>
        <w:t>Mark</w:t>
      </w:r>
      <w:r>
        <w:rPr>
          <w:spacing w:val="47"/>
        </w:rPr>
        <w:t> </w:t>
      </w:r>
      <w:r>
        <w:rPr/>
        <w:t>Award.</w:t>
      </w:r>
      <w:r>
        <w:rPr>
          <w:spacing w:val="47"/>
        </w:rPr>
        <w:t> </w:t>
      </w:r>
      <w:r>
        <w:rPr/>
        <w:t>However,</w:t>
      </w:r>
      <w:r>
        <w:rPr>
          <w:spacing w:val="47"/>
        </w:rPr>
        <w:t> </w:t>
      </w:r>
      <w:r>
        <w:rPr>
          <w:spacing w:val="-5"/>
        </w:rPr>
        <w:t>The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Baldrige Award, AQA, EQA and Charter mark awards have placed their objectives toward focusing on customer satisfaction. While the Deming Prize, King Abdullah II Award for Excellence and Pride in Job quality award do not emphasize customer satisfaction for international competitiveness, rather they focus on process appreciation concept.</w:t>
      </w:r>
    </w:p>
    <w:p>
      <w:pPr>
        <w:pStyle w:val="BodyText"/>
        <w:spacing w:line="480" w:lineRule="auto" w:before="161"/>
        <w:ind w:left="400" w:right="1316"/>
        <w:jc w:val="both"/>
      </w:pPr>
      <w:r>
        <w:rPr/>
        <w:t>The Baldrige, EQA and Deming models of quality awards provide a universal framework for evaluating aspects of quality management practices in an organization. They also provide a framework for identifying a range of intangible and tangible processes which influence the organization’s total quality management and the end results. Although each model has its own unique categories and emphasis, there are some common areas which are: Leadership; People management; Processes; Policy and strategy; Supplier relations; Customer focus; Education and training; Employee participation.</w:t>
      </w:r>
    </w:p>
    <w:p>
      <w:pPr>
        <w:pStyle w:val="BodyText"/>
        <w:spacing w:line="480" w:lineRule="auto" w:before="158"/>
        <w:ind w:left="399" w:right="1313"/>
        <w:jc w:val="both"/>
      </w:pPr>
      <w:r>
        <w:rPr/>
        <w:t>However, the award models do not seek to assess the overall management excellence; they are concerned with factors which affect total quality management; they provide “what to do” and do not provide “how to do” to reach the targets; they do not address a specific organization’s characteristics which may affect the implementation of TQM; they do not provide detailed guidelines for the organizations to use in improving quality management practices; they do not provide all kinds of quality management methods to be used for overcoming the weaknesses of the organizations. Thus, there remain some difficulties for the organizations in applying the quality award models effectively to improve their quality management practices. Many of the existing TQM models are not developed specially for the construction industry organizations. Also, the existing models may not match the organizational culture of the country and this may cause conflict with the existing culture and then failure in TQM implementation.</w:t>
      </w:r>
      <w:r>
        <w:rPr>
          <w:spacing w:val="40"/>
        </w:rPr>
        <w:t> </w:t>
      </w:r>
      <w:r>
        <w:rPr/>
        <w:t>The successful transformation</w:t>
      </w:r>
      <w:r>
        <w:rPr>
          <w:spacing w:val="20"/>
        </w:rPr>
        <w:t> </w:t>
      </w:r>
      <w:r>
        <w:rPr/>
        <w:t>to</w:t>
      </w:r>
      <w:r>
        <w:rPr>
          <w:spacing w:val="22"/>
        </w:rPr>
        <w:t> </w:t>
      </w:r>
      <w:r>
        <w:rPr/>
        <w:t>TQM</w:t>
      </w:r>
      <w:r>
        <w:rPr>
          <w:spacing w:val="25"/>
        </w:rPr>
        <w:t> </w:t>
      </w:r>
      <w:r>
        <w:rPr/>
        <w:t>requires</w:t>
      </w:r>
      <w:r>
        <w:rPr>
          <w:spacing w:val="22"/>
        </w:rPr>
        <w:t> </w:t>
      </w:r>
      <w:r>
        <w:rPr/>
        <w:t>a</w:t>
      </w:r>
      <w:r>
        <w:rPr>
          <w:spacing w:val="24"/>
        </w:rPr>
        <w:t> </w:t>
      </w:r>
      <w:r>
        <w:rPr/>
        <w:t>change</w:t>
      </w:r>
      <w:r>
        <w:rPr>
          <w:spacing w:val="21"/>
        </w:rPr>
        <w:t> </w:t>
      </w:r>
      <w:r>
        <w:rPr/>
        <w:t>in</w:t>
      </w:r>
      <w:r>
        <w:rPr>
          <w:spacing w:val="23"/>
        </w:rPr>
        <w:t> </w:t>
      </w:r>
      <w:r>
        <w:rPr/>
        <w:t>the</w:t>
      </w:r>
      <w:r>
        <w:rPr>
          <w:spacing w:val="21"/>
        </w:rPr>
        <w:t> </w:t>
      </w:r>
      <w:r>
        <w:rPr/>
        <w:t>organizational</w:t>
      </w:r>
      <w:r>
        <w:rPr>
          <w:spacing w:val="23"/>
        </w:rPr>
        <w:t> </w:t>
      </w:r>
      <w:r>
        <w:rPr/>
        <w:t>culture</w:t>
      </w:r>
      <w:r>
        <w:rPr>
          <w:spacing w:val="21"/>
        </w:rPr>
        <w:t> </w:t>
      </w:r>
      <w:r>
        <w:rPr/>
        <w:t>of</w:t>
      </w:r>
      <w:r>
        <w:rPr>
          <w:spacing w:val="22"/>
        </w:rPr>
        <w:t> </w:t>
      </w:r>
      <w:r>
        <w:rPr/>
        <w:t>an</w:t>
      </w:r>
      <w:r>
        <w:rPr>
          <w:spacing w:val="22"/>
        </w:rPr>
        <w:t> </w:t>
      </w:r>
      <w:r>
        <w:rPr/>
        <w:t>organization.</w:t>
      </w:r>
      <w:r>
        <w:rPr>
          <w:spacing w:val="23"/>
        </w:rPr>
        <w:t> </w:t>
      </w:r>
      <w:r>
        <w:rPr>
          <w:spacing w:val="-5"/>
        </w:rPr>
        <w:t>The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addition and modification of various factors from the different models were introduced to make the model matches the organizational culture and the requirements of the construction firms in South-East Nigeria. Also, the company’s strength, weakness, opportunities and threats will be incorporated in other to enhance its actualisation.</w:t>
      </w:r>
    </w:p>
    <w:p>
      <w:pPr>
        <w:pStyle w:val="BodyText"/>
        <w:spacing w:before="50"/>
      </w:pPr>
    </w:p>
    <w:p>
      <w:pPr>
        <w:pStyle w:val="Heading2"/>
        <w:numPr>
          <w:ilvl w:val="1"/>
          <w:numId w:val="18"/>
        </w:numPr>
        <w:tabs>
          <w:tab w:pos="1120" w:val="left" w:leader="none"/>
        </w:tabs>
        <w:spacing w:line="240" w:lineRule="auto" w:before="0" w:after="0"/>
        <w:ind w:left="1120" w:right="0" w:hanging="720"/>
        <w:jc w:val="both"/>
      </w:pPr>
      <w:r>
        <w:rPr/>
        <w:t>Previous</w:t>
      </w:r>
      <w:r>
        <w:rPr>
          <w:spacing w:val="-2"/>
        </w:rPr>
        <w:t> </w:t>
      </w:r>
      <w:r>
        <w:rPr/>
        <w:t>Studies</w:t>
      </w:r>
      <w:r>
        <w:rPr>
          <w:spacing w:val="-2"/>
        </w:rPr>
        <w:t> </w:t>
      </w:r>
      <w:r>
        <w:rPr/>
        <w:t>on</w:t>
      </w:r>
      <w:r>
        <w:rPr>
          <w:spacing w:val="-2"/>
        </w:rPr>
        <w:t> </w:t>
      </w:r>
      <w:r>
        <w:rPr/>
        <w:t>Total</w:t>
      </w:r>
      <w:r>
        <w:rPr>
          <w:spacing w:val="-2"/>
        </w:rPr>
        <w:t> </w:t>
      </w:r>
      <w:r>
        <w:rPr/>
        <w:t>Quality</w:t>
      </w:r>
      <w:r>
        <w:rPr>
          <w:spacing w:val="-2"/>
        </w:rPr>
        <w:t> Management</w:t>
      </w:r>
    </w:p>
    <w:p>
      <w:pPr>
        <w:pStyle w:val="BodyText"/>
        <w:spacing w:line="480" w:lineRule="auto" w:before="271"/>
        <w:ind w:left="399" w:right="1317"/>
        <w:jc w:val="both"/>
      </w:pPr>
      <w:r>
        <w:rPr/>
        <w:t>Redha (2014) carried a research on Framework for Successful Total Quality management Implementation and Its Effect on the Organizational Sustainability Development. His main purpose for the research is to construct a generic model for successful implementation of Total Quality</w:t>
      </w:r>
      <w:r>
        <w:rPr>
          <w:spacing w:val="-1"/>
        </w:rPr>
        <w:t> </w:t>
      </w:r>
      <w:r>
        <w:rPr/>
        <w:t>Management in Oil sector, and to find out the effects of this model on the organizational sustainability development performance of Libyan oil and gas companies using the structured equation modelling approach. The research approach covers both quantitative and qualitative methods. Data analysis reveals that there is a significant positive effect of the TQM implementation on organisational sustainability development.</w:t>
      </w:r>
      <w:r>
        <w:rPr>
          <w:spacing w:val="40"/>
        </w:rPr>
        <w:t> </w:t>
      </w:r>
      <w:r>
        <w:rPr/>
        <w:t>Twenty four (24) quality factors are found to be critical and absolutely essential for successful TQM implementation. The framework created was</w:t>
      </w:r>
      <w:r>
        <w:rPr>
          <w:spacing w:val="40"/>
        </w:rPr>
        <w:t> </w:t>
      </w:r>
      <w:r>
        <w:rPr/>
        <w:t>based on the four major road map constructs; Top management commitment, employee involvement and participation, customer-driven processes, and continuous improvement culture.</w:t>
      </w:r>
    </w:p>
    <w:p>
      <w:pPr>
        <w:pStyle w:val="BodyText"/>
        <w:spacing w:before="1"/>
      </w:pPr>
    </w:p>
    <w:p>
      <w:pPr>
        <w:pStyle w:val="BodyText"/>
        <w:spacing w:line="480" w:lineRule="auto"/>
        <w:ind w:left="400" w:right="1316"/>
        <w:jc w:val="both"/>
      </w:pPr>
      <w:r>
        <w:rPr/>
        <w:t>Gabriel (1999) in his study the role of TQM in raising the service quality of public health laboratories in developing Countries presents the TQM concept as a feasible framework to support implementation</w:t>
      </w:r>
      <w:r>
        <w:rPr>
          <w:spacing w:val="-1"/>
        </w:rPr>
        <w:t> </w:t>
      </w:r>
      <w:r>
        <w:rPr/>
        <w:t>of the Health for all strategy</w:t>
      </w:r>
      <w:r>
        <w:rPr>
          <w:spacing w:val="-3"/>
        </w:rPr>
        <w:t> </w:t>
      </w:r>
      <w:r>
        <w:rPr/>
        <w:t>in less developed countries.</w:t>
      </w:r>
      <w:r>
        <w:rPr>
          <w:spacing w:val="40"/>
        </w:rPr>
        <w:t> </w:t>
      </w:r>
      <w:r>
        <w:rPr/>
        <w:t>An action plan is specifically</w:t>
      </w:r>
      <w:r>
        <w:rPr>
          <w:spacing w:val="-1"/>
        </w:rPr>
        <w:t> </w:t>
      </w:r>
      <w:r>
        <w:rPr/>
        <w:t>designed for public health laboratory services, which may</w:t>
      </w:r>
      <w:r>
        <w:rPr>
          <w:spacing w:val="-1"/>
        </w:rPr>
        <w:t> </w:t>
      </w:r>
      <w:r>
        <w:rPr/>
        <w:t>also be adapted to other sectors.</w:t>
      </w:r>
      <w:r>
        <w:rPr>
          <w:spacing w:val="50"/>
          <w:w w:val="150"/>
        </w:rPr>
        <w:t> </w:t>
      </w:r>
      <w:r>
        <w:rPr/>
        <w:t>It</w:t>
      </w:r>
      <w:r>
        <w:rPr>
          <w:spacing w:val="51"/>
          <w:w w:val="150"/>
        </w:rPr>
        <w:t> </w:t>
      </w:r>
      <w:r>
        <w:rPr/>
        <w:t>appeals</w:t>
      </w:r>
      <w:r>
        <w:rPr>
          <w:spacing w:val="79"/>
        </w:rPr>
        <w:t> </w:t>
      </w:r>
      <w:r>
        <w:rPr/>
        <w:t>to</w:t>
      </w:r>
      <w:r>
        <w:rPr>
          <w:spacing w:val="50"/>
          <w:w w:val="150"/>
        </w:rPr>
        <w:t> </w:t>
      </w:r>
      <w:r>
        <w:rPr/>
        <w:t>donor</w:t>
      </w:r>
      <w:r>
        <w:rPr>
          <w:spacing w:val="78"/>
        </w:rPr>
        <w:t> </w:t>
      </w:r>
      <w:r>
        <w:rPr/>
        <w:t>agencies</w:t>
      </w:r>
      <w:r>
        <w:rPr>
          <w:spacing w:val="50"/>
          <w:w w:val="150"/>
        </w:rPr>
        <w:t> </w:t>
      </w:r>
      <w:r>
        <w:rPr/>
        <w:t>and</w:t>
      </w:r>
      <w:r>
        <w:rPr>
          <w:spacing w:val="79"/>
        </w:rPr>
        <w:t> </w:t>
      </w:r>
      <w:r>
        <w:rPr/>
        <w:t>health</w:t>
      </w:r>
      <w:r>
        <w:rPr>
          <w:spacing w:val="50"/>
          <w:w w:val="150"/>
        </w:rPr>
        <w:t> </w:t>
      </w:r>
      <w:r>
        <w:rPr/>
        <w:t>policy</w:t>
      </w:r>
      <w:r>
        <w:rPr>
          <w:spacing w:val="74"/>
        </w:rPr>
        <w:t> </w:t>
      </w:r>
      <w:r>
        <w:rPr/>
        <w:t>makers</w:t>
      </w:r>
      <w:r>
        <w:rPr>
          <w:spacing w:val="50"/>
          <w:w w:val="150"/>
        </w:rPr>
        <w:t> </w:t>
      </w:r>
      <w:r>
        <w:rPr/>
        <w:t>to</w:t>
      </w:r>
      <w:r>
        <w:rPr>
          <w:spacing w:val="52"/>
          <w:w w:val="150"/>
        </w:rPr>
        <w:t> </w:t>
      </w:r>
      <w:r>
        <w:rPr/>
        <w:t>address</w:t>
      </w:r>
      <w:r>
        <w:rPr>
          <w:spacing w:val="50"/>
          <w:w w:val="150"/>
        </w:rPr>
        <w:t> </w:t>
      </w:r>
      <w:r>
        <w:rPr/>
        <w:t>the</w:t>
      </w:r>
      <w:r>
        <w:rPr>
          <w:spacing w:val="79"/>
        </w:rPr>
        <w:t> </w:t>
      </w:r>
      <w:r>
        <w:rPr/>
        <w:t>long-</w:t>
      </w:r>
      <w:r>
        <w:rPr>
          <w:spacing w:val="-4"/>
        </w:rPr>
        <w:t>time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unattended of public health laboratory services in less developed countries, starting with pilot work on TQM. Pheng and Ann (2004) discussed the implementation of TQM in construction firms, and concluded in their study that TQM has been recognised as a successful management philosophy in the manufacturing and service industries, so can likewise be embraced in the construction industry to help raise quality and productivity.</w:t>
      </w:r>
    </w:p>
    <w:p>
      <w:pPr>
        <w:pStyle w:val="BodyText"/>
        <w:spacing w:line="480" w:lineRule="auto" w:before="185"/>
        <w:ind w:left="400" w:right="1316"/>
        <w:jc w:val="both"/>
      </w:pPr>
      <w:r>
        <w:rPr/>
        <w:t>Sadikoglu and Olcay (2014)</w:t>
      </w:r>
      <w:r>
        <w:rPr>
          <w:spacing w:val="80"/>
        </w:rPr>
        <w:t> </w:t>
      </w:r>
      <w:r>
        <w:rPr/>
        <w:t>have looked critically at the</w:t>
      </w:r>
      <w:r>
        <w:rPr>
          <w:spacing w:val="80"/>
        </w:rPr>
        <w:t> </w:t>
      </w:r>
      <w:r>
        <w:rPr/>
        <w:t>effects of TQM practices and how these</w:t>
      </w:r>
      <w:r>
        <w:rPr>
          <w:spacing w:val="40"/>
        </w:rPr>
        <w:t> </w:t>
      </w:r>
      <w:r>
        <w:rPr/>
        <w:t>practices</w:t>
      </w:r>
      <w:r>
        <w:rPr>
          <w:spacing w:val="40"/>
        </w:rPr>
        <w:t> </w:t>
      </w:r>
      <w:r>
        <w:rPr/>
        <w:t>affect</w:t>
      </w:r>
      <w:r>
        <w:rPr>
          <w:spacing w:val="40"/>
        </w:rPr>
        <w:t> </w:t>
      </w:r>
      <w:r>
        <w:rPr/>
        <w:t>the</w:t>
      </w:r>
      <w:r>
        <w:rPr>
          <w:spacing w:val="40"/>
        </w:rPr>
        <w:t> </w:t>
      </w:r>
      <w:r>
        <w:rPr/>
        <w:t>performance</w:t>
      </w:r>
      <w:r>
        <w:rPr>
          <w:spacing w:val="40"/>
        </w:rPr>
        <w:t> </w:t>
      </w:r>
      <w:r>
        <w:rPr/>
        <w:t>of</w:t>
      </w:r>
      <w:r>
        <w:rPr>
          <w:spacing w:val="40"/>
        </w:rPr>
        <w:t> </w:t>
      </w:r>
      <w:r>
        <w:rPr/>
        <w:t>an</w:t>
      </w:r>
      <w:r>
        <w:rPr>
          <w:spacing w:val="40"/>
        </w:rPr>
        <w:t> </w:t>
      </w:r>
      <w:r>
        <w:rPr/>
        <w:t>organization</w:t>
      </w:r>
      <w:r>
        <w:rPr>
          <w:spacing w:val="40"/>
        </w:rPr>
        <w:t> </w:t>
      </w:r>
      <w:r>
        <w:rPr/>
        <w:t>in</w:t>
      </w:r>
      <w:r>
        <w:rPr>
          <w:spacing w:val="40"/>
        </w:rPr>
        <w:t> </w:t>
      </w:r>
      <w:r>
        <w:rPr/>
        <w:t>Turkey.</w:t>
      </w:r>
      <w:r>
        <w:rPr>
          <w:spacing w:val="80"/>
        </w:rPr>
        <w:t> </w:t>
      </w:r>
      <w:r>
        <w:rPr/>
        <w:t>Their</w:t>
      </w:r>
      <w:r>
        <w:rPr>
          <w:spacing w:val="-1"/>
        </w:rPr>
        <w:t> </w:t>
      </w:r>
      <w:r>
        <w:rPr/>
        <w:t>study</w:t>
      </w:r>
      <w:r>
        <w:rPr>
          <w:spacing w:val="-5"/>
        </w:rPr>
        <w:t> </w:t>
      </w:r>
      <w:r>
        <w:rPr/>
        <w:t>employed the cross-sectional survey methodology. The</w:t>
      </w:r>
      <w:r>
        <w:rPr>
          <w:spacing w:val="40"/>
        </w:rPr>
        <w:t> </w:t>
      </w:r>
      <w:r>
        <w:rPr/>
        <w:t>sample was made up</w:t>
      </w:r>
      <w:r>
        <w:rPr>
          <w:spacing w:val="40"/>
        </w:rPr>
        <w:t> </w:t>
      </w:r>
      <w:r>
        <w:rPr/>
        <w:t>of organizations that were members to the Turkish Quality Association and those firms that were</w:t>
      </w:r>
      <w:r>
        <w:rPr>
          <w:spacing w:val="40"/>
        </w:rPr>
        <w:t> </w:t>
      </w:r>
      <w:r>
        <w:rPr/>
        <w:t>located</w:t>
      </w:r>
      <w:r>
        <w:rPr>
          <w:spacing w:val="40"/>
        </w:rPr>
        <w:t> </w:t>
      </w:r>
      <w:r>
        <w:rPr/>
        <w:t>in</w:t>
      </w:r>
      <w:r>
        <w:rPr>
          <w:spacing w:val="40"/>
        </w:rPr>
        <w:t> </w:t>
      </w:r>
      <w:r>
        <w:rPr/>
        <w:t>Kocaeli- Gebze</w:t>
      </w:r>
      <w:r>
        <w:rPr>
          <w:spacing w:val="40"/>
        </w:rPr>
        <w:t> </w:t>
      </w:r>
      <w:r>
        <w:rPr/>
        <w:t>Organized</w:t>
      </w:r>
      <w:r>
        <w:rPr>
          <w:spacing w:val="40"/>
        </w:rPr>
        <w:t> </w:t>
      </w:r>
      <w:r>
        <w:rPr/>
        <w:t>Industrial</w:t>
      </w:r>
      <w:r>
        <w:rPr>
          <w:spacing w:val="40"/>
        </w:rPr>
        <w:t> </w:t>
      </w:r>
      <w:r>
        <w:rPr/>
        <w:t>Zone.</w:t>
      </w:r>
      <w:r>
        <w:rPr>
          <w:spacing w:val="80"/>
        </w:rPr>
        <w:t> </w:t>
      </w:r>
      <w:r>
        <w:rPr/>
        <w:t>The findings revealed that firms in Turkey faced obstacles due to the fact that they did not involve employees, lack of a good firm structure and lack of resources.</w:t>
      </w:r>
      <w:r>
        <w:rPr>
          <w:spacing w:val="40"/>
        </w:rPr>
        <w:t> </w:t>
      </w:r>
      <w:r>
        <w:rPr/>
        <w:t>Similarly, Oluwatoyin and Oluseun (2008) tested the effects of TQM on organizational performance and the stakeholder satisfaction focusing on the airline industry in Nigeria and revealed that TQM airlines had a higher levels of employee satisfaction than those airlines that did not embrace TQM.</w:t>
      </w:r>
      <w:r>
        <w:rPr>
          <w:spacing w:val="40"/>
        </w:rPr>
        <w:t> </w:t>
      </w:r>
      <w:r>
        <w:rPr/>
        <w:t>Adoyo (2012)</w:t>
      </w:r>
      <w:r>
        <w:rPr>
          <w:spacing w:val="-1"/>
        </w:rPr>
        <w:t> </w:t>
      </w:r>
      <w:r>
        <w:rPr/>
        <w:t>focused on the relationship between customer service quality and customer loyalty among retail pharmacies in western Kenya. The findings indicated that relationship quality dimensions namely</w:t>
      </w:r>
      <w:r>
        <w:rPr>
          <w:spacing w:val="40"/>
        </w:rPr>
        <w:t> </w:t>
      </w:r>
      <w:r>
        <w:rPr/>
        <w:t>service quality, commitment,</w:t>
      </w:r>
      <w:r>
        <w:rPr>
          <w:spacing w:val="40"/>
        </w:rPr>
        <w:t> </w:t>
      </w:r>
      <w:r>
        <w:rPr/>
        <w:t>trust, and satisfaction</w:t>
      </w:r>
      <w:r>
        <w:rPr>
          <w:spacing w:val="40"/>
        </w:rPr>
        <w:t> </w:t>
      </w:r>
      <w:r>
        <w:rPr/>
        <w:t>had</w:t>
      </w:r>
      <w:r>
        <w:rPr>
          <w:spacing w:val="40"/>
        </w:rPr>
        <w:t> </w:t>
      </w:r>
      <w:r>
        <w:rPr/>
        <w:t>significant</w:t>
      </w:r>
      <w:r>
        <w:rPr>
          <w:spacing w:val="40"/>
        </w:rPr>
        <w:t> </w:t>
      </w:r>
      <w:r>
        <w:rPr/>
        <w:t>positive</w:t>
      </w:r>
      <w:r>
        <w:rPr>
          <w:spacing w:val="40"/>
        </w:rPr>
        <w:t> </w:t>
      </w:r>
      <w:r>
        <w:rPr/>
        <w:t>effect</w:t>
      </w:r>
      <w:r>
        <w:rPr>
          <w:spacing w:val="40"/>
        </w:rPr>
        <w:t> </w:t>
      </w:r>
      <w:r>
        <w:rPr/>
        <w:t>on</w:t>
      </w:r>
      <w:r>
        <w:rPr>
          <w:spacing w:val="40"/>
        </w:rPr>
        <w:t> </w:t>
      </w:r>
      <w:r>
        <w:rPr/>
        <w:t>the</w:t>
      </w:r>
      <w:r>
        <w:rPr>
          <w:spacing w:val="40"/>
        </w:rPr>
        <w:t> </w:t>
      </w:r>
      <w:r>
        <w:rPr/>
        <w:t>ultimate</w:t>
      </w:r>
      <w:r>
        <w:rPr>
          <w:spacing w:val="40"/>
        </w:rPr>
        <w:t> </w:t>
      </w:r>
      <w:r>
        <w:rPr/>
        <w:t>outcome</w:t>
      </w:r>
      <w:r>
        <w:rPr>
          <w:spacing w:val="40"/>
        </w:rPr>
        <w:t> </w:t>
      </w:r>
      <w:r>
        <w:rPr/>
        <w:t>of</w:t>
      </w:r>
      <w:r>
        <w:rPr>
          <w:spacing w:val="40"/>
        </w:rPr>
        <w:t> </w:t>
      </w:r>
      <w:r>
        <w:rPr/>
        <w:t>customer loyalty.</w:t>
      </w:r>
    </w:p>
    <w:p>
      <w:pPr>
        <w:pStyle w:val="BodyText"/>
        <w:spacing w:line="480" w:lineRule="auto" w:before="159"/>
        <w:ind w:left="400" w:right="1316"/>
        <w:jc w:val="both"/>
      </w:pPr>
      <w:r>
        <w:rPr/>
        <w:t>Gathoga</w:t>
      </w:r>
      <w:r>
        <w:rPr>
          <w:spacing w:val="40"/>
        </w:rPr>
        <w:t> </w:t>
      </w:r>
      <w:r>
        <w:rPr/>
        <w:t>(2001)</w:t>
      </w:r>
      <w:r>
        <w:rPr>
          <w:spacing w:val="40"/>
        </w:rPr>
        <w:t> </w:t>
      </w:r>
      <w:r>
        <w:rPr/>
        <w:t>carried</w:t>
      </w:r>
      <w:r>
        <w:rPr>
          <w:spacing w:val="40"/>
        </w:rPr>
        <w:t> </w:t>
      </w:r>
      <w:r>
        <w:rPr/>
        <w:t>out</w:t>
      </w:r>
      <w:r>
        <w:rPr>
          <w:spacing w:val="40"/>
        </w:rPr>
        <w:t> </w:t>
      </w:r>
      <w:r>
        <w:rPr/>
        <w:t>a</w:t>
      </w:r>
      <w:r>
        <w:rPr>
          <w:spacing w:val="40"/>
        </w:rPr>
        <w:t> </w:t>
      </w:r>
      <w:r>
        <w:rPr/>
        <w:t>study</w:t>
      </w:r>
      <w:r>
        <w:rPr>
          <w:spacing w:val="40"/>
        </w:rPr>
        <w:t> </w:t>
      </w:r>
      <w:r>
        <w:rPr/>
        <w:t>on</w:t>
      </w:r>
      <w:r>
        <w:rPr>
          <w:spacing w:val="40"/>
        </w:rPr>
        <w:t> </w:t>
      </w:r>
      <w:r>
        <w:rPr/>
        <w:t>effects</w:t>
      </w:r>
      <w:r>
        <w:rPr>
          <w:spacing w:val="40"/>
        </w:rPr>
        <w:t> </w:t>
      </w:r>
      <w:r>
        <w:rPr/>
        <w:t>of</w:t>
      </w:r>
      <w:r>
        <w:rPr>
          <w:spacing w:val="40"/>
        </w:rPr>
        <w:t> </w:t>
      </w:r>
      <w:r>
        <w:rPr/>
        <w:t>TQM implementation</w:t>
      </w:r>
      <w:r>
        <w:rPr>
          <w:spacing w:val="40"/>
        </w:rPr>
        <w:t> </w:t>
      </w:r>
      <w:r>
        <w:rPr/>
        <w:t>on</w:t>
      </w:r>
      <w:r>
        <w:rPr>
          <w:spacing w:val="40"/>
        </w:rPr>
        <w:t> </w:t>
      </w:r>
      <w:r>
        <w:rPr/>
        <w:t>business performance</w:t>
      </w:r>
      <w:r>
        <w:rPr>
          <w:spacing w:val="40"/>
        </w:rPr>
        <w:t> </w:t>
      </w:r>
      <w:r>
        <w:rPr/>
        <w:t>in</w:t>
      </w:r>
      <w:r>
        <w:rPr>
          <w:spacing w:val="40"/>
        </w:rPr>
        <w:t> </w:t>
      </w:r>
      <w:r>
        <w:rPr/>
        <w:t>service</w:t>
      </w:r>
      <w:r>
        <w:rPr>
          <w:spacing w:val="40"/>
        </w:rPr>
        <w:t> </w:t>
      </w:r>
      <w:r>
        <w:rPr/>
        <w:t>institutions,</w:t>
      </w:r>
      <w:r>
        <w:rPr>
          <w:spacing w:val="40"/>
        </w:rPr>
        <w:t> </w:t>
      </w:r>
      <w:r>
        <w:rPr/>
        <w:t>a</w:t>
      </w:r>
      <w:r>
        <w:rPr>
          <w:spacing w:val="40"/>
        </w:rPr>
        <w:t> </w:t>
      </w:r>
      <w:r>
        <w:rPr/>
        <w:t>case</w:t>
      </w:r>
      <w:r>
        <w:rPr>
          <w:spacing w:val="40"/>
        </w:rPr>
        <w:t> </w:t>
      </w:r>
      <w:r>
        <w:rPr/>
        <w:t>study</w:t>
      </w:r>
      <w:r>
        <w:rPr>
          <w:spacing w:val="40"/>
        </w:rPr>
        <w:t> </w:t>
      </w:r>
      <w:r>
        <w:rPr/>
        <w:t>of</w:t>
      </w:r>
      <w:r>
        <w:rPr>
          <w:spacing w:val="40"/>
        </w:rPr>
        <w:t> </w:t>
      </w:r>
      <w:r>
        <w:rPr/>
        <w:t>Kenya Wildlife Service. The findings revealed that the role of leadership has a positive impact on TQM implementation.</w:t>
      </w:r>
      <w:r>
        <w:rPr>
          <w:spacing w:val="80"/>
        </w:rPr>
        <w:t> </w:t>
      </w:r>
      <w:r>
        <w:rPr/>
        <w:t>None</w:t>
      </w:r>
      <w:r>
        <w:rPr>
          <w:spacing w:val="80"/>
        </w:rPr>
        <w:t> </w:t>
      </w:r>
      <w:r>
        <w:rPr/>
        <w:t>of these</w:t>
      </w:r>
      <w:r>
        <w:rPr>
          <w:spacing w:val="80"/>
        </w:rPr>
        <w:t> </w:t>
      </w:r>
      <w:r>
        <w:rPr/>
        <w:t>studies</w:t>
      </w:r>
      <w:r>
        <w:rPr>
          <w:spacing w:val="80"/>
        </w:rPr>
        <w:t> </w:t>
      </w:r>
      <w:r>
        <w:rPr/>
        <w:t>have</w:t>
      </w:r>
      <w:r>
        <w:rPr>
          <w:spacing w:val="80"/>
        </w:rPr>
        <w:t> </w:t>
      </w:r>
      <w:r>
        <w:rPr/>
        <w:t>focused</w:t>
      </w:r>
      <w:r>
        <w:rPr>
          <w:spacing w:val="80"/>
        </w:rPr>
        <w:t> </w:t>
      </w:r>
      <w:r>
        <w:rPr/>
        <w:t>on</w:t>
      </w:r>
      <w:r>
        <w:rPr>
          <w:spacing w:val="80"/>
        </w:rPr>
        <w:t> </w:t>
      </w:r>
      <w:r>
        <w:rPr/>
        <w:t>total</w:t>
      </w:r>
      <w:r>
        <w:rPr>
          <w:spacing w:val="80"/>
        </w:rPr>
        <w:t> </w:t>
      </w:r>
      <w:r>
        <w:rPr/>
        <w:t>quality management</w:t>
      </w:r>
      <w:r>
        <w:rPr>
          <w:spacing w:val="80"/>
        </w:rPr>
        <w:t> </w:t>
      </w:r>
      <w:r>
        <w:rPr/>
        <w:t>practices</w:t>
      </w:r>
      <w:r>
        <w:rPr>
          <w:spacing w:val="80"/>
        </w:rPr>
        <w:t> </w:t>
      </w:r>
      <w:r>
        <w:rPr/>
        <w:t>and competitiveness of the</w:t>
      </w:r>
      <w:r>
        <w:rPr>
          <w:spacing w:val="56"/>
        </w:rPr>
        <w:t> </w:t>
      </w:r>
      <w:r>
        <w:rPr/>
        <w:t>organizations</w:t>
      </w:r>
      <w:r>
        <w:rPr>
          <w:spacing w:val="-1"/>
        </w:rPr>
        <w:t> </w:t>
      </w:r>
      <w:r>
        <w:rPr/>
        <w:t>in</w:t>
      </w:r>
      <w:r>
        <w:rPr>
          <w:spacing w:val="-1"/>
        </w:rPr>
        <w:t> </w:t>
      </w:r>
      <w:r>
        <w:rPr/>
        <w:t>the aviation</w:t>
      </w:r>
      <w:r>
        <w:rPr>
          <w:spacing w:val="58"/>
        </w:rPr>
        <w:t> </w:t>
      </w:r>
      <w:r>
        <w:rPr/>
        <w:t>industry</w:t>
      </w:r>
      <w:r>
        <w:rPr>
          <w:spacing w:val="-6"/>
        </w:rPr>
        <w:t> </w:t>
      </w:r>
      <w:r>
        <w:rPr/>
        <w:t>in</w:t>
      </w:r>
      <w:r>
        <w:rPr>
          <w:spacing w:val="1"/>
        </w:rPr>
        <w:t> </w:t>
      </w:r>
      <w:r>
        <w:rPr/>
        <w:t>Kenya.</w:t>
      </w:r>
      <w:r>
        <w:rPr>
          <w:spacing w:val="1"/>
        </w:rPr>
        <w:t> </w:t>
      </w:r>
      <w:r>
        <w:rPr/>
        <w:t>Shibani,</w:t>
      </w:r>
      <w:r>
        <w:rPr>
          <w:spacing w:val="-1"/>
        </w:rPr>
        <w:t> </w:t>
      </w:r>
      <w:r>
        <w:rPr/>
        <w:t>Soetanto</w:t>
      </w:r>
      <w:r>
        <w:rPr>
          <w:spacing w:val="-1"/>
        </w:rPr>
        <w:t> </w:t>
      </w:r>
      <w:r>
        <w:rPr/>
        <w:t>and</w:t>
      </w:r>
      <w:r>
        <w:rPr>
          <w:spacing w:val="1"/>
        </w:rPr>
        <w:t> </w:t>
      </w:r>
      <w:r>
        <w:rPr/>
        <w:t>Ganjian</w:t>
      </w:r>
      <w:r>
        <w:rPr>
          <w:spacing w:val="-1"/>
        </w:rPr>
        <w:t> </w:t>
      </w:r>
      <w:r>
        <w:rPr/>
        <w:t>conducted</w:t>
      </w:r>
      <w:r>
        <w:rPr>
          <w:spacing w:val="1"/>
        </w:rPr>
        <w:t> </w:t>
      </w:r>
      <w:r>
        <w:rPr>
          <w:spacing w:val="-5"/>
        </w:rPr>
        <w:t>an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investigation</w:t>
      </w:r>
      <w:r>
        <w:rPr>
          <w:spacing w:val="-3"/>
        </w:rPr>
        <w:t> </w:t>
      </w:r>
      <w:r>
        <w:rPr/>
        <w:t>on</w:t>
      </w:r>
      <w:r>
        <w:rPr>
          <w:spacing w:val="-3"/>
        </w:rPr>
        <w:t> </w:t>
      </w:r>
      <w:r>
        <w:rPr/>
        <w:t>the</w:t>
      </w:r>
      <w:r>
        <w:rPr>
          <w:spacing w:val="-4"/>
        </w:rPr>
        <w:t> </w:t>
      </w:r>
      <w:r>
        <w:rPr/>
        <w:t>Critical</w:t>
      </w:r>
      <w:r>
        <w:rPr>
          <w:spacing w:val="-3"/>
        </w:rPr>
        <w:t> </w:t>
      </w:r>
      <w:r>
        <w:rPr/>
        <w:t>Success</w:t>
      </w:r>
      <w:r>
        <w:rPr>
          <w:spacing w:val="-1"/>
        </w:rPr>
        <w:t> </w:t>
      </w:r>
      <w:r>
        <w:rPr/>
        <w:t>Factors</w:t>
      </w:r>
      <w:r>
        <w:rPr>
          <w:spacing w:val="-3"/>
        </w:rPr>
        <w:t> </w:t>
      </w:r>
      <w:r>
        <w:rPr/>
        <w:t>of</w:t>
      </w:r>
      <w:r>
        <w:rPr>
          <w:spacing w:val="-4"/>
        </w:rPr>
        <w:t> </w:t>
      </w:r>
      <w:r>
        <w:rPr/>
        <w:t>the</w:t>
      </w:r>
      <w:r>
        <w:rPr>
          <w:spacing w:val="-4"/>
        </w:rPr>
        <w:t> </w:t>
      </w:r>
      <w:r>
        <w:rPr/>
        <w:t>implementation</w:t>
      </w:r>
      <w:r>
        <w:rPr>
          <w:spacing w:val="-3"/>
        </w:rPr>
        <w:t> </w:t>
      </w:r>
      <w:r>
        <w:rPr/>
        <w:t>of</w:t>
      </w:r>
      <w:r>
        <w:rPr>
          <w:spacing w:val="-4"/>
        </w:rPr>
        <w:t> </w:t>
      </w:r>
      <w:r>
        <w:rPr/>
        <w:t>Total</w:t>
      </w:r>
      <w:r>
        <w:rPr>
          <w:spacing w:val="-3"/>
        </w:rPr>
        <w:t> </w:t>
      </w:r>
      <w:r>
        <w:rPr/>
        <w:t>Quality</w:t>
      </w:r>
      <w:r>
        <w:rPr>
          <w:spacing w:val="-7"/>
        </w:rPr>
        <w:t> </w:t>
      </w:r>
      <w:r>
        <w:rPr/>
        <w:t>Management (TQM) in Libyan construction organisations. They used questioonaire as their instrument for</w:t>
      </w:r>
      <w:r>
        <w:rPr>
          <w:spacing w:val="40"/>
        </w:rPr>
        <w:t> </w:t>
      </w:r>
      <w:r>
        <w:rPr/>
        <w:t>data collection which they distributed to 200 contractors in Tripoli. The findings identified five reliable and valid TQM constructs, namely ‘organisation management’, ‘communication to improve quality’, ‘training and development’, ‘employee’s involvement and recognition’ and ‘culture’. The findings also revealed a low level of CSFs implementation, which might be originated from little understanding of the fundamental TQM principles.</w:t>
      </w:r>
    </w:p>
    <w:p>
      <w:pPr>
        <w:pStyle w:val="BodyText"/>
        <w:spacing w:before="21"/>
      </w:pPr>
    </w:p>
    <w:p>
      <w:pPr>
        <w:pStyle w:val="BodyText"/>
        <w:spacing w:line="480" w:lineRule="auto" w:before="1"/>
        <w:ind w:left="400" w:right="1316"/>
        <w:jc w:val="both"/>
      </w:pPr>
      <w:r>
        <w:rPr/>
        <w:t>The</w:t>
      </w:r>
      <w:r>
        <w:rPr>
          <w:spacing w:val="-1"/>
        </w:rPr>
        <w:t> </w:t>
      </w:r>
      <w:r>
        <w:rPr/>
        <w:t>construction companies face</w:t>
      </w:r>
      <w:r>
        <w:rPr>
          <w:spacing w:val="-1"/>
        </w:rPr>
        <w:t> </w:t>
      </w:r>
      <w:r>
        <w:rPr/>
        <w:t>a</w:t>
      </w:r>
      <w:r>
        <w:rPr>
          <w:spacing w:val="-1"/>
        </w:rPr>
        <w:t> </w:t>
      </w:r>
      <w:r>
        <w:rPr/>
        <w:t>lot of challenges on how</w:t>
      </w:r>
      <w:r>
        <w:rPr>
          <w:spacing w:val="-1"/>
        </w:rPr>
        <w:t> </w:t>
      </w:r>
      <w:r>
        <w:rPr/>
        <w:t>to adopt a</w:t>
      </w:r>
      <w:r>
        <w:rPr>
          <w:spacing w:val="-1"/>
        </w:rPr>
        <w:t> </w:t>
      </w:r>
      <w:r>
        <w:rPr/>
        <w:t>strategy</w:t>
      </w:r>
      <w:r>
        <w:rPr>
          <w:spacing w:val="-2"/>
        </w:rPr>
        <w:t> </w:t>
      </w:r>
      <w:r>
        <w:rPr/>
        <w:t>for</w:t>
      </w:r>
      <w:r>
        <w:rPr>
          <w:spacing w:val="-1"/>
        </w:rPr>
        <w:t> </w:t>
      </w:r>
      <w:r>
        <w:rPr/>
        <w:t>higher</w:t>
      </w:r>
      <w:r>
        <w:rPr>
          <w:spacing w:val="-1"/>
        </w:rPr>
        <w:t> </w:t>
      </w:r>
      <w:r>
        <w:rPr/>
        <w:t>quality at a reduced cost without affecting their profit margin and the clients’ requirement. A study by Okuntade</w:t>
      </w:r>
      <w:r>
        <w:rPr>
          <w:spacing w:val="-2"/>
        </w:rPr>
        <w:t> </w:t>
      </w:r>
      <w:r>
        <w:rPr/>
        <w:t>(2015) Barriers</w:t>
      </w:r>
      <w:r>
        <w:rPr>
          <w:spacing w:val="-1"/>
        </w:rPr>
        <w:t> </w:t>
      </w:r>
      <w:r>
        <w:rPr/>
        <w:t>and Benefits</w:t>
      </w:r>
      <w:r>
        <w:rPr>
          <w:spacing w:val="-1"/>
        </w:rPr>
        <w:t> </w:t>
      </w:r>
      <w:r>
        <w:rPr/>
        <w:t>of</w:t>
      </w:r>
      <w:r>
        <w:rPr>
          <w:spacing w:val="-2"/>
        </w:rPr>
        <w:t> </w:t>
      </w:r>
      <w:r>
        <w:rPr/>
        <w:t>TQM</w:t>
      </w:r>
      <w:r>
        <w:rPr>
          <w:spacing w:val="-1"/>
        </w:rPr>
        <w:t> </w:t>
      </w:r>
      <w:r>
        <w:rPr/>
        <w:t>in</w:t>
      </w:r>
      <w:r>
        <w:rPr>
          <w:spacing w:val="-1"/>
        </w:rPr>
        <w:t> </w:t>
      </w:r>
      <w:r>
        <w:rPr/>
        <w:t>the</w:t>
      </w:r>
      <w:r>
        <w:rPr>
          <w:spacing w:val="-2"/>
        </w:rPr>
        <w:t> </w:t>
      </w:r>
      <w:r>
        <w:rPr/>
        <w:t>Nigerian</w:t>
      </w:r>
      <w:r>
        <w:rPr>
          <w:spacing w:val="-1"/>
        </w:rPr>
        <w:t> </w:t>
      </w:r>
      <w:r>
        <w:rPr/>
        <w:t>Construction Industry: A review, recommends TQM as the only ways of solving these challenges in the construction industry. Similarly, the findings of a study carried out by Ahmed (2010) suggested that TQM can be successfully</w:t>
      </w:r>
      <w:r>
        <w:rPr>
          <w:spacing w:val="-1"/>
        </w:rPr>
        <w:t> </w:t>
      </w:r>
      <w:r>
        <w:rPr/>
        <w:t>implemented among Qatar’s construction companies. This was drawn from the best practice of TQM implementation as a guideline for the client construction company to consider</w:t>
      </w:r>
      <w:r>
        <w:rPr>
          <w:spacing w:val="40"/>
        </w:rPr>
        <w:t> </w:t>
      </w:r>
      <w:r>
        <w:rPr/>
        <w:t>in adopting the TQM philosophy. Furthermore, a framework was suggested for the Client recommending the actions the Client should take to establish and implement a TQM framework which will increase productivity, stream line the processes and improves the quality of the services and the products offered by the client. Results of a study carried out by Arawati (2004), aimed to identifying the relationship between TQM and overall performance, show there is a strong and positive association between TQM, overall performance and customer satisfaction</w:t>
      </w:r>
      <w:r>
        <w:rPr>
          <w:spacing w:val="40"/>
        </w:rPr>
        <w:t> </w:t>
      </w:r>
      <w:r>
        <w:rPr/>
        <w:t>and suggest that an emphasis on quality would result in organisation gains.</w:t>
      </w:r>
    </w:p>
    <w:p>
      <w:pPr>
        <w:pStyle w:val="BodyText"/>
        <w:spacing w:line="480" w:lineRule="auto" w:before="198"/>
        <w:ind w:left="400" w:right="1319"/>
        <w:jc w:val="both"/>
      </w:pPr>
      <w:r>
        <w:rPr/>
        <w:t>Quality has been recognized as a key focus for competitiveness. This is supported by Kamal (2012)</w:t>
      </w:r>
      <w:r>
        <w:rPr>
          <w:spacing w:val="75"/>
        </w:rPr>
        <w:t> </w:t>
      </w:r>
      <w:r>
        <w:rPr/>
        <w:t>in</w:t>
      </w:r>
      <w:r>
        <w:rPr>
          <w:spacing w:val="78"/>
        </w:rPr>
        <w:t> </w:t>
      </w:r>
      <w:r>
        <w:rPr/>
        <w:t>his</w:t>
      </w:r>
      <w:r>
        <w:rPr>
          <w:spacing w:val="78"/>
        </w:rPr>
        <w:t> </w:t>
      </w:r>
      <w:r>
        <w:rPr/>
        <w:t>study</w:t>
      </w:r>
      <w:r>
        <w:rPr>
          <w:spacing w:val="71"/>
        </w:rPr>
        <w:t> </w:t>
      </w:r>
      <w:r>
        <w:rPr/>
        <w:t>on</w:t>
      </w:r>
      <w:r>
        <w:rPr>
          <w:spacing w:val="51"/>
          <w:w w:val="150"/>
        </w:rPr>
        <w:t> </w:t>
      </w:r>
      <w:r>
        <w:rPr/>
        <w:t>the</w:t>
      </w:r>
      <w:r>
        <w:rPr>
          <w:spacing w:val="77"/>
        </w:rPr>
        <w:t> </w:t>
      </w:r>
      <w:r>
        <w:rPr/>
        <w:t>impact</w:t>
      </w:r>
      <w:r>
        <w:rPr>
          <w:spacing w:val="78"/>
        </w:rPr>
        <w:t> </w:t>
      </w:r>
      <w:r>
        <w:rPr/>
        <w:t>of</w:t>
      </w:r>
      <w:r>
        <w:rPr>
          <w:spacing w:val="77"/>
        </w:rPr>
        <w:t> </w:t>
      </w:r>
      <w:r>
        <w:rPr/>
        <w:t>TQM</w:t>
      </w:r>
      <w:r>
        <w:rPr>
          <w:spacing w:val="79"/>
        </w:rPr>
        <w:t> </w:t>
      </w:r>
      <w:r>
        <w:rPr/>
        <w:t>on</w:t>
      </w:r>
      <w:r>
        <w:rPr>
          <w:spacing w:val="78"/>
        </w:rPr>
        <w:t> </w:t>
      </w:r>
      <w:r>
        <w:rPr/>
        <w:t>competitive</w:t>
      </w:r>
      <w:r>
        <w:rPr>
          <w:spacing w:val="77"/>
        </w:rPr>
        <w:t> </w:t>
      </w:r>
      <w:r>
        <w:rPr/>
        <w:t>advantage</w:t>
      </w:r>
      <w:r>
        <w:rPr>
          <w:spacing w:val="77"/>
        </w:rPr>
        <w:t> </w:t>
      </w:r>
      <w:r>
        <w:rPr/>
        <w:t>of</w:t>
      </w:r>
      <w:r>
        <w:rPr>
          <w:spacing w:val="78"/>
        </w:rPr>
        <w:t> </w:t>
      </w:r>
      <w:r>
        <w:rPr>
          <w:spacing w:val="-2"/>
        </w:rPr>
        <w:t>pharmaceutical</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manufacturing companies in Jordan concluded that TQM is strategically and tactically</w:t>
      </w:r>
      <w:r>
        <w:rPr>
          <w:spacing w:val="-1"/>
        </w:rPr>
        <w:t> </w:t>
      </w:r>
      <w:r>
        <w:rPr/>
        <w:t>important for gaining a competitive advantage. Therefore, organizations should be committed to TQM practices and their successful implementation. The finding of the study by Abu </w:t>
      </w:r>
      <w:r>
        <w:rPr>
          <w:i/>
        </w:rPr>
        <w:t>et al</w:t>
      </w:r>
      <w:r>
        <w:rPr/>
        <w:t>., (2011), is that large construction companies generally</w:t>
      </w:r>
      <w:r>
        <w:rPr>
          <w:spacing w:val="-3"/>
        </w:rPr>
        <w:t> </w:t>
      </w:r>
      <w:r>
        <w:rPr/>
        <w:t>take into account the principles of TQM. No wonder they are believed to dominate the construction firms.</w:t>
      </w:r>
    </w:p>
    <w:p>
      <w:pPr>
        <w:pStyle w:val="BodyText"/>
        <w:spacing w:line="480" w:lineRule="auto" w:before="199"/>
        <w:ind w:left="400" w:right="1315"/>
        <w:jc w:val="both"/>
      </w:pPr>
      <w:r>
        <w:rPr/>
        <w:t>Schonberger (1992) citied</w:t>
      </w:r>
      <w:r>
        <w:rPr>
          <w:spacing w:val="-1"/>
        </w:rPr>
        <w:t> </w:t>
      </w:r>
      <w:r>
        <w:rPr/>
        <w:t>by</w:t>
      </w:r>
      <w:r>
        <w:rPr>
          <w:spacing w:val="-3"/>
        </w:rPr>
        <w:t> </w:t>
      </w:r>
      <w:r>
        <w:rPr/>
        <w:t>Fatih</w:t>
      </w:r>
      <w:r>
        <w:rPr>
          <w:spacing w:val="-1"/>
        </w:rPr>
        <w:t> </w:t>
      </w:r>
      <w:r>
        <w:rPr/>
        <w:t>(2012)</w:t>
      </w:r>
      <w:r>
        <w:rPr>
          <w:spacing w:val="-2"/>
        </w:rPr>
        <w:t> </w:t>
      </w:r>
      <w:r>
        <w:rPr/>
        <w:t>describes</w:t>
      </w:r>
      <w:r>
        <w:rPr>
          <w:spacing w:val="-1"/>
        </w:rPr>
        <w:t> </w:t>
      </w:r>
      <w:r>
        <w:rPr/>
        <w:t>that</w:t>
      </w:r>
      <w:r>
        <w:rPr>
          <w:spacing w:val="-1"/>
        </w:rPr>
        <w:t> </w:t>
      </w:r>
      <w:r>
        <w:rPr/>
        <w:t>quality</w:t>
      </w:r>
      <w:r>
        <w:rPr>
          <w:spacing w:val="-5"/>
        </w:rPr>
        <w:t> </w:t>
      </w:r>
      <w:r>
        <w:rPr/>
        <w:t>provides</w:t>
      </w:r>
      <w:r>
        <w:rPr>
          <w:spacing w:val="-1"/>
        </w:rPr>
        <w:t> </w:t>
      </w:r>
      <w:r>
        <w:rPr/>
        <w:t>competitive</w:t>
      </w:r>
      <w:r>
        <w:rPr>
          <w:spacing w:val="-2"/>
        </w:rPr>
        <w:t> </w:t>
      </w:r>
      <w:r>
        <w:rPr/>
        <w:t>advantage, so quality management systems like TQM could generate competitive advantage for firms. Powell (1995) mentions that TQM is a potential source of sustainable competitive advantage for companies. Powell (1995) concludes that firms with implemented TQM combined with tacit resources (e.g. employee empowerment) can outperform competitors with the accompanying TQM ideology. So, Powell (1995) mentions that firms which have adopted TQM obtain competitive advantage over firms that do not adopt TQM. Furthermore, Reed </w:t>
      </w:r>
      <w:r>
        <w:rPr>
          <w:i/>
        </w:rPr>
        <w:t>et al. </w:t>
      </w:r>
      <w:r>
        <w:rPr/>
        <w:t>(1996) describe that TQM could lead to competitive advantage, because improved quality</w:t>
      </w:r>
      <w:r>
        <w:rPr>
          <w:spacing w:val="-1"/>
        </w:rPr>
        <w:t> </w:t>
      </w:r>
      <w:r>
        <w:rPr/>
        <w:t>is linked with higher profits and increased market share. Douglas and Judge (2001) also describe that organizations which adopted TQM practices achieved competitive advantages. They mention</w:t>
      </w:r>
      <w:r>
        <w:rPr>
          <w:spacing w:val="40"/>
        </w:rPr>
        <w:t> </w:t>
      </w:r>
      <w:r>
        <w:rPr/>
        <w:t>that TQM practices function as an independent system in organization and when combined with other organizational assets it generates competitive advantage (Douglas and Judge, 2001).</w:t>
      </w:r>
    </w:p>
    <w:p>
      <w:pPr>
        <w:pStyle w:val="BodyText"/>
        <w:spacing w:line="480" w:lineRule="auto" w:before="200"/>
        <w:ind w:left="400" w:right="1318"/>
        <w:jc w:val="both"/>
      </w:pPr>
      <w:r>
        <w:rPr/>
        <w:t>Suhong </w:t>
      </w:r>
      <w:r>
        <w:rPr>
          <w:i/>
        </w:rPr>
        <w:t>et al., </w:t>
      </w:r>
      <w:r>
        <w:rPr/>
        <w:t>2006; Lakhal </w:t>
      </w:r>
      <w:r>
        <w:rPr>
          <w:i/>
        </w:rPr>
        <w:t>et al</w:t>
      </w:r>
      <w:r>
        <w:rPr/>
        <w:t>., 2006 and Musran, 2013 have found a positive correlation between TQM</w:t>
      </w:r>
      <w:r>
        <w:rPr>
          <w:spacing w:val="80"/>
        </w:rPr>
        <w:t> </w:t>
      </w:r>
      <w:r>
        <w:rPr/>
        <w:t>and competitive advantage that consist of, delivery dependability, cost or price, time to market, and product innovation.</w:t>
      </w:r>
      <w:r>
        <w:rPr>
          <w:spacing w:val="40"/>
        </w:rPr>
        <w:t> </w:t>
      </w:r>
      <w:r>
        <w:rPr/>
        <w:t>Shenawy </w:t>
      </w:r>
      <w:r>
        <w:rPr>
          <w:i/>
        </w:rPr>
        <w:t>et al</w:t>
      </w:r>
      <w:r>
        <w:rPr/>
        <w:t>. (2007) conduct a meta-analysis in order to investigate the effect of TQM on competitive advantage. The authors suggested a model for TQM that incorporates five major components of TQM which are top management commitment and</w:t>
      </w:r>
      <w:r>
        <w:rPr>
          <w:spacing w:val="50"/>
        </w:rPr>
        <w:t> </w:t>
      </w:r>
      <w:r>
        <w:rPr/>
        <w:t>leadership,</w:t>
      </w:r>
      <w:r>
        <w:rPr>
          <w:spacing w:val="51"/>
        </w:rPr>
        <w:t> </w:t>
      </w:r>
      <w:r>
        <w:rPr/>
        <w:t>teamwork,</w:t>
      </w:r>
      <w:r>
        <w:rPr>
          <w:spacing w:val="50"/>
        </w:rPr>
        <w:t> </w:t>
      </w:r>
      <w:r>
        <w:rPr/>
        <w:t>culture,</w:t>
      </w:r>
      <w:r>
        <w:rPr>
          <w:spacing w:val="54"/>
        </w:rPr>
        <w:t> </w:t>
      </w:r>
      <w:r>
        <w:rPr/>
        <w:t>training</w:t>
      </w:r>
      <w:r>
        <w:rPr>
          <w:spacing w:val="48"/>
        </w:rPr>
        <w:t> </w:t>
      </w:r>
      <w:r>
        <w:rPr/>
        <w:t>and</w:t>
      </w:r>
      <w:r>
        <w:rPr>
          <w:spacing w:val="54"/>
        </w:rPr>
        <w:t> </w:t>
      </w:r>
      <w:r>
        <w:rPr/>
        <w:t>education,</w:t>
      </w:r>
      <w:r>
        <w:rPr>
          <w:spacing w:val="50"/>
        </w:rPr>
        <w:t> </w:t>
      </w:r>
      <w:r>
        <w:rPr/>
        <w:t>and</w:t>
      </w:r>
      <w:r>
        <w:rPr>
          <w:spacing w:val="51"/>
        </w:rPr>
        <w:t> </w:t>
      </w:r>
      <w:r>
        <w:rPr/>
        <w:t>process</w:t>
      </w:r>
      <w:r>
        <w:rPr>
          <w:spacing w:val="53"/>
        </w:rPr>
        <w:t> </w:t>
      </w:r>
      <w:r>
        <w:rPr/>
        <w:t>efficiency.</w:t>
      </w:r>
      <w:r>
        <w:rPr>
          <w:spacing w:val="54"/>
        </w:rPr>
        <w:t> </w:t>
      </w:r>
      <w:r>
        <w:rPr/>
        <w:t>All</w:t>
      </w:r>
      <w:r>
        <w:rPr>
          <w:spacing w:val="52"/>
        </w:rPr>
        <w:t> </w:t>
      </w:r>
      <w:r>
        <w:rPr>
          <w:spacing w:val="-4"/>
        </w:rPr>
        <w:t>these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3"/>
        <w:jc w:val="both"/>
      </w:pPr>
      <w:r>
        <w:rPr/>
        <w:t>components</w:t>
      </w:r>
      <w:r>
        <w:rPr>
          <w:spacing w:val="-2"/>
        </w:rPr>
        <w:t> </w:t>
      </w:r>
      <w:r>
        <w:rPr/>
        <w:t>are</w:t>
      </w:r>
      <w:r>
        <w:rPr>
          <w:spacing w:val="-3"/>
        </w:rPr>
        <w:t> </w:t>
      </w:r>
      <w:r>
        <w:rPr/>
        <w:t>positively</w:t>
      </w:r>
      <w:r>
        <w:rPr>
          <w:spacing w:val="-4"/>
        </w:rPr>
        <w:t> </w:t>
      </w:r>
      <w:r>
        <w:rPr/>
        <w:t>related</w:t>
      </w:r>
      <w:r>
        <w:rPr>
          <w:spacing w:val="-2"/>
        </w:rPr>
        <w:t> </w:t>
      </w:r>
      <w:r>
        <w:rPr/>
        <w:t>with</w:t>
      </w:r>
      <w:r>
        <w:rPr>
          <w:spacing w:val="-2"/>
        </w:rPr>
        <w:t> </w:t>
      </w:r>
      <w:r>
        <w:rPr/>
        <w:t>competitive</w:t>
      </w:r>
      <w:r>
        <w:rPr>
          <w:spacing w:val="-3"/>
        </w:rPr>
        <w:t> </w:t>
      </w:r>
      <w:r>
        <w:rPr/>
        <w:t>advantage,</w:t>
      </w:r>
      <w:r>
        <w:rPr>
          <w:spacing w:val="-2"/>
        </w:rPr>
        <w:t> </w:t>
      </w:r>
      <w:r>
        <w:rPr/>
        <w:t>which</w:t>
      </w:r>
      <w:r>
        <w:rPr>
          <w:spacing w:val="-2"/>
        </w:rPr>
        <w:t> </w:t>
      </w:r>
      <w:r>
        <w:rPr/>
        <w:t>means</w:t>
      </w:r>
      <w:r>
        <w:rPr>
          <w:spacing w:val="-2"/>
        </w:rPr>
        <w:t> </w:t>
      </w:r>
      <w:r>
        <w:rPr/>
        <w:t>that</w:t>
      </w:r>
      <w:r>
        <w:rPr>
          <w:spacing w:val="-2"/>
        </w:rPr>
        <w:t> </w:t>
      </w:r>
      <w:r>
        <w:rPr/>
        <w:t>TQM</w:t>
      </w:r>
      <w:r>
        <w:rPr>
          <w:spacing w:val="-2"/>
        </w:rPr>
        <w:t> </w:t>
      </w:r>
      <w:r>
        <w:rPr/>
        <w:t>positively influences competitive advantage of the companies (Shenawy </w:t>
      </w:r>
      <w:r>
        <w:rPr>
          <w:i/>
        </w:rPr>
        <w:t>et al</w:t>
      </w:r>
      <w:r>
        <w:rPr/>
        <w:t>., 2007). The authors present most use measures of competitive advantage in TQM literature, which are improved revenues, growth in market share, product quality and customer satisfaction (Shenawy </w:t>
      </w:r>
      <w:r>
        <w:rPr>
          <w:i/>
        </w:rPr>
        <w:t>et al., </w:t>
      </w:r>
      <w:r>
        <w:rPr/>
        <w:t>2007). So, Shenawy</w:t>
      </w:r>
      <w:r>
        <w:rPr>
          <w:spacing w:val="-5"/>
        </w:rPr>
        <w:t> </w:t>
      </w:r>
      <w:r>
        <w:rPr>
          <w:i/>
        </w:rPr>
        <w:t>et</w:t>
      </w:r>
      <w:r>
        <w:rPr>
          <w:i/>
          <w:spacing w:val="-1"/>
        </w:rPr>
        <w:t> </w:t>
      </w:r>
      <w:r>
        <w:rPr>
          <w:i/>
        </w:rPr>
        <w:t>al</w:t>
      </w:r>
      <w:r>
        <w:rPr/>
        <w:t>.</w:t>
      </w:r>
      <w:r>
        <w:rPr>
          <w:spacing w:val="-1"/>
        </w:rPr>
        <w:t> </w:t>
      </w:r>
      <w:r>
        <w:rPr/>
        <w:t>(2007)</w:t>
      </w:r>
      <w:r>
        <w:rPr>
          <w:spacing w:val="-2"/>
        </w:rPr>
        <w:t> </w:t>
      </w:r>
      <w:r>
        <w:rPr/>
        <w:t>show</w:t>
      </w:r>
      <w:r>
        <w:rPr>
          <w:spacing w:val="-2"/>
        </w:rPr>
        <w:t> </w:t>
      </w:r>
      <w:r>
        <w:rPr/>
        <w:t>that</w:t>
      </w:r>
      <w:r>
        <w:rPr>
          <w:spacing w:val="-1"/>
        </w:rPr>
        <w:t> </w:t>
      </w:r>
      <w:r>
        <w:rPr/>
        <w:t>firms</w:t>
      </w:r>
      <w:r>
        <w:rPr>
          <w:spacing w:val="-1"/>
        </w:rPr>
        <w:t> </w:t>
      </w:r>
      <w:r>
        <w:rPr/>
        <w:t>with</w:t>
      </w:r>
      <w:r>
        <w:rPr>
          <w:spacing w:val="-1"/>
        </w:rPr>
        <w:t> </w:t>
      </w:r>
      <w:r>
        <w:rPr/>
        <w:t>TQM</w:t>
      </w:r>
      <w:r>
        <w:rPr>
          <w:spacing w:val="-2"/>
        </w:rPr>
        <w:t> </w:t>
      </w:r>
      <w:r>
        <w:rPr/>
        <w:t>could</w:t>
      </w:r>
      <w:r>
        <w:rPr>
          <w:spacing w:val="-1"/>
        </w:rPr>
        <w:t> </w:t>
      </w:r>
      <w:r>
        <w:rPr/>
        <w:t>achieves</w:t>
      </w:r>
      <w:r>
        <w:rPr>
          <w:spacing w:val="-1"/>
        </w:rPr>
        <w:t> </w:t>
      </w:r>
      <w:r>
        <w:rPr/>
        <w:t>competitive</w:t>
      </w:r>
      <w:r>
        <w:rPr>
          <w:spacing w:val="-2"/>
        </w:rPr>
        <w:t> </w:t>
      </w:r>
      <w:r>
        <w:rPr/>
        <w:t>advantage,</w:t>
      </w:r>
      <w:r>
        <w:rPr>
          <w:spacing w:val="-1"/>
        </w:rPr>
        <w:t> </w:t>
      </w:r>
      <w:r>
        <w:rPr/>
        <w:t>because it leads to improved financial performance, improved customer satisfaction, faster response to competitive environment and improved product quality.</w:t>
      </w:r>
    </w:p>
    <w:p>
      <w:pPr>
        <w:pStyle w:val="BodyText"/>
        <w:spacing w:line="480" w:lineRule="auto" w:before="199"/>
        <w:ind w:left="400" w:right="1316"/>
        <w:jc w:val="both"/>
      </w:pPr>
      <w:r>
        <w:rPr/>
        <w:t>Corredor and Goni (2008) mention that early adopters of TQM can benefit from being first ones in the markets. Companies could be first in the markets with effective TQM and achieve customer satisfaction or efficiency</w:t>
      </w:r>
      <w:r>
        <w:rPr>
          <w:spacing w:val="-6"/>
        </w:rPr>
        <w:t> </w:t>
      </w:r>
      <w:r>
        <w:rPr/>
        <w:t>improvements. As mentioned, increased customer satisfaction and efficiency within firms generates competitive advantage. In line with these results, Jung </w:t>
      </w:r>
      <w:r>
        <w:rPr>
          <w:i/>
        </w:rPr>
        <w:t>et al., </w:t>
      </w:r>
      <w:r>
        <w:rPr/>
        <w:t>(2009) also mention that TQM elements move towards improving firm’s performance such</w:t>
      </w:r>
      <w:r>
        <w:rPr>
          <w:spacing w:val="40"/>
        </w:rPr>
        <w:t> </w:t>
      </w:r>
      <w:r>
        <w:rPr/>
        <w:t>as customer satisfaction, process improvement and business performance. This will generate competitive advantage for firms. Additionally, Kumar </w:t>
      </w:r>
      <w:r>
        <w:rPr>
          <w:i/>
        </w:rPr>
        <w:t>et al. </w:t>
      </w:r>
      <w:r>
        <w:rPr/>
        <w:t>(2009) improvements in quality and productivity through effective TQM enable firms to increase their market share and to charge higher prices for their products, which, in turn, results in higher profitability. As mentioned before, increased market share and product quality leads to competitive advantage for firms. In contrast to Kumar </w:t>
      </w:r>
      <w:r>
        <w:rPr>
          <w:i/>
        </w:rPr>
        <w:t>et al</w:t>
      </w:r>
      <w:r>
        <w:rPr/>
        <w:t>. (2009), Jimenez and Costa (2009) describe that TQM leads not only to higher quality products but also to cheaper products through cost efficiency which generates competitive advantage.</w:t>
      </w:r>
    </w:p>
    <w:p>
      <w:pPr>
        <w:pStyle w:val="BodyText"/>
        <w:spacing w:line="480" w:lineRule="auto" w:before="200"/>
        <w:ind w:left="400" w:right="1314" w:firstLine="60"/>
        <w:jc w:val="both"/>
      </w:pPr>
      <w:r>
        <w:rPr/>
        <w:t>A research carried out by Addae-Korankye. (2013) indicated that an efficient and effective implementation of TQM is a source of sustained competitive advantage. The study conducted by Daft</w:t>
      </w:r>
      <w:r>
        <w:rPr>
          <w:spacing w:val="60"/>
          <w:w w:val="150"/>
        </w:rPr>
        <w:t> </w:t>
      </w:r>
      <w:r>
        <w:rPr/>
        <w:t>(1991)</w:t>
      </w:r>
      <w:r>
        <w:rPr>
          <w:spacing w:val="63"/>
          <w:w w:val="150"/>
        </w:rPr>
        <w:t> </w:t>
      </w:r>
      <w:r>
        <w:rPr/>
        <w:t>confirms</w:t>
      </w:r>
      <w:r>
        <w:rPr>
          <w:spacing w:val="62"/>
          <w:w w:val="150"/>
        </w:rPr>
        <w:t> </w:t>
      </w:r>
      <w:r>
        <w:rPr/>
        <w:t>this.</w:t>
      </w:r>
      <w:r>
        <w:rPr>
          <w:spacing w:val="61"/>
          <w:w w:val="150"/>
        </w:rPr>
        <w:t> </w:t>
      </w:r>
      <w:r>
        <w:rPr/>
        <w:t>Daft</w:t>
      </w:r>
      <w:r>
        <w:rPr>
          <w:spacing w:val="63"/>
          <w:w w:val="150"/>
        </w:rPr>
        <w:t> </w:t>
      </w:r>
      <w:r>
        <w:rPr/>
        <w:t>found</w:t>
      </w:r>
      <w:r>
        <w:rPr>
          <w:spacing w:val="61"/>
          <w:w w:val="150"/>
        </w:rPr>
        <w:t> </w:t>
      </w:r>
      <w:r>
        <w:rPr/>
        <w:t>out</w:t>
      </w:r>
      <w:r>
        <w:rPr>
          <w:spacing w:val="63"/>
          <w:w w:val="150"/>
        </w:rPr>
        <w:t> </w:t>
      </w:r>
      <w:r>
        <w:rPr/>
        <w:t>that</w:t>
      </w:r>
      <w:r>
        <w:rPr>
          <w:spacing w:val="62"/>
          <w:w w:val="150"/>
        </w:rPr>
        <w:t> </w:t>
      </w:r>
      <w:r>
        <w:rPr/>
        <w:t>firms</w:t>
      </w:r>
      <w:r>
        <w:rPr>
          <w:spacing w:val="62"/>
          <w:w w:val="150"/>
        </w:rPr>
        <w:t> </w:t>
      </w:r>
      <w:r>
        <w:rPr/>
        <w:t>employing</w:t>
      </w:r>
      <w:r>
        <w:rPr>
          <w:spacing w:val="59"/>
          <w:w w:val="150"/>
        </w:rPr>
        <w:t> </w:t>
      </w:r>
      <w:r>
        <w:rPr/>
        <w:t>a</w:t>
      </w:r>
      <w:r>
        <w:rPr>
          <w:spacing w:val="64"/>
          <w:w w:val="150"/>
        </w:rPr>
        <w:t> </w:t>
      </w:r>
      <w:r>
        <w:rPr/>
        <w:t>TQM</w:t>
      </w:r>
      <w:r>
        <w:rPr>
          <w:spacing w:val="61"/>
          <w:w w:val="150"/>
        </w:rPr>
        <w:t> </w:t>
      </w:r>
      <w:r>
        <w:rPr/>
        <w:t>approach</w:t>
      </w:r>
      <w:r>
        <w:rPr>
          <w:spacing w:val="62"/>
          <w:w w:val="150"/>
        </w:rPr>
        <w:t> </w:t>
      </w:r>
      <w:r>
        <w:rPr>
          <w:spacing w:val="-5"/>
        </w:rPr>
        <w:t>can</w:t>
      </w:r>
    </w:p>
    <w:p>
      <w:pPr>
        <w:spacing w:after="0" w:line="480" w:lineRule="auto"/>
        <w:jc w:val="both"/>
        <w:sectPr>
          <w:pgSz w:w="12240" w:h="15840"/>
          <w:pgMar w:header="0" w:footer="1017" w:top="1360" w:bottom="1200" w:left="1040" w:right="120"/>
        </w:sectPr>
      </w:pPr>
    </w:p>
    <w:p>
      <w:pPr>
        <w:pStyle w:val="BodyText"/>
        <w:spacing w:line="480" w:lineRule="auto" w:before="72"/>
        <w:ind w:left="399" w:right="1314"/>
        <w:jc w:val="both"/>
      </w:pPr>
      <w:r>
        <w:rPr/>
        <w:t>simultaneously achieve all three of Porter's competitive strategies. As stated earlier, the focus on improving the quality of products and services to the organization's current customers (thereby increasing customer value), leads both to lower costs of production (cost leadership) which produce both greater profits and lower prices, and differentiation (the firm's products and</w:t>
      </w:r>
      <w:r>
        <w:rPr>
          <w:spacing w:val="40"/>
        </w:rPr>
        <w:t> </w:t>
      </w:r>
      <w:r>
        <w:rPr/>
        <w:t>services are seen as providing higher levels of reliability, quality, and value). His research revealed that firm that did not adopt or implement Porter’s strategies did not have strategic </w:t>
      </w:r>
      <w:r>
        <w:rPr>
          <w:spacing w:val="-2"/>
        </w:rPr>
        <w:t>advantage.</w:t>
      </w:r>
    </w:p>
    <w:p>
      <w:pPr>
        <w:pStyle w:val="BodyText"/>
        <w:spacing w:line="480" w:lineRule="auto" w:before="199"/>
        <w:ind w:left="399" w:right="1316"/>
        <w:jc w:val="both"/>
      </w:pPr>
      <w:r>
        <w:rPr/>
        <w:t>A study was done by Gitangu on Total Quality Management and Competitive Advantage of</w:t>
      </w:r>
      <w:r>
        <w:rPr>
          <w:spacing w:val="40"/>
        </w:rPr>
        <w:t> </w:t>
      </w:r>
      <w:r>
        <w:rPr/>
        <w:t>small</w:t>
      </w:r>
      <w:r>
        <w:rPr>
          <w:spacing w:val="-2"/>
        </w:rPr>
        <w:t> </w:t>
      </w:r>
      <w:r>
        <w:rPr/>
        <w:t>and</w:t>
      </w:r>
      <w:r>
        <w:rPr>
          <w:spacing w:val="-2"/>
        </w:rPr>
        <w:t> </w:t>
      </w:r>
      <w:r>
        <w:rPr/>
        <w:t>medium</w:t>
      </w:r>
      <w:r>
        <w:rPr>
          <w:spacing w:val="-2"/>
        </w:rPr>
        <w:t> </w:t>
      </w:r>
      <w:r>
        <w:rPr/>
        <w:t>enterprises</w:t>
      </w:r>
      <w:r>
        <w:rPr>
          <w:spacing w:val="-2"/>
        </w:rPr>
        <w:t> </w:t>
      </w:r>
      <w:r>
        <w:rPr/>
        <w:t>in</w:t>
      </w:r>
      <w:r>
        <w:rPr>
          <w:spacing w:val="-2"/>
        </w:rPr>
        <w:t> </w:t>
      </w:r>
      <w:r>
        <w:rPr/>
        <w:t>Nairobi</w:t>
      </w:r>
      <w:r>
        <w:rPr>
          <w:spacing w:val="-2"/>
        </w:rPr>
        <w:t> </w:t>
      </w:r>
      <w:r>
        <w:rPr/>
        <w:t>City</w:t>
      </w:r>
      <w:r>
        <w:rPr>
          <w:spacing w:val="-7"/>
        </w:rPr>
        <w:t> </w:t>
      </w:r>
      <w:r>
        <w:rPr/>
        <w:t>County.</w:t>
      </w:r>
      <w:r>
        <w:rPr>
          <w:spacing w:val="-2"/>
        </w:rPr>
        <w:t> </w:t>
      </w:r>
      <w:r>
        <w:rPr/>
        <w:t>The</w:t>
      </w:r>
      <w:r>
        <w:rPr>
          <w:spacing w:val="-3"/>
        </w:rPr>
        <w:t> </w:t>
      </w:r>
      <w:r>
        <w:rPr/>
        <w:t>Results</w:t>
      </w:r>
      <w:r>
        <w:rPr>
          <w:spacing w:val="40"/>
        </w:rPr>
        <w:t> </w:t>
      </w:r>
      <w:r>
        <w:rPr/>
        <w:t>established</w:t>
      </w:r>
      <w:r>
        <w:rPr>
          <w:spacing w:val="40"/>
        </w:rPr>
        <w:t> </w:t>
      </w:r>
      <w:r>
        <w:rPr/>
        <w:t>that</w:t>
      </w:r>
      <w:r>
        <w:rPr>
          <w:spacing w:val="40"/>
        </w:rPr>
        <w:t> </w:t>
      </w:r>
      <w:r>
        <w:rPr/>
        <w:t>there</w:t>
      </w:r>
      <w:r>
        <w:rPr>
          <w:spacing w:val="40"/>
        </w:rPr>
        <w:t> </w:t>
      </w:r>
      <w:r>
        <w:rPr/>
        <w:t>exists a</w:t>
      </w:r>
      <w:r>
        <w:rPr>
          <w:spacing w:val="40"/>
        </w:rPr>
        <w:t> </w:t>
      </w:r>
      <w:r>
        <w:rPr/>
        <w:t>correlation</w:t>
      </w:r>
      <w:r>
        <w:rPr>
          <w:spacing w:val="40"/>
        </w:rPr>
        <w:t> </w:t>
      </w:r>
      <w:r>
        <w:rPr/>
        <w:t>between</w:t>
      </w:r>
      <w:r>
        <w:rPr>
          <w:spacing w:val="40"/>
        </w:rPr>
        <w:t> </w:t>
      </w:r>
      <w:r>
        <w:rPr/>
        <w:t>total</w:t>
      </w:r>
      <w:r>
        <w:rPr>
          <w:spacing w:val="40"/>
        </w:rPr>
        <w:t> </w:t>
      </w:r>
      <w:r>
        <w:rPr/>
        <w:t>quality</w:t>
      </w:r>
      <w:r>
        <w:rPr>
          <w:spacing w:val="40"/>
        </w:rPr>
        <w:t> </w:t>
      </w:r>
      <w:r>
        <w:rPr/>
        <w:t>factors</w:t>
      </w:r>
      <w:r>
        <w:rPr>
          <w:spacing w:val="40"/>
        </w:rPr>
        <w:t> </w:t>
      </w:r>
      <w:r>
        <w:rPr/>
        <w:t>and competitive</w:t>
      </w:r>
      <w:r>
        <w:rPr>
          <w:spacing w:val="40"/>
        </w:rPr>
        <w:t> </w:t>
      </w:r>
      <w:r>
        <w:rPr/>
        <w:t>advantage. They results</w:t>
      </w:r>
      <w:r>
        <w:rPr>
          <w:spacing w:val="40"/>
        </w:rPr>
        <w:t> </w:t>
      </w:r>
      <w:r>
        <w:rPr/>
        <w:t>inferred from</w:t>
      </w:r>
      <w:r>
        <w:rPr>
          <w:spacing w:val="40"/>
        </w:rPr>
        <w:t> </w:t>
      </w:r>
      <w:r>
        <w:rPr/>
        <w:t>the</w:t>
      </w:r>
      <w:r>
        <w:rPr>
          <w:spacing w:val="40"/>
        </w:rPr>
        <w:t> </w:t>
      </w:r>
      <w:r>
        <w:rPr/>
        <w:t>questionnaire</w:t>
      </w:r>
      <w:r>
        <w:rPr>
          <w:spacing w:val="40"/>
        </w:rPr>
        <w:t> </w:t>
      </w:r>
      <w:r>
        <w:rPr/>
        <w:t>survey</w:t>
      </w:r>
      <w:r>
        <w:rPr>
          <w:spacing w:val="80"/>
        </w:rPr>
        <w:t> </w:t>
      </w:r>
      <w:r>
        <w:rPr/>
        <w:t>that</w:t>
      </w:r>
      <w:r>
        <w:rPr>
          <w:spacing w:val="40"/>
        </w:rPr>
        <w:t> </w:t>
      </w:r>
      <w:r>
        <w:rPr/>
        <w:t>the small</w:t>
      </w:r>
      <w:r>
        <w:rPr>
          <w:spacing w:val="40"/>
        </w:rPr>
        <w:t> </w:t>
      </w:r>
      <w:r>
        <w:rPr/>
        <w:t>and</w:t>
      </w:r>
      <w:r>
        <w:rPr>
          <w:spacing w:val="40"/>
        </w:rPr>
        <w:t> </w:t>
      </w:r>
      <w:r>
        <w:rPr/>
        <w:t>medium</w:t>
      </w:r>
      <w:r>
        <w:rPr>
          <w:spacing w:val="40"/>
        </w:rPr>
        <w:t> </w:t>
      </w:r>
      <w:r>
        <w:rPr/>
        <w:t>scale</w:t>
      </w:r>
      <w:r>
        <w:rPr>
          <w:spacing w:val="40"/>
        </w:rPr>
        <w:t> </w:t>
      </w:r>
      <w:r>
        <w:rPr/>
        <w:t>enterprises</w:t>
      </w:r>
      <w:r>
        <w:rPr>
          <w:spacing w:val="40"/>
        </w:rPr>
        <w:t> </w:t>
      </w:r>
      <w:r>
        <w:rPr/>
        <w:t>in</w:t>
      </w:r>
      <w:r>
        <w:rPr>
          <w:spacing w:val="40"/>
        </w:rPr>
        <w:t> </w:t>
      </w:r>
      <w:r>
        <w:rPr/>
        <w:t>Nairobi</w:t>
      </w:r>
      <w:r>
        <w:rPr>
          <w:spacing w:val="40"/>
        </w:rPr>
        <w:t> </w:t>
      </w:r>
      <w:r>
        <w:rPr/>
        <w:t>are trying</w:t>
      </w:r>
      <w:r>
        <w:rPr>
          <w:spacing w:val="40"/>
        </w:rPr>
        <w:t> </w:t>
      </w:r>
      <w:r>
        <w:rPr/>
        <w:t>cope</w:t>
      </w:r>
      <w:r>
        <w:rPr>
          <w:spacing w:val="40"/>
        </w:rPr>
        <w:t> </w:t>
      </w:r>
      <w:r>
        <w:rPr/>
        <w:t>with</w:t>
      </w:r>
      <w:r>
        <w:rPr>
          <w:spacing w:val="40"/>
        </w:rPr>
        <w:t> </w:t>
      </w:r>
      <w:r>
        <w:rPr/>
        <w:t>new</w:t>
      </w:r>
      <w:r>
        <w:rPr>
          <w:spacing w:val="40"/>
        </w:rPr>
        <w:t> </w:t>
      </w:r>
      <w:r>
        <w:rPr/>
        <w:t>quality</w:t>
      </w:r>
      <w:r>
        <w:rPr>
          <w:spacing w:val="-1"/>
        </w:rPr>
        <w:t> </w:t>
      </w:r>
      <w:r>
        <w:rPr/>
        <w:t>management</w:t>
      </w:r>
      <w:r>
        <w:rPr>
          <w:spacing w:val="40"/>
        </w:rPr>
        <w:t> </w:t>
      </w:r>
      <w:r>
        <w:rPr/>
        <w:t>practices</w:t>
      </w:r>
      <w:r>
        <w:rPr>
          <w:spacing w:val="40"/>
        </w:rPr>
        <w:t> </w:t>
      </w:r>
      <w:r>
        <w:rPr/>
        <w:t>to</w:t>
      </w:r>
      <w:r>
        <w:rPr>
          <w:spacing w:val="40"/>
        </w:rPr>
        <w:t> </w:t>
      </w:r>
      <w:r>
        <w:rPr/>
        <w:t>increase</w:t>
      </w:r>
      <w:r>
        <w:rPr>
          <w:spacing w:val="40"/>
        </w:rPr>
        <w:t> </w:t>
      </w:r>
      <w:r>
        <w:rPr/>
        <w:t>the</w:t>
      </w:r>
      <w:r>
        <w:rPr>
          <w:spacing w:val="40"/>
        </w:rPr>
        <w:t> </w:t>
      </w:r>
      <w:r>
        <w:rPr/>
        <w:t>productivity. The study used only quantity survey to analysis the work.</w:t>
      </w:r>
    </w:p>
    <w:p>
      <w:pPr>
        <w:pStyle w:val="BodyText"/>
        <w:spacing w:line="480" w:lineRule="auto" w:before="161"/>
        <w:ind w:left="399" w:right="1314"/>
        <w:jc w:val="both"/>
      </w:pPr>
      <w:r>
        <w:rPr/>
        <w:t>Lavene</w:t>
      </w:r>
      <w:r>
        <w:rPr>
          <w:spacing w:val="-2"/>
        </w:rPr>
        <w:t> </w:t>
      </w:r>
      <w:r>
        <w:rPr/>
        <w:t>(2016)</w:t>
      </w:r>
      <w:r>
        <w:rPr>
          <w:spacing w:val="-4"/>
        </w:rPr>
        <w:t> </w:t>
      </w:r>
      <w:r>
        <w:rPr/>
        <w:t>in</w:t>
      </w:r>
      <w:r>
        <w:rPr>
          <w:spacing w:val="-3"/>
        </w:rPr>
        <w:t> </w:t>
      </w:r>
      <w:r>
        <w:rPr/>
        <w:t>his</w:t>
      </w:r>
      <w:r>
        <w:rPr>
          <w:spacing w:val="-3"/>
        </w:rPr>
        <w:t> </w:t>
      </w:r>
      <w:r>
        <w:rPr/>
        <w:t>study,</w:t>
      </w:r>
      <w:r>
        <w:rPr>
          <w:spacing w:val="-1"/>
        </w:rPr>
        <w:t> </w:t>
      </w:r>
      <w:r>
        <w:rPr/>
        <w:t>Total</w:t>
      </w:r>
      <w:r>
        <w:rPr>
          <w:spacing w:val="-3"/>
        </w:rPr>
        <w:t> </w:t>
      </w:r>
      <w:r>
        <w:rPr/>
        <w:t>quality</w:t>
      </w:r>
      <w:r>
        <w:rPr>
          <w:spacing w:val="-7"/>
        </w:rPr>
        <w:t> </w:t>
      </w:r>
      <w:r>
        <w:rPr/>
        <w:t>management</w:t>
      </w:r>
      <w:r>
        <w:rPr>
          <w:spacing w:val="-3"/>
        </w:rPr>
        <w:t> </w:t>
      </w:r>
      <w:r>
        <w:rPr/>
        <w:t>practices</w:t>
      </w:r>
      <w:r>
        <w:rPr>
          <w:spacing w:val="-1"/>
        </w:rPr>
        <w:t> </w:t>
      </w:r>
      <w:r>
        <w:rPr/>
        <w:t>and</w:t>
      </w:r>
      <w:r>
        <w:rPr>
          <w:spacing w:val="-3"/>
        </w:rPr>
        <w:t> </w:t>
      </w:r>
      <w:r>
        <w:rPr/>
        <w:t>competitive</w:t>
      </w:r>
      <w:r>
        <w:rPr>
          <w:spacing w:val="-4"/>
        </w:rPr>
        <w:t> </w:t>
      </w:r>
      <w:r>
        <w:rPr/>
        <w:t>advantage</w:t>
      </w:r>
      <w:r>
        <w:rPr>
          <w:spacing w:val="-4"/>
        </w:rPr>
        <w:t> </w:t>
      </w:r>
      <w:r>
        <w:rPr/>
        <w:t>in</w:t>
      </w:r>
      <w:r>
        <w:rPr>
          <w:spacing w:val="-3"/>
        </w:rPr>
        <w:t> </w:t>
      </w:r>
      <w:r>
        <w:rPr/>
        <w:t>the aviation industry in Kenya used forty companies in the aviation industry operating in Kenya</w:t>
      </w:r>
      <w:r>
        <w:rPr>
          <w:spacing w:val="40"/>
        </w:rPr>
        <w:t> </w:t>
      </w:r>
      <w:r>
        <w:rPr/>
        <w:t>were</w:t>
      </w:r>
      <w:r>
        <w:rPr>
          <w:spacing w:val="-1"/>
        </w:rPr>
        <w:t> </w:t>
      </w:r>
      <w:r>
        <w:rPr/>
        <w:t>studied. A</w:t>
      </w:r>
      <w:r>
        <w:rPr>
          <w:spacing w:val="-1"/>
        </w:rPr>
        <w:t> </w:t>
      </w:r>
      <w:r>
        <w:rPr/>
        <w:t>cross-sectional survey was done and data collected was analyzed using the Statistical Package for the Social Sciences software.</w:t>
      </w:r>
      <w:r>
        <w:rPr>
          <w:spacing w:val="40"/>
        </w:rPr>
        <w:t> </w:t>
      </w:r>
      <w:r>
        <w:rPr/>
        <w:t>He concluded from his study that Top leadership</w:t>
      </w:r>
      <w:r>
        <w:rPr>
          <w:spacing w:val="40"/>
        </w:rPr>
        <w:t> </w:t>
      </w:r>
      <w:r>
        <w:rPr/>
        <w:t>in</w:t>
      </w:r>
      <w:r>
        <w:rPr>
          <w:spacing w:val="40"/>
        </w:rPr>
        <w:t> </w:t>
      </w:r>
      <w:r>
        <w:rPr/>
        <w:t>organizations</w:t>
      </w:r>
      <w:r>
        <w:rPr>
          <w:spacing w:val="40"/>
        </w:rPr>
        <w:t> </w:t>
      </w:r>
      <w:r>
        <w:rPr/>
        <w:t>play</w:t>
      </w:r>
      <w:r>
        <w:rPr>
          <w:spacing w:val="40"/>
        </w:rPr>
        <w:t> </w:t>
      </w:r>
      <w:r>
        <w:rPr/>
        <w:t>an</w:t>
      </w:r>
      <w:r>
        <w:rPr>
          <w:spacing w:val="40"/>
        </w:rPr>
        <w:t> </w:t>
      </w:r>
      <w:r>
        <w:rPr/>
        <w:t>important</w:t>
      </w:r>
      <w:r>
        <w:rPr>
          <w:spacing w:val="40"/>
        </w:rPr>
        <w:t> </w:t>
      </w:r>
      <w:r>
        <w:rPr/>
        <w:t>role</w:t>
      </w:r>
      <w:r>
        <w:rPr>
          <w:spacing w:val="40"/>
        </w:rPr>
        <w:t> </w:t>
      </w:r>
      <w:r>
        <w:rPr/>
        <w:t>in</w:t>
      </w:r>
      <w:r>
        <w:rPr>
          <w:spacing w:val="40"/>
        </w:rPr>
        <w:t> </w:t>
      </w:r>
      <w:r>
        <w:rPr/>
        <w:t>implementing</w:t>
      </w:r>
      <w:r>
        <w:rPr>
          <w:spacing w:val="40"/>
        </w:rPr>
        <w:t> </w:t>
      </w:r>
      <w:r>
        <w:rPr/>
        <w:t>TQM</w:t>
      </w:r>
      <w:r>
        <w:rPr>
          <w:spacing w:val="40"/>
        </w:rPr>
        <w:t> </w:t>
      </w:r>
      <w:r>
        <w:rPr/>
        <w:t>practices.</w:t>
      </w:r>
      <w:r>
        <w:rPr>
          <w:spacing w:val="80"/>
        </w:rPr>
        <w:t> </w:t>
      </w:r>
      <w:r>
        <w:rPr/>
        <w:t>Provision</w:t>
      </w:r>
      <w:r>
        <w:rPr>
          <w:spacing w:val="40"/>
        </w:rPr>
        <w:t> </w:t>
      </w:r>
      <w:r>
        <w:rPr/>
        <w:t>of</w:t>
      </w:r>
      <w:r>
        <w:rPr>
          <w:spacing w:val="40"/>
        </w:rPr>
        <w:t> </w:t>
      </w:r>
      <w:r>
        <w:rPr/>
        <w:t>a</w:t>
      </w:r>
      <w:r>
        <w:rPr>
          <w:spacing w:val="40"/>
        </w:rPr>
        <w:t> </w:t>
      </w:r>
      <w:r>
        <w:rPr/>
        <w:t>good</w:t>
      </w:r>
      <w:r>
        <w:rPr>
          <w:spacing w:val="40"/>
        </w:rPr>
        <w:t> </w:t>
      </w:r>
      <w:r>
        <w:rPr/>
        <w:t>working</w:t>
      </w:r>
      <w:r>
        <w:rPr>
          <w:spacing w:val="40"/>
        </w:rPr>
        <w:t> </w:t>
      </w:r>
      <w:r>
        <w:rPr/>
        <w:t>environment</w:t>
      </w:r>
      <w:r>
        <w:rPr>
          <w:spacing w:val="40"/>
        </w:rPr>
        <w:t> </w:t>
      </w:r>
      <w:r>
        <w:rPr/>
        <w:t>for</w:t>
      </w:r>
      <w:r>
        <w:rPr>
          <w:spacing w:val="40"/>
        </w:rPr>
        <w:t> </w:t>
      </w:r>
      <w:r>
        <w:rPr/>
        <w:t>employees</w:t>
      </w:r>
      <w:r>
        <w:rPr>
          <w:spacing w:val="40"/>
        </w:rPr>
        <w:t> </w:t>
      </w:r>
      <w:r>
        <w:rPr/>
        <w:t>is</w:t>
      </w:r>
      <w:r>
        <w:rPr>
          <w:spacing w:val="40"/>
        </w:rPr>
        <w:t> </w:t>
      </w:r>
      <w:r>
        <w:rPr/>
        <w:t>key</w:t>
      </w:r>
      <w:r>
        <w:rPr>
          <w:spacing w:val="40"/>
        </w:rPr>
        <w:t> </w:t>
      </w:r>
      <w:r>
        <w:rPr/>
        <w:t>as</w:t>
      </w:r>
      <w:r>
        <w:rPr>
          <w:spacing w:val="40"/>
        </w:rPr>
        <w:t> </w:t>
      </w:r>
      <w:r>
        <w:rPr/>
        <w:t>well</w:t>
      </w:r>
      <w:r>
        <w:rPr>
          <w:spacing w:val="40"/>
        </w:rPr>
        <w:t> </w:t>
      </w:r>
      <w:r>
        <w:rPr/>
        <w:t>as</w:t>
      </w:r>
      <w:r>
        <w:rPr>
          <w:spacing w:val="40"/>
        </w:rPr>
        <w:t> </w:t>
      </w:r>
      <w:r>
        <w:rPr/>
        <w:t>their</w:t>
      </w:r>
      <w:r>
        <w:rPr>
          <w:spacing w:val="80"/>
        </w:rPr>
        <w:t> </w:t>
      </w:r>
      <w:r>
        <w:rPr/>
        <w:t>participation in strategy formulation activities of the organizations. Organizations need to embrace the culture of learning and development as it is important to continually train and develop the workforce.</w:t>
      </w:r>
      <w:r>
        <w:rPr>
          <w:spacing w:val="80"/>
        </w:rPr>
        <w:t> </w:t>
      </w:r>
      <w:r>
        <w:rPr/>
        <w:t>Supplier</w:t>
      </w:r>
      <w:r>
        <w:rPr>
          <w:spacing w:val="40"/>
        </w:rPr>
        <w:t> </w:t>
      </w:r>
      <w:r>
        <w:rPr/>
        <w:t>quality</w:t>
      </w:r>
      <w:r>
        <w:rPr>
          <w:spacing w:val="40"/>
        </w:rPr>
        <w:t> </w:t>
      </w:r>
      <w:r>
        <w:rPr/>
        <w:t>management</w:t>
      </w:r>
      <w:r>
        <w:rPr>
          <w:spacing w:val="40"/>
        </w:rPr>
        <w:t> </w:t>
      </w:r>
      <w:r>
        <w:rPr/>
        <w:t>and</w:t>
      </w:r>
      <w:r>
        <w:rPr>
          <w:spacing w:val="40"/>
        </w:rPr>
        <w:t> </w:t>
      </w:r>
      <w:r>
        <w:rPr/>
        <w:t>process</w:t>
      </w:r>
      <w:r>
        <w:rPr>
          <w:spacing w:val="40"/>
        </w:rPr>
        <w:t> </w:t>
      </w:r>
      <w:r>
        <w:rPr/>
        <w:t>quality</w:t>
      </w:r>
      <w:r>
        <w:rPr>
          <w:spacing w:val="-4"/>
        </w:rPr>
        <w:t> </w:t>
      </w:r>
      <w:r>
        <w:rPr/>
        <w:t>management</w:t>
      </w:r>
      <w:r>
        <w:rPr>
          <w:spacing w:val="40"/>
        </w:rPr>
        <w:t> </w:t>
      </w:r>
      <w:r>
        <w:rPr/>
        <w:t>were also</w:t>
      </w:r>
      <w:r>
        <w:rPr>
          <w:spacing w:val="61"/>
        </w:rPr>
        <w:t> </w:t>
      </w:r>
      <w:r>
        <w:rPr/>
        <w:t>concluded</w:t>
      </w:r>
      <w:r>
        <w:rPr>
          <w:spacing w:val="67"/>
        </w:rPr>
        <w:t> </w:t>
      </w:r>
      <w:r>
        <w:rPr/>
        <w:t>as</w:t>
      </w:r>
      <w:r>
        <w:rPr>
          <w:spacing w:val="65"/>
        </w:rPr>
        <w:t> </w:t>
      </w:r>
      <w:r>
        <w:rPr/>
        <w:t>being</w:t>
      </w:r>
      <w:r>
        <w:rPr>
          <w:spacing w:val="62"/>
        </w:rPr>
        <w:t> </w:t>
      </w:r>
      <w:r>
        <w:rPr/>
        <w:t>key</w:t>
      </w:r>
      <w:r>
        <w:rPr>
          <w:spacing w:val="60"/>
        </w:rPr>
        <w:t> </w:t>
      </w:r>
      <w:r>
        <w:rPr/>
        <w:t>to</w:t>
      </w:r>
      <w:r>
        <w:rPr>
          <w:spacing w:val="64"/>
        </w:rPr>
        <w:t> </w:t>
      </w:r>
      <w:r>
        <w:rPr/>
        <w:t>improving</w:t>
      </w:r>
      <w:r>
        <w:rPr>
          <w:spacing w:val="62"/>
        </w:rPr>
        <w:t> </w:t>
      </w:r>
      <w:r>
        <w:rPr/>
        <w:t>the</w:t>
      </w:r>
      <w:r>
        <w:rPr>
          <w:spacing w:val="66"/>
        </w:rPr>
        <w:t> </w:t>
      </w:r>
      <w:r>
        <w:rPr/>
        <w:t>performance</w:t>
      </w:r>
      <w:r>
        <w:rPr>
          <w:spacing w:val="63"/>
        </w:rPr>
        <w:t> </w:t>
      </w:r>
      <w:r>
        <w:rPr/>
        <w:t>of</w:t>
      </w:r>
      <w:r>
        <w:rPr>
          <w:spacing w:val="66"/>
        </w:rPr>
        <w:t> </w:t>
      </w:r>
      <w:r>
        <w:rPr/>
        <w:t>the</w:t>
      </w:r>
      <w:r>
        <w:rPr>
          <w:spacing w:val="1"/>
        </w:rPr>
        <w:t> </w:t>
      </w:r>
      <w:r>
        <w:rPr/>
        <w:t>organization</w:t>
      </w:r>
      <w:r>
        <w:rPr>
          <w:spacing w:val="64"/>
        </w:rPr>
        <w:t> </w:t>
      </w:r>
      <w:r>
        <w:rPr/>
        <w:t>in</w:t>
      </w:r>
      <w:r>
        <w:rPr>
          <w:spacing w:val="67"/>
        </w:rPr>
        <w:t> </w:t>
      </w:r>
      <w:r>
        <w:rPr>
          <w:spacing w:val="-2"/>
        </w:rPr>
        <w:t>general.</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jc w:val="both"/>
      </w:pPr>
      <w:r>
        <w:rPr/>
        <w:t>Thus customer satisfaction is the ultimate goal of every organization. In order to attain this, organizations need to pay great attention to quality.</w:t>
      </w:r>
    </w:p>
    <w:p>
      <w:pPr>
        <w:pStyle w:val="BodyText"/>
        <w:spacing w:line="480" w:lineRule="auto" w:before="161"/>
        <w:ind w:left="399" w:right="1315"/>
        <w:jc w:val="both"/>
      </w:pPr>
      <w:r>
        <w:rPr/>
        <w:t>Douglas and Judge (2014) examined TQM implementation and competitive advantage. They examined the role of structural control and exploration.</w:t>
      </w:r>
      <w:r>
        <w:rPr>
          <w:spacing w:val="40"/>
        </w:rPr>
        <w:t> </w:t>
      </w:r>
      <w:r>
        <w:rPr/>
        <w:t>They explored the relationship between the level that TQM practices had been adopted in organizations and the competitive advantages that had been consequently achieved. They found out that this relationship was strongly supported.</w:t>
      </w:r>
      <w:r>
        <w:rPr>
          <w:spacing w:val="80"/>
        </w:rPr>
        <w:t> </w:t>
      </w:r>
      <w:r>
        <w:rPr/>
        <w:t>Two factors namely control and exploration do influence the financial performance</w:t>
      </w:r>
      <w:r>
        <w:rPr>
          <w:spacing w:val="40"/>
        </w:rPr>
        <w:t> </w:t>
      </w:r>
      <w:r>
        <w:rPr/>
        <w:t>of those organizations that embraced TQM practices. Similarly Kurtus (2007) examined how organizations can use TQM to achieve competitive advantage. He looked at the</w:t>
      </w:r>
      <w:r>
        <w:rPr>
          <w:spacing w:val="80"/>
        </w:rPr>
        <w:t> </w:t>
      </w:r>
      <w:r>
        <w:rPr/>
        <w:t>TQM philosophy of doing</w:t>
      </w:r>
      <w:r>
        <w:rPr>
          <w:spacing w:val="40"/>
        </w:rPr>
        <w:t> </w:t>
      </w:r>
      <w:r>
        <w:rPr/>
        <w:t>business</w:t>
      </w:r>
      <w:r>
        <w:rPr>
          <w:spacing w:val="40"/>
        </w:rPr>
        <w:t> </w:t>
      </w:r>
      <w:r>
        <w:rPr/>
        <w:t>which recommends that organizations</w:t>
      </w:r>
      <w:r>
        <w:rPr>
          <w:spacing w:val="40"/>
        </w:rPr>
        <w:t> </w:t>
      </w:r>
      <w:r>
        <w:rPr/>
        <w:t>lower</w:t>
      </w:r>
      <w:r>
        <w:rPr>
          <w:spacing w:val="40"/>
        </w:rPr>
        <w:t> </w:t>
      </w:r>
      <w:r>
        <w:rPr/>
        <w:t>their</w:t>
      </w:r>
      <w:r>
        <w:rPr>
          <w:spacing w:val="40"/>
        </w:rPr>
        <w:t> </w:t>
      </w:r>
      <w:r>
        <w:rPr/>
        <w:t>prices</w:t>
      </w:r>
      <w:r>
        <w:rPr>
          <w:spacing w:val="40"/>
        </w:rPr>
        <w:t> </w:t>
      </w:r>
      <w:r>
        <w:rPr/>
        <w:t>by reducing waste, and also helping suppliers to give quality inputs used in production. He concluded that companies attain a competitive advantage by</w:t>
      </w:r>
      <w:r>
        <w:rPr>
          <w:spacing w:val="-2"/>
        </w:rPr>
        <w:t> </w:t>
      </w:r>
      <w:r>
        <w:rPr/>
        <w:t>producing goods at lower costs compared to their competitors</w:t>
      </w:r>
      <w:r>
        <w:rPr>
          <w:spacing w:val="40"/>
        </w:rPr>
        <w:t> </w:t>
      </w:r>
      <w:r>
        <w:rPr/>
        <w:t>and</w:t>
      </w:r>
      <w:r>
        <w:rPr>
          <w:spacing w:val="40"/>
        </w:rPr>
        <w:t> </w:t>
      </w:r>
      <w:r>
        <w:rPr/>
        <w:t>at the same time giving good quality goods and services. Total quality management is the key to gaining competitive advantage.</w:t>
      </w:r>
    </w:p>
    <w:p>
      <w:pPr>
        <w:pStyle w:val="BodyText"/>
        <w:spacing w:line="480" w:lineRule="auto" w:before="158"/>
        <w:ind w:left="399" w:right="1318"/>
        <w:jc w:val="both"/>
      </w:pPr>
      <w:r>
        <w:rPr/>
        <w:t>Awino </w:t>
      </w:r>
      <w:r>
        <w:rPr>
          <w:i/>
        </w:rPr>
        <w:t>et al.</w:t>
      </w:r>
      <w:r>
        <w:rPr>
          <w:i/>
          <w:spacing w:val="40"/>
        </w:rPr>
        <w:t> </w:t>
      </w:r>
      <w:r>
        <w:rPr/>
        <w:t>(2012) in</w:t>
      </w:r>
      <w:r>
        <w:rPr>
          <w:spacing w:val="40"/>
        </w:rPr>
        <w:t> </w:t>
      </w:r>
      <w:r>
        <w:rPr/>
        <w:t>their study on</w:t>
      </w:r>
      <w:r>
        <w:rPr>
          <w:spacing w:val="40"/>
        </w:rPr>
        <w:t> </w:t>
      </w:r>
      <w:r>
        <w:rPr/>
        <w:t>Total Quality</w:t>
      </w:r>
      <w:r>
        <w:rPr>
          <w:spacing w:val="-2"/>
        </w:rPr>
        <w:t> </w:t>
      </w:r>
      <w:r>
        <w:rPr/>
        <w:t>Management and competitive advantage of firms in the horticultural industry in Kenya, showed that it</w:t>
      </w:r>
      <w:r>
        <w:rPr>
          <w:spacing w:val="40"/>
        </w:rPr>
        <w:t> </w:t>
      </w:r>
      <w:r>
        <w:rPr/>
        <w:t>is</w:t>
      </w:r>
      <w:r>
        <w:rPr>
          <w:spacing w:val="40"/>
        </w:rPr>
        <w:t> </w:t>
      </w:r>
      <w:r>
        <w:rPr/>
        <w:t>not</w:t>
      </w:r>
      <w:r>
        <w:rPr>
          <w:spacing w:val="40"/>
        </w:rPr>
        <w:t> </w:t>
      </w:r>
      <w:r>
        <w:rPr/>
        <w:t>total</w:t>
      </w:r>
      <w:r>
        <w:rPr>
          <w:spacing w:val="40"/>
        </w:rPr>
        <w:t> </w:t>
      </w:r>
      <w:r>
        <w:rPr/>
        <w:t>quality</w:t>
      </w:r>
      <w:r>
        <w:rPr>
          <w:spacing w:val="40"/>
        </w:rPr>
        <w:t> </w:t>
      </w:r>
      <w:r>
        <w:rPr/>
        <w:t>that</w:t>
      </w:r>
      <w:r>
        <w:rPr>
          <w:spacing w:val="40"/>
        </w:rPr>
        <w:t> </w:t>
      </w:r>
      <w:r>
        <w:rPr/>
        <w:t>has</w:t>
      </w:r>
      <w:r>
        <w:rPr>
          <w:spacing w:val="40"/>
        </w:rPr>
        <w:t> </w:t>
      </w:r>
      <w:r>
        <w:rPr/>
        <w:t>been posting</w:t>
      </w:r>
      <w:r>
        <w:rPr>
          <w:spacing w:val="40"/>
        </w:rPr>
        <w:t> </w:t>
      </w:r>
      <w:r>
        <w:rPr/>
        <w:t>different</w:t>
      </w:r>
      <w:r>
        <w:rPr>
          <w:spacing w:val="40"/>
        </w:rPr>
        <w:t> </w:t>
      </w:r>
      <w:r>
        <w:rPr/>
        <w:t>results, but lack of effective implementation of total quality. A crucial finding was the poor evidence of the leadership concept and the tendency of taking quality certification as an end by itself. It is demonstrated</w:t>
      </w:r>
      <w:r>
        <w:rPr>
          <w:spacing w:val="76"/>
        </w:rPr>
        <w:t> </w:t>
      </w:r>
      <w:r>
        <w:rPr/>
        <w:t>that most of the certified</w:t>
      </w:r>
      <w:r>
        <w:rPr>
          <w:spacing w:val="76"/>
        </w:rPr>
        <w:t> </w:t>
      </w:r>
      <w:r>
        <w:rPr/>
        <w:t>companies</w:t>
      </w:r>
      <w:r>
        <w:rPr>
          <w:spacing w:val="76"/>
        </w:rPr>
        <w:t> </w:t>
      </w:r>
      <w:r>
        <w:rPr/>
        <w:t>do</w:t>
      </w:r>
      <w:r>
        <w:rPr>
          <w:spacing w:val="76"/>
        </w:rPr>
        <w:t> </w:t>
      </w:r>
      <w:r>
        <w:rPr/>
        <w:t>not</w:t>
      </w:r>
      <w:r>
        <w:rPr>
          <w:spacing w:val="76"/>
        </w:rPr>
        <w:t> </w:t>
      </w:r>
      <w:r>
        <w:rPr/>
        <w:t>understand the philosophy</w:t>
      </w:r>
      <w:r>
        <w:rPr>
          <w:spacing w:val="40"/>
        </w:rPr>
        <w:t> </w:t>
      </w:r>
      <w:r>
        <w:rPr/>
        <w:t>behind</w:t>
      </w:r>
      <w:r>
        <w:rPr>
          <w:spacing w:val="40"/>
        </w:rPr>
        <w:t> </w:t>
      </w:r>
      <w:r>
        <w:rPr/>
        <w:t>quality management</w:t>
      </w:r>
      <w:r>
        <w:rPr>
          <w:spacing w:val="40"/>
        </w:rPr>
        <w:t> </w:t>
      </w:r>
      <w:r>
        <w:rPr/>
        <w:t>and,</w:t>
      </w:r>
      <w:r>
        <w:rPr>
          <w:spacing w:val="40"/>
        </w:rPr>
        <w:t> </w:t>
      </w:r>
      <w:r>
        <w:rPr/>
        <w:t>therefore, cannot implement it effectively.</w:t>
      </w:r>
    </w:p>
    <w:p>
      <w:pPr>
        <w:pStyle w:val="BodyText"/>
        <w:spacing w:line="480" w:lineRule="auto" w:before="162"/>
        <w:ind w:left="399" w:right="1313"/>
        <w:jc w:val="both"/>
      </w:pPr>
      <w:r>
        <w:rPr/>
        <w:t>Stella (2014) carried out the research with the intention of exploring ways of successfully implementing</w:t>
      </w:r>
      <w:r>
        <w:rPr>
          <w:spacing w:val="40"/>
        </w:rPr>
        <w:t> </w:t>
      </w:r>
      <w:r>
        <w:rPr/>
        <w:t>Total</w:t>
      </w:r>
      <w:r>
        <w:rPr>
          <w:spacing w:val="40"/>
        </w:rPr>
        <w:t> </w:t>
      </w:r>
      <w:r>
        <w:rPr/>
        <w:t>Quality</w:t>
      </w:r>
      <w:r>
        <w:rPr>
          <w:spacing w:val="40"/>
        </w:rPr>
        <w:t> </w:t>
      </w:r>
      <w:r>
        <w:rPr/>
        <w:t>Management</w:t>
      </w:r>
      <w:r>
        <w:rPr>
          <w:spacing w:val="40"/>
        </w:rPr>
        <w:t> </w:t>
      </w:r>
      <w:r>
        <w:rPr/>
        <w:t>(TQM)</w:t>
      </w:r>
      <w:r>
        <w:rPr>
          <w:spacing w:val="40"/>
        </w:rPr>
        <w:t> </w:t>
      </w:r>
      <w:r>
        <w:rPr/>
        <w:t>in</w:t>
      </w:r>
      <w:r>
        <w:rPr>
          <w:spacing w:val="40"/>
        </w:rPr>
        <w:t> </w:t>
      </w:r>
      <w:r>
        <w:rPr/>
        <w:t>Small</w:t>
      </w:r>
      <w:r>
        <w:rPr>
          <w:spacing w:val="40"/>
        </w:rPr>
        <w:t> </w:t>
      </w:r>
      <w:r>
        <w:rPr/>
        <w:t>to</w:t>
      </w:r>
      <w:r>
        <w:rPr>
          <w:spacing w:val="40"/>
        </w:rPr>
        <w:t> </w:t>
      </w:r>
      <w:r>
        <w:rPr/>
        <w:t>Medium</w:t>
      </w:r>
      <w:r>
        <w:rPr>
          <w:spacing w:val="40"/>
        </w:rPr>
        <w:t> </w:t>
      </w:r>
      <w:r>
        <w:rPr/>
        <w:t>Scale</w:t>
      </w:r>
      <w:r>
        <w:rPr>
          <w:spacing w:val="40"/>
        </w:rPr>
        <w:t> </w:t>
      </w:r>
      <w:r>
        <w:rPr/>
        <w:t>Enterprises (SMEs)</w:t>
      </w:r>
      <w:r>
        <w:rPr>
          <w:spacing w:val="69"/>
        </w:rPr>
        <w:t> </w:t>
      </w:r>
      <w:r>
        <w:rPr/>
        <w:t>in</w:t>
      </w:r>
      <w:r>
        <w:rPr>
          <w:spacing w:val="6"/>
        </w:rPr>
        <w:t> </w:t>
      </w:r>
      <w:r>
        <w:rPr/>
        <w:t>Zimbabwe</w:t>
      </w:r>
      <w:r>
        <w:rPr>
          <w:spacing w:val="71"/>
        </w:rPr>
        <w:t> </w:t>
      </w:r>
      <w:r>
        <w:rPr/>
        <w:t>identifying</w:t>
      </w:r>
      <w:r>
        <w:rPr>
          <w:spacing w:val="70"/>
        </w:rPr>
        <w:t> </w:t>
      </w:r>
      <w:r>
        <w:rPr/>
        <w:t>the</w:t>
      </w:r>
      <w:r>
        <w:rPr>
          <w:spacing w:val="7"/>
        </w:rPr>
        <w:t> </w:t>
      </w:r>
      <w:r>
        <w:rPr/>
        <w:t>critical</w:t>
      </w:r>
      <w:r>
        <w:rPr>
          <w:spacing w:val="72"/>
        </w:rPr>
        <w:t> </w:t>
      </w:r>
      <w:r>
        <w:rPr/>
        <w:t>success</w:t>
      </w:r>
      <w:r>
        <w:rPr>
          <w:spacing w:val="6"/>
        </w:rPr>
        <w:t> </w:t>
      </w:r>
      <w:r>
        <w:rPr/>
        <w:t>factors</w:t>
      </w:r>
      <w:r>
        <w:rPr>
          <w:spacing w:val="72"/>
        </w:rPr>
        <w:t> </w:t>
      </w:r>
      <w:r>
        <w:rPr/>
        <w:t>of</w:t>
      </w:r>
      <w:r>
        <w:rPr>
          <w:spacing w:val="5"/>
        </w:rPr>
        <w:t> </w:t>
      </w:r>
      <w:r>
        <w:rPr/>
        <w:t>TQM</w:t>
      </w:r>
      <w:r>
        <w:rPr>
          <w:spacing w:val="6"/>
        </w:rPr>
        <w:t> </w:t>
      </w:r>
      <w:r>
        <w:rPr/>
        <w:t>constructs,</w:t>
      </w:r>
      <w:r>
        <w:rPr>
          <w:spacing w:val="6"/>
        </w:rPr>
        <w:t> </w:t>
      </w:r>
      <w:r>
        <w:rPr/>
        <w:t>and</w:t>
      </w:r>
      <w:r>
        <w:rPr>
          <w:spacing w:val="7"/>
        </w:rPr>
        <w:t> </w:t>
      </w:r>
      <w:r>
        <w:rPr>
          <w:spacing w:val="-2"/>
        </w:rPr>
        <w:t>develop</w:t>
      </w:r>
    </w:p>
    <w:p>
      <w:pPr>
        <w:spacing w:after="0" w:line="480" w:lineRule="auto"/>
        <w:jc w:val="both"/>
        <w:sectPr>
          <w:pgSz w:w="12240" w:h="15840"/>
          <w:pgMar w:header="0" w:footer="1017" w:top="1360" w:bottom="1200" w:left="1040" w:right="120"/>
        </w:sectPr>
      </w:pPr>
    </w:p>
    <w:p>
      <w:pPr>
        <w:pStyle w:val="BodyText"/>
        <w:spacing w:line="480" w:lineRule="auto" w:before="72"/>
        <w:ind w:left="399" w:right="1316"/>
        <w:jc w:val="both"/>
      </w:pPr>
      <w:r>
        <w:rPr/>
        <w:t>a framework as a business excellence model to determine the success factors of TQM practices by SMEs in Zimbabwe . In this study, 54 small business enterprises from a total of 180</w:t>
      </w:r>
      <w:r>
        <w:rPr>
          <w:spacing w:val="40"/>
        </w:rPr>
        <w:t> </w:t>
      </w:r>
      <w:r>
        <w:rPr/>
        <w:t>registered SMEs at Glen View 8 Complex were studied. Questionnaire were used. The study revealed that SMEs were not following the principles of Total Quality Management. The majority</w:t>
      </w:r>
      <w:r>
        <w:rPr>
          <w:spacing w:val="-4"/>
        </w:rPr>
        <w:t> </w:t>
      </w:r>
      <w:r>
        <w:rPr/>
        <w:t>of SMEs were not customer focused, neither were they</w:t>
      </w:r>
      <w:r>
        <w:rPr>
          <w:spacing w:val="-4"/>
        </w:rPr>
        <w:t> </w:t>
      </w:r>
      <w:r>
        <w:rPr/>
        <w:t>supplier focused. Further, SMEs did not send their employees for further training and development programmes. The owners themselves professed ignorance on the benefits of TQM and were even indifferent on the implementation</w:t>
      </w:r>
      <w:r>
        <w:rPr>
          <w:spacing w:val="40"/>
        </w:rPr>
        <w:t> </w:t>
      </w:r>
      <w:r>
        <w:rPr/>
        <w:t>TQM</w:t>
      </w:r>
      <w:r>
        <w:rPr>
          <w:spacing w:val="40"/>
        </w:rPr>
        <w:t> </w:t>
      </w:r>
      <w:r>
        <w:rPr/>
        <w:t>practices</w:t>
      </w:r>
      <w:r>
        <w:rPr>
          <w:spacing w:val="40"/>
        </w:rPr>
        <w:t> </w:t>
      </w:r>
      <w:r>
        <w:rPr/>
        <w:t>in</w:t>
      </w:r>
      <w:r>
        <w:rPr>
          <w:spacing w:val="40"/>
        </w:rPr>
        <w:t> </w:t>
      </w:r>
      <w:r>
        <w:rPr/>
        <w:t>their</w:t>
      </w:r>
      <w:r>
        <w:rPr>
          <w:spacing w:val="40"/>
        </w:rPr>
        <w:t> </w:t>
      </w:r>
      <w:r>
        <w:rPr/>
        <w:t>businesses.</w:t>
      </w:r>
      <w:r>
        <w:rPr>
          <w:spacing w:val="40"/>
        </w:rPr>
        <w:t> </w:t>
      </w:r>
      <w:r>
        <w:rPr/>
        <w:t>The researcher,</w:t>
      </w:r>
      <w:r>
        <w:rPr>
          <w:spacing w:val="40"/>
        </w:rPr>
        <w:t> </w:t>
      </w:r>
      <w:r>
        <w:rPr/>
        <w:t>therefore, recommends</w:t>
      </w:r>
      <w:r>
        <w:rPr>
          <w:spacing w:val="40"/>
        </w:rPr>
        <w:t> </w:t>
      </w:r>
      <w:r>
        <w:rPr/>
        <w:t>that</w:t>
      </w:r>
      <w:r>
        <w:rPr>
          <w:spacing w:val="40"/>
        </w:rPr>
        <w:t> </w:t>
      </w:r>
      <w:r>
        <w:rPr/>
        <w:t>the</w:t>
      </w:r>
      <w:r>
        <w:rPr>
          <w:spacing w:val="40"/>
        </w:rPr>
        <w:t> </w:t>
      </w:r>
      <w:r>
        <w:rPr/>
        <w:t>government</w:t>
      </w:r>
      <w:r>
        <w:rPr>
          <w:spacing w:val="40"/>
        </w:rPr>
        <w:t> </w:t>
      </w:r>
      <w:r>
        <w:rPr/>
        <w:t>take</w:t>
      </w:r>
      <w:r>
        <w:rPr>
          <w:spacing w:val="40"/>
        </w:rPr>
        <w:t> </w:t>
      </w:r>
      <w:r>
        <w:rPr/>
        <w:t>the</w:t>
      </w:r>
      <w:r>
        <w:rPr>
          <w:spacing w:val="40"/>
        </w:rPr>
        <w:t> </w:t>
      </w:r>
      <w:r>
        <w:rPr/>
        <w:t>initiative</w:t>
      </w:r>
      <w:r>
        <w:rPr>
          <w:spacing w:val="40"/>
        </w:rPr>
        <w:t> </w:t>
      </w:r>
      <w:r>
        <w:rPr/>
        <w:t>to</w:t>
      </w:r>
      <w:r>
        <w:rPr>
          <w:spacing w:val="40"/>
        </w:rPr>
        <w:t> </w:t>
      </w:r>
      <w:r>
        <w:rPr/>
        <w:t>educate</w:t>
      </w:r>
      <w:r>
        <w:rPr>
          <w:spacing w:val="40"/>
        </w:rPr>
        <w:t> </w:t>
      </w:r>
      <w:r>
        <w:rPr/>
        <w:t>the</w:t>
      </w:r>
      <w:r>
        <w:rPr>
          <w:spacing w:val="40"/>
        </w:rPr>
        <w:t> </w:t>
      </w:r>
      <w:r>
        <w:rPr/>
        <w:t>SMEs</w:t>
      </w:r>
      <w:r>
        <w:rPr>
          <w:spacing w:val="40"/>
        </w:rPr>
        <w:t> </w:t>
      </w:r>
      <w:r>
        <w:rPr/>
        <w:t>so</w:t>
      </w:r>
      <w:r>
        <w:rPr>
          <w:spacing w:val="40"/>
        </w:rPr>
        <w:t> </w:t>
      </w:r>
      <w:r>
        <w:rPr/>
        <w:t>that</w:t>
      </w:r>
      <w:r>
        <w:rPr>
          <w:spacing w:val="40"/>
        </w:rPr>
        <w:t> </w:t>
      </w:r>
      <w:r>
        <w:rPr/>
        <w:t>they</w:t>
      </w:r>
      <w:r>
        <w:rPr>
          <w:spacing w:val="40"/>
        </w:rPr>
        <w:t> </w:t>
      </w:r>
      <w:r>
        <w:rPr/>
        <w:t>appreciate</w:t>
      </w:r>
      <w:r>
        <w:rPr>
          <w:spacing w:val="40"/>
        </w:rPr>
        <w:t> </w:t>
      </w:r>
      <w:r>
        <w:rPr/>
        <w:t>the benefits</w:t>
      </w:r>
      <w:r>
        <w:rPr>
          <w:spacing w:val="40"/>
        </w:rPr>
        <w:t> </w:t>
      </w:r>
      <w:r>
        <w:rPr/>
        <w:t>of</w:t>
      </w:r>
      <w:r>
        <w:rPr>
          <w:spacing w:val="40"/>
        </w:rPr>
        <w:t> </w:t>
      </w:r>
      <w:r>
        <w:rPr/>
        <w:t>TQM.</w:t>
      </w:r>
    </w:p>
    <w:p>
      <w:pPr>
        <w:pStyle w:val="BodyText"/>
        <w:spacing w:line="480" w:lineRule="auto" w:before="159"/>
        <w:ind w:left="399" w:right="1316"/>
        <w:jc w:val="both"/>
      </w:pPr>
      <w:r>
        <w:rPr/>
        <w:t>In another study by Nonxuba, (2010), he tried to determine the constraints to TQM implementation within South African clothing SME’s. The survey conducted with questionnaire within SME’s provides positive feedback with respect to the quality process, but the following barriers has been identified: Lack of employee involvement in decision-making, miscommunication between management and employees and the dissatisfaction of employees within companies, in which all of the above are one of the fundamental requirements to successful implementation of TQM. The case study done by Wilkes and Dale (1998) to study BEM (formally known as European Quality Award EQA) in SMEs (employing less than 250 staff) located in England, shows that the award and its documentation, although simplified, were not ideal for the SMEs studied. Indeed it was found to be daunting and complex, especially for the</w:t>
      </w:r>
      <w:r>
        <w:rPr>
          <w:spacing w:val="-3"/>
        </w:rPr>
        <w:t> </w:t>
      </w:r>
      <w:r>
        <w:rPr/>
        <w:t>smaller</w:t>
      </w:r>
      <w:r>
        <w:rPr>
          <w:spacing w:val="-1"/>
        </w:rPr>
        <w:t> </w:t>
      </w:r>
      <w:r>
        <w:rPr/>
        <w:t>companies studied.</w:t>
      </w:r>
      <w:r>
        <w:rPr>
          <w:spacing w:val="-2"/>
        </w:rPr>
        <w:t> </w:t>
      </w:r>
      <w:r>
        <w:rPr/>
        <w:t>McAdam</w:t>
      </w:r>
      <w:r>
        <w:rPr>
          <w:spacing w:val="-2"/>
        </w:rPr>
        <w:t> </w:t>
      </w:r>
      <w:r>
        <w:rPr/>
        <w:t>(2000)</w:t>
      </w:r>
      <w:r>
        <w:rPr>
          <w:spacing w:val="-3"/>
        </w:rPr>
        <w:t> </w:t>
      </w:r>
      <w:r>
        <w:rPr/>
        <w:t>suggests that</w:t>
      </w:r>
      <w:r>
        <w:rPr>
          <w:spacing w:val="-2"/>
        </w:rPr>
        <w:t> </w:t>
      </w:r>
      <w:r>
        <w:rPr/>
        <w:t>SMEs</w:t>
      </w:r>
      <w:r>
        <w:rPr>
          <w:spacing w:val="-2"/>
        </w:rPr>
        <w:t> </w:t>
      </w:r>
      <w:r>
        <w:rPr/>
        <w:t>may</w:t>
      </w:r>
      <w:r>
        <w:rPr>
          <w:spacing w:val="-5"/>
        </w:rPr>
        <w:t> </w:t>
      </w:r>
      <w:r>
        <w:rPr/>
        <w:t>see</w:t>
      </w:r>
      <w:r>
        <w:rPr>
          <w:spacing w:val="-3"/>
        </w:rPr>
        <w:t> </w:t>
      </w:r>
      <w:r>
        <w:rPr/>
        <w:t>TQM</w:t>
      </w:r>
      <w:r>
        <w:rPr>
          <w:spacing w:val="-2"/>
        </w:rPr>
        <w:t> </w:t>
      </w:r>
      <w:r>
        <w:rPr/>
        <w:t>(especially</w:t>
      </w:r>
      <w:r>
        <w:rPr>
          <w:spacing w:val="-6"/>
        </w:rPr>
        <w:t> </w:t>
      </w:r>
      <w:r>
        <w:rPr/>
        <w:t>in the context of BEMs and the Balanced Scorecard approach) as adding a degree of formal assessment and bureaucracy, which will compromise their flexibility and responsiveness.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6"/>
        <w:jc w:val="both"/>
      </w:pPr>
      <w:r>
        <w:rPr/>
        <w:t>The previous studies regarding TQM considered the concept of the TQM as one of the best solutions to overcome the construction industry problems. Moreover, many studies focus on importance of the tools and techniques in implementation TQM philosophy. TQM system is an integrated system of methods, principles, and best practices that provide a framework for organisations to strive for excellence in the everyday process. To become a world class competitor, companies need a model to integrate continuous improvement tools into system that involves participative cross- functional implementation.</w:t>
      </w:r>
    </w:p>
    <w:p>
      <w:pPr>
        <w:pStyle w:val="BodyText"/>
        <w:spacing w:before="50"/>
      </w:pPr>
    </w:p>
    <w:p>
      <w:pPr>
        <w:pStyle w:val="Heading2"/>
        <w:numPr>
          <w:ilvl w:val="1"/>
          <w:numId w:val="18"/>
        </w:numPr>
        <w:tabs>
          <w:tab w:pos="1000" w:val="left" w:leader="none"/>
        </w:tabs>
        <w:spacing w:line="240" w:lineRule="auto" w:before="0" w:after="0"/>
        <w:ind w:left="1000" w:right="0" w:hanging="600"/>
        <w:jc w:val="both"/>
      </w:pPr>
      <w:r>
        <w:rPr/>
        <w:t>Summary</w:t>
      </w:r>
      <w:r>
        <w:rPr>
          <w:spacing w:val="-3"/>
        </w:rPr>
        <w:t> </w:t>
      </w:r>
      <w:r>
        <w:rPr/>
        <w:t>of</w:t>
      </w:r>
      <w:r>
        <w:rPr>
          <w:spacing w:val="-1"/>
        </w:rPr>
        <w:t> </w:t>
      </w:r>
      <w:r>
        <w:rPr/>
        <w:t>Reviewed</w:t>
      </w:r>
      <w:r>
        <w:rPr>
          <w:spacing w:val="-2"/>
        </w:rPr>
        <w:t> Literature</w:t>
      </w:r>
    </w:p>
    <w:p>
      <w:pPr>
        <w:pStyle w:val="BodyText"/>
        <w:spacing w:line="480" w:lineRule="auto" w:before="272"/>
        <w:ind w:left="400" w:right="1319"/>
        <w:jc w:val="both"/>
      </w:pPr>
      <w:r>
        <w:rPr/>
        <w:t>This section attempts to synthesis the literature</w:t>
      </w:r>
      <w:r>
        <w:rPr>
          <w:spacing w:val="-1"/>
        </w:rPr>
        <w:t> </w:t>
      </w:r>
      <w:r>
        <w:rPr/>
        <w:t>reviewed in this study</w:t>
      </w:r>
      <w:r>
        <w:rPr>
          <w:spacing w:val="-5"/>
        </w:rPr>
        <w:t> </w:t>
      </w:r>
      <w:r>
        <w:rPr/>
        <w:t>with a</w:t>
      </w:r>
      <w:r>
        <w:rPr>
          <w:spacing w:val="-1"/>
        </w:rPr>
        <w:t> </w:t>
      </w:r>
      <w:r>
        <w:rPr/>
        <w:t>view</w:t>
      </w:r>
      <w:r>
        <w:rPr>
          <w:spacing w:val="-1"/>
        </w:rPr>
        <w:t> </w:t>
      </w:r>
      <w:r>
        <w:rPr/>
        <w:t>to establishing the possible study gaps that are found in the course of the review. In doing this, the problem which informed the study, would be the focus. Hence the following could be deduced:</w:t>
      </w:r>
    </w:p>
    <w:p>
      <w:pPr>
        <w:pStyle w:val="ListParagraph"/>
        <w:numPr>
          <w:ilvl w:val="0"/>
          <w:numId w:val="33"/>
        </w:numPr>
        <w:tabs>
          <w:tab w:pos="1120" w:val="left" w:leader="none"/>
        </w:tabs>
        <w:spacing w:line="480" w:lineRule="auto" w:before="0" w:after="0"/>
        <w:ind w:left="1120" w:right="1321" w:hanging="360"/>
        <w:jc w:val="both"/>
        <w:rPr>
          <w:sz w:val="24"/>
        </w:rPr>
      </w:pPr>
      <w:r>
        <w:rPr>
          <w:sz w:val="24"/>
        </w:rPr>
        <w:t>In Nigeria, like most developing countries, the construction industry plays a dominant role in the economic development. (Ibironke, 2003);</w:t>
      </w:r>
    </w:p>
    <w:p>
      <w:pPr>
        <w:pStyle w:val="ListParagraph"/>
        <w:numPr>
          <w:ilvl w:val="0"/>
          <w:numId w:val="33"/>
        </w:numPr>
        <w:tabs>
          <w:tab w:pos="1119" w:val="left" w:leader="none"/>
        </w:tabs>
        <w:spacing w:line="480" w:lineRule="auto" w:before="0" w:after="0"/>
        <w:ind w:left="1119" w:right="1317" w:hanging="360"/>
        <w:jc w:val="both"/>
        <w:rPr>
          <w:sz w:val="24"/>
        </w:rPr>
      </w:pPr>
      <w:r>
        <w:rPr>
          <w:spacing w:val="-3"/>
          <w:sz w:val="24"/>
        </w:rPr>
        <w:t> </w:t>
      </w:r>
      <w:r>
        <w:rPr>
          <w:sz w:val="24"/>
        </w:rPr>
        <w:t>​The</w:t>
      </w:r>
      <w:r>
        <w:rPr>
          <w:spacing w:val="-4"/>
          <w:sz w:val="24"/>
        </w:rPr>
        <w:t> </w:t>
      </w:r>
      <w:r>
        <w:rPr>
          <w:sz w:val="24"/>
        </w:rPr>
        <w:t>indigenous</w:t>
      </w:r>
      <w:r>
        <w:rPr>
          <w:spacing w:val="-1"/>
          <w:sz w:val="24"/>
        </w:rPr>
        <w:t> </w:t>
      </w:r>
      <w:r>
        <w:rPr>
          <w:sz w:val="24"/>
        </w:rPr>
        <w:t>construction</w:t>
      </w:r>
      <w:r>
        <w:rPr>
          <w:spacing w:val="-3"/>
          <w:sz w:val="24"/>
        </w:rPr>
        <w:t> </w:t>
      </w:r>
      <w:r>
        <w:rPr>
          <w:sz w:val="24"/>
        </w:rPr>
        <w:t>companies</w:t>
      </w:r>
      <w:r>
        <w:rPr>
          <w:spacing w:val="-3"/>
          <w:sz w:val="24"/>
        </w:rPr>
        <w:t> </w:t>
      </w:r>
      <w:r>
        <w:rPr>
          <w:sz w:val="24"/>
        </w:rPr>
        <w:t>in</w:t>
      </w:r>
      <w:r>
        <w:rPr>
          <w:spacing w:val="-3"/>
          <w:sz w:val="24"/>
        </w:rPr>
        <w:t> </w:t>
      </w:r>
      <w:r>
        <w:rPr>
          <w:sz w:val="24"/>
        </w:rPr>
        <w:t>Nigeria</w:t>
      </w:r>
      <w:r>
        <w:rPr>
          <w:spacing w:val="-4"/>
          <w:sz w:val="24"/>
        </w:rPr>
        <w:t> </w:t>
      </w:r>
      <w:r>
        <w:rPr>
          <w:sz w:val="24"/>
        </w:rPr>
        <w:t>are</w:t>
      </w:r>
      <w:r>
        <w:rPr>
          <w:spacing w:val="-4"/>
          <w:sz w:val="24"/>
        </w:rPr>
        <w:t> </w:t>
      </w:r>
      <w:r>
        <w:rPr>
          <w:sz w:val="24"/>
        </w:rPr>
        <w:t>predominantly</w:t>
      </w:r>
      <w:r>
        <w:rPr>
          <w:spacing w:val="-6"/>
          <w:sz w:val="24"/>
        </w:rPr>
        <w:t> </w:t>
      </w:r>
      <w:r>
        <w:rPr>
          <w:sz w:val="24"/>
        </w:rPr>
        <w:t>small</w:t>
      </w:r>
      <w:r>
        <w:rPr>
          <w:spacing w:val="-3"/>
          <w:sz w:val="24"/>
        </w:rPr>
        <w:t> </w:t>
      </w:r>
      <w:r>
        <w:rPr>
          <w:sz w:val="24"/>
        </w:rPr>
        <w:t>and</w:t>
      </w:r>
      <w:r>
        <w:rPr>
          <w:spacing w:val="-3"/>
          <w:sz w:val="24"/>
        </w:rPr>
        <w:t> </w:t>
      </w:r>
      <w:r>
        <w:rPr>
          <w:sz w:val="24"/>
        </w:rPr>
        <w:t>medium- sized ( Adams ,1995);</w:t>
      </w:r>
    </w:p>
    <w:p>
      <w:pPr>
        <w:pStyle w:val="ListParagraph"/>
        <w:numPr>
          <w:ilvl w:val="0"/>
          <w:numId w:val="33"/>
        </w:numPr>
        <w:tabs>
          <w:tab w:pos="1119" w:val="left" w:leader="none"/>
        </w:tabs>
        <w:spacing w:line="480" w:lineRule="auto" w:before="0" w:after="0"/>
        <w:ind w:left="1119" w:right="1315" w:hanging="360"/>
        <w:jc w:val="both"/>
        <w:rPr>
          <w:sz w:val="24"/>
        </w:rPr>
      </w:pPr>
      <w:r>
        <w:rPr>
          <w:sz w:val="24"/>
        </w:rPr>
        <w:t>A large number of registered SMCFs’s services have not been adequately utilized on the delivery of capital projects by the client ( Olateju, 1991; Samuel, 1999; Idoro, 2004; Idiaka and Bala 2012;Odediran </w:t>
      </w:r>
      <w:r>
        <w:rPr>
          <w:i/>
          <w:sz w:val="24"/>
        </w:rPr>
        <w:t>et al., </w:t>
      </w:r>
      <w:r>
        <w:rPr>
          <w:sz w:val="24"/>
        </w:rPr>
        <w:t>2012; Alintah-Abel and Nnadi 2015);</w:t>
      </w:r>
    </w:p>
    <w:p>
      <w:pPr>
        <w:pStyle w:val="ListParagraph"/>
        <w:numPr>
          <w:ilvl w:val="0"/>
          <w:numId w:val="33"/>
        </w:numPr>
        <w:tabs>
          <w:tab w:pos="1119" w:val="left" w:leader="none"/>
        </w:tabs>
        <w:spacing w:line="240" w:lineRule="auto" w:before="0" w:after="0"/>
        <w:ind w:left="1119" w:right="0" w:hanging="360"/>
        <w:jc w:val="both"/>
        <w:rPr>
          <w:sz w:val="24"/>
        </w:rPr>
      </w:pPr>
      <w:r>
        <w:rPr>
          <w:sz w:val="24"/>
        </w:rPr>
        <w:t>Quality</w:t>
      </w:r>
      <w:r>
        <w:rPr>
          <w:spacing w:val="-8"/>
          <w:sz w:val="24"/>
        </w:rPr>
        <w:t> </w:t>
      </w:r>
      <w:r>
        <w:rPr>
          <w:sz w:val="24"/>
        </w:rPr>
        <w:t>has been</w:t>
      </w:r>
      <w:r>
        <w:rPr>
          <w:spacing w:val="-1"/>
          <w:sz w:val="24"/>
        </w:rPr>
        <w:t> </w:t>
      </w:r>
      <w:r>
        <w:rPr>
          <w:sz w:val="24"/>
        </w:rPr>
        <w:t>recognized as</w:t>
      </w:r>
      <w:r>
        <w:rPr>
          <w:spacing w:val="-1"/>
          <w:sz w:val="24"/>
        </w:rPr>
        <w:t> </w:t>
      </w:r>
      <w:r>
        <w:rPr>
          <w:sz w:val="24"/>
        </w:rPr>
        <w:t>a</w:t>
      </w:r>
      <w:r>
        <w:rPr>
          <w:spacing w:val="-1"/>
          <w:sz w:val="24"/>
        </w:rPr>
        <w:t> </w:t>
      </w:r>
      <w:r>
        <w:rPr>
          <w:sz w:val="24"/>
        </w:rPr>
        <w:t>key</w:t>
      </w:r>
      <w:r>
        <w:rPr>
          <w:spacing w:val="-5"/>
          <w:sz w:val="24"/>
        </w:rPr>
        <w:t> </w:t>
      </w:r>
      <w:r>
        <w:rPr>
          <w:sz w:val="24"/>
        </w:rPr>
        <w:t>focus</w:t>
      </w:r>
      <w:r>
        <w:rPr>
          <w:spacing w:val="-1"/>
          <w:sz w:val="24"/>
        </w:rPr>
        <w:t> </w:t>
      </w:r>
      <w:r>
        <w:rPr>
          <w:sz w:val="24"/>
        </w:rPr>
        <w:t>for</w:t>
      </w:r>
      <w:r>
        <w:rPr>
          <w:spacing w:val="1"/>
          <w:sz w:val="24"/>
        </w:rPr>
        <w:t> </w:t>
      </w:r>
      <w:r>
        <w:rPr>
          <w:sz w:val="24"/>
        </w:rPr>
        <w:t>competitiveness</w:t>
      </w:r>
      <w:r>
        <w:rPr>
          <w:spacing w:val="-1"/>
          <w:sz w:val="24"/>
        </w:rPr>
        <w:t> </w:t>
      </w:r>
      <w:r>
        <w:rPr>
          <w:sz w:val="24"/>
        </w:rPr>
        <w:t>(</w:t>
      </w:r>
      <w:r>
        <w:rPr>
          <w:spacing w:val="-1"/>
          <w:sz w:val="24"/>
        </w:rPr>
        <w:t> </w:t>
      </w:r>
      <w:r>
        <w:rPr>
          <w:sz w:val="24"/>
        </w:rPr>
        <w:t>Kamal, </w:t>
      </w:r>
      <w:r>
        <w:rPr>
          <w:spacing w:val="-2"/>
          <w:sz w:val="24"/>
        </w:rPr>
        <w:t>2012)</w:t>
      </w:r>
    </w:p>
    <w:p>
      <w:pPr>
        <w:pStyle w:val="BodyText"/>
      </w:pPr>
    </w:p>
    <w:p>
      <w:pPr>
        <w:pStyle w:val="ListParagraph"/>
        <w:numPr>
          <w:ilvl w:val="0"/>
          <w:numId w:val="33"/>
        </w:numPr>
        <w:tabs>
          <w:tab w:pos="1118" w:val="left" w:leader="none"/>
        </w:tabs>
        <w:spacing w:line="240" w:lineRule="auto" w:before="0" w:after="0"/>
        <w:ind w:left="1118" w:right="0" w:hanging="359"/>
        <w:jc w:val="both"/>
        <w:rPr>
          <w:sz w:val="24"/>
        </w:rPr>
      </w:pPr>
      <w:r>
        <w:rPr>
          <w:sz w:val="24"/>
        </w:rPr>
        <w:t>An</w:t>
      </w:r>
      <w:r>
        <w:rPr>
          <w:spacing w:val="-4"/>
          <w:sz w:val="24"/>
        </w:rPr>
        <w:t> </w:t>
      </w:r>
      <w:r>
        <w:rPr>
          <w:sz w:val="24"/>
        </w:rPr>
        <w:t>emphasis</w:t>
      </w:r>
      <w:r>
        <w:rPr>
          <w:spacing w:val="-1"/>
          <w:sz w:val="24"/>
        </w:rPr>
        <w:t> </w:t>
      </w:r>
      <w:r>
        <w:rPr>
          <w:sz w:val="24"/>
        </w:rPr>
        <w:t>on</w:t>
      </w:r>
      <w:r>
        <w:rPr>
          <w:spacing w:val="-2"/>
          <w:sz w:val="24"/>
        </w:rPr>
        <w:t> </w:t>
      </w:r>
      <w:r>
        <w:rPr>
          <w:sz w:val="24"/>
        </w:rPr>
        <w:t>quality</w:t>
      </w:r>
      <w:r>
        <w:rPr>
          <w:spacing w:val="-4"/>
          <w:sz w:val="24"/>
        </w:rPr>
        <w:t> </w:t>
      </w:r>
      <w:r>
        <w:rPr>
          <w:sz w:val="24"/>
        </w:rPr>
        <w:t>would</w:t>
      </w:r>
      <w:r>
        <w:rPr>
          <w:spacing w:val="-1"/>
          <w:sz w:val="24"/>
        </w:rPr>
        <w:t> </w:t>
      </w:r>
      <w:r>
        <w:rPr>
          <w:sz w:val="24"/>
        </w:rPr>
        <w:t>result</w:t>
      </w:r>
      <w:r>
        <w:rPr>
          <w:spacing w:val="-2"/>
          <w:sz w:val="24"/>
        </w:rPr>
        <w:t> </w:t>
      </w:r>
      <w:r>
        <w:rPr>
          <w:sz w:val="24"/>
        </w:rPr>
        <w:t>in</w:t>
      </w:r>
      <w:r>
        <w:rPr>
          <w:spacing w:val="-1"/>
          <w:sz w:val="24"/>
        </w:rPr>
        <w:t> </w:t>
      </w:r>
      <w:r>
        <w:rPr>
          <w:sz w:val="24"/>
        </w:rPr>
        <w:t>organisation</w:t>
      </w:r>
      <w:r>
        <w:rPr>
          <w:spacing w:val="-2"/>
          <w:sz w:val="24"/>
        </w:rPr>
        <w:t> </w:t>
      </w:r>
      <w:r>
        <w:rPr>
          <w:sz w:val="24"/>
        </w:rPr>
        <w:t>gains</w:t>
      </w:r>
      <w:r>
        <w:rPr>
          <w:spacing w:val="-1"/>
          <w:sz w:val="24"/>
        </w:rPr>
        <w:t> </w:t>
      </w:r>
      <w:r>
        <w:rPr>
          <w:sz w:val="24"/>
        </w:rPr>
        <w:t>(Arawati,</w:t>
      </w:r>
      <w:r>
        <w:rPr>
          <w:spacing w:val="-1"/>
          <w:sz w:val="24"/>
        </w:rPr>
        <w:t> </w:t>
      </w:r>
      <w:r>
        <w:rPr>
          <w:spacing w:val="-2"/>
          <w:sz w:val="24"/>
        </w:rPr>
        <w:t>2004);</w:t>
      </w:r>
    </w:p>
    <w:p>
      <w:pPr>
        <w:pStyle w:val="BodyText"/>
      </w:pPr>
    </w:p>
    <w:p>
      <w:pPr>
        <w:pStyle w:val="ListParagraph"/>
        <w:numPr>
          <w:ilvl w:val="0"/>
          <w:numId w:val="33"/>
        </w:numPr>
        <w:tabs>
          <w:tab w:pos="1118" w:val="left" w:leader="none"/>
          <w:tab w:pos="1120" w:val="left" w:leader="none"/>
        </w:tabs>
        <w:spacing w:line="480" w:lineRule="auto" w:before="0" w:after="0"/>
        <w:ind w:left="1120" w:right="1319" w:hanging="360"/>
        <w:jc w:val="both"/>
        <w:rPr>
          <w:sz w:val="24"/>
        </w:rPr>
      </w:pPr>
      <w:r>
        <w:rPr>
          <w:sz w:val="24"/>
        </w:rPr>
        <w:t>TQM is strategically and tactically important for gaining a competitive advantage</w:t>
      </w:r>
      <w:r>
        <w:rPr>
          <w:spacing w:val="40"/>
          <w:sz w:val="24"/>
        </w:rPr>
        <w:t> </w:t>
      </w:r>
      <w:r>
        <w:rPr>
          <w:sz w:val="24"/>
        </w:rPr>
        <w:t>(Kamal, 2012; Kuratko </w:t>
      </w:r>
      <w:r>
        <w:rPr>
          <w:i/>
          <w:sz w:val="24"/>
        </w:rPr>
        <w:t>et al</w:t>
      </w:r>
      <w:r>
        <w:rPr>
          <w:sz w:val="24"/>
        </w:rPr>
        <w:t>., 2001; Agus and Sagir, 2001; Shenawy </w:t>
      </w:r>
      <w:r>
        <w:rPr>
          <w:i/>
          <w:sz w:val="24"/>
        </w:rPr>
        <w:t>et al</w:t>
      </w:r>
      <w:r>
        <w:rPr>
          <w:sz w:val="24"/>
        </w:rPr>
        <w:t>., 2007; Addae- Korankye 2013; Faihan 2013);</w:t>
      </w:r>
    </w:p>
    <w:p>
      <w:pPr>
        <w:spacing w:after="0" w:line="480" w:lineRule="auto"/>
        <w:jc w:val="both"/>
        <w:rPr>
          <w:sz w:val="24"/>
        </w:rPr>
        <w:sectPr>
          <w:pgSz w:w="12240" w:h="15840"/>
          <w:pgMar w:header="0" w:footer="1017" w:top="1360" w:bottom="1200" w:left="1040" w:right="120"/>
        </w:sectPr>
      </w:pPr>
    </w:p>
    <w:p>
      <w:pPr>
        <w:pStyle w:val="ListParagraph"/>
        <w:numPr>
          <w:ilvl w:val="0"/>
          <w:numId w:val="33"/>
        </w:numPr>
        <w:tabs>
          <w:tab w:pos="1120" w:val="left" w:leader="none"/>
        </w:tabs>
        <w:spacing w:line="480" w:lineRule="auto" w:before="72" w:after="0"/>
        <w:ind w:left="1120" w:right="1318" w:hanging="360"/>
        <w:jc w:val="both"/>
        <w:rPr>
          <w:sz w:val="24"/>
        </w:rPr>
      </w:pPr>
      <w:r>
        <w:rPr>
          <w:sz w:val="24"/>
        </w:rPr>
        <w:t>TQM has been recognised as a successful management philosophy, so can likewise be embraced in the construction industry to help raise quality and productivity( Pheng and Ann, 2004);</w:t>
      </w:r>
    </w:p>
    <w:p>
      <w:pPr>
        <w:pStyle w:val="ListParagraph"/>
        <w:numPr>
          <w:ilvl w:val="0"/>
          <w:numId w:val="33"/>
        </w:numPr>
        <w:tabs>
          <w:tab w:pos="1120" w:val="left" w:leader="none"/>
        </w:tabs>
        <w:spacing w:line="480" w:lineRule="auto" w:before="0" w:after="0"/>
        <w:ind w:left="1120" w:right="1321" w:hanging="360"/>
        <w:jc w:val="both"/>
        <w:rPr>
          <w:sz w:val="24"/>
        </w:rPr>
      </w:pPr>
      <w:r>
        <w:rPr>
          <w:sz w:val="24"/>
        </w:rPr>
        <w:t>There is a strong and positive association between TQM, overall performance and customer satisfaction (Arawati, 2004),</w:t>
      </w:r>
    </w:p>
    <w:p>
      <w:pPr>
        <w:pStyle w:val="ListParagraph"/>
        <w:numPr>
          <w:ilvl w:val="0"/>
          <w:numId w:val="33"/>
        </w:numPr>
        <w:tabs>
          <w:tab w:pos="1118" w:val="left" w:leader="none"/>
          <w:tab w:pos="1120" w:val="left" w:leader="none"/>
        </w:tabs>
        <w:spacing w:line="480" w:lineRule="auto" w:before="0" w:after="0"/>
        <w:ind w:left="1120" w:right="1323" w:hanging="360"/>
        <w:jc w:val="both"/>
        <w:rPr>
          <w:sz w:val="24"/>
        </w:rPr>
      </w:pPr>
      <w:r>
        <w:rPr>
          <w:sz w:val="24"/>
        </w:rPr>
        <w:t>Large construction companies generally</w:t>
      </w:r>
      <w:r>
        <w:rPr>
          <w:spacing w:val="-1"/>
          <w:sz w:val="24"/>
        </w:rPr>
        <w:t> </w:t>
      </w:r>
      <w:r>
        <w:rPr>
          <w:sz w:val="24"/>
        </w:rPr>
        <w:t>take into account the principles of TQM (Abu </w:t>
      </w:r>
      <w:r>
        <w:rPr>
          <w:i/>
          <w:sz w:val="24"/>
        </w:rPr>
        <w:t>et al</w:t>
      </w:r>
      <w:r>
        <w:rPr>
          <w:sz w:val="24"/>
        </w:rPr>
        <w:t>., 2011);</w:t>
      </w:r>
    </w:p>
    <w:p>
      <w:pPr>
        <w:pStyle w:val="ListParagraph"/>
        <w:numPr>
          <w:ilvl w:val="0"/>
          <w:numId w:val="33"/>
        </w:numPr>
        <w:tabs>
          <w:tab w:pos="1118" w:val="left" w:leader="none"/>
          <w:tab w:pos="1120" w:val="left" w:leader="none"/>
        </w:tabs>
        <w:spacing w:line="480" w:lineRule="auto" w:before="0" w:after="0"/>
        <w:ind w:left="1120" w:right="1318" w:hanging="360"/>
        <w:jc w:val="both"/>
        <w:rPr>
          <w:sz w:val="24"/>
        </w:rPr>
      </w:pPr>
      <w:r>
        <w:rPr>
          <w:sz w:val="24"/>
        </w:rPr>
        <w:t>Quality is considered a global phenomenon for organisations seeking customer satisfaction and high output quality</w:t>
      </w:r>
      <w:r>
        <w:rPr>
          <w:spacing w:val="-3"/>
          <w:sz w:val="24"/>
        </w:rPr>
        <w:t> </w:t>
      </w:r>
      <w:r>
        <w:rPr>
          <w:sz w:val="24"/>
        </w:rPr>
        <w:t>worldwide to gain competitive advantage, continuity, and stability which will enable those companies to compete locally and globally within the rapid changes of environmental variables (Loiy, 2012).</w:t>
      </w:r>
    </w:p>
    <w:p>
      <w:pPr>
        <w:pStyle w:val="Heading2"/>
        <w:numPr>
          <w:ilvl w:val="1"/>
          <w:numId w:val="18"/>
        </w:numPr>
        <w:tabs>
          <w:tab w:pos="1120" w:val="left" w:leader="none"/>
        </w:tabs>
        <w:spacing w:line="240" w:lineRule="auto" w:before="250" w:after="0"/>
        <w:ind w:left="1120" w:right="0" w:hanging="720"/>
        <w:jc w:val="both"/>
      </w:pPr>
      <w:r>
        <w:rPr/>
        <w:t>Gaps</w:t>
      </w:r>
      <w:r>
        <w:rPr>
          <w:spacing w:val="-2"/>
        </w:rPr>
        <w:t> </w:t>
      </w:r>
      <w:r>
        <w:rPr/>
        <w:t>in</w:t>
      </w:r>
      <w:r>
        <w:rPr>
          <w:spacing w:val="-1"/>
        </w:rPr>
        <w:t> </w:t>
      </w:r>
      <w:r>
        <w:rPr/>
        <w:t>the</w:t>
      </w:r>
      <w:r>
        <w:rPr>
          <w:spacing w:val="-2"/>
        </w:rPr>
        <w:t> </w:t>
      </w:r>
      <w:r>
        <w:rPr/>
        <w:t>Study</w:t>
      </w:r>
      <w:r>
        <w:rPr>
          <w:spacing w:val="-1"/>
        </w:rPr>
        <w:t> </w:t>
      </w:r>
      <w:r>
        <w:rPr/>
        <w:t>as</w:t>
      </w:r>
      <w:r>
        <w:rPr>
          <w:spacing w:val="-1"/>
        </w:rPr>
        <w:t> </w:t>
      </w:r>
      <w:r>
        <w:rPr/>
        <w:t>Revealed</w:t>
      </w:r>
      <w:r>
        <w:rPr>
          <w:spacing w:val="-1"/>
        </w:rPr>
        <w:t> </w:t>
      </w:r>
      <w:r>
        <w:rPr/>
        <w:t>in</w:t>
      </w:r>
      <w:r>
        <w:rPr>
          <w:spacing w:val="-1"/>
        </w:rPr>
        <w:t> </w:t>
      </w:r>
      <w:r>
        <w:rPr/>
        <w:t>the</w:t>
      </w:r>
      <w:r>
        <w:rPr>
          <w:spacing w:val="-2"/>
        </w:rPr>
        <w:t> Literature</w:t>
      </w:r>
    </w:p>
    <w:p>
      <w:pPr>
        <w:pStyle w:val="BodyText"/>
        <w:spacing w:line="480" w:lineRule="auto" w:before="271"/>
        <w:ind w:left="400" w:right="1315"/>
        <w:jc w:val="both"/>
      </w:pPr>
      <w:r>
        <w:rPr/>
        <w:t>A close look at the synthesis of literature shows some glaring gaps, which the present study</w:t>
      </w:r>
      <w:r>
        <w:rPr>
          <w:spacing w:val="80"/>
        </w:rPr>
        <w:t> </w:t>
      </w:r>
      <w:r>
        <w:rPr/>
        <w:t>seeks to fill.</w:t>
      </w:r>
    </w:p>
    <w:p>
      <w:pPr>
        <w:pStyle w:val="BodyText"/>
        <w:spacing w:before="74"/>
      </w:pPr>
    </w:p>
    <w:p>
      <w:pPr>
        <w:pStyle w:val="ListParagraph"/>
        <w:numPr>
          <w:ilvl w:val="0"/>
          <w:numId w:val="34"/>
        </w:numPr>
        <w:tabs>
          <w:tab w:pos="1120" w:val="left" w:leader="none"/>
        </w:tabs>
        <w:spacing w:line="480" w:lineRule="auto" w:before="0" w:after="0"/>
        <w:ind w:left="1120" w:right="1316" w:hanging="720"/>
        <w:jc w:val="both"/>
        <w:rPr>
          <w:sz w:val="24"/>
        </w:rPr>
      </w:pPr>
      <w:r>
        <w:rPr>
          <w:sz w:val="24"/>
        </w:rPr>
        <w:t>It is true that many studies conducted by authors have produced Total Quality Management</w:t>
      </w:r>
      <w:r>
        <w:rPr>
          <w:spacing w:val="40"/>
          <w:sz w:val="24"/>
        </w:rPr>
        <w:t> </w:t>
      </w:r>
      <w:r>
        <w:rPr>
          <w:sz w:val="24"/>
        </w:rPr>
        <w:t>models, but none has critically analysed those models to get each of their success factors in Nigeria especially in South-East of Nigeria.</w:t>
      </w:r>
    </w:p>
    <w:p>
      <w:pPr>
        <w:pStyle w:val="ListParagraph"/>
        <w:numPr>
          <w:ilvl w:val="0"/>
          <w:numId w:val="34"/>
        </w:numPr>
        <w:tabs>
          <w:tab w:pos="1120" w:val="left" w:leader="none"/>
        </w:tabs>
        <w:spacing w:line="480" w:lineRule="auto" w:before="1" w:after="0"/>
        <w:ind w:left="1120" w:right="1320" w:hanging="720"/>
        <w:jc w:val="both"/>
        <w:rPr>
          <w:sz w:val="24"/>
        </w:rPr>
      </w:pPr>
      <w:r>
        <w:rPr>
          <w:sz w:val="24"/>
        </w:rPr>
        <w:t>Presently studies on Total quality Management in construction industry have not been conducted in sufficient details for small and medium scale construction firms in Nigeria, particularly South-East of Nigeria.</w:t>
      </w:r>
    </w:p>
    <w:p>
      <w:pPr>
        <w:pStyle w:val="ListParagraph"/>
        <w:numPr>
          <w:ilvl w:val="0"/>
          <w:numId w:val="34"/>
        </w:numPr>
        <w:tabs>
          <w:tab w:pos="1120" w:val="left" w:leader="none"/>
        </w:tabs>
        <w:spacing w:line="480" w:lineRule="auto" w:before="0" w:after="0"/>
        <w:ind w:left="1120" w:right="1311" w:hanging="720"/>
        <w:jc w:val="both"/>
        <w:rPr>
          <w:sz w:val="24"/>
        </w:rPr>
      </w:pPr>
      <w:r>
        <w:rPr>
          <w:sz w:val="24"/>
        </w:rPr>
        <w:t>In addition, works reviewed on achieving competitive advantage through Total quality management for Small and medium construction firms were carried out in other parts of</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19" w:right="1317"/>
        <w:jc w:val="both"/>
      </w:pPr>
      <w:r>
        <w:rPr/>
        <w:t>Nigeria and outside Nigeria. None has been carried out in South-East of Nigeria where this study will be carried out. The identification of ways to achieve competitive</w:t>
      </w:r>
      <w:r>
        <w:rPr>
          <w:spacing w:val="40"/>
        </w:rPr>
        <w:t> </w:t>
      </w:r>
      <w:r>
        <w:rPr/>
        <w:t>advantage will help the small and medium scale construction firms to increase their </w:t>
      </w:r>
      <w:r>
        <w:rPr>
          <w:spacing w:val="-2"/>
        </w:rPr>
        <w:t>performance.</w:t>
      </w:r>
    </w:p>
    <w:p>
      <w:pPr>
        <w:pStyle w:val="ListParagraph"/>
        <w:numPr>
          <w:ilvl w:val="0"/>
          <w:numId w:val="34"/>
        </w:numPr>
        <w:tabs>
          <w:tab w:pos="1119" w:val="left" w:leader="none"/>
        </w:tabs>
        <w:spacing w:line="480" w:lineRule="auto" w:before="0" w:after="0"/>
        <w:ind w:left="1119" w:right="1315" w:hanging="720"/>
        <w:jc w:val="both"/>
        <w:rPr>
          <w:sz w:val="24"/>
        </w:rPr>
      </w:pPr>
      <w:r>
        <w:rPr>
          <w:sz w:val="24"/>
        </w:rPr>
        <w:t>Most of the research works that was carried, though outside the shores of the nation did not triangulate their methods for analysis. They used only quantitative method (Questionnaire). When triangulation is done, it will give a stronger validity of the </w:t>
      </w:r>
      <w:r>
        <w:rPr>
          <w:spacing w:val="-2"/>
          <w:sz w:val="24"/>
        </w:rPr>
        <w:t>findings.</w:t>
      </w:r>
    </w:p>
    <w:p>
      <w:pPr>
        <w:pStyle w:val="BodyText"/>
        <w:spacing w:before="120"/>
        <w:ind w:left="399"/>
        <w:jc w:val="both"/>
      </w:pPr>
      <w:r>
        <w:rPr/>
        <w:t>It</w:t>
      </w:r>
      <w:r>
        <w:rPr>
          <w:spacing w:val="-4"/>
        </w:rPr>
        <w:t> </w:t>
      </w:r>
      <w:r>
        <w:rPr/>
        <w:t>is</w:t>
      </w:r>
      <w:r>
        <w:rPr>
          <w:spacing w:val="-1"/>
        </w:rPr>
        <w:t> </w:t>
      </w:r>
      <w:r>
        <w:rPr/>
        <w:t>these</w:t>
      </w:r>
      <w:r>
        <w:rPr>
          <w:spacing w:val="-1"/>
        </w:rPr>
        <w:t> </w:t>
      </w:r>
      <w:r>
        <w:rPr/>
        <w:t>gaps</w:t>
      </w:r>
      <w:r>
        <w:rPr>
          <w:spacing w:val="-1"/>
        </w:rPr>
        <w:t> </w:t>
      </w:r>
      <w:r>
        <w:rPr/>
        <w:t>in</w:t>
      </w:r>
      <w:r>
        <w:rPr>
          <w:spacing w:val="-1"/>
        </w:rPr>
        <w:t> </w:t>
      </w:r>
      <w:r>
        <w:rPr/>
        <w:t>literature</w:t>
      </w:r>
      <w:r>
        <w:rPr>
          <w:spacing w:val="-2"/>
        </w:rPr>
        <w:t> </w:t>
      </w:r>
      <w:r>
        <w:rPr/>
        <w:t>that</w:t>
      </w:r>
      <w:r>
        <w:rPr>
          <w:spacing w:val="-2"/>
        </w:rPr>
        <w:t> </w:t>
      </w:r>
      <w:r>
        <w:rPr/>
        <w:t>necessitated</w:t>
      </w:r>
      <w:r>
        <w:rPr>
          <w:spacing w:val="-1"/>
        </w:rPr>
        <w:t> </w:t>
      </w:r>
      <w:r>
        <w:rPr/>
        <w:t>this</w:t>
      </w:r>
      <w:r>
        <w:rPr>
          <w:spacing w:val="-1"/>
        </w:rPr>
        <w:t> </w:t>
      </w:r>
      <w:r>
        <w:rPr>
          <w:spacing w:val="-2"/>
        </w:rPr>
        <w:t>study.</w:t>
      </w:r>
    </w:p>
    <w:p>
      <w:pPr>
        <w:spacing w:after="0"/>
        <w:jc w:val="both"/>
        <w:sectPr>
          <w:pgSz w:w="12240" w:h="15840"/>
          <w:pgMar w:header="0" w:footer="1017" w:top="1360" w:bottom="1200" w:left="1040" w:right="120"/>
        </w:sectPr>
      </w:pPr>
    </w:p>
    <w:p>
      <w:pPr>
        <w:pStyle w:val="Heading2"/>
        <w:spacing w:line="480" w:lineRule="auto" w:before="76"/>
        <w:ind w:left="3387" w:right="4307" w:firstLine="612"/>
        <w:jc w:val="left"/>
      </w:pPr>
      <w:r>
        <w:rPr/>
        <w:t>CHAPTER FOUR RESEARCH</w:t>
      </w:r>
      <w:r>
        <w:rPr>
          <w:spacing w:val="-15"/>
        </w:rPr>
        <w:t> </w:t>
      </w:r>
      <w:r>
        <w:rPr/>
        <w:t>METHODOLOGY</w:t>
      </w:r>
    </w:p>
    <w:p>
      <w:pPr>
        <w:pStyle w:val="ListParagraph"/>
        <w:numPr>
          <w:ilvl w:val="1"/>
          <w:numId w:val="34"/>
        </w:numPr>
        <w:tabs>
          <w:tab w:pos="1120" w:val="left" w:leader="none"/>
        </w:tabs>
        <w:spacing w:line="240" w:lineRule="auto" w:before="46" w:after="0"/>
        <w:ind w:left="1120" w:right="0" w:hanging="720"/>
        <w:jc w:val="both"/>
        <w:rPr>
          <w:b/>
          <w:sz w:val="24"/>
        </w:rPr>
      </w:pPr>
      <w:r>
        <w:rPr>
          <w:b/>
          <w:spacing w:val="-2"/>
          <w:sz w:val="24"/>
        </w:rPr>
        <w:t>Introduction</w:t>
      </w:r>
    </w:p>
    <w:p>
      <w:pPr>
        <w:pStyle w:val="BodyText"/>
        <w:spacing w:line="480" w:lineRule="auto" w:before="271"/>
        <w:ind w:left="399" w:right="1315"/>
        <w:jc w:val="both"/>
      </w:pPr>
      <w:r>
        <w:rPr/>
        <w:t>To obtain or gather data for any research work, certain procedures must be used. This chapter therefore, discusses the procedures and techniques or strategies that underlined the conduct of this</w:t>
      </w:r>
      <w:r>
        <w:rPr>
          <w:spacing w:val="-1"/>
        </w:rPr>
        <w:t> </w:t>
      </w:r>
      <w:r>
        <w:rPr/>
        <w:t>research. It</w:t>
      </w:r>
      <w:r>
        <w:rPr>
          <w:spacing w:val="-1"/>
        </w:rPr>
        <w:t> </w:t>
      </w:r>
      <w:r>
        <w:rPr/>
        <w:t>is</w:t>
      </w:r>
      <w:r>
        <w:rPr>
          <w:spacing w:val="-1"/>
        </w:rPr>
        <w:t> </w:t>
      </w:r>
      <w:r>
        <w:rPr/>
        <w:t>divided</w:t>
      </w:r>
      <w:r>
        <w:rPr>
          <w:spacing w:val="-1"/>
        </w:rPr>
        <w:t> </w:t>
      </w:r>
      <w:r>
        <w:rPr/>
        <w:t>into</w:t>
      </w:r>
      <w:r>
        <w:rPr>
          <w:spacing w:val="-1"/>
        </w:rPr>
        <w:t> </w:t>
      </w:r>
      <w:r>
        <w:rPr/>
        <w:t>subheadings</w:t>
      </w:r>
      <w:r>
        <w:rPr>
          <w:spacing w:val="-1"/>
        </w:rPr>
        <w:t> </w:t>
      </w:r>
      <w:r>
        <w:rPr/>
        <w:t>which include:</w:t>
      </w:r>
      <w:r>
        <w:rPr>
          <w:spacing w:val="-1"/>
        </w:rPr>
        <w:t> </w:t>
      </w:r>
      <w:r>
        <w:rPr/>
        <w:t>Research</w:t>
      </w:r>
      <w:r>
        <w:rPr>
          <w:spacing w:val="-1"/>
        </w:rPr>
        <w:t> </w:t>
      </w:r>
      <w:r>
        <w:rPr/>
        <w:t>design,</w:t>
      </w:r>
      <w:r>
        <w:rPr>
          <w:spacing w:val="-1"/>
        </w:rPr>
        <w:t> </w:t>
      </w:r>
      <w:r>
        <w:rPr/>
        <w:t>types</w:t>
      </w:r>
      <w:r>
        <w:rPr>
          <w:spacing w:val="-1"/>
        </w:rPr>
        <w:t> </w:t>
      </w:r>
      <w:r>
        <w:rPr/>
        <w:t>and</w:t>
      </w:r>
      <w:r>
        <w:rPr>
          <w:spacing w:val="-1"/>
        </w:rPr>
        <w:t> </w:t>
      </w:r>
      <w:r>
        <w:rPr/>
        <w:t>sources</w:t>
      </w:r>
      <w:r>
        <w:rPr>
          <w:spacing w:val="-1"/>
        </w:rPr>
        <w:t> </w:t>
      </w:r>
      <w:r>
        <w:rPr/>
        <w:t>of data, population of the study, sampling technique, determination of sample size, methods of data presentation and analysis, testing of hypothesis and validity and reliability of the measuring </w:t>
      </w:r>
      <w:r>
        <w:rPr>
          <w:spacing w:val="-2"/>
        </w:rPr>
        <w:t>instrument.</w:t>
      </w:r>
    </w:p>
    <w:p>
      <w:pPr>
        <w:pStyle w:val="Heading2"/>
        <w:numPr>
          <w:ilvl w:val="1"/>
          <w:numId w:val="34"/>
        </w:numPr>
        <w:tabs>
          <w:tab w:pos="1120" w:val="left" w:leader="none"/>
        </w:tabs>
        <w:spacing w:line="240" w:lineRule="auto" w:before="236" w:after="0"/>
        <w:ind w:left="1120" w:right="0" w:hanging="720"/>
        <w:jc w:val="both"/>
      </w:pPr>
      <w:r>
        <w:rPr/>
        <w:t>Research</w:t>
      </w:r>
      <w:r>
        <w:rPr>
          <w:spacing w:val="-3"/>
        </w:rPr>
        <w:t> </w:t>
      </w:r>
      <w:r>
        <w:rPr>
          <w:spacing w:val="-2"/>
        </w:rPr>
        <w:t>Design</w:t>
      </w:r>
    </w:p>
    <w:p>
      <w:pPr>
        <w:pStyle w:val="BodyText"/>
        <w:spacing w:line="480" w:lineRule="auto" w:before="271"/>
        <w:ind w:left="399" w:right="1318"/>
        <w:jc w:val="both"/>
      </w:pPr>
      <w:r>
        <w:rPr/>
        <w:t>Research</w:t>
      </w:r>
      <w:r>
        <w:rPr>
          <w:spacing w:val="-1"/>
        </w:rPr>
        <w:t> </w:t>
      </w:r>
      <w:r>
        <w:rPr/>
        <w:t>design</w:t>
      </w:r>
      <w:r>
        <w:rPr>
          <w:spacing w:val="-3"/>
        </w:rPr>
        <w:t> </w:t>
      </w:r>
      <w:r>
        <w:rPr/>
        <w:t>includes</w:t>
      </w:r>
      <w:r>
        <w:rPr>
          <w:spacing w:val="-1"/>
        </w:rPr>
        <w:t> </w:t>
      </w:r>
      <w:r>
        <w:rPr/>
        <w:t>the</w:t>
      </w:r>
      <w:r>
        <w:rPr>
          <w:spacing w:val="-4"/>
        </w:rPr>
        <w:t> </w:t>
      </w:r>
      <w:r>
        <w:rPr/>
        <w:t>practical</w:t>
      </w:r>
      <w:r>
        <w:rPr>
          <w:spacing w:val="-3"/>
        </w:rPr>
        <w:t> </w:t>
      </w:r>
      <w:r>
        <w:rPr/>
        <w:t>procedures</w:t>
      </w:r>
      <w:r>
        <w:rPr>
          <w:spacing w:val="-1"/>
        </w:rPr>
        <w:t> </w:t>
      </w:r>
      <w:r>
        <w:rPr/>
        <w:t>adopted</w:t>
      </w:r>
      <w:r>
        <w:rPr>
          <w:spacing w:val="-3"/>
        </w:rPr>
        <w:t> </w:t>
      </w:r>
      <w:r>
        <w:rPr/>
        <w:t>for</w:t>
      </w:r>
      <w:r>
        <w:rPr>
          <w:spacing w:val="-2"/>
        </w:rPr>
        <w:t> </w:t>
      </w:r>
      <w:r>
        <w:rPr/>
        <w:t>accessing</w:t>
      </w:r>
      <w:r>
        <w:rPr>
          <w:spacing w:val="-6"/>
        </w:rPr>
        <w:t> </w:t>
      </w:r>
      <w:r>
        <w:rPr/>
        <w:t>the</w:t>
      </w:r>
      <w:r>
        <w:rPr>
          <w:spacing w:val="-2"/>
        </w:rPr>
        <w:t> </w:t>
      </w:r>
      <w:r>
        <w:rPr/>
        <w:t>subjects</w:t>
      </w:r>
      <w:r>
        <w:rPr>
          <w:spacing w:val="-3"/>
        </w:rPr>
        <w:t> </w:t>
      </w:r>
      <w:r>
        <w:rPr/>
        <w:t>of</w:t>
      </w:r>
      <w:r>
        <w:rPr>
          <w:spacing w:val="-4"/>
        </w:rPr>
        <w:t> </w:t>
      </w:r>
      <w:r>
        <w:rPr/>
        <w:t>the</w:t>
      </w:r>
      <w:r>
        <w:rPr>
          <w:spacing w:val="-4"/>
        </w:rPr>
        <w:t> </w:t>
      </w:r>
      <w:r>
        <w:rPr/>
        <w:t>study. It is a broad plan of how the researcher intends to go about answering the research questions. A mixed research design was used for the study. It is the best approach for the study because it requires both quantitative and qualitative designs to address the problem statement. The quantitative design used was Correlational design</w:t>
      </w:r>
      <w:r>
        <w:rPr>
          <w:b/>
        </w:rPr>
        <w:t>. </w:t>
      </w:r>
      <w:r>
        <w:rPr/>
        <w:t>Thi</w:t>
      </w:r>
      <w:r>
        <w:rPr>
          <w:b/>
        </w:rPr>
        <w:t>s </w:t>
      </w:r>
      <w:r>
        <w:rPr/>
        <w:t>explores the relationship between two or more variables through a correlational analysis. The intent is to determine if and to what degree the variables are related. The Qualitative Design used was the Grounded Theory</w:t>
      </w:r>
      <w:r>
        <w:rPr>
          <w:b/>
        </w:rPr>
        <w:t>. </w:t>
      </w:r>
      <w:r>
        <w:rPr/>
        <w:t>The focus is to develop an understanding of a phenomenon or situation in order to be able to develop a theory/model for items such as factors, a form of interaction, or a process.</w:t>
      </w:r>
    </w:p>
    <w:p>
      <w:pPr>
        <w:pStyle w:val="Heading2"/>
        <w:numPr>
          <w:ilvl w:val="1"/>
          <w:numId w:val="34"/>
        </w:numPr>
        <w:tabs>
          <w:tab w:pos="700" w:val="left" w:leader="none"/>
        </w:tabs>
        <w:spacing w:line="240" w:lineRule="auto" w:before="233" w:after="0"/>
        <w:ind w:left="700" w:right="0" w:hanging="300"/>
        <w:jc w:val="both"/>
      </w:pPr>
      <w:r>
        <w:rPr/>
        <w:t>:</w:t>
      </w:r>
      <w:r>
        <w:rPr>
          <w:spacing w:val="77"/>
          <w:w w:val="150"/>
        </w:rPr>
        <w:t>  </w:t>
      </w:r>
      <w:r>
        <w:rPr/>
        <w:t>Types</w:t>
      </w:r>
      <w:r>
        <w:rPr>
          <w:spacing w:val="1"/>
        </w:rPr>
        <w:t> </w:t>
      </w:r>
      <w:r>
        <w:rPr/>
        <w:t>and</w:t>
      </w:r>
      <w:r>
        <w:rPr>
          <w:spacing w:val="-1"/>
        </w:rPr>
        <w:t> </w:t>
      </w:r>
      <w:r>
        <w:rPr/>
        <w:t>Sources</w:t>
      </w:r>
      <w:r>
        <w:rPr>
          <w:spacing w:val="-1"/>
        </w:rPr>
        <w:t> </w:t>
      </w:r>
      <w:r>
        <w:rPr/>
        <w:t>of</w:t>
      </w:r>
      <w:r>
        <w:rPr>
          <w:spacing w:val="1"/>
        </w:rPr>
        <w:t> </w:t>
      </w:r>
      <w:r>
        <w:rPr>
          <w:spacing w:val="-4"/>
        </w:rPr>
        <w:t>Data:</w:t>
      </w:r>
    </w:p>
    <w:p>
      <w:pPr>
        <w:pStyle w:val="BodyText"/>
        <w:spacing w:line="480" w:lineRule="auto" w:before="272"/>
        <w:ind w:left="399" w:right="1321"/>
        <w:jc w:val="both"/>
      </w:pPr>
      <w:r>
        <w:rPr/>
        <w:t>Data for the research was sourced through primary and secondary data. The data was collected expressly to help solve the research problems.</w:t>
      </w:r>
    </w:p>
    <w:p>
      <w:pPr>
        <w:spacing w:after="0" w:line="480" w:lineRule="auto"/>
        <w:jc w:val="both"/>
        <w:sectPr>
          <w:pgSz w:w="12240" w:h="15840"/>
          <w:pgMar w:header="0" w:footer="1017" w:top="1360" w:bottom="1200" w:left="1040" w:right="120"/>
        </w:sectPr>
      </w:pPr>
    </w:p>
    <w:p>
      <w:pPr>
        <w:pStyle w:val="Heading2"/>
        <w:numPr>
          <w:ilvl w:val="2"/>
          <w:numId w:val="34"/>
        </w:numPr>
        <w:tabs>
          <w:tab w:pos="1120" w:val="left" w:leader="none"/>
        </w:tabs>
        <w:spacing w:line="240" w:lineRule="auto" w:before="76" w:after="0"/>
        <w:ind w:left="1120" w:right="0" w:hanging="720"/>
        <w:jc w:val="both"/>
      </w:pPr>
      <w:r>
        <w:rPr/>
        <w:t>Primary</w:t>
      </w:r>
      <w:r>
        <w:rPr>
          <w:spacing w:val="-4"/>
        </w:rPr>
        <w:t> </w:t>
      </w:r>
      <w:r>
        <w:rPr>
          <w:spacing w:val="-2"/>
        </w:rPr>
        <w:t>Data:</w:t>
      </w:r>
    </w:p>
    <w:p>
      <w:pPr>
        <w:pStyle w:val="BodyText"/>
        <w:spacing w:line="480" w:lineRule="auto" w:before="272"/>
        <w:ind w:left="400" w:right="1316"/>
        <w:jc w:val="both"/>
      </w:pPr>
      <w:r>
        <w:rPr/>
        <w:t>Primary data is the information gathered directly by the researcher. For the purpose of this research primary data was collected through questionnaire, oral interviews, direct observation</w:t>
      </w:r>
      <w:r>
        <w:rPr>
          <w:spacing w:val="40"/>
        </w:rPr>
        <w:t> </w:t>
      </w:r>
      <w:r>
        <w:rPr/>
        <w:t>and walkthrough evaluation</w:t>
      </w:r>
      <w:r>
        <w:rPr>
          <w:color w:val="FF0000"/>
        </w:rPr>
        <w:t>.</w:t>
      </w:r>
    </w:p>
    <w:p>
      <w:pPr>
        <w:pStyle w:val="Heading2"/>
        <w:spacing w:before="235"/>
      </w:pPr>
      <w:r>
        <w:rPr/>
        <w:t>Data</w:t>
      </w:r>
      <w:r>
        <w:rPr>
          <w:spacing w:val="-2"/>
        </w:rPr>
        <w:t> required:</w:t>
      </w:r>
    </w:p>
    <w:p>
      <w:pPr>
        <w:pStyle w:val="BodyText"/>
        <w:spacing w:before="115"/>
        <w:rPr>
          <w:b/>
        </w:rPr>
      </w:pPr>
    </w:p>
    <w:p>
      <w:pPr>
        <w:pStyle w:val="ListParagraph"/>
        <w:numPr>
          <w:ilvl w:val="0"/>
          <w:numId w:val="35"/>
        </w:numPr>
        <w:tabs>
          <w:tab w:pos="758" w:val="left" w:leader="none"/>
        </w:tabs>
        <w:spacing w:line="240" w:lineRule="auto" w:before="0" w:after="0"/>
        <w:ind w:left="758" w:right="0" w:hanging="359"/>
        <w:jc w:val="both"/>
        <w:rPr>
          <w:sz w:val="24"/>
        </w:rPr>
      </w:pPr>
      <w:r>
        <w:rPr>
          <w:sz w:val="24"/>
        </w:rPr>
        <w:t>Data</w:t>
      </w:r>
      <w:r>
        <w:rPr>
          <w:spacing w:val="-4"/>
          <w:sz w:val="24"/>
        </w:rPr>
        <w:t> </w:t>
      </w:r>
      <w:r>
        <w:rPr>
          <w:sz w:val="24"/>
        </w:rPr>
        <w:t>from</w:t>
      </w:r>
      <w:r>
        <w:rPr>
          <w:spacing w:val="1"/>
          <w:sz w:val="24"/>
        </w:rPr>
        <w:t> </w:t>
      </w:r>
      <w:r>
        <w:rPr>
          <w:sz w:val="24"/>
        </w:rPr>
        <w:t>contractors</w:t>
      </w:r>
      <w:r>
        <w:rPr>
          <w:spacing w:val="-1"/>
          <w:sz w:val="24"/>
        </w:rPr>
        <w:t> </w:t>
      </w:r>
      <w:r>
        <w:rPr>
          <w:sz w:val="24"/>
        </w:rPr>
        <w:t>on</w:t>
      </w:r>
      <w:r>
        <w:rPr>
          <w:spacing w:val="-1"/>
          <w:sz w:val="24"/>
        </w:rPr>
        <w:t> </w:t>
      </w:r>
      <w:r>
        <w:rPr>
          <w:sz w:val="24"/>
        </w:rPr>
        <w:t>the</w:t>
      </w:r>
      <w:r>
        <w:rPr>
          <w:spacing w:val="-1"/>
          <w:sz w:val="24"/>
        </w:rPr>
        <w:t> </w:t>
      </w:r>
      <w:r>
        <w:rPr>
          <w:sz w:val="24"/>
        </w:rPr>
        <w:t>implementation</w:t>
      </w:r>
      <w:r>
        <w:rPr>
          <w:spacing w:val="-1"/>
          <w:sz w:val="24"/>
        </w:rPr>
        <w:t> </w:t>
      </w:r>
      <w:r>
        <w:rPr>
          <w:sz w:val="24"/>
        </w:rPr>
        <w:t>of</w:t>
      </w:r>
      <w:r>
        <w:rPr>
          <w:spacing w:val="-2"/>
          <w:sz w:val="24"/>
        </w:rPr>
        <w:t> </w:t>
      </w:r>
      <w:r>
        <w:rPr>
          <w:sz w:val="24"/>
        </w:rPr>
        <w:t>quality</w:t>
      </w:r>
      <w:r>
        <w:rPr>
          <w:spacing w:val="-6"/>
          <w:sz w:val="24"/>
        </w:rPr>
        <w:t> </w:t>
      </w:r>
      <w:r>
        <w:rPr>
          <w:sz w:val="24"/>
        </w:rPr>
        <w:t>management system</w:t>
      </w:r>
      <w:r>
        <w:rPr>
          <w:spacing w:val="-1"/>
          <w:sz w:val="24"/>
        </w:rPr>
        <w:t> </w:t>
      </w:r>
      <w:r>
        <w:rPr>
          <w:sz w:val="24"/>
        </w:rPr>
        <w:t>by</w:t>
      </w:r>
      <w:r>
        <w:rPr>
          <w:spacing w:val="-6"/>
          <w:sz w:val="24"/>
        </w:rPr>
        <w:t> </w:t>
      </w:r>
      <w:r>
        <w:rPr>
          <w:sz w:val="24"/>
        </w:rPr>
        <w:t>their</w:t>
      </w:r>
      <w:r>
        <w:rPr>
          <w:spacing w:val="-1"/>
          <w:sz w:val="24"/>
        </w:rPr>
        <w:t> </w:t>
      </w:r>
      <w:r>
        <w:rPr>
          <w:spacing w:val="-2"/>
          <w:sz w:val="24"/>
        </w:rPr>
        <w:t>firms.</w:t>
      </w:r>
    </w:p>
    <w:p>
      <w:pPr>
        <w:pStyle w:val="BodyText"/>
      </w:pPr>
    </w:p>
    <w:p>
      <w:pPr>
        <w:pStyle w:val="ListParagraph"/>
        <w:numPr>
          <w:ilvl w:val="0"/>
          <w:numId w:val="35"/>
        </w:numPr>
        <w:tabs>
          <w:tab w:pos="759" w:val="left" w:leader="none"/>
        </w:tabs>
        <w:spacing w:line="240" w:lineRule="auto" w:before="0" w:after="0"/>
        <w:ind w:left="759" w:right="0" w:hanging="359"/>
        <w:jc w:val="both"/>
        <w:rPr>
          <w:sz w:val="24"/>
        </w:rPr>
      </w:pPr>
      <w:r>
        <w:rPr>
          <w:sz w:val="24"/>
        </w:rPr>
        <w:t>Data</w:t>
      </w:r>
      <w:r>
        <w:rPr>
          <w:spacing w:val="-2"/>
          <w:sz w:val="24"/>
        </w:rPr>
        <w:t> </w:t>
      </w:r>
      <w:r>
        <w:rPr>
          <w:sz w:val="24"/>
        </w:rPr>
        <w:t>on</w:t>
      </w:r>
      <w:r>
        <w:rPr>
          <w:spacing w:val="-1"/>
          <w:sz w:val="24"/>
        </w:rPr>
        <w:t> </w:t>
      </w:r>
      <w:r>
        <w:rPr>
          <w:sz w:val="24"/>
        </w:rPr>
        <w:t>what</w:t>
      </w:r>
      <w:r>
        <w:rPr>
          <w:spacing w:val="-1"/>
          <w:sz w:val="24"/>
        </w:rPr>
        <w:t> </w:t>
      </w:r>
      <w:r>
        <w:rPr>
          <w:sz w:val="24"/>
        </w:rPr>
        <w:t>best</w:t>
      </w:r>
      <w:r>
        <w:rPr>
          <w:spacing w:val="-1"/>
          <w:sz w:val="24"/>
        </w:rPr>
        <w:t> </w:t>
      </w:r>
      <w:r>
        <w:rPr>
          <w:sz w:val="24"/>
        </w:rPr>
        <w:t>defines </w:t>
      </w:r>
      <w:r>
        <w:rPr>
          <w:spacing w:val="-2"/>
          <w:sz w:val="24"/>
        </w:rPr>
        <w:t>quality</w:t>
      </w:r>
    </w:p>
    <w:p>
      <w:pPr>
        <w:pStyle w:val="BodyText"/>
      </w:pPr>
    </w:p>
    <w:p>
      <w:pPr>
        <w:pStyle w:val="ListParagraph"/>
        <w:numPr>
          <w:ilvl w:val="0"/>
          <w:numId w:val="35"/>
        </w:numPr>
        <w:tabs>
          <w:tab w:pos="759" w:val="left" w:leader="none"/>
        </w:tabs>
        <w:spacing w:line="240" w:lineRule="auto" w:before="0" w:after="0"/>
        <w:ind w:left="759" w:right="0" w:hanging="359"/>
        <w:jc w:val="both"/>
        <w:rPr>
          <w:sz w:val="24"/>
        </w:rPr>
      </w:pPr>
      <w:r>
        <w:rPr>
          <w:sz w:val="24"/>
        </w:rPr>
        <w:t>Data</w:t>
      </w:r>
      <w:r>
        <w:rPr>
          <w:spacing w:val="-4"/>
          <w:sz w:val="24"/>
        </w:rPr>
        <w:t> </w:t>
      </w:r>
      <w:r>
        <w:rPr>
          <w:sz w:val="24"/>
        </w:rPr>
        <w:t>on</w:t>
      </w:r>
      <w:r>
        <w:rPr>
          <w:spacing w:val="-1"/>
          <w:sz w:val="24"/>
        </w:rPr>
        <w:t> </w:t>
      </w:r>
      <w:r>
        <w:rPr>
          <w:sz w:val="24"/>
        </w:rPr>
        <w:t>how</w:t>
      </w:r>
      <w:r>
        <w:rPr>
          <w:spacing w:val="-1"/>
          <w:sz w:val="24"/>
        </w:rPr>
        <w:t> </w:t>
      </w:r>
      <w:r>
        <w:rPr>
          <w:sz w:val="24"/>
        </w:rPr>
        <w:t>to</w:t>
      </w:r>
      <w:r>
        <w:rPr>
          <w:spacing w:val="-1"/>
          <w:sz w:val="24"/>
        </w:rPr>
        <w:t> </w:t>
      </w:r>
      <w:r>
        <w:rPr>
          <w:sz w:val="24"/>
        </w:rPr>
        <w:t>rate</w:t>
      </w:r>
      <w:r>
        <w:rPr>
          <w:spacing w:val="-1"/>
          <w:sz w:val="24"/>
        </w:rPr>
        <w:t> </w:t>
      </w:r>
      <w:r>
        <w:rPr>
          <w:sz w:val="24"/>
        </w:rPr>
        <w:t>customer</w:t>
      </w:r>
      <w:r>
        <w:rPr>
          <w:spacing w:val="-2"/>
          <w:sz w:val="24"/>
        </w:rPr>
        <w:t> </w:t>
      </w:r>
      <w:r>
        <w:rPr>
          <w:sz w:val="24"/>
        </w:rPr>
        <w:t>satisfaction</w:t>
      </w:r>
      <w:r>
        <w:rPr>
          <w:spacing w:val="-1"/>
          <w:sz w:val="24"/>
        </w:rPr>
        <w:t> </w:t>
      </w:r>
      <w:r>
        <w:rPr>
          <w:sz w:val="24"/>
        </w:rPr>
        <w:t>; recognising</w:t>
      </w:r>
      <w:r>
        <w:rPr>
          <w:spacing w:val="-4"/>
          <w:sz w:val="24"/>
        </w:rPr>
        <w:t> </w:t>
      </w:r>
      <w:r>
        <w:rPr>
          <w:sz w:val="24"/>
        </w:rPr>
        <w:t>their</w:t>
      </w:r>
      <w:r>
        <w:rPr>
          <w:spacing w:val="-1"/>
          <w:sz w:val="24"/>
        </w:rPr>
        <w:t> </w:t>
      </w:r>
      <w:r>
        <w:rPr>
          <w:sz w:val="24"/>
        </w:rPr>
        <w:t>needs</w:t>
      </w:r>
      <w:r>
        <w:rPr>
          <w:spacing w:val="-1"/>
          <w:sz w:val="24"/>
        </w:rPr>
        <w:t> </w:t>
      </w:r>
      <w:r>
        <w:rPr>
          <w:sz w:val="24"/>
        </w:rPr>
        <w:t>and </w:t>
      </w:r>
      <w:r>
        <w:rPr>
          <w:spacing w:val="-2"/>
          <w:sz w:val="24"/>
        </w:rPr>
        <w:t>expectations</w:t>
      </w:r>
    </w:p>
    <w:p>
      <w:pPr>
        <w:pStyle w:val="BodyText"/>
      </w:pPr>
    </w:p>
    <w:p>
      <w:pPr>
        <w:pStyle w:val="ListParagraph"/>
        <w:numPr>
          <w:ilvl w:val="0"/>
          <w:numId w:val="35"/>
        </w:numPr>
        <w:tabs>
          <w:tab w:pos="760" w:val="left" w:leader="none"/>
        </w:tabs>
        <w:spacing w:line="480" w:lineRule="auto" w:before="0" w:after="0"/>
        <w:ind w:left="760" w:right="1319" w:hanging="360"/>
        <w:jc w:val="left"/>
        <w:rPr>
          <w:sz w:val="24"/>
        </w:rPr>
      </w:pPr>
      <w:r>
        <w:rPr>
          <w:sz w:val="24"/>
        </w:rPr>
        <w:t>Information</w:t>
      </w:r>
      <w:r>
        <w:rPr>
          <w:spacing w:val="-1"/>
          <w:sz w:val="24"/>
        </w:rPr>
        <w:t> </w:t>
      </w:r>
      <w:r>
        <w:rPr>
          <w:sz w:val="24"/>
        </w:rPr>
        <w:t>about</w:t>
      </w:r>
      <w:r>
        <w:rPr>
          <w:spacing w:val="-1"/>
          <w:sz w:val="24"/>
        </w:rPr>
        <w:t> </w:t>
      </w:r>
      <w:r>
        <w:rPr>
          <w:sz w:val="24"/>
        </w:rPr>
        <w:t>the</w:t>
      </w:r>
      <w:r>
        <w:rPr>
          <w:spacing w:val="-2"/>
          <w:sz w:val="24"/>
        </w:rPr>
        <w:t> </w:t>
      </w:r>
      <w:r>
        <w:rPr>
          <w:sz w:val="24"/>
        </w:rPr>
        <w:t>adequacy</w:t>
      </w:r>
      <w:r>
        <w:rPr>
          <w:spacing w:val="-6"/>
          <w:sz w:val="24"/>
        </w:rPr>
        <w:t> </w:t>
      </w:r>
      <w:r>
        <w:rPr>
          <w:sz w:val="24"/>
        </w:rPr>
        <w:t>of</w:t>
      </w:r>
      <w:r>
        <w:rPr>
          <w:spacing w:val="-2"/>
          <w:sz w:val="24"/>
        </w:rPr>
        <w:t> </w:t>
      </w:r>
      <w:r>
        <w:rPr>
          <w:sz w:val="24"/>
        </w:rPr>
        <w:t>Quality</w:t>
      </w:r>
      <w:r>
        <w:rPr>
          <w:spacing w:val="-6"/>
          <w:sz w:val="24"/>
        </w:rPr>
        <w:t> </w:t>
      </w:r>
      <w:r>
        <w:rPr>
          <w:sz w:val="24"/>
        </w:rPr>
        <w:t>control</w:t>
      </w:r>
      <w:r>
        <w:rPr>
          <w:spacing w:val="-1"/>
          <w:sz w:val="24"/>
        </w:rPr>
        <w:t> </w:t>
      </w:r>
      <w:r>
        <w:rPr>
          <w:sz w:val="24"/>
        </w:rPr>
        <w:t>professionals,</w:t>
      </w:r>
      <w:r>
        <w:rPr>
          <w:spacing w:val="-1"/>
          <w:sz w:val="24"/>
        </w:rPr>
        <w:t> </w:t>
      </w:r>
      <w:r>
        <w:rPr>
          <w:sz w:val="24"/>
        </w:rPr>
        <w:t>with</w:t>
      </w:r>
      <w:r>
        <w:rPr>
          <w:spacing w:val="-1"/>
          <w:sz w:val="24"/>
        </w:rPr>
        <w:t> </w:t>
      </w:r>
      <w:r>
        <w:rPr>
          <w:sz w:val="24"/>
        </w:rPr>
        <w:t>their</w:t>
      </w:r>
      <w:r>
        <w:rPr>
          <w:spacing w:val="-4"/>
          <w:sz w:val="24"/>
        </w:rPr>
        <w:t> </w:t>
      </w:r>
      <w:r>
        <w:rPr>
          <w:sz w:val="24"/>
        </w:rPr>
        <w:t>qualifications</w:t>
      </w:r>
      <w:r>
        <w:rPr>
          <w:spacing w:val="-1"/>
          <w:sz w:val="24"/>
        </w:rPr>
        <w:t> </w:t>
      </w:r>
      <w:r>
        <w:rPr>
          <w:sz w:val="24"/>
        </w:rPr>
        <w:t>and </w:t>
      </w:r>
      <w:r>
        <w:rPr>
          <w:spacing w:val="-2"/>
          <w:sz w:val="24"/>
        </w:rPr>
        <w:t>efficiency.</w:t>
      </w:r>
    </w:p>
    <w:p>
      <w:pPr>
        <w:pStyle w:val="ListParagraph"/>
        <w:numPr>
          <w:ilvl w:val="0"/>
          <w:numId w:val="35"/>
        </w:numPr>
        <w:tabs>
          <w:tab w:pos="760" w:val="left" w:leader="none"/>
          <w:tab w:pos="6738" w:val="left" w:leader="none"/>
        </w:tabs>
        <w:spacing w:line="480" w:lineRule="auto" w:before="0" w:after="0"/>
        <w:ind w:left="760" w:right="1320" w:hanging="360"/>
        <w:jc w:val="left"/>
        <w:rPr>
          <w:sz w:val="24"/>
        </w:rPr>
      </w:pPr>
      <w:r>
        <w:rPr>
          <w:sz w:val="24"/>
        </w:rPr>
        <w:t>Data</w:t>
      </w:r>
      <w:r>
        <w:rPr>
          <w:spacing w:val="40"/>
          <w:sz w:val="24"/>
        </w:rPr>
        <w:t> </w:t>
      </w:r>
      <w:r>
        <w:rPr>
          <w:sz w:val="24"/>
        </w:rPr>
        <w:t>on</w:t>
      </w:r>
      <w:r>
        <w:rPr>
          <w:spacing w:val="40"/>
          <w:sz w:val="24"/>
        </w:rPr>
        <w:t> </w:t>
      </w:r>
      <w:r>
        <w:rPr>
          <w:sz w:val="24"/>
        </w:rPr>
        <w:t>how</w:t>
      </w:r>
      <w:r>
        <w:rPr>
          <w:spacing w:val="40"/>
          <w:sz w:val="24"/>
        </w:rPr>
        <w:t> </w:t>
      </w:r>
      <w:r>
        <w:rPr>
          <w:sz w:val="24"/>
        </w:rPr>
        <w:t>TQM</w:t>
      </w:r>
      <w:r>
        <w:rPr>
          <w:spacing w:val="40"/>
          <w:sz w:val="24"/>
        </w:rPr>
        <w:t> </w:t>
      </w:r>
      <w:r>
        <w:rPr>
          <w:sz w:val="24"/>
        </w:rPr>
        <w:t>were</w:t>
      </w:r>
      <w:r>
        <w:rPr>
          <w:spacing w:val="40"/>
          <w:sz w:val="24"/>
        </w:rPr>
        <w:t> </w:t>
      </w:r>
      <w:r>
        <w:rPr>
          <w:sz w:val="24"/>
        </w:rPr>
        <w:t>used</w:t>
      </w:r>
      <w:r>
        <w:rPr>
          <w:spacing w:val="40"/>
          <w:sz w:val="24"/>
        </w:rPr>
        <w:t> </w:t>
      </w:r>
      <w:r>
        <w:rPr>
          <w:sz w:val="24"/>
        </w:rPr>
        <w:t>to</w:t>
      </w:r>
      <w:r>
        <w:rPr>
          <w:spacing w:val="40"/>
          <w:sz w:val="24"/>
        </w:rPr>
        <w:t> </w:t>
      </w:r>
      <w:r>
        <w:rPr>
          <w:sz w:val="24"/>
        </w:rPr>
        <w:t>improve</w:t>
      </w:r>
      <w:r>
        <w:rPr>
          <w:spacing w:val="40"/>
          <w:sz w:val="24"/>
        </w:rPr>
        <w:t> </w:t>
      </w:r>
      <w:r>
        <w:rPr>
          <w:sz w:val="24"/>
        </w:rPr>
        <w:t>Project</w:t>
      </w:r>
      <w:r>
        <w:rPr>
          <w:spacing w:val="40"/>
          <w:sz w:val="24"/>
        </w:rPr>
        <w:t> </w:t>
      </w:r>
      <w:r>
        <w:rPr>
          <w:sz w:val="24"/>
        </w:rPr>
        <w:t>design</w:t>
        <w:tab/>
        <w:t>,financial</w:t>
      </w:r>
      <w:r>
        <w:rPr>
          <w:spacing w:val="25"/>
          <w:sz w:val="24"/>
        </w:rPr>
        <w:t> </w:t>
      </w:r>
      <w:r>
        <w:rPr>
          <w:sz w:val="24"/>
        </w:rPr>
        <w:t>performance,</w:t>
      </w:r>
      <w:r>
        <w:rPr>
          <w:spacing w:val="25"/>
          <w:sz w:val="24"/>
        </w:rPr>
        <w:t> </w:t>
      </w:r>
      <w:r>
        <w:rPr>
          <w:sz w:val="24"/>
        </w:rPr>
        <w:t>reduce change order , improve customer satisfaction and increase market share</w:t>
      </w:r>
    </w:p>
    <w:p>
      <w:pPr>
        <w:pStyle w:val="ListParagraph"/>
        <w:numPr>
          <w:ilvl w:val="0"/>
          <w:numId w:val="35"/>
        </w:numPr>
        <w:tabs>
          <w:tab w:pos="758" w:val="left" w:leader="none"/>
        </w:tabs>
        <w:spacing w:line="240" w:lineRule="auto" w:before="1" w:after="0"/>
        <w:ind w:left="758" w:right="0" w:hanging="359"/>
        <w:jc w:val="left"/>
        <w:rPr>
          <w:sz w:val="24"/>
        </w:rPr>
      </w:pPr>
      <w:r>
        <w:rPr>
          <w:sz w:val="24"/>
        </w:rPr>
        <w:t>Data</w:t>
      </w:r>
      <w:r>
        <w:rPr>
          <w:spacing w:val="-4"/>
          <w:sz w:val="24"/>
        </w:rPr>
        <w:t> </w:t>
      </w:r>
      <w:r>
        <w:rPr>
          <w:sz w:val="24"/>
        </w:rPr>
        <w:t>on</w:t>
      </w:r>
      <w:r>
        <w:rPr>
          <w:spacing w:val="-1"/>
          <w:sz w:val="24"/>
        </w:rPr>
        <w:t> </w:t>
      </w:r>
      <w:r>
        <w:rPr>
          <w:sz w:val="24"/>
        </w:rPr>
        <w:t>how</w:t>
      </w:r>
      <w:r>
        <w:rPr>
          <w:spacing w:val="-2"/>
          <w:sz w:val="24"/>
        </w:rPr>
        <w:t> </w:t>
      </w:r>
      <w:r>
        <w:rPr>
          <w:sz w:val="24"/>
        </w:rPr>
        <w:t>TQM</w:t>
      </w:r>
      <w:r>
        <w:rPr>
          <w:spacing w:val="-1"/>
          <w:sz w:val="24"/>
        </w:rPr>
        <w:t> </w:t>
      </w:r>
      <w:r>
        <w:rPr>
          <w:sz w:val="24"/>
        </w:rPr>
        <w:t>were</w:t>
      </w:r>
      <w:r>
        <w:rPr>
          <w:spacing w:val="1"/>
          <w:sz w:val="24"/>
        </w:rPr>
        <w:t> </w:t>
      </w:r>
      <w:r>
        <w:rPr>
          <w:sz w:val="24"/>
        </w:rPr>
        <w:t>used</w:t>
      </w:r>
      <w:r>
        <w:rPr>
          <w:spacing w:val="-1"/>
          <w:sz w:val="24"/>
        </w:rPr>
        <w:t> </w:t>
      </w:r>
      <w:r>
        <w:rPr>
          <w:sz w:val="24"/>
        </w:rPr>
        <w:t>to</w:t>
      </w:r>
      <w:r>
        <w:rPr>
          <w:spacing w:val="-1"/>
          <w:sz w:val="24"/>
        </w:rPr>
        <w:t> </w:t>
      </w:r>
      <w:r>
        <w:rPr>
          <w:sz w:val="24"/>
        </w:rPr>
        <w:t>improve</w:t>
      </w:r>
      <w:r>
        <w:rPr>
          <w:spacing w:val="-2"/>
          <w:sz w:val="24"/>
        </w:rPr>
        <w:t> </w:t>
      </w:r>
      <w:r>
        <w:rPr>
          <w:sz w:val="24"/>
        </w:rPr>
        <w:t>competitive</w:t>
      </w:r>
      <w:r>
        <w:rPr>
          <w:spacing w:val="-1"/>
          <w:sz w:val="24"/>
        </w:rPr>
        <w:t> </w:t>
      </w:r>
      <w:r>
        <w:rPr>
          <w:spacing w:val="-2"/>
          <w:sz w:val="24"/>
        </w:rPr>
        <w:t>advantage.</w:t>
      </w:r>
    </w:p>
    <w:p>
      <w:pPr>
        <w:pStyle w:val="ListParagraph"/>
        <w:numPr>
          <w:ilvl w:val="0"/>
          <w:numId w:val="35"/>
        </w:numPr>
        <w:tabs>
          <w:tab w:pos="759" w:val="left" w:leader="none"/>
        </w:tabs>
        <w:spacing w:line="240" w:lineRule="auto" w:before="276" w:after="0"/>
        <w:ind w:left="759" w:right="0" w:hanging="359"/>
        <w:jc w:val="left"/>
        <w:rPr>
          <w:sz w:val="24"/>
        </w:rPr>
      </w:pPr>
      <w:r>
        <w:rPr>
          <w:sz w:val="24"/>
        </w:rPr>
        <w:t>Data</w:t>
      </w:r>
      <w:r>
        <w:rPr>
          <w:spacing w:val="-4"/>
          <w:sz w:val="24"/>
        </w:rPr>
        <w:t> </w:t>
      </w:r>
      <w:r>
        <w:rPr>
          <w:sz w:val="24"/>
        </w:rPr>
        <w:t>on</w:t>
      </w:r>
      <w:r>
        <w:rPr>
          <w:spacing w:val="-1"/>
          <w:sz w:val="24"/>
        </w:rPr>
        <w:t> </w:t>
      </w:r>
      <w:r>
        <w:rPr>
          <w:sz w:val="24"/>
        </w:rPr>
        <w:t>their</w:t>
      </w:r>
      <w:r>
        <w:rPr>
          <w:spacing w:val="-2"/>
          <w:sz w:val="24"/>
        </w:rPr>
        <w:t> </w:t>
      </w:r>
      <w:r>
        <w:rPr>
          <w:sz w:val="24"/>
        </w:rPr>
        <w:t>quality</w:t>
      </w:r>
      <w:r>
        <w:rPr>
          <w:spacing w:val="-5"/>
          <w:sz w:val="24"/>
        </w:rPr>
        <w:t> </w:t>
      </w:r>
      <w:r>
        <w:rPr>
          <w:sz w:val="24"/>
        </w:rPr>
        <w:t>improvement</w:t>
      </w:r>
      <w:r>
        <w:rPr>
          <w:spacing w:val="-1"/>
          <w:sz w:val="24"/>
        </w:rPr>
        <w:t> </w:t>
      </w:r>
      <w:r>
        <w:rPr>
          <w:sz w:val="24"/>
        </w:rPr>
        <w:t>program available</w:t>
      </w:r>
      <w:r>
        <w:rPr>
          <w:spacing w:val="-2"/>
          <w:sz w:val="24"/>
        </w:rPr>
        <w:t> </w:t>
      </w:r>
      <w:r>
        <w:rPr>
          <w:sz w:val="24"/>
        </w:rPr>
        <w:t>in</w:t>
      </w:r>
      <w:r>
        <w:rPr>
          <w:spacing w:val="-1"/>
          <w:sz w:val="24"/>
        </w:rPr>
        <w:t> </w:t>
      </w:r>
      <w:r>
        <w:rPr>
          <w:sz w:val="24"/>
        </w:rPr>
        <w:t>their</w:t>
      </w:r>
      <w:r>
        <w:rPr>
          <w:spacing w:val="-1"/>
          <w:sz w:val="24"/>
        </w:rPr>
        <w:t> </w:t>
      </w:r>
      <w:r>
        <w:rPr>
          <w:spacing w:val="-2"/>
          <w:sz w:val="24"/>
        </w:rPr>
        <w:t>firms</w:t>
      </w:r>
    </w:p>
    <w:p>
      <w:pPr>
        <w:pStyle w:val="ListParagraph"/>
        <w:numPr>
          <w:ilvl w:val="0"/>
          <w:numId w:val="35"/>
        </w:numPr>
        <w:tabs>
          <w:tab w:pos="759" w:val="left" w:leader="none"/>
        </w:tabs>
        <w:spacing w:line="240" w:lineRule="auto" w:before="276" w:after="0"/>
        <w:ind w:left="759" w:right="0" w:hanging="359"/>
        <w:jc w:val="left"/>
        <w:rPr>
          <w:sz w:val="24"/>
        </w:rPr>
      </w:pPr>
      <w:r>
        <w:rPr>
          <w:sz w:val="24"/>
        </w:rPr>
        <w:t>Data</w:t>
      </w:r>
      <w:r>
        <w:rPr>
          <w:spacing w:val="-4"/>
          <w:sz w:val="24"/>
        </w:rPr>
        <w:t> </w:t>
      </w:r>
      <w:r>
        <w:rPr>
          <w:sz w:val="24"/>
        </w:rPr>
        <w:t>on</w:t>
      </w:r>
      <w:r>
        <w:rPr>
          <w:spacing w:val="-1"/>
          <w:sz w:val="24"/>
        </w:rPr>
        <w:t> </w:t>
      </w:r>
      <w:r>
        <w:rPr>
          <w:sz w:val="24"/>
        </w:rPr>
        <w:t>policies</w:t>
      </w:r>
      <w:r>
        <w:rPr>
          <w:spacing w:val="-2"/>
          <w:sz w:val="24"/>
        </w:rPr>
        <w:t> </w:t>
      </w:r>
      <w:r>
        <w:rPr>
          <w:sz w:val="24"/>
        </w:rPr>
        <w:t>or guidelines</w:t>
      </w:r>
      <w:r>
        <w:rPr>
          <w:spacing w:val="-1"/>
          <w:sz w:val="24"/>
        </w:rPr>
        <w:t> </w:t>
      </w:r>
      <w:r>
        <w:rPr>
          <w:sz w:val="24"/>
        </w:rPr>
        <w:t>for</w:t>
      </w:r>
      <w:r>
        <w:rPr>
          <w:spacing w:val="-2"/>
          <w:sz w:val="24"/>
        </w:rPr>
        <w:t> </w:t>
      </w:r>
      <w:r>
        <w:rPr>
          <w:sz w:val="24"/>
        </w:rPr>
        <w:t>quality</w:t>
      </w:r>
      <w:r>
        <w:rPr>
          <w:spacing w:val="-3"/>
          <w:sz w:val="24"/>
        </w:rPr>
        <w:t> </w:t>
      </w:r>
      <w:r>
        <w:rPr>
          <w:spacing w:val="-2"/>
          <w:sz w:val="24"/>
        </w:rPr>
        <w:t>activities</w:t>
      </w:r>
    </w:p>
    <w:p>
      <w:pPr>
        <w:pStyle w:val="ListParagraph"/>
        <w:numPr>
          <w:ilvl w:val="0"/>
          <w:numId w:val="35"/>
        </w:numPr>
        <w:tabs>
          <w:tab w:pos="759" w:val="left" w:leader="none"/>
        </w:tabs>
        <w:spacing w:line="240" w:lineRule="auto" w:before="276" w:after="0"/>
        <w:ind w:left="759" w:right="0" w:hanging="359"/>
        <w:jc w:val="left"/>
        <w:rPr>
          <w:sz w:val="24"/>
        </w:rPr>
      </w:pPr>
      <w:r>
        <w:rPr>
          <w:sz w:val="24"/>
        </w:rPr>
        <w:t>Data</w:t>
      </w:r>
      <w:r>
        <w:rPr>
          <w:spacing w:val="-4"/>
          <w:sz w:val="24"/>
        </w:rPr>
        <w:t> </w:t>
      </w:r>
      <w:r>
        <w:rPr>
          <w:sz w:val="24"/>
        </w:rPr>
        <w:t>on the</w:t>
      </w:r>
      <w:r>
        <w:rPr>
          <w:spacing w:val="-1"/>
          <w:sz w:val="24"/>
        </w:rPr>
        <w:t> </w:t>
      </w:r>
      <w:r>
        <w:rPr>
          <w:sz w:val="24"/>
        </w:rPr>
        <w:t>time</w:t>
      </w:r>
      <w:r>
        <w:rPr>
          <w:spacing w:val="-1"/>
          <w:sz w:val="24"/>
        </w:rPr>
        <w:t> </w:t>
      </w:r>
      <w:r>
        <w:rPr>
          <w:sz w:val="24"/>
        </w:rPr>
        <w:t>of</w:t>
      </w:r>
      <w:r>
        <w:rPr>
          <w:spacing w:val="-2"/>
          <w:sz w:val="24"/>
        </w:rPr>
        <w:t> </w:t>
      </w:r>
      <w:r>
        <w:rPr>
          <w:sz w:val="24"/>
        </w:rPr>
        <w:t>periodic</w:t>
      </w:r>
      <w:r>
        <w:rPr>
          <w:spacing w:val="-1"/>
          <w:sz w:val="24"/>
        </w:rPr>
        <w:t> </w:t>
      </w:r>
      <w:r>
        <w:rPr>
          <w:sz w:val="24"/>
        </w:rPr>
        <w:t>Quality</w:t>
      </w:r>
      <w:r>
        <w:rPr>
          <w:spacing w:val="-3"/>
          <w:sz w:val="24"/>
        </w:rPr>
        <w:t> </w:t>
      </w:r>
      <w:r>
        <w:rPr>
          <w:sz w:val="24"/>
        </w:rPr>
        <w:t>check</w:t>
      </w:r>
      <w:r>
        <w:rPr>
          <w:spacing w:val="2"/>
          <w:sz w:val="24"/>
        </w:rPr>
        <w:t> </w:t>
      </w:r>
      <w:r>
        <w:rPr>
          <w:sz w:val="24"/>
        </w:rPr>
        <w:t>and</w:t>
      </w:r>
      <w:r>
        <w:rPr>
          <w:spacing w:val="-1"/>
          <w:sz w:val="24"/>
        </w:rPr>
        <w:t> </w:t>
      </w:r>
      <w:r>
        <w:rPr>
          <w:sz w:val="24"/>
        </w:rPr>
        <w:t>methods of</w:t>
      </w:r>
      <w:r>
        <w:rPr>
          <w:spacing w:val="-1"/>
          <w:sz w:val="24"/>
        </w:rPr>
        <w:t> </w:t>
      </w:r>
      <w:r>
        <w:rPr>
          <w:sz w:val="24"/>
        </w:rPr>
        <w:t>executing</w:t>
      </w:r>
      <w:r>
        <w:rPr>
          <w:spacing w:val="-3"/>
          <w:sz w:val="24"/>
        </w:rPr>
        <w:t> </w:t>
      </w:r>
      <w:r>
        <w:rPr>
          <w:sz w:val="24"/>
        </w:rPr>
        <w:t>quality</w:t>
      </w:r>
      <w:r>
        <w:rPr>
          <w:spacing w:val="-3"/>
          <w:sz w:val="24"/>
        </w:rPr>
        <w:t> </w:t>
      </w:r>
      <w:r>
        <w:rPr>
          <w:spacing w:val="-2"/>
          <w:sz w:val="24"/>
        </w:rPr>
        <w:t>control</w:t>
      </w:r>
    </w:p>
    <w:p>
      <w:pPr>
        <w:pStyle w:val="ListParagraph"/>
        <w:numPr>
          <w:ilvl w:val="0"/>
          <w:numId w:val="35"/>
        </w:numPr>
        <w:tabs>
          <w:tab w:pos="759" w:val="left" w:leader="none"/>
        </w:tabs>
        <w:spacing w:line="240" w:lineRule="auto" w:before="276" w:after="0"/>
        <w:ind w:left="759" w:right="0" w:hanging="359"/>
        <w:jc w:val="left"/>
        <w:rPr>
          <w:sz w:val="24"/>
        </w:rPr>
      </w:pPr>
      <w:r>
        <w:rPr>
          <w:sz w:val="24"/>
        </w:rPr>
        <w:t>Data</w:t>
      </w:r>
      <w:r>
        <w:rPr>
          <w:spacing w:val="-5"/>
          <w:sz w:val="24"/>
        </w:rPr>
        <w:t> </w:t>
      </w:r>
      <w:r>
        <w:rPr>
          <w:sz w:val="24"/>
        </w:rPr>
        <w:t>on</w:t>
      </w:r>
      <w:r>
        <w:rPr>
          <w:spacing w:val="-1"/>
          <w:sz w:val="24"/>
        </w:rPr>
        <w:t> </w:t>
      </w:r>
      <w:r>
        <w:rPr>
          <w:sz w:val="24"/>
        </w:rPr>
        <w:t>critical</w:t>
      </w:r>
      <w:r>
        <w:rPr>
          <w:spacing w:val="-2"/>
          <w:sz w:val="24"/>
        </w:rPr>
        <w:t> </w:t>
      </w:r>
      <w:r>
        <w:rPr>
          <w:sz w:val="24"/>
        </w:rPr>
        <w:t>success factors</w:t>
      </w:r>
      <w:r>
        <w:rPr>
          <w:spacing w:val="-1"/>
          <w:sz w:val="24"/>
        </w:rPr>
        <w:t> </w:t>
      </w:r>
      <w:r>
        <w:rPr>
          <w:sz w:val="24"/>
        </w:rPr>
        <w:t>of</w:t>
      </w:r>
      <w:r>
        <w:rPr>
          <w:spacing w:val="-2"/>
          <w:sz w:val="24"/>
        </w:rPr>
        <w:t> </w:t>
      </w:r>
      <w:r>
        <w:rPr>
          <w:spacing w:val="-5"/>
          <w:sz w:val="24"/>
        </w:rPr>
        <w:t>TQM</w:t>
      </w:r>
    </w:p>
    <w:p>
      <w:pPr>
        <w:pStyle w:val="ListParagraph"/>
        <w:numPr>
          <w:ilvl w:val="0"/>
          <w:numId w:val="35"/>
        </w:numPr>
        <w:tabs>
          <w:tab w:pos="759" w:val="left" w:leader="none"/>
        </w:tabs>
        <w:spacing w:line="480" w:lineRule="auto" w:before="273" w:after="0"/>
        <w:ind w:left="759" w:right="1318" w:hanging="360"/>
        <w:jc w:val="left"/>
        <w:rPr>
          <w:sz w:val="24"/>
        </w:rPr>
      </w:pPr>
      <w:r>
        <w:rPr>
          <w:sz w:val="24"/>
        </w:rPr>
        <w:t>Data on impediments / factors that may influence the implementation of TQM within their</w:t>
      </w:r>
      <w:r>
        <w:rPr>
          <w:spacing w:val="80"/>
          <w:sz w:val="24"/>
        </w:rPr>
        <w:t> </w:t>
      </w:r>
      <w:r>
        <w:rPr>
          <w:sz w:val="24"/>
        </w:rPr>
        <w:t>firms and the construction sector in general.</w:t>
      </w:r>
    </w:p>
    <w:p>
      <w:pPr>
        <w:spacing w:after="0" w:line="480" w:lineRule="auto"/>
        <w:jc w:val="left"/>
        <w:rPr>
          <w:sz w:val="24"/>
        </w:rPr>
        <w:sectPr>
          <w:pgSz w:w="12240" w:h="15840"/>
          <w:pgMar w:header="0" w:footer="1017" w:top="1360" w:bottom="1200" w:left="1040" w:right="120"/>
        </w:sectPr>
      </w:pPr>
    </w:p>
    <w:p>
      <w:pPr>
        <w:pStyle w:val="Heading2"/>
        <w:numPr>
          <w:ilvl w:val="2"/>
          <w:numId w:val="34"/>
        </w:numPr>
        <w:tabs>
          <w:tab w:pos="1120" w:val="left" w:leader="none"/>
        </w:tabs>
        <w:spacing w:line="240" w:lineRule="auto" w:before="76" w:after="0"/>
        <w:ind w:left="1120" w:right="0" w:hanging="720"/>
        <w:jc w:val="both"/>
      </w:pPr>
      <w:r>
        <w:rPr/>
        <w:t>Secondary</w:t>
      </w:r>
      <w:r>
        <w:rPr>
          <w:spacing w:val="-3"/>
        </w:rPr>
        <w:t> </w:t>
      </w:r>
      <w:r>
        <w:rPr>
          <w:spacing w:val="-2"/>
        </w:rPr>
        <w:t>data:</w:t>
      </w:r>
    </w:p>
    <w:p>
      <w:pPr>
        <w:pStyle w:val="BodyText"/>
        <w:spacing w:line="480" w:lineRule="auto" w:before="272"/>
        <w:ind w:left="400" w:right="1320"/>
        <w:jc w:val="both"/>
      </w:pPr>
      <w:r>
        <w:rPr/>
        <w:t>One of the foremost advantages of using secondary data is that it helps in formulating and understanding the research problem, broadening at the same time the base for scientific conclusions to be drawn.</w:t>
      </w:r>
    </w:p>
    <w:p>
      <w:pPr>
        <w:pStyle w:val="BodyText"/>
        <w:spacing w:line="480" w:lineRule="auto"/>
        <w:ind w:left="400" w:right="1317"/>
        <w:jc w:val="both"/>
      </w:pPr>
      <w:r>
        <w:rPr/>
        <w:t>For</w:t>
      </w:r>
      <w:r>
        <w:rPr>
          <w:spacing w:val="-1"/>
        </w:rPr>
        <w:t> </w:t>
      </w:r>
      <w:r>
        <w:rPr/>
        <w:t>the</w:t>
      </w:r>
      <w:r>
        <w:rPr>
          <w:spacing w:val="-1"/>
        </w:rPr>
        <w:t> </w:t>
      </w:r>
      <w:r>
        <w:rPr/>
        <w:t>purpose</w:t>
      </w:r>
      <w:r>
        <w:rPr>
          <w:spacing w:val="-1"/>
        </w:rPr>
        <w:t> </w:t>
      </w:r>
      <w:r>
        <w:rPr/>
        <w:t>of</w:t>
      </w:r>
      <w:r>
        <w:rPr>
          <w:spacing w:val="-1"/>
        </w:rPr>
        <w:t> </w:t>
      </w:r>
      <w:r>
        <w:rPr/>
        <w:t>this study, the</w:t>
      </w:r>
      <w:r>
        <w:rPr>
          <w:spacing w:val="-1"/>
        </w:rPr>
        <w:t> </w:t>
      </w:r>
      <w:r>
        <w:rPr/>
        <w:t>collected secondary</w:t>
      </w:r>
      <w:r>
        <w:rPr>
          <w:spacing w:val="-5"/>
        </w:rPr>
        <w:t> </w:t>
      </w:r>
      <w:r>
        <w:rPr/>
        <w:t>data, include</w:t>
      </w:r>
      <w:r>
        <w:rPr>
          <w:spacing w:val="-1"/>
        </w:rPr>
        <w:t> </w:t>
      </w:r>
      <w:r>
        <w:rPr/>
        <w:t>the</w:t>
      </w:r>
      <w:r>
        <w:rPr>
          <w:spacing w:val="-1"/>
        </w:rPr>
        <w:t> </w:t>
      </w:r>
      <w:r>
        <w:rPr/>
        <w:t>most relevant and current, within the discipline from text books, academic articles, journals and magazines. A number of online sources were also used to get information for literature review.</w:t>
      </w:r>
    </w:p>
    <w:p>
      <w:pPr>
        <w:pStyle w:val="Heading2"/>
        <w:numPr>
          <w:ilvl w:val="1"/>
          <w:numId w:val="34"/>
        </w:numPr>
        <w:tabs>
          <w:tab w:pos="1120" w:val="left" w:leader="none"/>
        </w:tabs>
        <w:spacing w:line="240" w:lineRule="auto" w:before="5" w:after="0"/>
        <w:ind w:left="1120" w:right="0" w:hanging="660"/>
        <w:jc w:val="both"/>
      </w:pPr>
      <w:r>
        <w:rPr>
          <w:spacing w:val="-2"/>
        </w:rPr>
        <w:t>Questionnaire</w:t>
      </w:r>
    </w:p>
    <w:p>
      <w:pPr>
        <w:pStyle w:val="BodyText"/>
        <w:spacing w:line="480" w:lineRule="auto" w:before="271"/>
        <w:ind w:left="400" w:right="1318"/>
        <w:jc w:val="both"/>
      </w:pPr>
      <w:r>
        <w:rPr/>
        <w:t>The questionnaires designed for this study was both structured and semi-structured questionnaires (multiple choices) and included both open ended and closed ended questions. The open ended questions allowed respondents to freely express their opinions and views without prejudices so that adequate information is obtained in relation to the objectives of the study.</w:t>
      </w:r>
    </w:p>
    <w:p>
      <w:pPr>
        <w:pStyle w:val="BodyText"/>
      </w:pPr>
    </w:p>
    <w:p>
      <w:pPr>
        <w:pStyle w:val="BodyText"/>
      </w:pPr>
    </w:p>
    <w:p>
      <w:pPr>
        <w:pStyle w:val="BodyText"/>
        <w:spacing w:line="480" w:lineRule="auto"/>
        <w:ind w:left="400" w:right="1315"/>
        <w:jc w:val="both"/>
      </w:pPr>
      <w:r>
        <w:rPr/>
        <w:t>The questionnaires was divided into two sections A and B. Section A requested general information from staff working with small and medium scale construction firms in the 3 eastern states on their qualifications and experience while Section B got information from SMCFs to reflect</w:t>
      </w:r>
      <w:r>
        <w:rPr>
          <w:spacing w:val="-3"/>
        </w:rPr>
        <w:t> </w:t>
      </w:r>
      <w:r>
        <w:rPr/>
        <w:t>their</w:t>
      </w:r>
      <w:r>
        <w:rPr>
          <w:spacing w:val="-3"/>
        </w:rPr>
        <w:t> </w:t>
      </w:r>
      <w:r>
        <w:rPr/>
        <w:t>perception,</w:t>
      </w:r>
      <w:r>
        <w:rPr>
          <w:spacing w:val="-3"/>
        </w:rPr>
        <w:t> </w:t>
      </w:r>
      <w:r>
        <w:rPr/>
        <w:t>procedures</w:t>
      </w:r>
      <w:r>
        <w:rPr>
          <w:spacing w:val="-3"/>
        </w:rPr>
        <w:t> </w:t>
      </w:r>
      <w:r>
        <w:rPr/>
        <w:t>and</w:t>
      </w:r>
      <w:r>
        <w:rPr>
          <w:spacing w:val="-1"/>
        </w:rPr>
        <w:t> </w:t>
      </w:r>
      <w:r>
        <w:rPr/>
        <w:t>application</w:t>
      </w:r>
      <w:r>
        <w:rPr>
          <w:spacing w:val="-3"/>
        </w:rPr>
        <w:t> </w:t>
      </w:r>
      <w:r>
        <w:rPr/>
        <w:t>of</w:t>
      </w:r>
      <w:r>
        <w:rPr>
          <w:spacing w:val="-3"/>
        </w:rPr>
        <w:t> </w:t>
      </w:r>
      <w:r>
        <w:rPr/>
        <w:t>TQM</w:t>
      </w:r>
      <w:r>
        <w:rPr>
          <w:spacing w:val="-3"/>
        </w:rPr>
        <w:t> </w:t>
      </w:r>
      <w:r>
        <w:rPr/>
        <w:t>in</w:t>
      </w:r>
      <w:r>
        <w:rPr>
          <w:spacing w:val="-1"/>
        </w:rPr>
        <w:t> </w:t>
      </w:r>
      <w:r>
        <w:rPr/>
        <w:t>their</w:t>
      </w:r>
      <w:r>
        <w:rPr>
          <w:spacing w:val="-3"/>
        </w:rPr>
        <w:t> </w:t>
      </w:r>
      <w:r>
        <w:rPr/>
        <w:t>various</w:t>
      </w:r>
      <w:r>
        <w:rPr>
          <w:spacing w:val="-3"/>
        </w:rPr>
        <w:t> </w:t>
      </w:r>
      <w:r>
        <w:rPr/>
        <w:t>firms,</w:t>
      </w:r>
      <w:r>
        <w:rPr>
          <w:spacing w:val="-3"/>
        </w:rPr>
        <w:t> </w:t>
      </w:r>
      <w:r>
        <w:rPr/>
        <w:t>including</w:t>
      </w:r>
      <w:r>
        <w:rPr>
          <w:spacing w:val="-3"/>
        </w:rPr>
        <w:t> </w:t>
      </w:r>
      <w:r>
        <w:rPr/>
        <w:t>their critical success factor.</w:t>
      </w:r>
    </w:p>
    <w:p>
      <w:pPr>
        <w:pStyle w:val="BodyText"/>
      </w:pPr>
    </w:p>
    <w:p>
      <w:pPr>
        <w:pStyle w:val="BodyText"/>
        <w:spacing w:line="480" w:lineRule="auto"/>
        <w:ind w:left="400" w:right="1315"/>
        <w:jc w:val="both"/>
      </w:pPr>
      <w:r>
        <w:rPr/>
        <w:t>A total of three hundred and twenty eight (328) questionnaires were distributed to respondents Professionals and staff of SMCFs by the researcher, research assistants and professional colleagues by hand.</w:t>
      </w:r>
      <w:r>
        <w:rPr>
          <w:spacing w:val="40"/>
        </w:rPr>
        <w:t> </w:t>
      </w:r>
      <w:r>
        <w:rPr/>
        <w:t>However, where the respondents were busy, questions were asked orally or the questionnaires left with them to fill at their disposal.</w:t>
      </w:r>
    </w:p>
    <w:p>
      <w:pPr>
        <w:spacing w:after="0" w:line="480" w:lineRule="auto"/>
        <w:jc w:val="both"/>
        <w:sectPr>
          <w:pgSz w:w="12240" w:h="15840"/>
          <w:pgMar w:header="0" w:footer="1017" w:top="1360" w:bottom="1200" w:left="1040" w:right="120"/>
        </w:sectPr>
      </w:pPr>
    </w:p>
    <w:p>
      <w:pPr>
        <w:pStyle w:val="BodyText"/>
        <w:spacing w:line="480" w:lineRule="auto" w:before="72"/>
        <w:ind w:left="399" w:right="1313"/>
        <w:jc w:val="both"/>
      </w:pPr>
      <w:r>
        <w:rPr/>
        <w:t>The</w:t>
      </w:r>
      <w:r>
        <w:rPr>
          <w:spacing w:val="-1"/>
        </w:rPr>
        <w:t> </w:t>
      </w:r>
      <w:r>
        <w:rPr/>
        <w:t>questions were geared towards achieving</w:t>
      </w:r>
      <w:r>
        <w:rPr>
          <w:spacing w:val="-2"/>
        </w:rPr>
        <w:t> </w:t>
      </w:r>
      <w:r>
        <w:rPr/>
        <w:t>the research objectives and well-articulated having a bearing on the research questions. A questionnaire has some values when straightforward and fairly accurate information is required from a large population (Gillham, 2000). The questions were structured to ensure consistency and avoid ambiguity. In addition, the respondents were directed on how to complete the questionnaires appropriately. A cover letter accompanying the questionnaire was prepared, giving a brief description of the research aim and objectives, assuring respondents of total confidentiality of their responses and expressing appreciation for their</w:t>
      </w:r>
      <w:r>
        <w:rPr>
          <w:spacing w:val="-3"/>
        </w:rPr>
        <w:t> </w:t>
      </w:r>
      <w:r>
        <w:rPr/>
        <w:t>anticipated responses.</w:t>
      </w:r>
      <w:r>
        <w:rPr>
          <w:spacing w:val="-2"/>
        </w:rPr>
        <w:t> </w:t>
      </w:r>
      <w:r>
        <w:rPr/>
        <w:t>To</w:t>
      </w:r>
      <w:r>
        <w:rPr>
          <w:spacing w:val="-2"/>
        </w:rPr>
        <w:t> </w:t>
      </w:r>
      <w:r>
        <w:rPr/>
        <w:t>ensure</w:t>
      </w:r>
      <w:r>
        <w:rPr>
          <w:spacing w:val="-3"/>
        </w:rPr>
        <w:t> </w:t>
      </w:r>
      <w:r>
        <w:rPr/>
        <w:t>validity</w:t>
      </w:r>
      <w:r>
        <w:rPr>
          <w:spacing w:val="-5"/>
        </w:rPr>
        <w:t> </w:t>
      </w:r>
      <w:r>
        <w:rPr/>
        <w:t>and reliability,</w:t>
      </w:r>
      <w:r>
        <w:rPr>
          <w:spacing w:val="-2"/>
        </w:rPr>
        <w:t> </w:t>
      </w:r>
      <w:r>
        <w:rPr/>
        <w:t>a</w:t>
      </w:r>
      <w:r>
        <w:rPr>
          <w:spacing w:val="-1"/>
        </w:rPr>
        <w:t> </w:t>
      </w:r>
      <w:r>
        <w:rPr/>
        <w:t>pilot-test</w:t>
      </w:r>
      <w:r>
        <w:rPr>
          <w:spacing w:val="-2"/>
        </w:rPr>
        <w:t> </w:t>
      </w:r>
      <w:r>
        <w:rPr/>
        <w:t>of</w:t>
      </w:r>
      <w:r>
        <w:rPr>
          <w:spacing w:val="-1"/>
        </w:rPr>
        <w:t> </w:t>
      </w:r>
      <w:r>
        <w:rPr/>
        <w:t>the</w:t>
      </w:r>
      <w:r>
        <w:rPr>
          <w:spacing w:val="-3"/>
        </w:rPr>
        <w:t> </w:t>
      </w:r>
      <w:r>
        <w:rPr/>
        <w:t>questionnaire</w:t>
      </w:r>
      <w:r>
        <w:rPr>
          <w:spacing w:val="-1"/>
        </w:rPr>
        <w:t> </w:t>
      </w:r>
      <w:r>
        <w:rPr/>
        <w:t>was equally carried out on experts and potential users. The feedback from the pilot survey showed if the respondents have questions for clarification and difficulty in understanding what were required. Also their views were noted and the necessary changes effected. The feedback/results obtained from the pilot survey were used in the design of the final questionnaire for the field </w:t>
      </w:r>
      <w:r>
        <w:rPr>
          <w:spacing w:val="-2"/>
        </w:rPr>
        <w:t>study.</w:t>
      </w:r>
    </w:p>
    <w:p>
      <w:pPr>
        <w:pStyle w:val="Heading2"/>
        <w:numPr>
          <w:ilvl w:val="1"/>
          <w:numId w:val="34"/>
        </w:numPr>
        <w:tabs>
          <w:tab w:pos="1120" w:val="left" w:leader="none"/>
        </w:tabs>
        <w:spacing w:line="240" w:lineRule="auto" w:before="235" w:after="0"/>
        <w:ind w:left="1120" w:right="0" w:hanging="720"/>
        <w:jc w:val="both"/>
      </w:pPr>
      <w:r>
        <w:rPr/>
        <w:t>Oral</w:t>
      </w:r>
      <w:r>
        <w:rPr>
          <w:spacing w:val="-1"/>
        </w:rPr>
        <w:t> </w:t>
      </w:r>
      <w:r>
        <w:rPr>
          <w:spacing w:val="-2"/>
        </w:rPr>
        <w:t>Interview</w:t>
      </w:r>
    </w:p>
    <w:p>
      <w:pPr>
        <w:pStyle w:val="BodyText"/>
        <w:spacing w:line="480" w:lineRule="auto" w:before="272"/>
        <w:ind w:left="399" w:right="1319"/>
        <w:jc w:val="both"/>
      </w:pPr>
      <w:r>
        <w:rPr/>
        <w:t>Oral interview was used to make up where questionnaire failed, due to its formal nature. For example, oral interview complimented the questionnaires administered.</w:t>
      </w:r>
    </w:p>
    <w:p>
      <w:pPr>
        <w:pStyle w:val="BodyText"/>
      </w:pPr>
    </w:p>
    <w:p>
      <w:pPr>
        <w:pStyle w:val="BodyText"/>
        <w:spacing w:line="480" w:lineRule="auto"/>
        <w:ind w:left="399" w:right="1313"/>
        <w:jc w:val="both"/>
      </w:pPr>
      <w:r>
        <w:rPr/>
        <w:t>In this research, the interview guide approach was used. The interviews were conducted with the staff in the targeted SMCFs. The personal or face-to-face interviews provided the necessary information regarding:</w:t>
      </w:r>
    </w:p>
    <w:p>
      <w:pPr>
        <w:pStyle w:val="ListParagraph"/>
        <w:numPr>
          <w:ilvl w:val="0"/>
          <w:numId w:val="36"/>
        </w:numPr>
        <w:tabs>
          <w:tab w:pos="1118" w:val="left" w:leader="none"/>
        </w:tabs>
        <w:spacing w:line="240" w:lineRule="auto" w:before="118" w:after="0"/>
        <w:ind w:left="1118" w:right="0" w:hanging="539"/>
        <w:jc w:val="both"/>
        <w:rPr>
          <w:sz w:val="24"/>
        </w:rPr>
      </w:pPr>
      <w:r>
        <w:rPr>
          <w:sz w:val="24"/>
        </w:rPr>
        <w:t>The</w:t>
      </w:r>
      <w:r>
        <w:rPr>
          <w:spacing w:val="-4"/>
          <w:sz w:val="24"/>
        </w:rPr>
        <w:t> </w:t>
      </w:r>
      <w:r>
        <w:rPr>
          <w:sz w:val="24"/>
        </w:rPr>
        <w:t>respondents</w:t>
      </w:r>
      <w:r>
        <w:rPr>
          <w:spacing w:val="-1"/>
          <w:sz w:val="24"/>
        </w:rPr>
        <w:t> </w:t>
      </w:r>
      <w:r>
        <w:rPr>
          <w:sz w:val="24"/>
        </w:rPr>
        <w:t>views</w:t>
      </w:r>
      <w:r>
        <w:rPr>
          <w:spacing w:val="-1"/>
          <w:sz w:val="24"/>
        </w:rPr>
        <w:t> </w:t>
      </w:r>
      <w:r>
        <w:rPr>
          <w:sz w:val="24"/>
        </w:rPr>
        <w:t>on</w:t>
      </w:r>
      <w:r>
        <w:rPr>
          <w:spacing w:val="-1"/>
          <w:sz w:val="24"/>
        </w:rPr>
        <w:t> </w:t>
      </w:r>
      <w:r>
        <w:rPr>
          <w:sz w:val="24"/>
        </w:rPr>
        <w:t>the</w:t>
      </w:r>
      <w:r>
        <w:rPr>
          <w:spacing w:val="-2"/>
          <w:sz w:val="24"/>
        </w:rPr>
        <w:t> </w:t>
      </w:r>
      <w:r>
        <w:rPr>
          <w:sz w:val="24"/>
        </w:rPr>
        <w:t>application</w:t>
      </w:r>
      <w:r>
        <w:rPr>
          <w:spacing w:val="-1"/>
          <w:sz w:val="24"/>
        </w:rPr>
        <w:t> </w:t>
      </w:r>
      <w:r>
        <w:rPr>
          <w:sz w:val="24"/>
        </w:rPr>
        <w:t>of</w:t>
      </w:r>
      <w:r>
        <w:rPr>
          <w:spacing w:val="-2"/>
          <w:sz w:val="24"/>
        </w:rPr>
        <w:t> </w:t>
      </w:r>
      <w:r>
        <w:rPr>
          <w:sz w:val="24"/>
        </w:rPr>
        <w:t>TQM</w:t>
      </w:r>
      <w:r>
        <w:rPr>
          <w:spacing w:val="1"/>
          <w:sz w:val="24"/>
        </w:rPr>
        <w:t> </w:t>
      </w:r>
      <w:r>
        <w:rPr>
          <w:sz w:val="24"/>
        </w:rPr>
        <w:t>in</w:t>
      </w:r>
      <w:r>
        <w:rPr>
          <w:spacing w:val="-2"/>
          <w:sz w:val="24"/>
        </w:rPr>
        <w:t> </w:t>
      </w:r>
      <w:r>
        <w:rPr>
          <w:sz w:val="24"/>
        </w:rPr>
        <w:t>the</w:t>
      </w:r>
      <w:r>
        <w:rPr>
          <w:spacing w:val="-1"/>
          <w:sz w:val="24"/>
        </w:rPr>
        <w:t> </w:t>
      </w:r>
      <w:r>
        <w:rPr>
          <w:sz w:val="24"/>
        </w:rPr>
        <w:t>targeted</w:t>
      </w:r>
      <w:r>
        <w:rPr>
          <w:spacing w:val="-1"/>
          <w:sz w:val="24"/>
        </w:rPr>
        <w:t> </w:t>
      </w:r>
      <w:r>
        <w:rPr>
          <w:spacing w:val="-2"/>
          <w:sz w:val="24"/>
        </w:rPr>
        <w:t>SMCFs;</w:t>
      </w:r>
    </w:p>
    <w:p>
      <w:pPr>
        <w:pStyle w:val="ListParagraph"/>
        <w:numPr>
          <w:ilvl w:val="0"/>
          <w:numId w:val="36"/>
        </w:numPr>
        <w:tabs>
          <w:tab w:pos="1118" w:val="left" w:leader="none"/>
        </w:tabs>
        <w:spacing w:line="240" w:lineRule="auto" w:before="276" w:after="0"/>
        <w:ind w:left="1118" w:right="0" w:hanging="539"/>
        <w:jc w:val="both"/>
        <w:rPr>
          <w:sz w:val="24"/>
        </w:rPr>
      </w:pPr>
      <w:r>
        <w:rPr>
          <w:sz w:val="24"/>
        </w:rPr>
        <w:t>The</w:t>
      </w:r>
      <w:r>
        <w:rPr>
          <w:spacing w:val="-4"/>
          <w:sz w:val="24"/>
        </w:rPr>
        <w:t> </w:t>
      </w:r>
      <w:r>
        <w:rPr>
          <w:sz w:val="24"/>
        </w:rPr>
        <w:t>impact</w:t>
      </w:r>
      <w:r>
        <w:rPr>
          <w:spacing w:val="-1"/>
          <w:sz w:val="24"/>
        </w:rPr>
        <w:t> </w:t>
      </w:r>
      <w:r>
        <w:rPr>
          <w:sz w:val="24"/>
        </w:rPr>
        <w:t>of</w:t>
      </w:r>
      <w:r>
        <w:rPr>
          <w:spacing w:val="-2"/>
          <w:sz w:val="24"/>
        </w:rPr>
        <w:t> </w:t>
      </w:r>
      <w:r>
        <w:rPr>
          <w:sz w:val="24"/>
        </w:rPr>
        <w:t>TQM</w:t>
      </w:r>
      <w:r>
        <w:rPr>
          <w:spacing w:val="-1"/>
          <w:sz w:val="24"/>
        </w:rPr>
        <w:t> </w:t>
      </w:r>
      <w:r>
        <w:rPr>
          <w:sz w:val="24"/>
        </w:rPr>
        <w:t>in</w:t>
      </w:r>
      <w:r>
        <w:rPr>
          <w:spacing w:val="-1"/>
          <w:sz w:val="24"/>
        </w:rPr>
        <w:t> </w:t>
      </w:r>
      <w:r>
        <w:rPr>
          <w:sz w:val="24"/>
        </w:rPr>
        <w:t>the</w:t>
      </w:r>
      <w:r>
        <w:rPr>
          <w:spacing w:val="-2"/>
          <w:sz w:val="24"/>
        </w:rPr>
        <w:t> </w:t>
      </w:r>
      <w:r>
        <w:rPr>
          <w:sz w:val="24"/>
        </w:rPr>
        <w:t>target</w:t>
      </w:r>
      <w:r>
        <w:rPr>
          <w:spacing w:val="-1"/>
          <w:sz w:val="24"/>
        </w:rPr>
        <w:t> </w:t>
      </w:r>
      <w:r>
        <w:rPr>
          <w:spacing w:val="-2"/>
          <w:sz w:val="24"/>
        </w:rPr>
        <w:t>SMCFs;</w:t>
      </w:r>
    </w:p>
    <w:p>
      <w:pPr>
        <w:pStyle w:val="ListParagraph"/>
        <w:numPr>
          <w:ilvl w:val="0"/>
          <w:numId w:val="36"/>
        </w:numPr>
        <w:tabs>
          <w:tab w:pos="1118" w:val="left" w:leader="none"/>
        </w:tabs>
        <w:spacing w:line="240" w:lineRule="auto" w:before="276" w:after="0"/>
        <w:ind w:left="1118" w:right="0" w:hanging="539"/>
        <w:jc w:val="both"/>
        <w:rPr>
          <w:sz w:val="24"/>
        </w:rPr>
      </w:pPr>
      <w:r>
        <w:rPr>
          <w:sz w:val="24"/>
        </w:rPr>
        <w:t>Level</w:t>
      </w:r>
      <w:r>
        <w:rPr>
          <w:spacing w:val="-2"/>
          <w:sz w:val="24"/>
        </w:rPr>
        <w:t> </w:t>
      </w:r>
      <w:r>
        <w:rPr>
          <w:sz w:val="24"/>
        </w:rPr>
        <w:t>of</w:t>
      </w:r>
      <w:r>
        <w:rPr>
          <w:spacing w:val="-2"/>
          <w:sz w:val="24"/>
        </w:rPr>
        <w:t> </w:t>
      </w:r>
      <w:r>
        <w:rPr>
          <w:sz w:val="24"/>
        </w:rPr>
        <w:t>TQM</w:t>
      </w:r>
      <w:r>
        <w:rPr>
          <w:spacing w:val="-2"/>
          <w:sz w:val="24"/>
        </w:rPr>
        <w:t> </w:t>
      </w:r>
      <w:r>
        <w:rPr>
          <w:sz w:val="24"/>
        </w:rPr>
        <w:t>implementation</w:t>
      </w:r>
      <w:r>
        <w:rPr>
          <w:spacing w:val="-1"/>
          <w:sz w:val="24"/>
        </w:rPr>
        <w:t> </w:t>
      </w:r>
      <w:r>
        <w:rPr>
          <w:sz w:val="24"/>
        </w:rPr>
        <w:t>in</w:t>
      </w:r>
      <w:r>
        <w:rPr>
          <w:spacing w:val="-1"/>
          <w:sz w:val="24"/>
        </w:rPr>
        <w:t> </w:t>
      </w:r>
      <w:r>
        <w:rPr>
          <w:sz w:val="24"/>
        </w:rPr>
        <w:t>the</w:t>
      </w:r>
      <w:r>
        <w:rPr>
          <w:spacing w:val="-3"/>
          <w:sz w:val="24"/>
        </w:rPr>
        <w:t> </w:t>
      </w:r>
      <w:r>
        <w:rPr>
          <w:sz w:val="24"/>
        </w:rPr>
        <w:t>target</w:t>
      </w:r>
      <w:r>
        <w:rPr>
          <w:spacing w:val="-1"/>
          <w:sz w:val="24"/>
        </w:rPr>
        <w:t> </w:t>
      </w:r>
      <w:r>
        <w:rPr>
          <w:sz w:val="24"/>
        </w:rPr>
        <w:t>SMCFs;</w:t>
      </w:r>
      <w:r>
        <w:rPr>
          <w:spacing w:val="-1"/>
          <w:sz w:val="24"/>
        </w:rPr>
        <w:t> </w:t>
      </w:r>
      <w:r>
        <w:rPr>
          <w:spacing w:val="-5"/>
          <w:sz w:val="24"/>
        </w:rPr>
        <w:t>and</w:t>
      </w:r>
    </w:p>
    <w:p>
      <w:pPr>
        <w:spacing w:after="0" w:line="240" w:lineRule="auto"/>
        <w:jc w:val="both"/>
        <w:rPr>
          <w:sz w:val="24"/>
        </w:rPr>
        <w:sectPr>
          <w:pgSz w:w="12240" w:h="15840"/>
          <w:pgMar w:header="0" w:footer="1017" w:top="1360" w:bottom="1200" w:left="1040" w:right="120"/>
        </w:sectPr>
      </w:pPr>
    </w:p>
    <w:p>
      <w:pPr>
        <w:pStyle w:val="ListParagraph"/>
        <w:numPr>
          <w:ilvl w:val="0"/>
          <w:numId w:val="36"/>
        </w:numPr>
        <w:tabs>
          <w:tab w:pos="1119" w:val="left" w:leader="none"/>
        </w:tabs>
        <w:spacing w:line="240" w:lineRule="auto" w:before="72" w:after="0"/>
        <w:ind w:left="1119" w:right="0" w:hanging="539"/>
        <w:jc w:val="left"/>
        <w:rPr>
          <w:sz w:val="24"/>
        </w:rPr>
      </w:pPr>
      <w:r>
        <w:rPr>
          <w:sz w:val="24"/>
        </w:rPr>
        <w:t>Impediments/hindrances</w:t>
      </w:r>
      <w:r>
        <w:rPr>
          <w:spacing w:val="-3"/>
          <w:sz w:val="24"/>
        </w:rPr>
        <w:t> </w:t>
      </w:r>
      <w:r>
        <w:rPr>
          <w:sz w:val="24"/>
        </w:rPr>
        <w:t>to</w:t>
      </w:r>
      <w:r>
        <w:rPr>
          <w:spacing w:val="-2"/>
          <w:sz w:val="24"/>
        </w:rPr>
        <w:t> </w:t>
      </w:r>
      <w:r>
        <w:rPr>
          <w:sz w:val="24"/>
        </w:rPr>
        <w:t>TQM</w:t>
      </w:r>
      <w:r>
        <w:rPr>
          <w:spacing w:val="-2"/>
          <w:sz w:val="24"/>
        </w:rPr>
        <w:t> </w:t>
      </w:r>
      <w:r>
        <w:rPr>
          <w:sz w:val="24"/>
        </w:rPr>
        <w:t>implementation</w:t>
      </w:r>
      <w:r>
        <w:rPr>
          <w:spacing w:val="-3"/>
          <w:sz w:val="24"/>
        </w:rPr>
        <w:t> </w:t>
      </w:r>
      <w:r>
        <w:rPr>
          <w:sz w:val="24"/>
        </w:rPr>
        <w:t>in</w:t>
      </w:r>
      <w:r>
        <w:rPr>
          <w:spacing w:val="-3"/>
          <w:sz w:val="24"/>
        </w:rPr>
        <w:t> </w:t>
      </w:r>
      <w:r>
        <w:rPr>
          <w:sz w:val="24"/>
        </w:rPr>
        <w:t>the</w:t>
      </w:r>
      <w:r>
        <w:rPr>
          <w:spacing w:val="-3"/>
          <w:sz w:val="24"/>
        </w:rPr>
        <w:t> </w:t>
      </w:r>
      <w:r>
        <w:rPr>
          <w:sz w:val="24"/>
        </w:rPr>
        <w:t>target</w:t>
      </w:r>
      <w:r>
        <w:rPr>
          <w:spacing w:val="-2"/>
          <w:sz w:val="24"/>
        </w:rPr>
        <w:t> SMCFs.</w:t>
      </w:r>
    </w:p>
    <w:p>
      <w:pPr>
        <w:pStyle w:val="ListParagraph"/>
        <w:numPr>
          <w:ilvl w:val="0"/>
          <w:numId w:val="36"/>
        </w:numPr>
        <w:tabs>
          <w:tab w:pos="1119" w:val="left" w:leader="none"/>
        </w:tabs>
        <w:spacing w:line="240" w:lineRule="auto" w:before="276" w:after="0"/>
        <w:ind w:left="1119" w:right="0" w:hanging="539"/>
        <w:jc w:val="left"/>
        <w:rPr>
          <w:sz w:val="24"/>
        </w:rPr>
      </w:pPr>
      <w:r>
        <w:rPr>
          <w:sz w:val="24"/>
        </w:rPr>
        <w:t>Cost</w:t>
      </w:r>
      <w:r>
        <w:rPr>
          <w:spacing w:val="-1"/>
          <w:sz w:val="24"/>
        </w:rPr>
        <w:t> </w:t>
      </w:r>
      <w:r>
        <w:rPr>
          <w:sz w:val="24"/>
        </w:rPr>
        <w:t>of</w:t>
      </w:r>
      <w:r>
        <w:rPr>
          <w:spacing w:val="-1"/>
          <w:sz w:val="24"/>
        </w:rPr>
        <w:t> </w:t>
      </w:r>
      <w:r>
        <w:rPr>
          <w:sz w:val="24"/>
        </w:rPr>
        <w:t>total</w:t>
      </w:r>
      <w:r>
        <w:rPr>
          <w:spacing w:val="-1"/>
          <w:sz w:val="24"/>
        </w:rPr>
        <w:t> </w:t>
      </w:r>
      <w:r>
        <w:rPr>
          <w:sz w:val="24"/>
        </w:rPr>
        <w:t>quality</w:t>
      </w:r>
      <w:r>
        <w:rPr>
          <w:spacing w:val="-8"/>
          <w:sz w:val="24"/>
        </w:rPr>
        <w:t> </w:t>
      </w:r>
      <w:r>
        <w:rPr>
          <w:sz w:val="24"/>
        </w:rPr>
        <w:t>management in </w:t>
      </w:r>
      <w:r>
        <w:rPr>
          <w:spacing w:val="-2"/>
          <w:sz w:val="24"/>
        </w:rPr>
        <w:t>SMCFs.</w:t>
      </w:r>
    </w:p>
    <w:p>
      <w:pPr>
        <w:pStyle w:val="BodyText"/>
      </w:pPr>
    </w:p>
    <w:p>
      <w:pPr>
        <w:pStyle w:val="ListParagraph"/>
        <w:numPr>
          <w:ilvl w:val="0"/>
          <w:numId w:val="36"/>
        </w:numPr>
        <w:tabs>
          <w:tab w:pos="1119" w:val="left" w:leader="none"/>
        </w:tabs>
        <w:spacing w:line="240" w:lineRule="auto" w:before="0" w:after="0"/>
        <w:ind w:left="1119" w:right="0" w:hanging="539"/>
        <w:jc w:val="left"/>
        <w:rPr>
          <w:sz w:val="24"/>
        </w:rPr>
      </w:pPr>
      <w:r>
        <w:rPr>
          <w:sz w:val="24"/>
        </w:rPr>
        <w:t>The</w:t>
      </w:r>
      <w:r>
        <w:rPr>
          <w:spacing w:val="-4"/>
          <w:sz w:val="24"/>
        </w:rPr>
        <w:t> </w:t>
      </w:r>
      <w:r>
        <w:rPr>
          <w:sz w:val="24"/>
        </w:rPr>
        <w:t>evaluation</w:t>
      </w:r>
      <w:r>
        <w:rPr>
          <w:spacing w:val="-1"/>
          <w:sz w:val="24"/>
        </w:rPr>
        <w:t> </w:t>
      </w:r>
      <w:r>
        <w:rPr>
          <w:sz w:val="24"/>
        </w:rPr>
        <w:t>of</w:t>
      </w:r>
      <w:r>
        <w:rPr>
          <w:spacing w:val="-1"/>
          <w:sz w:val="24"/>
        </w:rPr>
        <w:t> </w:t>
      </w:r>
      <w:r>
        <w:rPr>
          <w:sz w:val="24"/>
        </w:rPr>
        <w:t>total</w:t>
      </w:r>
      <w:r>
        <w:rPr>
          <w:spacing w:val="-1"/>
          <w:sz w:val="24"/>
        </w:rPr>
        <w:t> </w:t>
      </w:r>
      <w:r>
        <w:rPr>
          <w:sz w:val="24"/>
        </w:rPr>
        <w:t>quality</w:t>
      </w:r>
      <w:r>
        <w:rPr>
          <w:spacing w:val="-5"/>
          <w:sz w:val="24"/>
        </w:rPr>
        <w:t> </w:t>
      </w:r>
      <w:r>
        <w:rPr>
          <w:sz w:val="24"/>
        </w:rPr>
        <w:t>management</w:t>
      </w:r>
      <w:r>
        <w:rPr>
          <w:spacing w:val="-1"/>
          <w:sz w:val="24"/>
        </w:rPr>
        <w:t> </w:t>
      </w:r>
      <w:r>
        <w:rPr>
          <w:sz w:val="24"/>
        </w:rPr>
        <w:t>feedback mechanism</w:t>
      </w:r>
      <w:r>
        <w:rPr>
          <w:spacing w:val="-1"/>
          <w:sz w:val="24"/>
        </w:rPr>
        <w:t> </w:t>
      </w:r>
      <w:r>
        <w:rPr>
          <w:sz w:val="24"/>
        </w:rPr>
        <w:t>in </w:t>
      </w:r>
      <w:r>
        <w:rPr>
          <w:spacing w:val="-2"/>
          <w:sz w:val="24"/>
        </w:rPr>
        <w:t>SMCFs</w:t>
      </w:r>
    </w:p>
    <w:p>
      <w:pPr>
        <w:pStyle w:val="BodyText"/>
        <w:spacing w:before="120"/>
      </w:pPr>
    </w:p>
    <w:p>
      <w:pPr>
        <w:pStyle w:val="BodyText"/>
        <w:spacing w:line="480" w:lineRule="auto"/>
        <w:ind w:left="399" w:right="1317"/>
        <w:jc w:val="both"/>
      </w:pPr>
      <w:r>
        <w:rPr/>
        <w:t>The interviews were unstructured and semi-structured to enable the researcher obtain clarifications of some variables which needed further in-depth investigation. They include the informal mode of interviews due to the sensitivity</w:t>
      </w:r>
      <w:r>
        <w:rPr>
          <w:spacing w:val="-2"/>
        </w:rPr>
        <w:t> </w:t>
      </w:r>
      <w:r>
        <w:rPr/>
        <w:t>of some of the issues in</w:t>
      </w:r>
      <w:r>
        <w:rPr>
          <w:spacing w:val="-2"/>
        </w:rPr>
        <w:t> </w:t>
      </w:r>
      <w:r>
        <w:rPr/>
        <w:t>the study. This helped to remove bias arising from respondents who could have given false information to portray the firms</w:t>
      </w:r>
      <w:r>
        <w:rPr>
          <w:spacing w:val="-3"/>
        </w:rPr>
        <w:t> </w:t>
      </w:r>
      <w:r>
        <w:rPr/>
        <w:t>in</w:t>
      </w:r>
      <w:r>
        <w:rPr>
          <w:spacing w:val="-3"/>
        </w:rPr>
        <w:t> </w:t>
      </w:r>
      <w:r>
        <w:rPr/>
        <w:t>good</w:t>
      </w:r>
      <w:r>
        <w:rPr>
          <w:spacing w:val="-1"/>
        </w:rPr>
        <w:t> </w:t>
      </w:r>
      <w:r>
        <w:rPr/>
        <w:t>stead.</w:t>
      </w:r>
      <w:r>
        <w:rPr>
          <w:spacing w:val="40"/>
        </w:rPr>
        <w:t> </w:t>
      </w:r>
      <w:r>
        <w:rPr/>
        <w:t>The</w:t>
      </w:r>
      <w:r>
        <w:rPr>
          <w:spacing w:val="-2"/>
        </w:rPr>
        <w:t> </w:t>
      </w:r>
      <w:r>
        <w:rPr/>
        <w:t>semi-structured</w:t>
      </w:r>
      <w:r>
        <w:rPr>
          <w:spacing w:val="-1"/>
        </w:rPr>
        <w:t> </w:t>
      </w:r>
      <w:r>
        <w:rPr/>
        <w:t>interviews</w:t>
      </w:r>
      <w:r>
        <w:rPr>
          <w:spacing w:val="-3"/>
        </w:rPr>
        <w:t> </w:t>
      </w:r>
      <w:r>
        <w:rPr/>
        <w:t>adopted</w:t>
      </w:r>
      <w:r>
        <w:rPr>
          <w:spacing w:val="-1"/>
        </w:rPr>
        <w:t> </w:t>
      </w:r>
      <w:r>
        <w:rPr/>
        <w:t>for</w:t>
      </w:r>
      <w:r>
        <w:rPr>
          <w:spacing w:val="-4"/>
        </w:rPr>
        <w:t> </w:t>
      </w:r>
      <w:r>
        <w:rPr/>
        <w:t>the</w:t>
      </w:r>
      <w:r>
        <w:rPr>
          <w:spacing w:val="-2"/>
        </w:rPr>
        <w:t> </w:t>
      </w:r>
      <w:r>
        <w:rPr/>
        <w:t>study</w:t>
      </w:r>
      <w:r>
        <w:rPr>
          <w:spacing w:val="-3"/>
        </w:rPr>
        <w:t> </w:t>
      </w:r>
      <w:r>
        <w:rPr/>
        <w:t>also</w:t>
      </w:r>
      <w:r>
        <w:rPr>
          <w:spacing w:val="-3"/>
        </w:rPr>
        <w:t> </w:t>
      </w:r>
      <w:r>
        <w:rPr/>
        <w:t>allowed</w:t>
      </w:r>
      <w:r>
        <w:rPr>
          <w:spacing w:val="-3"/>
        </w:rPr>
        <w:t> </w:t>
      </w:r>
      <w:r>
        <w:rPr/>
        <w:t>meanings and perceptions of TQM to be generated in line with the subjectivists/constructivists mode of creating knowledge in the study context.</w:t>
      </w:r>
    </w:p>
    <w:p>
      <w:pPr>
        <w:pStyle w:val="BodyText"/>
      </w:pPr>
    </w:p>
    <w:p>
      <w:pPr>
        <w:pStyle w:val="BodyText"/>
        <w:spacing w:line="480" w:lineRule="auto"/>
        <w:ind w:left="399" w:right="1310"/>
        <w:jc w:val="both"/>
      </w:pPr>
      <w:r>
        <w:rPr/>
        <w:t>The interviews adopted a conversational style starting with an opening question to prepare the interviewee for further questions. Main questions were on key issues. This was followed by questions probing the answers offered. The conversational style adopted facilitated the</w:t>
      </w:r>
      <w:r>
        <w:rPr>
          <w:spacing w:val="80"/>
        </w:rPr>
        <w:t> </w:t>
      </w:r>
      <w:r>
        <w:rPr/>
        <w:t>discussion of topics which, in the opinion of the interviewees were important. Further probing questions explored emergent issues such as construction/government policies and attitudes to TQM implementation. The interviews concluded by asking the interviewees to talk about other issues which might not have been covered by the questions. Interviews continued until respondents’ responses could not yield any further new information or additional ideas. Simply put, the interviews were saturated.</w:t>
      </w:r>
    </w:p>
    <w:p>
      <w:pPr>
        <w:pStyle w:val="Heading2"/>
        <w:numPr>
          <w:ilvl w:val="1"/>
          <w:numId w:val="34"/>
        </w:numPr>
        <w:tabs>
          <w:tab w:pos="1120" w:val="left" w:leader="none"/>
        </w:tabs>
        <w:spacing w:line="240" w:lineRule="auto" w:before="188" w:after="0"/>
        <w:ind w:left="1120" w:right="0" w:hanging="720"/>
        <w:jc w:val="both"/>
      </w:pPr>
      <w:r>
        <w:rPr/>
        <w:t>Direct</w:t>
      </w:r>
      <w:r>
        <w:rPr>
          <w:spacing w:val="-3"/>
        </w:rPr>
        <w:t> </w:t>
      </w:r>
      <w:r>
        <w:rPr/>
        <w:t>Observations</w:t>
      </w:r>
      <w:r>
        <w:rPr>
          <w:spacing w:val="-2"/>
        </w:rPr>
        <w:t> </w:t>
      </w:r>
      <w:r>
        <w:rPr/>
        <w:t>and</w:t>
      </w:r>
      <w:r>
        <w:rPr>
          <w:spacing w:val="-2"/>
        </w:rPr>
        <w:t> </w:t>
      </w:r>
      <w:r>
        <w:rPr/>
        <w:t>Walkthrough</w:t>
      </w:r>
      <w:r>
        <w:rPr>
          <w:spacing w:val="-3"/>
        </w:rPr>
        <w:t> </w:t>
      </w:r>
      <w:r>
        <w:rPr>
          <w:spacing w:val="-2"/>
        </w:rPr>
        <w:t>Evaluations</w:t>
      </w:r>
    </w:p>
    <w:p>
      <w:pPr>
        <w:pStyle w:val="BodyText"/>
        <w:spacing w:line="480" w:lineRule="auto" w:before="271"/>
        <w:ind w:left="400" w:right="1318"/>
        <w:jc w:val="both"/>
      </w:pPr>
      <w:r>
        <w:rPr/>
        <w:t>Direct observations were adopted in this research. The essence of direct observations and walkthrough</w:t>
      </w:r>
      <w:r>
        <w:rPr>
          <w:spacing w:val="21"/>
        </w:rPr>
        <w:t> </w:t>
      </w:r>
      <w:r>
        <w:rPr/>
        <w:t>evaluations</w:t>
      </w:r>
      <w:r>
        <w:rPr>
          <w:spacing w:val="25"/>
        </w:rPr>
        <w:t> </w:t>
      </w:r>
      <w:r>
        <w:rPr/>
        <w:t>are</w:t>
      </w:r>
      <w:r>
        <w:rPr>
          <w:spacing w:val="23"/>
        </w:rPr>
        <w:t> </w:t>
      </w:r>
      <w:r>
        <w:rPr/>
        <w:t>to</w:t>
      </w:r>
      <w:r>
        <w:rPr>
          <w:spacing w:val="23"/>
        </w:rPr>
        <w:t> </w:t>
      </w:r>
      <w:r>
        <w:rPr/>
        <w:t>enable</w:t>
      </w:r>
      <w:r>
        <w:rPr>
          <w:spacing w:val="22"/>
        </w:rPr>
        <w:t> </w:t>
      </w:r>
      <w:r>
        <w:rPr/>
        <w:t>the</w:t>
      </w:r>
      <w:r>
        <w:rPr>
          <w:spacing w:val="23"/>
        </w:rPr>
        <w:t> </w:t>
      </w:r>
      <w:r>
        <w:rPr/>
        <w:t>researcher</w:t>
      </w:r>
      <w:r>
        <w:rPr>
          <w:spacing w:val="22"/>
        </w:rPr>
        <w:t> </w:t>
      </w:r>
      <w:r>
        <w:rPr/>
        <w:t>to</w:t>
      </w:r>
      <w:r>
        <w:rPr>
          <w:spacing w:val="23"/>
        </w:rPr>
        <w:t> </w:t>
      </w:r>
      <w:r>
        <w:rPr/>
        <w:t>have</w:t>
      </w:r>
      <w:r>
        <w:rPr>
          <w:spacing w:val="23"/>
        </w:rPr>
        <w:t> </w:t>
      </w:r>
      <w:r>
        <w:rPr/>
        <w:t>a</w:t>
      </w:r>
      <w:r>
        <w:rPr>
          <w:spacing w:val="22"/>
        </w:rPr>
        <w:t> </w:t>
      </w:r>
      <w:r>
        <w:rPr/>
        <w:t>visual</w:t>
      </w:r>
      <w:r>
        <w:rPr>
          <w:spacing w:val="23"/>
        </w:rPr>
        <w:t> </w:t>
      </w:r>
      <w:r>
        <w:rPr/>
        <w:t>view</w:t>
      </w:r>
      <w:r>
        <w:rPr>
          <w:spacing w:val="23"/>
        </w:rPr>
        <w:t> </w:t>
      </w:r>
      <w:r>
        <w:rPr/>
        <w:t>of</w:t>
      </w:r>
      <w:r>
        <w:rPr>
          <w:spacing w:val="22"/>
        </w:rPr>
        <w:t> </w:t>
      </w:r>
      <w:r>
        <w:rPr/>
        <w:t>the</w:t>
      </w:r>
      <w:r>
        <w:rPr>
          <w:spacing w:val="23"/>
        </w:rPr>
        <w:t> </w:t>
      </w:r>
      <w:r>
        <w:rPr>
          <w:spacing w:val="-2"/>
        </w:rPr>
        <w:t>environment</w:t>
      </w:r>
    </w:p>
    <w:p>
      <w:pPr>
        <w:spacing w:after="0" w:line="480" w:lineRule="auto"/>
        <w:jc w:val="both"/>
        <w:sectPr>
          <w:pgSz w:w="12240" w:h="15840"/>
          <w:pgMar w:header="0" w:footer="1017" w:top="1360" w:bottom="1200" w:left="1040" w:right="120"/>
        </w:sectPr>
      </w:pPr>
    </w:p>
    <w:p>
      <w:pPr>
        <w:pStyle w:val="BodyText"/>
        <w:spacing w:line="480" w:lineRule="auto" w:before="72"/>
        <w:ind w:left="399" w:right="1318"/>
        <w:jc w:val="both"/>
      </w:pPr>
      <w:r>
        <w:rPr/>
        <w:t>and provides a real life scenario on the quality of work in the study area. For this purpose, walkthrough evaluations were carried out by the researcher on some of the buildings and roads executed by small and medium scale construction firms in three states of the south-east states. Photographs and paper recordings were used.</w:t>
      </w:r>
    </w:p>
    <w:p>
      <w:pPr>
        <w:pStyle w:val="BodyText"/>
        <w:spacing w:before="4"/>
      </w:pPr>
    </w:p>
    <w:p>
      <w:pPr>
        <w:pStyle w:val="Heading2"/>
        <w:numPr>
          <w:ilvl w:val="1"/>
          <w:numId w:val="34"/>
        </w:numPr>
        <w:tabs>
          <w:tab w:pos="1120" w:val="left" w:leader="none"/>
        </w:tabs>
        <w:spacing w:line="240" w:lineRule="auto" w:before="1" w:after="0"/>
        <w:ind w:left="1120" w:right="0" w:hanging="720"/>
        <w:jc w:val="both"/>
      </w:pPr>
      <w:r>
        <w:rPr/>
        <w:t>Population</w:t>
      </w:r>
      <w:r>
        <w:rPr>
          <w:spacing w:val="-2"/>
        </w:rPr>
        <w:t> </w:t>
      </w:r>
      <w:r>
        <w:rPr/>
        <w:t>of</w:t>
      </w:r>
      <w:r>
        <w:rPr>
          <w:spacing w:val="-1"/>
        </w:rPr>
        <w:t> </w:t>
      </w:r>
      <w:r>
        <w:rPr/>
        <w:t>the</w:t>
      </w:r>
      <w:r>
        <w:rPr>
          <w:spacing w:val="-2"/>
        </w:rPr>
        <w:t> </w:t>
      </w:r>
      <w:r>
        <w:rPr>
          <w:spacing w:val="-4"/>
        </w:rPr>
        <w:t>Study</w:t>
      </w:r>
    </w:p>
    <w:p>
      <w:pPr>
        <w:pStyle w:val="BodyText"/>
        <w:spacing w:line="480" w:lineRule="auto" w:before="271"/>
        <w:ind w:left="399" w:right="1320"/>
        <w:jc w:val="both"/>
      </w:pPr>
      <w:r>
        <w:rPr/>
        <w:t>Preliminary survey of the study revealed that a total of four hundred and fifty six (456) SMCFs, comprising</w:t>
      </w:r>
      <w:r>
        <w:rPr>
          <w:spacing w:val="-5"/>
        </w:rPr>
        <w:t> </w:t>
      </w:r>
      <w:r>
        <w:rPr/>
        <w:t>of</w:t>
      </w:r>
      <w:r>
        <w:rPr>
          <w:spacing w:val="-3"/>
        </w:rPr>
        <w:t> </w:t>
      </w:r>
      <w:r>
        <w:rPr/>
        <w:t>one</w:t>
      </w:r>
      <w:r>
        <w:rPr>
          <w:spacing w:val="-3"/>
        </w:rPr>
        <w:t> </w:t>
      </w:r>
      <w:r>
        <w:rPr/>
        <w:t>hundred</w:t>
      </w:r>
      <w:r>
        <w:rPr>
          <w:spacing w:val="-2"/>
        </w:rPr>
        <w:t> </w:t>
      </w:r>
      <w:r>
        <w:rPr/>
        <w:t>and fifty</w:t>
      </w:r>
      <w:r>
        <w:rPr>
          <w:spacing w:val="-7"/>
        </w:rPr>
        <w:t> </w:t>
      </w:r>
      <w:r>
        <w:rPr/>
        <w:t>three</w:t>
      </w:r>
      <w:r>
        <w:rPr>
          <w:spacing w:val="-3"/>
        </w:rPr>
        <w:t> </w:t>
      </w:r>
      <w:r>
        <w:rPr/>
        <w:t>(153)</w:t>
      </w:r>
      <w:r>
        <w:rPr>
          <w:spacing w:val="-1"/>
        </w:rPr>
        <w:t> </w:t>
      </w:r>
      <w:r>
        <w:rPr/>
        <w:t>in</w:t>
      </w:r>
      <w:r>
        <w:rPr>
          <w:spacing w:val="-2"/>
        </w:rPr>
        <w:t> </w:t>
      </w:r>
      <w:r>
        <w:rPr/>
        <w:t>Abia,</w:t>
      </w:r>
      <w:r>
        <w:rPr>
          <w:spacing w:val="-2"/>
        </w:rPr>
        <w:t> </w:t>
      </w:r>
      <w:r>
        <w:rPr/>
        <w:t>one</w:t>
      </w:r>
      <w:r>
        <w:rPr>
          <w:spacing w:val="-1"/>
        </w:rPr>
        <w:t> </w:t>
      </w:r>
      <w:r>
        <w:rPr/>
        <w:t>hundred and fifteen (115)</w:t>
      </w:r>
      <w:r>
        <w:rPr>
          <w:spacing w:val="-3"/>
        </w:rPr>
        <w:t> </w:t>
      </w:r>
      <w:r>
        <w:rPr/>
        <w:t>in</w:t>
      </w:r>
      <w:r>
        <w:rPr>
          <w:spacing w:val="-2"/>
        </w:rPr>
        <w:t> </w:t>
      </w:r>
      <w:r>
        <w:rPr/>
        <w:t>Ebonyi and one hundred and eighty eight (188) in Enugu were used in the study area.</w:t>
      </w:r>
    </w:p>
    <w:p>
      <w:pPr>
        <w:pStyle w:val="BodyText"/>
        <w:spacing w:before="5"/>
      </w:pPr>
    </w:p>
    <w:p>
      <w:pPr>
        <w:pStyle w:val="Heading2"/>
      </w:pPr>
      <w:r>
        <w:rPr/>
        <w:t>Table</w:t>
      </w:r>
      <w:r>
        <w:rPr>
          <w:spacing w:val="-3"/>
        </w:rPr>
        <w:t> </w:t>
      </w:r>
      <w:r>
        <w:rPr/>
        <w:t>4.1:</w:t>
      </w:r>
      <w:r>
        <w:rPr>
          <w:spacing w:val="-3"/>
        </w:rPr>
        <w:t> </w:t>
      </w:r>
      <w:r>
        <w:rPr/>
        <w:t>Small</w:t>
      </w:r>
      <w:r>
        <w:rPr>
          <w:spacing w:val="-2"/>
        </w:rPr>
        <w:t> </w:t>
      </w:r>
      <w:r>
        <w:rPr/>
        <w:t>and</w:t>
      </w:r>
      <w:r>
        <w:rPr>
          <w:spacing w:val="-2"/>
        </w:rPr>
        <w:t> </w:t>
      </w:r>
      <w:r>
        <w:rPr/>
        <w:t>Medium</w:t>
      </w:r>
      <w:r>
        <w:rPr>
          <w:spacing w:val="-6"/>
        </w:rPr>
        <w:t> </w:t>
      </w:r>
      <w:r>
        <w:rPr/>
        <w:t>Construction</w:t>
      </w:r>
      <w:r>
        <w:rPr>
          <w:spacing w:val="-2"/>
        </w:rPr>
        <w:t> </w:t>
      </w:r>
      <w:r>
        <w:rPr/>
        <w:t>firms registered</w:t>
      </w:r>
      <w:r>
        <w:rPr>
          <w:spacing w:val="-2"/>
        </w:rPr>
        <w:t> </w:t>
      </w:r>
      <w:r>
        <w:rPr/>
        <w:t>in</w:t>
      </w:r>
      <w:r>
        <w:rPr>
          <w:spacing w:val="-2"/>
        </w:rPr>
        <w:t> </w:t>
      </w:r>
      <w:r>
        <w:rPr/>
        <w:t>Abia,</w:t>
      </w:r>
      <w:r>
        <w:rPr>
          <w:spacing w:val="-2"/>
        </w:rPr>
        <w:t> </w:t>
      </w:r>
      <w:r>
        <w:rPr/>
        <w:t>Ebonyi</w:t>
      </w:r>
      <w:r>
        <w:rPr>
          <w:spacing w:val="-2"/>
        </w:rPr>
        <w:t> </w:t>
      </w:r>
      <w:r>
        <w:rPr/>
        <w:t>and</w:t>
      </w:r>
      <w:r>
        <w:rPr>
          <w:spacing w:val="-1"/>
        </w:rPr>
        <w:t> </w:t>
      </w:r>
      <w:r>
        <w:rPr>
          <w:spacing w:val="-2"/>
        </w:rPr>
        <w:t>Enugu</w:t>
      </w:r>
    </w:p>
    <w:p>
      <w:pPr>
        <w:pStyle w:val="BodyText"/>
        <w:spacing w:before="49"/>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2"/>
        <w:gridCol w:w="1353"/>
        <w:gridCol w:w="1680"/>
        <w:gridCol w:w="1603"/>
        <w:gridCol w:w="2138"/>
      </w:tblGrid>
      <w:tr>
        <w:trPr>
          <w:trHeight w:val="792" w:hRule="atLeast"/>
        </w:trPr>
        <w:tc>
          <w:tcPr>
            <w:tcW w:w="2802" w:type="dxa"/>
            <w:shd w:val="clear" w:color="auto" w:fill="DBE5F1"/>
          </w:tcPr>
          <w:p>
            <w:pPr>
              <w:pStyle w:val="TableParagraph"/>
              <w:rPr>
                <w:sz w:val="24"/>
              </w:rPr>
            </w:pPr>
          </w:p>
        </w:tc>
        <w:tc>
          <w:tcPr>
            <w:tcW w:w="1353" w:type="dxa"/>
            <w:shd w:val="clear" w:color="auto" w:fill="DBE5F1"/>
          </w:tcPr>
          <w:p>
            <w:pPr>
              <w:pStyle w:val="TableParagraph"/>
              <w:spacing w:before="116"/>
              <w:ind w:left="106"/>
              <w:rPr>
                <w:b/>
                <w:sz w:val="24"/>
              </w:rPr>
            </w:pPr>
            <w:r>
              <w:rPr>
                <w:b/>
                <w:sz w:val="24"/>
              </w:rPr>
              <w:t>Abia</w:t>
            </w:r>
            <w:r>
              <w:rPr>
                <w:b/>
                <w:spacing w:val="-1"/>
                <w:sz w:val="24"/>
              </w:rPr>
              <w:t> </w:t>
            </w:r>
            <w:r>
              <w:rPr>
                <w:b/>
                <w:spacing w:val="-2"/>
                <w:sz w:val="24"/>
              </w:rPr>
              <w:t>State</w:t>
            </w:r>
          </w:p>
        </w:tc>
        <w:tc>
          <w:tcPr>
            <w:tcW w:w="1680" w:type="dxa"/>
            <w:shd w:val="clear" w:color="auto" w:fill="DBE5F1"/>
          </w:tcPr>
          <w:p>
            <w:pPr>
              <w:pStyle w:val="TableParagraph"/>
              <w:spacing w:before="116"/>
              <w:ind w:left="172"/>
              <w:rPr>
                <w:b/>
                <w:sz w:val="24"/>
              </w:rPr>
            </w:pPr>
            <w:r>
              <w:rPr>
                <w:b/>
                <w:sz w:val="24"/>
              </w:rPr>
              <w:t>Ebonyi</w:t>
            </w:r>
            <w:r>
              <w:rPr>
                <w:b/>
                <w:spacing w:val="-2"/>
                <w:sz w:val="24"/>
              </w:rPr>
              <w:t> State</w:t>
            </w:r>
          </w:p>
        </w:tc>
        <w:tc>
          <w:tcPr>
            <w:tcW w:w="1603" w:type="dxa"/>
            <w:shd w:val="clear" w:color="auto" w:fill="DBE5F1"/>
          </w:tcPr>
          <w:p>
            <w:pPr>
              <w:pStyle w:val="TableParagraph"/>
              <w:spacing w:before="116"/>
              <w:ind w:left="193"/>
              <w:rPr>
                <w:b/>
                <w:sz w:val="24"/>
              </w:rPr>
            </w:pPr>
            <w:r>
              <w:rPr>
                <w:b/>
                <w:sz w:val="24"/>
              </w:rPr>
              <w:t>Enugu</w:t>
            </w:r>
            <w:r>
              <w:rPr>
                <w:b/>
                <w:spacing w:val="-4"/>
                <w:sz w:val="24"/>
              </w:rPr>
              <w:t> </w:t>
            </w:r>
            <w:r>
              <w:rPr>
                <w:b/>
                <w:spacing w:val="-2"/>
                <w:sz w:val="24"/>
              </w:rPr>
              <w:t>State</w:t>
            </w:r>
          </w:p>
        </w:tc>
        <w:tc>
          <w:tcPr>
            <w:tcW w:w="2138" w:type="dxa"/>
            <w:shd w:val="clear" w:color="auto" w:fill="DBE5F1"/>
          </w:tcPr>
          <w:p>
            <w:pPr>
              <w:pStyle w:val="TableParagraph"/>
              <w:spacing w:before="116"/>
              <w:ind w:left="148"/>
              <w:rPr>
                <w:b/>
                <w:sz w:val="24"/>
              </w:rPr>
            </w:pPr>
            <w:r>
              <w:rPr>
                <w:b/>
                <w:spacing w:val="-2"/>
                <w:sz w:val="24"/>
              </w:rPr>
              <w:t>Total</w:t>
            </w:r>
          </w:p>
        </w:tc>
      </w:tr>
      <w:tr>
        <w:trPr>
          <w:trHeight w:val="791" w:hRule="atLeast"/>
        </w:trPr>
        <w:tc>
          <w:tcPr>
            <w:tcW w:w="2802" w:type="dxa"/>
          </w:tcPr>
          <w:p>
            <w:pPr>
              <w:pStyle w:val="TableParagraph"/>
              <w:spacing w:before="116"/>
              <w:ind w:left="108"/>
              <w:rPr>
                <w:b/>
                <w:sz w:val="24"/>
              </w:rPr>
            </w:pPr>
            <w:r>
              <w:rPr>
                <w:b/>
                <w:sz w:val="24"/>
              </w:rPr>
              <w:t>Small</w:t>
            </w:r>
            <w:r>
              <w:rPr>
                <w:b/>
                <w:spacing w:val="-5"/>
                <w:sz w:val="24"/>
              </w:rPr>
              <w:t> </w:t>
            </w:r>
            <w:r>
              <w:rPr>
                <w:b/>
                <w:sz w:val="24"/>
              </w:rPr>
              <w:t>construction</w:t>
            </w:r>
            <w:r>
              <w:rPr>
                <w:b/>
                <w:spacing w:val="-4"/>
                <w:sz w:val="24"/>
              </w:rPr>
              <w:t> firms</w:t>
            </w:r>
          </w:p>
        </w:tc>
        <w:tc>
          <w:tcPr>
            <w:tcW w:w="1353" w:type="dxa"/>
          </w:tcPr>
          <w:p>
            <w:pPr>
              <w:pStyle w:val="TableParagraph"/>
              <w:spacing w:before="116"/>
              <w:ind w:left="106"/>
              <w:rPr>
                <w:b/>
                <w:sz w:val="24"/>
              </w:rPr>
            </w:pPr>
            <w:r>
              <w:rPr>
                <w:b/>
                <w:spacing w:val="-5"/>
                <w:sz w:val="24"/>
              </w:rPr>
              <w:t>48</w:t>
            </w:r>
          </w:p>
        </w:tc>
        <w:tc>
          <w:tcPr>
            <w:tcW w:w="1680" w:type="dxa"/>
          </w:tcPr>
          <w:p>
            <w:pPr>
              <w:pStyle w:val="TableParagraph"/>
              <w:spacing w:before="116"/>
              <w:ind w:left="172"/>
              <w:rPr>
                <w:b/>
                <w:sz w:val="24"/>
              </w:rPr>
            </w:pPr>
            <w:r>
              <w:rPr>
                <w:b/>
                <w:spacing w:val="-5"/>
                <w:sz w:val="24"/>
              </w:rPr>
              <w:t>39</w:t>
            </w:r>
          </w:p>
        </w:tc>
        <w:tc>
          <w:tcPr>
            <w:tcW w:w="1603" w:type="dxa"/>
          </w:tcPr>
          <w:p>
            <w:pPr>
              <w:pStyle w:val="TableParagraph"/>
              <w:spacing w:before="116"/>
              <w:ind w:left="193"/>
              <w:rPr>
                <w:b/>
                <w:sz w:val="24"/>
              </w:rPr>
            </w:pPr>
            <w:r>
              <w:rPr>
                <w:b/>
                <w:spacing w:val="-5"/>
                <w:sz w:val="24"/>
              </w:rPr>
              <w:t>57</w:t>
            </w:r>
          </w:p>
        </w:tc>
        <w:tc>
          <w:tcPr>
            <w:tcW w:w="2138" w:type="dxa"/>
          </w:tcPr>
          <w:p>
            <w:pPr>
              <w:pStyle w:val="TableParagraph"/>
              <w:spacing w:before="116"/>
              <w:ind w:left="148"/>
              <w:rPr>
                <w:b/>
                <w:sz w:val="24"/>
              </w:rPr>
            </w:pPr>
            <w:r>
              <w:rPr>
                <w:b/>
                <w:spacing w:val="-5"/>
                <w:sz w:val="24"/>
              </w:rPr>
              <w:t>144</w:t>
            </w:r>
          </w:p>
        </w:tc>
      </w:tr>
      <w:tr>
        <w:trPr>
          <w:trHeight w:val="1344" w:hRule="atLeast"/>
        </w:trPr>
        <w:tc>
          <w:tcPr>
            <w:tcW w:w="2802" w:type="dxa"/>
            <w:shd w:val="clear" w:color="auto" w:fill="DBE5F1"/>
          </w:tcPr>
          <w:p>
            <w:pPr>
              <w:pStyle w:val="TableParagraph"/>
              <w:tabs>
                <w:tab w:pos="1346" w:val="left" w:leader="none"/>
              </w:tabs>
              <w:spacing w:line="480" w:lineRule="auto" w:before="116"/>
              <w:ind w:left="108" w:right="105"/>
              <w:rPr>
                <w:b/>
                <w:sz w:val="24"/>
              </w:rPr>
            </w:pPr>
            <w:r>
              <w:rPr>
                <w:b/>
                <w:spacing w:val="-2"/>
                <w:sz w:val="24"/>
              </w:rPr>
              <w:t>Medium</w:t>
            </w:r>
            <w:r>
              <w:rPr>
                <w:b/>
                <w:sz w:val="24"/>
              </w:rPr>
              <w:tab/>
            </w:r>
            <w:r>
              <w:rPr>
                <w:b/>
                <w:spacing w:val="-2"/>
                <w:sz w:val="24"/>
              </w:rPr>
              <w:t>Construction Firms</w:t>
            </w:r>
          </w:p>
        </w:tc>
        <w:tc>
          <w:tcPr>
            <w:tcW w:w="1353" w:type="dxa"/>
            <w:shd w:val="clear" w:color="auto" w:fill="DBE5F1"/>
          </w:tcPr>
          <w:p>
            <w:pPr>
              <w:pStyle w:val="TableParagraph"/>
              <w:spacing w:before="116"/>
              <w:ind w:left="106"/>
              <w:rPr>
                <w:b/>
                <w:sz w:val="24"/>
              </w:rPr>
            </w:pPr>
            <w:r>
              <w:rPr>
                <w:b/>
                <w:spacing w:val="-5"/>
                <w:sz w:val="24"/>
              </w:rPr>
              <w:t>105</w:t>
            </w:r>
          </w:p>
        </w:tc>
        <w:tc>
          <w:tcPr>
            <w:tcW w:w="1680" w:type="dxa"/>
            <w:shd w:val="clear" w:color="auto" w:fill="DBE5F1"/>
          </w:tcPr>
          <w:p>
            <w:pPr>
              <w:pStyle w:val="TableParagraph"/>
              <w:spacing w:before="116"/>
              <w:ind w:left="172"/>
              <w:rPr>
                <w:b/>
                <w:sz w:val="24"/>
              </w:rPr>
            </w:pPr>
            <w:r>
              <w:rPr>
                <w:b/>
                <w:spacing w:val="-5"/>
                <w:sz w:val="24"/>
              </w:rPr>
              <w:t>76</w:t>
            </w:r>
          </w:p>
        </w:tc>
        <w:tc>
          <w:tcPr>
            <w:tcW w:w="1603" w:type="dxa"/>
            <w:shd w:val="clear" w:color="auto" w:fill="DBE5F1"/>
          </w:tcPr>
          <w:p>
            <w:pPr>
              <w:pStyle w:val="TableParagraph"/>
              <w:spacing w:before="116"/>
              <w:ind w:left="193"/>
              <w:rPr>
                <w:b/>
                <w:sz w:val="24"/>
              </w:rPr>
            </w:pPr>
            <w:r>
              <w:rPr>
                <w:b/>
                <w:spacing w:val="-5"/>
                <w:sz w:val="24"/>
              </w:rPr>
              <w:t>131</w:t>
            </w:r>
          </w:p>
        </w:tc>
        <w:tc>
          <w:tcPr>
            <w:tcW w:w="2138" w:type="dxa"/>
            <w:shd w:val="clear" w:color="auto" w:fill="DBE5F1"/>
          </w:tcPr>
          <w:p>
            <w:pPr>
              <w:pStyle w:val="TableParagraph"/>
              <w:spacing w:before="116"/>
              <w:ind w:left="148"/>
              <w:rPr>
                <w:b/>
                <w:sz w:val="24"/>
              </w:rPr>
            </w:pPr>
            <w:r>
              <w:rPr>
                <w:b/>
                <w:spacing w:val="-5"/>
                <w:sz w:val="24"/>
              </w:rPr>
              <w:t>302</w:t>
            </w:r>
          </w:p>
        </w:tc>
      </w:tr>
      <w:tr>
        <w:trPr>
          <w:trHeight w:val="392" w:hRule="atLeast"/>
        </w:trPr>
        <w:tc>
          <w:tcPr>
            <w:tcW w:w="2802" w:type="dxa"/>
          </w:tcPr>
          <w:p>
            <w:pPr>
              <w:pStyle w:val="TableParagraph"/>
              <w:spacing w:line="256" w:lineRule="exact" w:before="116"/>
              <w:ind w:left="108"/>
              <w:rPr>
                <w:b/>
                <w:sz w:val="24"/>
              </w:rPr>
            </w:pPr>
            <w:r>
              <w:rPr>
                <w:b/>
                <w:spacing w:val="-2"/>
                <w:sz w:val="24"/>
              </w:rPr>
              <w:t>Total</w:t>
            </w:r>
          </w:p>
        </w:tc>
        <w:tc>
          <w:tcPr>
            <w:tcW w:w="1353" w:type="dxa"/>
          </w:tcPr>
          <w:p>
            <w:pPr>
              <w:pStyle w:val="TableParagraph"/>
              <w:spacing w:line="256" w:lineRule="exact" w:before="116"/>
              <w:ind w:left="106"/>
              <w:rPr>
                <w:b/>
                <w:sz w:val="24"/>
              </w:rPr>
            </w:pPr>
            <w:r>
              <w:rPr>
                <w:b/>
                <w:spacing w:val="-5"/>
                <w:sz w:val="24"/>
              </w:rPr>
              <w:t>153</w:t>
            </w:r>
          </w:p>
        </w:tc>
        <w:tc>
          <w:tcPr>
            <w:tcW w:w="1680" w:type="dxa"/>
          </w:tcPr>
          <w:p>
            <w:pPr>
              <w:pStyle w:val="TableParagraph"/>
              <w:spacing w:line="256" w:lineRule="exact" w:before="116"/>
              <w:ind w:left="172"/>
              <w:rPr>
                <w:b/>
                <w:sz w:val="24"/>
              </w:rPr>
            </w:pPr>
            <w:r>
              <w:rPr>
                <w:b/>
                <w:spacing w:val="-5"/>
                <w:sz w:val="24"/>
              </w:rPr>
              <w:t>115</w:t>
            </w:r>
          </w:p>
        </w:tc>
        <w:tc>
          <w:tcPr>
            <w:tcW w:w="1603" w:type="dxa"/>
          </w:tcPr>
          <w:p>
            <w:pPr>
              <w:pStyle w:val="TableParagraph"/>
              <w:spacing w:line="256" w:lineRule="exact" w:before="116"/>
              <w:ind w:left="193"/>
              <w:rPr>
                <w:b/>
                <w:sz w:val="24"/>
              </w:rPr>
            </w:pPr>
            <w:r>
              <w:rPr>
                <w:b/>
                <w:spacing w:val="-5"/>
                <w:sz w:val="24"/>
              </w:rPr>
              <w:t>188</w:t>
            </w:r>
          </w:p>
        </w:tc>
        <w:tc>
          <w:tcPr>
            <w:tcW w:w="2138" w:type="dxa"/>
          </w:tcPr>
          <w:p>
            <w:pPr>
              <w:pStyle w:val="TableParagraph"/>
              <w:spacing w:line="256" w:lineRule="exact" w:before="116"/>
              <w:ind w:left="148"/>
              <w:rPr>
                <w:b/>
                <w:sz w:val="24"/>
              </w:rPr>
            </w:pPr>
            <w:r>
              <w:rPr>
                <w:b/>
                <w:spacing w:val="-5"/>
                <w:sz w:val="24"/>
              </w:rPr>
              <w:t>456</w:t>
            </w:r>
          </w:p>
        </w:tc>
      </w:tr>
    </w:tbl>
    <w:p>
      <w:pPr>
        <w:pStyle w:val="BodyText"/>
        <w:spacing w:before="121"/>
        <w:rPr>
          <w:b/>
        </w:rPr>
      </w:pPr>
    </w:p>
    <w:p>
      <w:pPr>
        <w:spacing w:before="0"/>
        <w:ind w:left="400" w:right="0" w:firstLine="0"/>
        <w:jc w:val="both"/>
        <w:rPr>
          <w:b/>
          <w:sz w:val="24"/>
        </w:rPr>
      </w:pPr>
      <w:r>
        <w:rPr>
          <w:b/>
          <w:sz w:val="24"/>
        </w:rPr>
        <w:t>Source:</w:t>
      </w:r>
      <w:r>
        <w:rPr>
          <w:b/>
          <w:spacing w:val="-3"/>
          <w:sz w:val="24"/>
        </w:rPr>
        <w:t> </w:t>
      </w:r>
      <w:r>
        <w:rPr>
          <w:b/>
          <w:sz w:val="24"/>
        </w:rPr>
        <w:t>Ministry</w:t>
      </w:r>
      <w:r>
        <w:rPr>
          <w:b/>
          <w:spacing w:val="-2"/>
          <w:sz w:val="24"/>
        </w:rPr>
        <w:t> </w:t>
      </w:r>
      <w:r>
        <w:rPr>
          <w:b/>
          <w:sz w:val="24"/>
        </w:rPr>
        <w:t>of</w:t>
      </w:r>
      <w:r>
        <w:rPr>
          <w:b/>
          <w:spacing w:val="-1"/>
          <w:sz w:val="24"/>
        </w:rPr>
        <w:t> </w:t>
      </w:r>
      <w:r>
        <w:rPr>
          <w:b/>
          <w:sz w:val="24"/>
        </w:rPr>
        <w:t>Works</w:t>
      </w:r>
      <w:r>
        <w:rPr>
          <w:b/>
          <w:spacing w:val="-2"/>
          <w:sz w:val="24"/>
        </w:rPr>
        <w:t> </w:t>
      </w:r>
      <w:r>
        <w:rPr>
          <w:b/>
          <w:sz w:val="24"/>
        </w:rPr>
        <w:t>and</w:t>
      </w:r>
      <w:r>
        <w:rPr>
          <w:b/>
          <w:spacing w:val="-2"/>
          <w:sz w:val="24"/>
        </w:rPr>
        <w:t> </w:t>
      </w:r>
      <w:r>
        <w:rPr>
          <w:b/>
          <w:sz w:val="24"/>
        </w:rPr>
        <w:t>housing,</w:t>
      </w:r>
      <w:r>
        <w:rPr>
          <w:b/>
          <w:spacing w:val="-1"/>
          <w:sz w:val="24"/>
        </w:rPr>
        <w:t> </w:t>
      </w:r>
      <w:r>
        <w:rPr>
          <w:b/>
          <w:sz w:val="24"/>
        </w:rPr>
        <w:t>Abia,</w:t>
      </w:r>
      <w:r>
        <w:rPr>
          <w:b/>
          <w:spacing w:val="-5"/>
          <w:sz w:val="24"/>
        </w:rPr>
        <w:t> </w:t>
      </w:r>
      <w:r>
        <w:rPr>
          <w:b/>
          <w:sz w:val="24"/>
        </w:rPr>
        <w:t>Ebonyi</w:t>
      </w:r>
      <w:r>
        <w:rPr>
          <w:b/>
          <w:spacing w:val="-2"/>
          <w:sz w:val="24"/>
        </w:rPr>
        <w:t> </w:t>
      </w:r>
      <w:r>
        <w:rPr>
          <w:b/>
          <w:sz w:val="24"/>
        </w:rPr>
        <w:t>and</w:t>
      </w:r>
      <w:r>
        <w:rPr>
          <w:b/>
          <w:spacing w:val="-2"/>
          <w:sz w:val="24"/>
        </w:rPr>
        <w:t> </w:t>
      </w:r>
      <w:r>
        <w:rPr>
          <w:b/>
          <w:sz w:val="24"/>
        </w:rPr>
        <w:t>Enugu</w:t>
      </w:r>
      <w:r>
        <w:rPr>
          <w:b/>
          <w:spacing w:val="-1"/>
          <w:sz w:val="24"/>
        </w:rPr>
        <w:t> </w:t>
      </w:r>
      <w:r>
        <w:rPr>
          <w:b/>
          <w:spacing w:val="-2"/>
          <w:sz w:val="24"/>
        </w:rPr>
        <w:t>(2018)</w:t>
      </w:r>
    </w:p>
    <w:p>
      <w:pPr>
        <w:pStyle w:val="BodyText"/>
        <w:rPr>
          <w:b/>
        </w:rPr>
      </w:pPr>
    </w:p>
    <w:p>
      <w:pPr>
        <w:pStyle w:val="BodyText"/>
        <w:spacing w:before="41"/>
        <w:rPr>
          <w:b/>
        </w:rPr>
      </w:pPr>
    </w:p>
    <w:p>
      <w:pPr>
        <w:pStyle w:val="BodyText"/>
        <w:spacing w:line="480" w:lineRule="auto"/>
        <w:ind w:left="400" w:right="1317"/>
        <w:jc w:val="both"/>
      </w:pPr>
      <w:r>
        <w:rPr/>
        <w:t>These are SMCFs that executed projects in 3 South-Eastern state of Nigeria will form the population of this study. From each firm, four persons were chosen, making it a total of 4</w:t>
      </w:r>
      <w:r>
        <w:rPr>
          <w:spacing w:val="40"/>
        </w:rPr>
        <w:t> </w:t>
      </w:r>
      <w:r>
        <w:rPr/>
        <w:t>persons per firm (4 x 456 = 1824). Therefore, the population for this study covered 1824 respondents.</w:t>
      </w:r>
      <w:r>
        <w:rPr>
          <w:spacing w:val="24"/>
        </w:rPr>
        <w:t> </w:t>
      </w:r>
      <w:r>
        <w:rPr/>
        <w:t>These</w:t>
      </w:r>
      <w:r>
        <w:rPr>
          <w:spacing w:val="26"/>
        </w:rPr>
        <w:t> </w:t>
      </w:r>
      <w:r>
        <w:rPr/>
        <w:t>staff</w:t>
      </w:r>
      <w:r>
        <w:rPr>
          <w:spacing w:val="29"/>
        </w:rPr>
        <w:t> </w:t>
      </w:r>
      <w:r>
        <w:rPr/>
        <w:t>are</w:t>
      </w:r>
      <w:r>
        <w:rPr>
          <w:spacing w:val="26"/>
        </w:rPr>
        <w:t> </w:t>
      </w:r>
      <w:r>
        <w:rPr/>
        <w:t>believed</w:t>
      </w:r>
      <w:r>
        <w:rPr>
          <w:spacing w:val="27"/>
        </w:rPr>
        <w:t> </w:t>
      </w:r>
      <w:r>
        <w:rPr/>
        <w:t>to</w:t>
      </w:r>
      <w:r>
        <w:rPr>
          <w:spacing w:val="28"/>
        </w:rPr>
        <w:t> </w:t>
      </w:r>
      <w:r>
        <w:rPr/>
        <w:t>have</w:t>
      </w:r>
      <w:r>
        <w:rPr>
          <w:spacing w:val="26"/>
        </w:rPr>
        <w:t> </w:t>
      </w:r>
      <w:r>
        <w:rPr/>
        <w:t>adequate</w:t>
      </w:r>
      <w:r>
        <w:rPr>
          <w:spacing w:val="26"/>
        </w:rPr>
        <w:t> </w:t>
      </w:r>
      <w:r>
        <w:rPr/>
        <w:t>knowledge</w:t>
      </w:r>
      <w:r>
        <w:rPr>
          <w:spacing w:val="26"/>
        </w:rPr>
        <w:t> </w:t>
      </w:r>
      <w:r>
        <w:rPr/>
        <w:t>and</w:t>
      </w:r>
      <w:r>
        <w:rPr>
          <w:spacing w:val="30"/>
        </w:rPr>
        <w:t> </w:t>
      </w:r>
      <w:r>
        <w:rPr/>
        <w:t>experience</w:t>
      </w:r>
      <w:r>
        <w:rPr>
          <w:spacing w:val="26"/>
        </w:rPr>
        <w:t> </w:t>
      </w:r>
      <w:r>
        <w:rPr/>
        <w:t>on</w:t>
      </w:r>
      <w:r>
        <w:rPr>
          <w:spacing w:val="27"/>
        </w:rPr>
        <w:t> </w:t>
      </w:r>
      <w:r>
        <w:rPr/>
        <w:t>TQM</w:t>
      </w:r>
      <w:r>
        <w:rPr>
          <w:spacing w:val="28"/>
        </w:rPr>
        <w:t> </w:t>
      </w:r>
      <w:r>
        <w:rPr>
          <w:spacing w:val="-5"/>
        </w:rPr>
        <w:t>in</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their firms. Okolie, (2011) states that, a population is the aggregation of elements from which a sample is actually selected.</w:t>
      </w:r>
    </w:p>
    <w:p>
      <w:pPr>
        <w:pStyle w:val="BodyText"/>
      </w:pPr>
    </w:p>
    <w:p>
      <w:pPr>
        <w:pStyle w:val="BodyText"/>
        <w:spacing w:before="4"/>
      </w:pPr>
    </w:p>
    <w:p>
      <w:pPr>
        <w:pStyle w:val="Heading2"/>
        <w:numPr>
          <w:ilvl w:val="1"/>
          <w:numId w:val="34"/>
        </w:numPr>
        <w:tabs>
          <w:tab w:pos="1120" w:val="left" w:leader="none"/>
        </w:tabs>
        <w:spacing w:line="240" w:lineRule="auto" w:before="1" w:after="0"/>
        <w:ind w:left="1120" w:right="0" w:hanging="720"/>
        <w:jc w:val="both"/>
      </w:pPr>
      <w:r>
        <w:rPr/>
        <w:t>Sampling</w:t>
      </w:r>
      <w:r>
        <w:rPr>
          <w:spacing w:val="-4"/>
        </w:rPr>
        <w:t> </w:t>
      </w:r>
      <w:r>
        <w:rPr>
          <w:spacing w:val="-2"/>
        </w:rPr>
        <w:t>Techniques</w:t>
      </w:r>
    </w:p>
    <w:p>
      <w:pPr>
        <w:pStyle w:val="BodyText"/>
        <w:spacing w:line="480" w:lineRule="auto" w:before="271"/>
        <w:ind w:left="400" w:right="1320"/>
        <w:jc w:val="both"/>
      </w:pPr>
      <w:r>
        <w:rPr/>
        <w:t>For high degree of accuracy and adequacy in representation of the sample, the researcher employed stratified random sampling technique and purposive sampling technique.</w:t>
      </w:r>
    </w:p>
    <w:p>
      <w:pPr>
        <w:pStyle w:val="BodyText"/>
        <w:spacing w:line="480" w:lineRule="auto"/>
        <w:ind w:left="400" w:right="1315"/>
        <w:jc w:val="both"/>
      </w:pPr>
      <w:r>
        <w:rPr/>
        <w:t>The sequential process involved first, a stratified random sampling for the administration of questionnaires in the survey aspect of the study then followed by the purposive sampling technique for the selection of participants for the interviews. This is because purposive sampling is a non-probability technique that selects informative subjects or units of observation as a representation of the wider relatively cost effective, easer, and ensures that only those elements that are relevant to the study are included.</w:t>
      </w:r>
    </w:p>
    <w:p>
      <w:pPr>
        <w:pStyle w:val="BodyText"/>
        <w:spacing w:line="480" w:lineRule="auto"/>
        <w:ind w:left="400" w:right="1317"/>
        <w:jc w:val="both"/>
      </w:pPr>
      <w:r>
        <w:rPr/>
        <w:t>The goal of purposive sampling is not to randomly select units from population, but to create a sample with the intention of making generalizations (statistical inferences) from that sample to the population of interest. Hence, purposive sample technique was used in selecting</w:t>
      </w:r>
      <w:r>
        <w:rPr>
          <w:spacing w:val="-1"/>
        </w:rPr>
        <w:t> </w:t>
      </w:r>
      <w:r>
        <w:rPr/>
        <w:t>the nature of professionals from the target population of 1824.</w:t>
      </w:r>
    </w:p>
    <w:p>
      <w:pPr>
        <w:pStyle w:val="Heading2"/>
        <w:numPr>
          <w:ilvl w:val="1"/>
          <w:numId w:val="34"/>
        </w:numPr>
        <w:tabs>
          <w:tab w:pos="1120" w:val="left" w:leader="none"/>
        </w:tabs>
        <w:spacing w:line="240" w:lineRule="auto" w:before="236" w:after="0"/>
        <w:ind w:left="1120" w:right="0" w:hanging="720"/>
        <w:jc w:val="both"/>
      </w:pPr>
      <w:r>
        <w:rPr/>
        <w:t>Determination</w:t>
      </w:r>
      <w:r>
        <w:rPr>
          <w:spacing w:val="-4"/>
        </w:rPr>
        <w:t> </w:t>
      </w:r>
      <w:r>
        <w:rPr/>
        <w:t>of</w:t>
      </w:r>
      <w:r>
        <w:rPr>
          <w:spacing w:val="-2"/>
        </w:rPr>
        <w:t> </w:t>
      </w:r>
      <w:r>
        <w:rPr/>
        <w:t>Sample</w:t>
      </w:r>
      <w:r>
        <w:rPr>
          <w:spacing w:val="-4"/>
        </w:rPr>
        <w:t> Size</w:t>
      </w:r>
    </w:p>
    <w:p>
      <w:pPr>
        <w:pStyle w:val="BodyText"/>
        <w:tabs>
          <w:tab w:pos="1073" w:val="left" w:leader="none"/>
        </w:tabs>
        <w:spacing w:line="602" w:lineRule="exact" w:before="11"/>
        <w:ind w:left="400" w:right="1667"/>
      </w:pPr>
      <w:r>
        <w:rPr/>
        <w:t>The</w:t>
      </w:r>
      <w:r>
        <w:rPr>
          <w:spacing w:val="-4"/>
        </w:rPr>
        <w:t> </w:t>
      </w:r>
      <w:r>
        <w:rPr/>
        <w:t>sample</w:t>
      </w:r>
      <w:r>
        <w:rPr>
          <w:spacing w:val="-4"/>
        </w:rPr>
        <w:t> </w:t>
      </w:r>
      <w:r>
        <w:rPr/>
        <w:t>size</w:t>
      </w:r>
      <w:r>
        <w:rPr>
          <w:spacing w:val="-4"/>
        </w:rPr>
        <w:t> </w:t>
      </w:r>
      <w:r>
        <w:rPr/>
        <w:t>for</w:t>
      </w:r>
      <w:r>
        <w:rPr>
          <w:spacing w:val="-4"/>
        </w:rPr>
        <w:t> </w:t>
      </w:r>
      <w:r>
        <w:rPr/>
        <w:t>this</w:t>
      </w:r>
      <w:r>
        <w:rPr>
          <w:spacing w:val="-3"/>
        </w:rPr>
        <w:t> </w:t>
      </w:r>
      <w:r>
        <w:rPr/>
        <w:t>study</w:t>
      </w:r>
      <w:r>
        <w:rPr>
          <w:spacing w:val="-8"/>
        </w:rPr>
        <w:t> </w:t>
      </w:r>
      <w:r>
        <w:rPr/>
        <w:t>was</w:t>
      </w:r>
      <w:r>
        <w:rPr>
          <w:spacing w:val="-3"/>
        </w:rPr>
        <w:t> </w:t>
      </w:r>
      <w:r>
        <w:rPr/>
        <w:t>determined</w:t>
      </w:r>
      <w:r>
        <w:rPr>
          <w:spacing w:val="-3"/>
        </w:rPr>
        <w:t> </w:t>
      </w:r>
      <w:r>
        <w:rPr/>
        <w:t>using</w:t>
      </w:r>
      <w:r>
        <w:rPr>
          <w:spacing w:val="-6"/>
        </w:rPr>
        <w:t> </w:t>
      </w:r>
      <w:r>
        <w:rPr/>
        <w:t>Taro</w:t>
      </w:r>
      <w:r>
        <w:rPr>
          <w:spacing w:val="-3"/>
        </w:rPr>
        <w:t> </w:t>
      </w:r>
      <w:r>
        <w:rPr/>
        <w:t>Yamane’s formula,</w:t>
      </w:r>
      <w:r>
        <w:rPr>
          <w:spacing w:val="-3"/>
        </w:rPr>
        <w:t> </w:t>
      </w:r>
      <w:r>
        <w:rPr/>
        <w:t>Yamane</w:t>
      </w:r>
      <w:r>
        <w:rPr>
          <w:spacing w:val="-2"/>
        </w:rPr>
        <w:t> </w:t>
      </w:r>
      <w:r>
        <w:rPr/>
        <w:t>(1978) n =</w:t>
        <w:tab/>
      </w:r>
      <w:r>
        <w:rPr>
          <w:position w:val="-20"/>
        </w:rPr>
        <w:drawing>
          <wp:inline distT="0" distB="0" distL="0" distR="0">
            <wp:extent cx="439419" cy="304799"/>
            <wp:effectExtent l="0" t="0" r="0" b="0"/>
            <wp:docPr id="276" name="Image 276" descr=""/>
            <wp:cNvGraphicFramePr>
              <a:graphicFrameLocks/>
            </wp:cNvGraphicFramePr>
            <a:graphic>
              <a:graphicData uri="http://schemas.openxmlformats.org/drawingml/2006/picture">
                <pic:pic>
                  <pic:nvPicPr>
                    <pic:cNvPr id="276" name="Image 276" descr=""/>
                    <pic:cNvPicPr/>
                  </pic:nvPicPr>
                  <pic:blipFill>
                    <a:blip r:embed="rId18" cstate="print"/>
                    <a:stretch>
                      <a:fillRect/>
                    </a:stretch>
                  </pic:blipFill>
                  <pic:spPr>
                    <a:xfrm>
                      <a:off x="0" y="0"/>
                      <a:ext cx="439419" cy="304799"/>
                    </a:xfrm>
                    <a:prstGeom prst="rect">
                      <a:avLst/>
                    </a:prstGeom>
                  </pic:spPr>
                </pic:pic>
              </a:graphicData>
            </a:graphic>
          </wp:inline>
        </w:drawing>
      </w:r>
      <w:r>
        <w:rPr>
          <w:position w:val="-20"/>
        </w:rPr>
      </w:r>
    </w:p>
    <w:p>
      <w:pPr>
        <w:pStyle w:val="BodyText"/>
        <w:spacing w:before="85"/>
      </w:pPr>
    </w:p>
    <w:p>
      <w:pPr>
        <w:pStyle w:val="BodyText"/>
        <w:spacing w:line="480" w:lineRule="auto"/>
        <w:ind w:left="400" w:right="8443"/>
      </w:pPr>
      <w:r>
        <w:rPr/>
        <w:t>When</w:t>
      </w:r>
      <w:r>
        <w:rPr>
          <w:spacing w:val="-9"/>
        </w:rPr>
        <w:t> </w:t>
      </w:r>
      <w:r>
        <w:rPr/>
        <w:t>n</w:t>
      </w:r>
      <w:r>
        <w:rPr>
          <w:spacing w:val="-9"/>
        </w:rPr>
        <w:t> </w:t>
      </w:r>
      <w:r>
        <w:rPr/>
        <w:t>=</w:t>
      </w:r>
      <w:r>
        <w:rPr>
          <w:spacing w:val="-10"/>
        </w:rPr>
        <w:t> </w:t>
      </w:r>
      <w:r>
        <w:rPr/>
        <w:t>sample</w:t>
      </w:r>
      <w:r>
        <w:rPr>
          <w:spacing w:val="-10"/>
        </w:rPr>
        <w:t> </w:t>
      </w:r>
      <w:r>
        <w:rPr/>
        <w:t>size N = population</w:t>
      </w:r>
    </w:p>
    <w:p>
      <w:pPr>
        <w:pStyle w:val="BodyText"/>
        <w:spacing w:line="480" w:lineRule="auto" w:before="1"/>
        <w:ind w:left="400" w:right="7260"/>
      </w:pPr>
      <w:r>
        <w:rPr/>
        <w:t>e</w:t>
      </w:r>
      <w:r>
        <w:rPr>
          <w:vertAlign w:val="superscript"/>
        </w:rPr>
        <w:t>2</w:t>
      </w:r>
      <w:r>
        <w:rPr>
          <w:spacing w:val="-6"/>
          <w:vertAlign w:val="baseline"/>
        </w:rPr>
        <w:t> </w:t>
      </w:r>
      <w:r>
        <w:rPr>
          <w:vertAlign w:val="baseline"/>
        </w:rPr>
        <w:t>=</w:t>
      </w:r>
      <w:r>
        <w:rPr>
          <w:spacing w:val="-7"/>
          <w:vertAlign w:val="baseline"/>
        </w:rPr>
        <w:t> </w:t>
      </w:r>
      <w:r>
        <w:rPr>
          <w:vertAlign w:val="baseline"/>
        </w:rPr>
        <w:t>Margin</w:t>
      </w:r>
      <w:r>
        <w:rPr>
          <w:spacing w:val="-7"/>
          <w:vertAlign w:val="baseline"/>
        </w:rPr>
        <w:t> </w:t>
      </w:r>
      <w:r>
        <w:rPr>
          <w:vertAlign w:val="baseline"/>
        </w:rPr>
        <w:t>of</w:t>
      </w:r>
      <w:r>
        <w:rPr>
          <w:spacing w:val="-7"/>
          <w:vertAlign w:val="baseline"/>
        </w:rPr>
        <w:t> </w:t>
      </w:r>
      <w:r>
        <w:rPr>
          <w:vertAlign w:val="baseline"/>
        </w:rPr>
        <w:t>error</w:t>
      </w:r>
      <w:r>
        <w:rPr>
          <w:spacing w:val="-7"/>
          <w:vertAlign w:val="baseline"/>
        </w:rPr>
        <w:t> </w:t>
      </w:r>
      <w:r>
        <w:rPr>
          <w:vertAlign w:val="baseline"/>
        </w:rPr>
        <w:t>(assumed</w:t>
      </w:r>
      <w:r>
        <w:rPr>
          <w:spacing w:val="-7"/>
          <w:vertAlign w:val="baseline"/>
        </w:rPr>
        <w:t> </w:t>
      </w:r>
      <w:r>
        <w:rPr>
          <w:vertAlign w:val="baseline"/>
        </w:rPr>
        <w:t>5%) 1 = unity or constant</w:t>
      </w:r>
    </w:p>
    <w:p>
      <w:pPr>
        <w:spacing w:after="0" w:line="480" w:lineRule="auto"/>
        <w:sectPr>
          <w:pgSz w:w="12240" w:h="15840"/>
          <w:pgMar w:header="0" w:footer="1017" w:top="1360" w:bottom="1200" w:left="1040" w:right="120"/>
        </w:sectPr>
      </w:pPr>
    </w:p>
    <w:p>
      <w:pPr>
        <w:pStyle w:val="BodyText"/>
        <w:spacing w:before="62"/>
        <w:ind w:left="400"/>
      </w:pPr>
      <w:r>
        <w:rPr/>
        <w:drawing>
          <wp:anchor distT="0" distB="0" distL="0" distR="0" allowOverlap="1" layoutInCell="1" locked="0" behindDoc="0" simplePos="0" relativeHeight="15752704">
            <wp:simplePos x="0" y="0"/>
            <wp:positionH relativeFrom="page">
              <wp:posOffset>1677669</wp:posOffset>
            </wp:positionH>
            <wp:positionV relativeFrom="paragraph">
              <wp:posOffset>11429</wp:posOffset>
            </wp:positionV>
            <wp:extent cx="771524" cy="304799"/>
            <wp:effectExtent l="0" t="0" r="0" b="0"/>
            <wp:wrapNone/>
            <wp:docPr id="277" name="Image 277" descr=""/>
            <wp:cNvGraphicFramePr>
              <a:graphicFrameLocks/>
            </wp:cNvGraphicFramePr>
            <a:graphic>
              <a:graphicData uri="http://schemas.openxmlformats.org/drawingml/2006/picture">
                <pic:pic>
                  <pic:nvPicPr>
                    <pic:cNvPr id="277" name="Image 277" descr=""/>
                    <pic:cNvPicPr/>
                  </pic:nvPicPr>
                  <pic:blipFill>
                    <a:blip r:embed="rId19" cstate="print"/>
                    <a:stretch>
                      <a:fillRect/>
                    </a:stretch>
                  </pic:blipFill>
                  <pic:spPr>
                    <a:xfrm>
                      <a:off x="0" y="0"/>
                      <a:ext cx="771524" cy="304799"/>
                    </a:xfrm>
                    <a:prstGeom prst="rect">
                      <a:avLst/>
                    </a:prstGeom>
                  </pic:spPr>
                </pic:pic>
              </a:graphicData>
            </a:graphic>
          </wp:anchor>
        </w:drawing>
      </w:r>
      <w:r>
        <w:rPr/>
        <w:t>Therefore</w:t>
      </w:r>
      <w:r>
        <w:rPr>
          <w:spacing w:val="-3"/>
        </w:rPr>
        <w:t> </w:t>
      </w:r>
      <w:r>
        <w:rPr>
          <w:spacing w:val="-10"/>
        </w:rPr>
        <w:t>=</w:t>
      </w:r>
    </w:p>
    <w:p>
      <w:pPr>
        <w:pStyle w:val="BodyText"/>
        <w:spacing w:before="182"/>
        <w:rPr>
          <w:sz w:val="20"/>
        </w:rPr>
      </w:pPr>
      <w:r>
        <w:rPr/>
        <w:drawing>
          <wp:anchor distT="0" distB="0" distL="0" distR="0" allowOverlap="1" layoutInCell="1" locked="0" behindDoc="1" simplePos="0" relativeHeight="487610880">
            <wp:simplePos x="0" y="0"/>
            <wp:positionH relativeFrom="page">
              <wp:posOffset>914399</wp:posOffset>
            </wp:positionH>
            <wp:positionV relativeFrom="paragraph">
              <wp:posOffset>276874</wp:posOffset>
            </wp:positionV>
            <wp:extent cx="905510" cy="304800"/>
            <wp:effectExtent l="0" t="0" r="0" b="0"/>
            <wp:wrapTopAndBottom/>
            <wp:docPr id="278" name="Image 278" descr=""/>
            <wp:cNvGraphicFramePr>
              <a:graphicFrameLocks/>
            </wp:cNvGraphicFramePr>
            <a:graphic>
              <a:graphicData uri="http://schemas.openxmlformats.org/drawingml/2006/picture">
                <pic:pic>
                  <pic:nvPicPr>
                    <pic:cNvPr id="278" name="Image 278" descr=""/>
                    <pic:cNvPicPr/>
                  </pic:nvPicPr>
                  <pic:blipFill>
                    <a:blip r:embed="rId20" cstate="print"/>
                    <a:stretch>
                      <a:fillRect/>
                    </a:stretch>
                  </pic:blipFill>
                  <pic:spPr>
                    <a:xfrm>
                      <a:off x="0" y="0"/>
                      <a:ext cx="905510" cy="304800"/>
                    </a:xfrm>
                    <a:prstGeom prst="rect">
                      <a:avLst/>
                    </a:prstGeom>
                  </pic:spPr>
                </pic:pic>
              </a:graphicData>
            </a:graphic>
          </wp:anchor>
        </w:drawing>
      </w:r>
      <w:r>
        <w:rPr/>
        <w:drawing>
          <wp:anchor distT="0" distB="0" distL="0" distR="0" allowOverlap="1" layoutInCell="1" locked="0" behindDoc="1" simplePos="0" relativeHeight="487611392">
            <wp:simplePos x="0" y="0"/>
            <wp:positionH relativeFrom="page">
              <wp:posOffset>914399</wp:posOffset>
            </wp:positionH>
            <wp:positionV relativeFrom="paragraph">
              <wp:posOffset>756934</wp:posOffset>
            </wp:positionV>
            <wp:extent cx="580390" cy="371475"/>
            <wp:effectExtent l="0" t="0" r="0" b="0"/>
            <wp:wrapTopAndBottom/>
            <wp:docPr id="279" name="Image 279" descr=""/>
            <wp:cNvGraphicFramePr>
              <a:graphicFrameLocks/>
            </wp:cNvGraphicFramePr>
            <a:graphic>
              <a:graphicData uri="http://schemas.openxmlformats.org/drawingml/2006/picture">
                <pic:pic>
                  <pic:nvPicPr>
                    <pic:cNvPr id="279" name="Image 279" descr=""/>
                    <pic:cNvPicPr/>
                  </pic:nvPicPr>
                  <pic:blipFill>
                    <a:blip r:embed="rId21" cstate="print"/>
                    <a:stretch>
                      <a:fillRect/>
                    </a:stretch>
                  </pic:blipFill>
                  <pic:spPr>
                    <a:xfrm>
                      <a:off x="0" y="0"/>
                      <a:ext cx="580390" cy="371475"/>
                    </a:xfrm>
                    <a:prstGeom prst="rect">
                      <a:avLst/>
                    </a:prstGeom>
                  </pic:spPr>
                </pic:pic>
              </a:graphicData>
            </a:graphic>
          </wp:anchor>
        </w:drawing>
      </w:r>
    </w:p>
    <w:p>
      <w:pPr>
        <w:pStyle w:val="BodyText"/>
        <w:spacing w:before="22"/>
        <w:rPr>
          <w:sz w:val="20"/>
        </w:rPr>
      </w:pPr>
    </w:p>
    <w:p>
      <w:pPr>
        <w:pStyle w:val="BodyText"/>
        <w:spacing w:before="47"/>
      </w:pPr>
    </w:p>
    <w:p>
      <w:pPr>
        <w:pStyle w:val="BodyText"/>
        <w:ind w:left="1120"/>
      </w:pPr>
      <w:r>
        <w:rPr/>
        <w:drawing>
          <wp:anchor distT="0" distB="0" distL="0" distR="0" allowOverlap="1" layoutInCell="1" locked="0" behindDoc="0" simplePos="0" relativeHeight="15753216">
            <wp:simplePos x="0" y="0"/>
            <wp:positionH relativeFrom="page">
              <wp:posOffset>914399</wp:posOffset>
            </wp:positionH>
            <wp:positionV relativeFrom="paragraph">
              <wp:posOffset>-29831</wp:posOffset>
            </wp:positionV>
            <wp:extent cx="248284" cy="286384"/>
            <wp:effectExtent l="0" t="0" r="0" b="0"/>
            <wp:wrapNone/>
            <wp:docPr id="280" name="Image 280" descr=""/>
            <wp:cNvGraphicFramePr>
              <a:graphicFrameLocks/>
            </wp:cNvGraphicFramePr>
            <a:graphic>
              <a:graphicData uri="http://schemas.openxmlformats.org/drawingml/2006/picture">
                <pic:pic>
                  <pic:nvPicPr>
                    <pic:cNvPr id="280" name="Image 280" descr=""/>
                    <pic:cNvPicPr/>
                  </pic:nvPicPr>
                  <pic:blipFill>
                    <a:blip r:embed="rId22" cstate="print"/>
                    <a:stretch>
                      <a:fillRect/>
                    </a:stretch>
                  </pic:blipFill>
                  <pic:spPr>
                    <a:xfrm>
                      <a:off x="0" y="0"/>
                      <a:ext cx="248284" cy="286384"/>
                    </a:xfrm>
                    <a:prstGeom prst="rect">
                      <a:avLst/>
                    </a:prstGeom>
                  </pic:spPr>
                </pic:pic>
              </a:graphicData>
            </a:graphic>
          </wp:anchor>
        </w:drawing>
      </w:r>
      <w:r>
        <w:rPr/>
        <w:t>=</w:t>
      </w:r>
      <w:r>
        <w:rPr>
          <w:spacing w:val="-1"/>
        </w:rPr>
        <w:t> </w:t>
      </w:r>
      <w:r>
        <w:rPr>
          <w:spacing w:val="-5"/>
        </w:rPr>
        <w:t>328</w:t>
      </w:r>
    </w:p>
    <w:p>
      <w:pPr>
        <w:pStyle w:val="BodyText"/>
        <w:spacing w:before="120"/>
      </w:pPr>
    </w:p>
    <w:p>
      <w:pPr>
        <w:pStyle w:val="BodyText"/>
        <w:ind w:left="400"/>
      </w:pPr>
      <w:r>
        <w:rPr/>
        <w:t>The</w:t>
      </w:r>
      <w:r>
        <w:rPr>
          <w:spacing w:val="-4"/>
        </w:rPr>
        <w:t> </w:t>
      </w:r>
      <w:r>
        <w:rPr/>
        <w:t>sample</w:t>
      </w:r>
      <w:r>
        <w:rPr>
          <w:spacing w:val="-1"/>
        </w:rPr>
        <w:t> </w:t>
      </w:r>
      <w:r>
        <w:rPr/>
        <w:t>size</w:t>
      </w:r>
      <w:r>
        <w:rPr>
          <w:spacing w:val="-2"/>
        </w:rPr>
        <w:t> </w:t>
      </w:r>
      <w:r>
        <w:rPr/>
        <w:t>of</w:t>
      </w:r>
      <w:r>
        <w:rPr>
          <w:spacing w:val="-1"/>
        </w:rPr>
        <w:t> </w:t>
      </w:r>
      <w:r>
        <w:rPr/>
        <w:t>328</w:t>
      </w:r>
      <w:r>
        <w:rPr>
          <w:spacing w:val="1"/>
        </w:rPr>
        <w:t> </w:t>
      </w:r>
      <w:r>
        <w:rPr/>
        <w:t>was adopted</w:t>
      </w:r>
      <w:r>
        <w:rPr>
          <w:spacing w:val="-1"/>
        </w:rPr>
        <w:t> </w:t>
      </w:r>
      <w:r>
        <w:rPr/>
        <w:t>for</w:t>
      </w:r>
      <w:r>
        <w:rPr>
          <w:spacing w:val="-1"/>
        </w:rPr>
        <w:t> </w:t>
      </w:r>
      <w:r>
        <w:rPr/>
        <w:t>this </w:t>
      </w:r>
      <w:r>
        <w:rPr>
          <w:spacing w:val="-2"/>
        </w:rPr>
        <w:t>study.</w:t>
      </w:r>
    </w:p>
    <w:p>
      <w:pPr>
        <w:pStyle w:val="BodyText"/>
      </w:pPr>
    </w:p>
    <w:p>
      <w:pPr>
        <w:pStyle w:val="BodyText"/>
      </w:pPr>
    </w:p>
    <w:p>
      <w:pPr>
        <w:pStyle w:val="BodyText"/>
        <w:spacing w:before="5"/>
      </w:pPr>
    </w:p>
    <w:p>
      <w:pPr>
        <w:spacing w:before="0"/>
        <w:ind w:left="400" w:right="0" w:firstLine="0"/>
        <w:jc w:val="left"/>
        <w:rPr>
          <w:b/>
          <w:sz w:val="24"/>
        </w:rPr>
      </w:pPr>
      <w:r>
        <w:rPr>
          <w:b/>
          <w:sz w:val="24"/>
        </w:rPr>
        <w:t>Table</w:t>
      </w:r>
      <w:r>
        <w:rPr>
          <w:b/>
          <w:spacing w:val="-3"/>
          <w:sz w:val="24"/>
        </w:rPr>
        <w:t> </w:t>
      </w:r>
      <w:r>
        <w:rPr>
          <w:b/>
          <w:sz w:val="24"/>
        </w:rPr>
        <w:t>4.2</w:t>
      </w:r>
      <w:r>
        <w:rPr>
          <w:b/>
          <w:spacing w:val="-2"/>
          <w:sz w:val="24"/>
        </w:rPr>
        <w:t> </w:t>
      </w:r>
      <w:r>
        <w:rPr>
          <w:b/>
          <w:sz w:val="24"/>
        </w:rPr>
        <w:t>Distribution</w:t>
      </w:r>
      <w:r>
        <w:rPr>
          <w:b/>
          <w:spacing w:val="-2"/>
          <w:sz w:val="24"/>
        </w:rPr>
        <w:t> </w:t>
      </w:r>
      <w:r>
        <w:rPr>
          <w:b/>
          <w:sz w:val="24"/>
        </w:rPr>
        <w:t>of </w:t>
      </w:r>
      <w:r>
        <w:rPr>
          <w:b/>
          <w:spacing w:val="-2"/>
          <w:sz w:val="24"/>
        </w:rPr>
        <w:t>Questionnaire</w:t>
      </w:r>
    </w:p>
    <w:p>
      <w:pPr>
        <w:pStyle w:val="BodyText"/>
        <w:spacing w:before="49"/>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1399"/>
        <w:gridCol w:w="2057"/>
        <w:gridCol w:w="1937"/>
        <w:gridCol w:w="2288"/>
      </w:tblGrid>
      <w:tr>
        <w:trPr>
          <w:trHeight w:val="792" w:hRule="atLeast"/>
        </w:trPr>
        <w:tc>
          <w:tcPr>
            <w:tcW w:w="1892" w:type="dxa"/>
            <w:shd w:val="clear" w:color="auto" w:fill="D6E3BC"/>
          </w:tcPr>
          <w:p>
            <w:pPr>
              <w:pStyle w:val="TableParagraph"/>
              <w:spacing w:before="116"/>
              <w:ind w:left="108"/>
              <w:rPr>
                <w:b/>
                <w:sz w:val="24"/>
              </w:rPr>
            </w:pPr>
            <w:r>
              <w:rPr>
                <w:b/>
                <w:spacing w:val="-2"/>
                <w:sz w:val="24"/>
              </w:rPr>
              <w:t>Group</w:t>
            </w:r>
          </w:p>
        </w:tc>
        <w:tc>
          <w:tcPr>
            <w:tcW w:w="1399" w:type="dxa"/>
            <w:shd w:val="clear" w:color="auto" w:fill="D6E3BC"/>
          </w:tcPr>
          <w:p>
            <w:pPr>
              <w:pStyle w:val="TableParagraph"/>
              <w:spacing w:before="116"/>
              <w:ind w:left="200"/>
              <w:rPr>
                <w:b/>
                <w:sz w:val="24"/>
              </w:rPr>
            </w:pPr>
            <w:r>
              <w:rPr>
                <w:b/>
                <w:spacing w:val="-4"/>
                <w:sz w:val="24"/>
              </w:rPr>
              <w:t>Abia</w:t>
            </w:r>
          </w:p>
        </w:tc>
        <w:tc>
          <w:tcPr>
            <w:tcW w:w="2057" w:type="dxa"/>
            <w:shd w:val="clear" w:color="auto" w:fill="D6E3BC"/>
          </w:tcPr>
          <w:p>
            <w:pPr>
              <w:pStyle w:val="TableParagraph"/>
              <w:spacing w:before="116"/>
              <w:ind w:left="705"/>
              <w:rPr>
                <w:b/>
                <w:sz w:val="24"/>
              </w:rPr>
            </w:pPr>
            <w:r>
              <w:rPr>
                <w:b/>
                <w:spacing w:val="-2"/>
                <w:sz w:val="24"/>
              </w:rPr>
              <w:t>Ebonyi</w:t>
            </w:r>
          </w:p>
        </w:tc>
        <w:tc>
          <w:tcPr>
            <w:tcW w:w="1937" w:type="dxa"/>
            <w:shd w:val="clear" w:color="auto" w:fill="D6E3BC"/>
          </w:tcPr>
          <w:p>
            <w:pPr>
              <w:pStyle w:val="TableParagraph"/>
              <w:spacing w:before="116"/>
              <w:ind w:left="618"/>
              <w:rPr>
                <w:b/>
                <w:sz w:val="24"/>
              </w:rPr>
            </w:pPr>
            <w:r>
              <w:rPr>
                <w:b/>
                <w:spacing w:val="-2"/>
                <w:sz w:val="24"/>
              </w:rPr>
              <w:t>Enugu</w:t>
            </w:r>
          </w:p>
        </w:tc>
        <w:tc>
          <w:tcPr>
            <w:tcW w:w="2288" w:type="dxa"/>
            <w:shd w:val="clear" w:color="auto" w:fill="D6E3BC"/>
          </w:tcPr>
          <w:p>
            <w:pPr>
              <w:pStyle w:val="TableParagraph"/>
              <w:spacing w:before="116"/>
              <w:ind w:left="639"/>
              <w:rPr>
                <w:b/>
                <w:sz w:val="24"/>
              </w:rPr>
            </w:pPr>
            <w:r>
              <w:rPr>
                <w:b/>
                <w:spacing w:val="-2"/>
                <w:sz w:val="24"/>
              </w:rPr>
              <w:t>Total</w:t>
            </w:r>
          </w:p>
        </w:tc>
      </w:tr>
      <w:tr>
        <w:trPr>
          <w:trHeight w:val="791" w:hRule="atLeast"/>
        </w:trPr>
        <w:tc>
          <w:tcPr>
            <w:tcW w:w="1892" w:type="dxa"/>
          </w:tcPr>
          <w:p>
            <w:pPr>
              <w:pStyle w:val="TableParagraph"/>
              <w:spacing w:before="116"/>
              <w:ind w:left="108"/>
              <w:rPr>
                <w:b/>
                <w:sz w:val="24"/>
              </w:rPr>
            </w:pPr>
            <w:r>
              <w:rPr>
                <w:b/>
                <w:sz w:val="24"/>
              </w:rPr>
              <w:t>Staff</w:t>
            </w:r>
            <w:r>
              <w:rPr>
                <w:b/>
                <w:spacing w:val="-1"/>
                <w:sz w:val="24"/>
              </w:rPr>
              <w:t> </w:t>
            </w:r>
            <w:r>
              <w:rPr>
                <w:b/>
                <w:sz w:val="24"/>
              </w:rPr>
              <w:t>of</w:t>
            </w:r>
            <w:r>
              <w:rPr>
                <w:b/>
                <w:spacing w:val="-2"/>
                <w:sz w:val="24"/>
              </w:rPr>
              <w:t> </w:t>
            </w:r>
            <w:r>
              <w:rPr>
                <w:b/>
                <w:spacing w:val="-4"/>
                <w:sz w:val="24"/>
              </w:rPr>
              <w:t>SMCFs</w:t>
            </w:r>
          </w:p>
        </w:tc>
        <w:tc>
          <w:tcPr>
            <w:tcW w:w="1399" w:type="dxa"/>
          </w:tcPr>
          <w:p>
            <w:pPr>
              <w:pStyle w:val="TableParagraph"/>
              <w:spacing w:before="116"/>
              <w:ind w:left="200"/>
              <w:rPr>
                <w:b/>
                <w:sz w:val="24"/>
              </w:rPr>
            </w:pPr>
            <w:r>
              <w:rPr>
                <w:b/>
                <w:spacing w:val="-5"/>
                <w:sz w:val="24"/>
              </w:rPr>
              <w:t>112</w:t>
            </w:r>
          </w:p>
        </w:tc>
        <w:tc>
          <w:tcPr>
            <w:tcW w:w="2057" w:type="dxa"/>
          </w:tcPr>
          <w:p>
            <w:pPr>
              <w:pStyle w:val="TableParagraph"/>
              <w:spacing w:before="116"/>
              <w:ind w:left="705"/>
              <w:rPr>
                <w:b/>
                <w:sz w:val="24"/>
              </w:rPr>
            </w:pPr>
            <w:r>
              <w:rPr>
                <w:b/>
                <w:spacing w:val="-5"/>
                <w:sz w:val="24"/>
              </w:rPr>
              <w:t>82</w:t>
            </w:r>
          </w:p>
        </w:tc>
        <w:tc>
          <w:tcPr>
            <w:tcW w:w="1937" w:type="dxa"/>
          </w:tcPr>
          <w:p>
            <w:pPr>
              <w:pStyle w:val="TableParagraph"/>
              <w:spacing w:before="116"/>
              <w:ind w:left="618"/>
              <w:rPr>
                <w:b/>
                <w:sz w:val="24"/>
              </w:rPr>
            </w:pPr>
            <w:r>
              <w:rPr>
                <w:b/>
                <w:spacing w:val="-5"/>
                <w:sz w:val="24"/>
              </w:rPr>
              <w:t>134</w:t>
            </w:r>
          </w:p>
        </w:tc>
        <w:tc>
          <w:tcPr>
            <w:tcW w:w="2288" w:type="dxa"/>
          </w:tcPr>
          <w:p>
            <w:pPr>
              <w:pStyle w:val="TableParagraph"/>
              <w:spacing w:before="116"/>
              <w:ind w:left="639"/>
              <w:rPr>
                <w:b/>
                <w:sz w:val="24"/>
              </w:rPr>
            </w:pPr>
            <w:r>
              <w:rPr>
                <w:b/>
                <w:spacing w:val="-5"/>
                <w:sz w:val="24"/>
              </w:rPr>
              <w:t>328</w:t>
            </w:r>
          </w:p>
        </w:tc>
      </w:tr>
      <w:tr>
        <w:trPr>
          <w:trHeight w:val="792" w:hRule="atLeast"/>
        </w:trPr>
        <w:tc>
          <w:tcPr>
            <w:tcW w:w="1892" w:type="dxa"/>
            <w:shd w:val="clear" w:color="auto" w:fill="D6E3BC"/>
          </w:tcPr>
          <w:p>
            <w:pPr>
              <w:pStyle w:val="TableParagraph"/>
              <w:spacing w:before="116"/>
              <w:ind w:left="108"/>
              <w:rPr>
                <w:b/>
                <w:sz w:val="24"/>
              </w:rPr>
            </w:pPr>
            <w:r>
              <w:rPr>
                <w:b/>
                <w:spacing w:val="-10"/>
                <w:sz w:val="24"/>
              </w:rPr>
              <w:t>%</w:t>
            </w:r>
          </w:p>
        </w:tc>
        <w:tc>
          <w:tcPr>
            <w:tcW w:w="1399" w:type="dxa"/>
            <w:shd w:val="clear" w:color="auto" w:fill="D6E3BC"/>
          </w:tcPr>
          <w:p>
            <w:pPr>
              <w:pStyle w:val="TableParagraph"/>
              <w:spacing w:before="116"/>
              <w:ind w:left="200"/>
              <w:rPr>
                <w:b/>
                <w:sz w:val="24"/>
              </w:rPr>
            </w:pPr>
            <w:r>
              <w:rPr>
                <w:b/>
                <w:spacing w:val="-5"/>
                <w:sz w:val="24"/>
              </w:rPr>
              <w:t>34</w:t>
            </w:r>
          </w:p>
        </w:tc>
        <w:tc>
          <w:tcPr>
            <w:tcW w:w="2057" w:type="dxa"/>
            <w:shd w:val="clear" w:color="auto" w:fill="D6E3BC"/>
          </w:tcPr>
          <w:p>
            <w:pPr>
              <w:pStyle w:val="TableParagraph"/>
              <w:spacing w:before="116"/>
              <w:ind w:left="705"/>
              <w:rPr>
                <w:b/>
                <w:sz w:val="24"/>
              </w:rPr>
            </w:pPr>
            <w:r>
              <w:rPr>
                <w:b/>
                <w:spacing w:val="-5"/>
                <w:sz w:val="24"/>
              </w:rPr>
              <w:t>25</w:t>
            </w:r>
          </w:p>
        </w:tc>
        <w:tc>
          <w:tcPr>
            <w:tcW w:w="1937" w:type="dxa"/>
            <w:shd w:val="clear" w:color="auto" w:fill="D6E3BC"/>
          </w:tcPr>
          <w:p>
            <w:pPr>
              <w:pStyle w:val="TableParagraph"/>
              <w:spacing w:before="116"/>
              <w:ind w:left="618"/>
              <w:rPr>
                <w:b/>
                <w:sz w:val="24"/>
              </w:rPr>
            </w:pPr>
            <w:r>
              <w:rPr>
                <w:b/>
                <w:spacing w:val="-5"/>
                <w:sz w:val="24"/>
              </w:rPr>
              <w:t>41</w:t>
            </w:r>
          </w:p>
        </w:tc>
        <w:tc>
          <w:tcPr>
            <w:tcW w:w="2288" w:type="dxa"/>
            <w:shd w:val="clear" w:color="auto" w:fill="D6E3BC"/>
          </w:tcPr>
          <w:p>
            <w:pPr>
              <w:pStyle w:val="TableParagraph"/>
              <w:spacing w:before="116"/>
              <w:ind w:left="639"/>
              <w:rPr>
                <w:b/>
                <w:sz w:val="24"/>
              </w:rPr>
            </w:pPr>
            <w:r>
              <w:rPr>
                <w:b/>
                <w:spacing w:val="-5"/>
                <w:sz w:val="24"/>
              </w:rPr>
              <w:t>100</w:t>
            </w:r>
          </w:p>
        </w:tc>
      </w:tr>
    </w:tbl>
    <w:p>
      <w:pPr>
        <w:spacing w:before="0"/>
        <w:ind w:left="400" w:right="0" w:firstLine="0"/>
        <w:jc w:val="left"/>
        <w:rPr>
          <w:b/>
          <w:sz w:val="24"/>
        </w:rPr>
      </w:pPr>
      <w:r>
        <w:rPr>
          <w:b/>
          <w:sz w:val="24"/>
        </w:rPr>
        <w:t>Source:</w:t>
      </w:r>
      <w:r>
        <w:rPr>
          <w:b/>
          <w:spacing w:val="-3"/>
          <w:sz w:val="24"/>
        </w:rPr>
        <w:t> </w:t>
      </w:r>
      <w:r>
        <w:rPr>
          <w:b/>
          <w:sz w:val="24"/>
        </w:rPr>
        <w:t>Researcher’s</w:t>
      </w:r>
      <w:r>
        <w:rPr>
          <w:b/>
          <w:spacing w:val="-2"/>
          <w:sz w:val="24"/>
        </w:rPr>
        <w:t> </w:t>
      </w:r>
      <w:r>
        <w:rPr>
          <w:b/>
          <w:sz w:val="24"/>
        </w:rPr>
        <w:t>field</w:t>
      </w:r>
      <w:r>
        <w:rPr>
          <w:b/>
          <w:spacing w:val="-2"/>
          <w:sz w:val="24"/>
        </w:rPr>
        <w:t> </w:t>
      </w:r>
      <w:r>
        <w:rPr>
          <w:b/>
          <w:sz w:val="24"/>
        </w:rPr>
        <w:t>study</w:t>
      </w:r>
      <w:r>
        <w:rPr>
          <w:b/>
          <w:spacing w:val="-2"/>
          <w:sz w:val="24"/>
        </w:rPr>
        <w:t> (2018)</w:t>
      </w:r>
    </w:p>
    <w:p>
      <w:pPr>
        <w:pStyle w:val="BodyText"/>
        <w:spacing w:before="182"/>
        <w:rPr>
          <w:b/>
        </w:rPr>
      </w:pPr>
    </w:p>
    <w:p>
      <w:pPr>
        <w:pStyle w:val="ListParagraph"/>
        <w:numPr>
          <w:ilvl w:val="1"/>
          <w:numId w:val="34"/>
        </w:numPr>
        <w:tabs>
          <w:tab w:pos="1120" w:val="left" w:leader="none"/>
        </w:tabs>
        <w:spacing w:line="240" w:lineRule="auto" w:before="0" w:after="0"/>
        <w:ind w:left="1120" w:right="0" w:hanging="720"/>
        <w:jc w:val="both"/>
        <w:rPr>
          <w:b/>
          <w:sz w:val="24"/>
        </w:rPr>
      </w:pPr>
      <w:r>
        <w:rPr>
          <w:b/>
          <w:sz w:val="24"/>
        </w:rPr>
        <w:t>Method</w:t>
      </w:r>
      <w:r>
        <w:rPr>
          <w:b/>
          <w:spacing w:val="-2"/>
          <w:sz w:val="24"/>
        </w:rPr>
        <w:t> </w:t>
      </w:r>
      <w:r>
        <w:rPr>
          <w:b/>
          <w:sz w:val="24"/>
        </w:rPr>
        <w:t>of</w:t>
      </w:r>
      <w:r>
        <w:rPr>
          <w:b/>
          <w:spacing w:val="-1"/>
          <w:sz w:val="24"/>
        </w:rPr>
        <w:t> </w:t>
      </w:r>
      <w:r>
        <w:rPr>
          <w:b/>
          <w:sz w:val="24"/>
        </w:rPr>
        <w:t>Data</w:t>
      </w:r>
      <w:r>
        <w:rPr>
          <w:b/>
          <w:spacing w:val="-2"/>
          <w:sz w:val="24"/>
        </w:rPr>
        <w:t> </w:t>
      </w:r>
      <w:r>
        <w:rPr>
          <w:b/>
          <w:sz w:val="24"/>
        </w:rPr>
        <w:t>Presentation</w:t>
      </w:r>
      <w:r>
        <w:rPr>
          <w:b/>
          <w:spacing w:val="-2"/>
          <w:sz w:val="24"/>
        </w:rPr>
        <w:t> </w:t>
      </w:r>
      <w:r>
        <w:rPr>
          <w:b/>
          <w:sz w:val="24"/>
        </w:rPr>
        <w:t>and</w:t>
      </w:r>
      <w:r>
        <w:rPr>
          <w:b/>
          <w:spacing w:val="-1"/>
          <w:sz w:val="24"/>
        </w:rPr>
        <w:t> </w:t>
      </w:r>
      <w:r>
        <w:rPr>
          <w:b/>
          <w:spacing w:val="-2"/>
          <w:sz w:val="24"/>
        </w:rPr>
        <w:t>Analysis</w:t>
      </w:r>
    </w:p>
    <w:p>
      <w:pPr>
        <w:pStyle w:val="BodyText"/>
        <w:spacing w:line="480" w:lineRule="auto" w:before="272"/>
        <w:ind w:left="399" w:right="1317"/>
        <w:jc w:val="both"/>
      </w:pPr>
      <w:r>
        <w:rPr/>
        <w:t>Data collected for this research was analysed with the aid of Statistical Package for Social Science (SPSS) version 22 software and MS-Excel. In order to portray the results for better understanding, the data was presented in tables and charts. Furthermore, the data generated for this study</w:t>
      </w:r>
      <w:r>
        <w:rPr>
          <w:spacing w:val="-2"/>
        </w:rPr>
        <w:t> </w:t>
      </w:r>
      <w:r>
        <w:rPr/>
        <w:t>were analyzed with appropriate statistical techniques. The techniques included relative frequency distribution (percentages), mean score index, relative importance index, analysis of variance (ANOVA), student Z-test and Pearson Correlation Coefficient.</w:t>
      </w:r>
    </w:p>
    <w:p>
      <w:pPr>
        <w:tabs>
          <w:tab w:pos="1839" w:val="left" w:leader="none"/>
        </w:tabs>
        <w:spacing w:line="480" w:lineRule="auto" w:before="199"/>
        <w:ind w:left="399" w:right="1315" w:firstLine="0"/>
        <w:jc w:val="both"/>
        <w:rPr>
          <w:sz w:val="24"/>
        </w:rPr>
      </w:pPr>
      <w:r>
        <w:rPr>
          <w:b/>
          <w:sz w:val="24"/>
        </w:rPr>
        <w:t>4. 10.1</w:t>
        <w:tab/>
        <w:t>Relative frequency distribution: </w:t>
      </w:r>
      <w:r>
        <w:rPr>
          <w:sz w:val="24"/>
        </w:rPr>
        <w:t>This was used to answer questions raised in general</w:t>
      </w:r>
      <w:r>
        <w:rPr>
          <w:spacing w:val="-3"/>
          <w:sz w:val="24"/>
        </w:rPr>
        <w:t> </w:t>
      </w:r>
      <w:r>
        <w:rPr>
          <w:sz w:val="24"/>
        </w:rPr>
        <w:t>information</w:t>
      </w:r>
      <w:r>
        <w:rPr>
          <w:spacing w:val="-1"/>
          <w:sz w:val="24"/>
        </w:rPr>
        <w:t> </w:t>
      </w:r>
      <w:r>
        <w:rPr>
          <w:sz w:val="24"/>
        </w:rPr>
        <w:t>of</w:t>
      </w:r>
      <w:r>
        <w:rPr>
          <w:spacing w:val="-1"/>
          <w:sz w:val="24"/>
        </w:rPr>
        <w:t> </w:t>
      </w:r>
      <w:r>
        <w:rPr>
          <w:sz w:val="24"/>
        </w:rPr>
        <w:t>section</w:t>
      </w:r>
      <w:r>
        <w:rPr>
          <w:spacing w:val="-1"/>
          <w:sz w:val="24"/>
        </w:rPr>
        <w:t> </w:t>
      </w:r>
      <w:r>
        <w:rPr>
          <w:sz w:val="24"/>
        </w:rPr>
        <w:t>A</w:t>
      </w:r>
      <w:r>
        <w:rPr>
          <w:spacing w:val="-2"/>
          <w:sz w:val="24"/>
        </w:rPr>
        <w:t> </w:t>
      </w:r>
      <w:r>
        <w:rPr>
          <w:sz w:val="24"/>
        </w:rPr>
        <w:t>of</w:t>
      </w:r>
      <w:r>
        <w:rPr>
          <w:spacing w:val="-1"/>
          <w:sz w:val="24"/>
        </w:rPr>
        <w:t> </w:t>
      </w:r>
      <w:r>
        <w:rPr>
          <w:sz w:val="24"/>
        </w:rPr>
        <w:t>the</w:t>
      </w:r>
      <w:r>
        <w:rPr>
          <w:spacing w:val="-2"/>
          <w:sz w:val="24"/>
        </w:rPr>
        <w:t> </w:t>
      </w:r>
      <w:r>
        <w:rPr>
          <w:sz w:val="24"/>
        </w:rPr>
        <w:t>questionnaire. This</w:t>
      </w:r>
      <w:r>
        <w:rPr>
          <w:spacing w:val="-1"/>
          <w:sz w:val="24"/>
        </w:rPr>
        <w:t> </w:t>
      </w:r>
      <w:r>
        <w:rPr>
          <w:sz w:val="24"/>
        </w:rPr>
        <w:t>is</w:t>
      </w:r>
      <w:r>
        <w:rPr>
          <w:spacing w:val="-1"/>
          <w:sz w:val="24"/>
        </w:rPr>
        <w:t> </w:t>
      </w:r>
      <w:r>
        <w:rPr>
          <w:sz w:val="24"/>
        </w:rPr>
        <w:t>the</w:t>
      </w:r>
      <w:r>
        <w:rPr>
          <w:spacing w:val="-1"/>
          <w:sz w:val="24"/>
        </w:rPr>
        <w:t> </w:t>
      </w:r>
      <w:r>
        <w:rPr>
          <w:sz w:val="24"/>
        </w:rPr>
        <w:t>frequency</w:t>
      </w:r>
      <w:r>
        <w:rPr>
          <w:spacing w:val="-4"/>
          <w:sz w:val="24"/>
        </w:rPr>
        <w:t> </w:t>
      </w:r>
      <w:r>
        <w:rPr>
          <w:sz w:val="24"/>
        </w:rPr>
        <w:t>of</w:t>
      </w:r>
      <w:r>
        <w:rPr>
          <w:spacing w:val="-1"/>
          <w:sz w:val="24"/>
        </w:rPr>
        <w:t> </w:t>
      </w:r>
      <w:r>
        <w:rPr>
          <w:sz w:val="24"/>
        </w:rPr>
        <w:t>the</w:t>
      </w:r>
      <w:r>
        <w:rPr>
          <w:spacing w:val="-2"/>
          <w:sz w:val="24"/>
        </w:rPr>
        <w:t> </w:t>
      </w:r>
      <w:r>
        <w:rPr>
          <w:sz w:val="24"/>
        </w:rPr>
        <w:t>respondents </w:t>
      </w:r>
      <w:r>
        <w:rPr>
          <w:spacing w:val="-5"/>
          <w:sz w:val="24"/>
        </w:rPr>
        <w:t>on</w:t>
      </w:r>
    </w:p>
    <w:p>
      <w:pPr>
        <w:spacing w:after="0" w:line="480" w:lineRule="auto"/>
        <w:jc w:val="both"/>
        <w:rPr>
          <w:sz w:val="24"/>
        </w:rPr>
        <w:sectPr>
          <w:pgSz w:w="12240" w:h="15840"/>
          <w:pgMar w:header="0" w:footer="1017" w:top="1420" w:bottom="1200" w:left="1040" w:right="120"/>
        </w:sectPr>
      </w:pPr>
    </w:p>
    <w:p>
      <w:pPr>
        <w:pStyle w:val="BodyText"/>
        <w:spacing w:line="480" w:lineRule="auto" w:before="72"/>
        <w:ind w:left="400" w:right="1319"/>
        <w:jc w:val="both"/>
      </w:pPr>
      <w:r>
        <w:rPr/>
        <w:t>each factor divided by the total frequency of all the respondents. It is generally expressed as percentage or average.</w:t>
      </w:r>
    </w:p>
    <w:p>
      <w:pPr>
        <w:pStyle w:val="BodyText"/>
      </w:pPr>
    </w:p>
    <w:p>
      <w:pPr>
        <w:pStyle w:val="BodyText"/>
      </w:pPr>
    </w:p>
    <w:p>
      <w:pPr>
        <w:pStyle w:val="BodyText"/>
        <w:tabs>
          <w:tab w:pos="1839" w:val="left" w:leader="none"/>
        </w:tabs>
        <w:spacing w:line="480" w:lineRule="auto"/>
        <w:ind w:left="400" w:right="1319"/>
        <w:jc w:val="both"/>
      </w:pPr>
      <w:r>
        <w:rPr>
          <w:b/>
        </w:rPr>
        <w:t>4. 10 .2</w:t>
        <w:tab/>
        <w:t>Mean score</w:t>
      </w:r>
      <w:r>
        <w:rPr/>
        <w:t>: This method is used for ranking purposes such as in evaluating the critical success factors of TQM.</w:t>
      </w:r>
    </w:p>
    <w:p>
      <w:pPr>
        <w:pStyle w:val="BodyText"/>
      </w:pPr>
    </w:p>
    <w:p>
      <w:pPr>
        <w:pStyle w:val="BodyText"/>
      </w:pPr>
    </w:p>
    <w:p>
      <w:pPr>
        <w:pStyle w:val="BodyText"/>
        <w:tabs>
          <w:tab w:pos="1899" w:val="left" w:leader="none"/>
        </w:tabs>
        <w:spacing w:line="480" w:lineRule="auto"/>
        <w:ind w:left="399" w:right="1317"/>
        <w:jc w:val="both"/>
      </w:pPr>
      <w:r>
        <w:rPr>
          <w:b/>
        </w:rPr>
        <w:t>4. 10. 3</w:t>
        <w:tab/>
        <w:t>Standard deviation (SD); </w:t>
      </w:r>
      <w:r>
        <w:rPr/>
        <w:t>this is a measure of the spread of scores within a set</w:t>
      </w:r>
      <w:r>
        <w:rPr>
          <w:spacing w:val="40"/>
        </w:rPr>
        <w:t> </w:t>
      </w:r>
      <w:r>
        <w:rPr/>
        <w:t>of data. This method was used in evaluating</w:t>
      </w:r>
      <w:r>
        <w:rPr>
          <w:spacing w:val="-1"/>
        </w:rPr>
        <w:t> </w:t>
      </w:r>
      <w:r>
        <w:rPr/>
        <w:t>critical success factors, company</w:t>
      </w:r>
      <w:r>
        <w:rPr>
          <w:spacing w:val="-3"/>
        </w:rPr>
        <w:t> </w:t>
      </w:r>
      <w:r>
        <w:rPr/>
        <w:t>strategies (SWOT) and competitive advantages.</w:t>
      </w:r>
    </w:p>
    <w:p>
      <w:pPr>
        <w:spacing w:line="480" w:lineRule="auto" w:before="245"/>
        <w:ind w:left="551" w:right="2089" w:firstLine="0"/>
        <w:jc w:val="both"/>
        <w:rPr>
          <w:sz w:val="24"/>
        </w:rPr>
      </w:pPr>
      <w:r>
        <w:rPr>
          <w:b/>
          <w:sz w:val="24"/>
        </w:rPr>
        <w:t>4.</w:t>
      </w:r>
      <w:r>
        <w:rPr>
          <w:b/>
          <w:spacing w:val="-2"/>
          <w:sz w:val="24"/>
        </w:rPr>
        <w:t> </w:t>
      </w:r>
      <w:r>
        <w:rPr>
          <w:b/>
          <w:sz w:val="24"/>
        </w:rPr>
        <w:t>10.</w:t>
      </w:r>
      <w:r>
        <w:rPr>
          <w:b/>
          <w:spacing w:val="-2"/>
          <w:sz w:val="24"/>
        </w:rPr>
        <w:t> </w:t>
      </w:r>
      <w:r>
        <w:rPr>
          <w:b/>
          <w:sz w:val="24"/>
        </w:rPr>
        <w:t>4</w:t>
      </w:r>
      <w:r>
        <w:rPr>
          <w:b/>
          <w:spacing w:val="80"/>
          <w:sz w:val="24"/>
        </w:rPr>
        <w:t>  </w:t>
      </w:r>
      <w:r>
        <w:rPr>
          <w:b/>
          <w:sz w:val="24"/>
        </w:rPr>
        <w:t>Relative</w:t>
      </w:r>
      <w:r>
        <w:rPr>
          <w:b/>
          <w:spacing w:val="-3"/>
          <w:sz w:val="24"/>
        </w:rPr>
        <w:t> </w:t>
      </w:r>
      <w:r>
        <w:rPr>
          <w:b/>
          <w:sz w:val="24"/>
        </w:rPr>
        <w:t>importance</w:t>
      </w:r>
      <w:r>
        <w:rPr>
          <w:b/>
          <w:spacing w:val="-3"/>
          <w:sz w:val="24"/>
        </w:rPr>
        <w:t> </w:t>
      </w:r>
      <w:r>
        <w:rPr>
          <w:b/>
          <w:sz w:val="24"/>
        </w:rPr>
        <w:t>index</w:t>
      </w:r>
      <w:r>
        <w:rPr>
          <w:b/>
          <w:spacing w:val="-2"/>
          <w:sz w:val="24"/>
        </w:rPr>
        <w:t> </w:t>
      </w:r>
      <w:r>
        <w:rPr>
          <w:b/>
          <w:sz w:val="24"/>
        </w:rPr>
        <w:t>(RII);</w:t>
      </w:r>
      <w:r>
        <w:rPr>
          <w:b/>
          <w:spacing w:val="-3"/>
          <w:sz w:val="24"/>
        </w:rPr>
        <w:t> </w:t>
      </w:r>
      <w:r>
        <w:rPr>
          <w:sz w:val="24"/>
        </w:rPr>
        <w:t>this</w:t>
      </w:r>
      <w:r>
        <w:rPr>
          <w:spacing w:val="-2"/>
          <w:sz w:val="24"/>
        </w:rPr>
        <w:t> </w:t>
      </w:r>
      <w:r>
        <w:rPr>
          <w:sz w:val="24"/>
        </w:rPr>
        <w:t>was</w:t>
      </w:r>
      <w:r>
        <w:rPr>
          <w:spacing w:val="-2"/>
          <w:sz w:val="24"/>
        </w:rPr>
        <w:t> </w:t>
      </w:r>
      <w:r>
        <w:rPr>
          <w:sz w:val="24"/>
        </w:rPr>
        <w:t>used to</w:t>
      </w:r>
      <w:r>
        <w:rPr>
          <w:spacing w:val="-2"/>
          <w:sz w:val="24"/>
        </w:rPr>
        <w:t> </w:t>
      </w:r>
      <w:r>
        <w:rPr>
          <w:sz w:val="24"/>
        </w:rPr>
        <w:t>determine</w:t>
      </w:r>
      <w:r>
        <w:rPr>
          <w:spacing w:val="-3"/>
          <w:sz w:val="24"/>
        </w:rPr>
        <w:t> </w:t>
      </w:r>
      <w:r>
        <w:rPr>
          <w:sz w:val="24"/>
        </w:rPr>
        <w:t>the</w:t>
      </w:r>
      <w:r>
        <w:rPr>
          <w:spacing w:val="-3"/>
          <w:sz w:val="24"/>
        </w:rPr>
        <w:t> </w:t>
      </w:r>
      <w:r>
        <w:rPr>
          <w:sz w:val="24"/>
        </w:rPr>
        <w:t>relative importance to the respondents on the factors that improve TQM.</w:t>
      </w:r>
    </w:p>
    <w:p>
      <w:pPr>
        <w:pStyle w:val="Heading2"/>
        <w:spacing w:before="5"/>
      </w:pPr>
      <w:r>
        <w:rPr/>
        <w:t>4.10.5</w:t>
      </w:r>
      <w:r>
        <w:rPr>
          <w:spacing w:val="59"/>
        </w:rPr>
        <w:t> </w:t>
      </w:r>
      <w:r>
        <w:rPr/>
        <w:t>Testing</w:t>
      </w:r>
      <w:r>
        <w:rPr>
          <w:spacing w:val="-1"/>
        </w:rPr>
        <w:t> </w:t>
      </w:r>
      <w:r>
        <w:rPr/>
        <w:t>of</w:t>
      </w:r>
      <w:r>
        <w:rPr>
          <w:spacing w:val="1"/>
        </w:rPr>
        <w:t> </w:t>
      </w:r>
      <w:r>
        <w:rPr>
          <w:spacing w:val="-2"/>
        </w:rPr>
        <w:t>hypotheses</w:t>
      </w:r>
    </w:p>
    <w:p>
      <w:pPr>
        <w:pStyle w:val="BodyText"/>
        <w:spacing w:before="271"/>
        <w:ind w:left="400"/>
        <w:jc w:val="both"/>
      </w:pPr>
      <w:r>
        <w:rPr/>
        <w:t>Hypotheses</w:t>
      </w:r>
      <w:r>
        <w:rPr>
          <w:spacing w:val="-2"/>
        </w:rPr>
        <w:t> </w:t>
      </w:r>
      <w:r>
        <w:rPr/>
        <w:t>postulated</w:t>
      </w:r>
      <w:r>
        <w:rPr>
          <w:spacing w:val="-1"/>
        </w:rPr>
        <w:t> </w:t>
      </w:r>
      <w:r>
        <w:rPr/>
        <w:t>are</w:t>
      </w:r>
      <w:r>
        <w:rPr>
          <w:spacing w:val="-2"/>
        </w:rPr>
        <w:t> </w:t>
      </w:r>
      <w:r>
        <w:rPr/>
        <w:t>put</w:t>
      </w:r>
      <w:r>
        <w:rPr>
          <w:spacing w:val="-1"/>
        </w:rPr>
        <w:t> </w:t>
      </w:r>
      <w:r>
        <w:rPr/>
        <w:t>in</w:t>
      </w:r>
      <w:r>
        <w:rPr>
          <w:spacing w:val="-1"/>
        </w:rPr>
        <w:t> </w:t>
      </w:r>
      <w:r>
        <w:rPr/>
        <w:t>null</w:t>
      </w:r>
      <w:r>
        <w:rPr>
          <w:spacing w:val="-1"/>
        </w:rPr>
        <w:t> </w:t>
      </w:r>
      <w:r>
        <w:rPr/>
        <w:t>(Ho)</w:t>
      </w:r>
      <w:r>
        <w:rPr>
          <w:spacing w:val="-2"/>
        </w:rPr>
        <w:t> </w:t>
      </w:r>
      <w:r>
        <w:rPr/>
        <w:t>and</w:t>
      </w:r>
      <w:r>
        <w:rPr>
          <w:spacing w:val="-1"/>
        </w:rPr>
        <w:t> </w:t>
      </w:r>
      <w:r>
        <w:rPr/>
        <w:t>was</w:t>
      </w:r>
      <w:r>
        <w:rPr>
          <w:spacing w:val="-1"/>
        </w:rPr>
        <w:t> </w:t>
      </w:r>
      <w:r>
        <w:rPr/>
        <w:t>tested</w:t>
      </w:r>
      <w:r>
        <w:rPr>
          <w:spacing w:val="-1"/>
        </w:rPr>
        <w:t> </w:t>
      </w:r>
      <w:r>
        <w:rPr/>
        <w:t>as</w:t>
      </w:r>
      <w:r>
        <w:rPr>
          <w:spacing w:val="-1"/>
        </w:rPr>
        <w:t> </w:t>
      </w:r>
      <w:r>
        <w:rPr>
          <w:spacing w:val="-2"/>
        </w:rPr>
        <w:t>follows.</w:t>
      </w:r>
    </w:p>
    <w:p>
      <w:pPr>
        <w:pStyle w:val="BodyText"/>
        <w:spacing w:before="5"/>
      </w:pPr>
    </w:p>
    <w:p>
      <w:pPr>
        <w:pStyle w:val="Heading2"/>
      </w:pPr>
      <w:r>
        <w:rPr/>
        <w:t>Hypothesis</w:t>
      </w:r>
      <w:r>
        <w:rPr>
          <w:spacing w:val="-2"/>
        </w:rPr>
        <w:t> </w:t>
      </w:r>
      <w:r>
        <w:rPr>
          <w:spacing w:val="-4"/>
        </w:rPr>
        <w:t>one:</w:t>
      </w:r>
    </w:p>
    <w:p>
      <w:pPr>
        <w:pStyle w:val="BodyText"/>
        <w:spacing w:line="480" w:lineRule="auto" w:before="271"/>
        <w:ind w:left="400" w:right="1317"/>
        <w:jc w:val="both"/>
      </w:pPr>
      <w:r>
        <w:rPr/>
        <w:t>One way Anova was employed to validate hypothesis one. It was used to find out variance between</w:t>
      </w:r>
      <w:r>
        <w:rPr>
          <w:spacing w:val="-1"/>
        </w:rPr>
        <w:t> </w:t>
      </w:r>
      <w:r>
        <w:rPr/>
        <w:t>the</w:t>
      </w:r>
      <w:r>
        <w:rPr>
          <w:spacing w:val="-2"/>
        </w:rPr>
        <w:t> </w:t>
      </w:r>
      <w:r>
        <w:rPr/>
        <w:t>two groups and</w:t>
      </w:r>
      <w:r>
        <w:rPr>
          <w:spacing w:val="-1"/>
        </w:rPr>
        <w:t> </w:t>
      </w:r>
      <w:r>
        <w:rPr/>
        <w:t>variance</w:t>
      </w:r>
      <w:r>
        <w:rPr>
          <w:spacing w:val="-2"/>
        </w:rPr>
        <w:t> </w:t>
      </w:r>
      <w:r>
        <w:rPr/>
        <w:t>of</w:t>
      </w:r>
      <w:r>
        <w:rPr>
          <w:spacing w:val="-2"/>
        </w:rPr>
        <w:t> </w:t>
      </w:r>
      <w:r>
        <w:rPr/>
        <w:t>the</w:t>
      </w:r>
      <w:r>
        <w:rPr>
          <w:spacing w:val="-2"/>
        </w:rPr>
        <w:t> </w:t>
      </w:r>
      <w:r>
        <w:rPr/>
        <w:t>observations</w:t>
      </w:r>
      <w:r>
        <w:rPr>
          <w:spacing w:val="-1"/>
        </w:rPr>
        <w:t> </w:t>
      </w:r>
      <w:r>
        <w:rPr/>
        <w:t>within</w:t>
      </w:r>
      <w:r>
        <w:rPr>
          <w:spacing w:val="-1"/>
        </w:rPr>
        <w:t> </w:t>
      </w:r>
      <w:r>
        <w:rPr/>
        <w:t>groups.</w:t>
      </w:r>
      <w:r>
        <w:rPr>
          <w:spacing w:val="-1"/>
        </w:rPr>
        <w:t> </w:t>
      </w:r>
      <w:r>
        <w:rPr/>
        <w:t>The</w:t>
      </w:r>
      <w:r>
        <w:rPr>
          <w:spacing w:val="-2"/>
        </w:rPr>
        <w:t> </w:t>
      </w:r>
      <w:r>
        <w:rPr/>
        <w:t>one</w:t>
      </w:r>
      <w:r>
        <w:rPr>
          <w:spacing w:val="-2"/>
        </w:rPr>
        <w:t> </w:t>
      </w:r>
      <w:r>
        <w:rPr/>
        <w:t>way</w:t>
      </w:r>
      <w:r>
        <w:rPr>
          <w:spacing w:val="-5"/>
        </w:rPr>
        <w:t> </w:t>
      </w:r>
      <w:r>
        <w:rPr/>
        <w:t>Anova</w:t>
      </w:r>
      <w:r>
        <w:rPr>
          <w:spacing w:val="-2"/>
        </w:rPr>
        <w:t> </w:t>
      </w:r>
      <w:r>
        <w:rPr/>
        <w:t>was used to assess the respondent’s opinion (Staff of SMCFs) on the TQM implementation in</w:t>
      </w:r>
      <w:r>
        <w:rPr>
          <w:spacing w:val="40"/>
        </w:rPr>
        <w:t> </w:t>
      </w:r>
      <w:r>
        <w:rPr/>
        <w:t>SMCFS in South-East of Nigeria.</w:t>
      </w:r>
    </w:p>
    <w:p>
      <w:pPr>
        <w:pStyle w:val="BodyText"/>
        <w:spacing w:line="480" w:lineRule="auto" w:before="41"/>
        <w:ind w:left="400" w:right="1319"/>
        <w:jc w:val="both"/>
      </w:pPr>
      <w:r>
        <w:rPr>
          <w:b/>
        </w:rPr>
        <w:t>Decision rule</w:t>
      </w:r>
      <w:r>
        <w:rPr/>
        <w:t>: The predetermine level at which the hypothesis could be rejected or accepted was fixed</w:t>
      </w:r>
      <w:r>
        <w:rPr>
          <w:spacing w:val="23"/>
        </w:rPr>
        <w:t> </w:t>
      </w:r>
      <w:r>
        <w:rPr/>
        <w:t>at</w:t>
      </w:r>
      <w:r>
        <w:rPr>
          <w:spacing w:val="26"/>
        </w:rPr>
        <w:t> </w:t>
      </w:r>
      <w:r>
        <w:rPr/>
        <w:t>0.05</w:t>
      </w:r>
      <w:r>
        <w:rPr>
          <w:spacing w:val="25"/>
        </w:rPr>
        <w:t> </w:t>
      </w:r>
      <w:r>
        <w:rPr/>
        <w:t>(5%</w:t>
      </w:r>
      <w:r>
        <w:rPr>
          <w:spacing w:val="25"/>
        </w:rPr>
        <w:t> </w:t>
      </w:r>
      <w:r>
        <w:rPr/>
        <w:t>significance</w:t>
      </w:r>
      <w:r>
        <w:rPr>
          <w:spacing w:val="25"/>
        </w:rPr>
        <w:t> </w:t>
      </w:r>
      <w:r>
        <w:rPr/>
        <w:t>level)</w:t>
      </w:r>
      <w:r>
        <w:rPr>
          <w:spacing w:val="24"/>
        </w:rPr>
        <w:t> </w:t>
      </w:r>
      <w:r>
        <w:rPr/>
        <w:t>such</w:t>
      </w:r>
      <w:r>
        <w:rPr>
          <w:spacing w:val="26"/>
        </w:rPr>
        <w:t> </w:t>
      </w:r>
      <w:r>
        <w:rPr/>
        <w:t>that</w:t>
      </w:r>
      <w:r>
        <w:rPr>
          <w:spacing w:val="26"/>
        </w:rPr>
        <w:t> </w:t>
      </w:r>
      <w:r>
        <w:rPr/>
        <w:t>if</w:t>
      </w:r>
      <w:r>
        <w:rPr>
          <w:spacing w:val="27"/>
        </w:rPr>
        <w:t> </w:t>
      </w:r>
      <w:r>
        <w:rPr/>
        <w:t>the</w:t>
      </w:r>
      <w:r>
        <w:rPr>
          <w:spacing w:val="25"/>
        </w:rPr>
        <w:t> </w:t>
      </w:r>
      <w:r>
        <w:rPr/>
        <w:t>probability</w:t>
      </w:r>
      <w:r>
        <w:rPr>
          <w:spacing w:val="22"/>
        </w:rPr>
        <w:t> </w:t>
      </w:r>
      <w:r>
        <w:rPr/>
        <w:t>value</w:t>
      </w:r>
      <w:r>
        <w:rPr>
          <w:spacing w:val="24"/>
        </w:rPr>
        <w:t> </w:t>
      </w:r>
      <w:r>
        <w:rPr/>
        <w:t>in</w:t>
      </w:r>
      <w:r>
        <w:rPr>
          <w:spacing w:val="28"/>
        </w:rPr>
        <w:t> </w:t>
      </w:r>
      <w:r>
        <w:rPr/>
        <w:t>the</w:t>
      </w:r>
      <w:r>
        <w:rPr>
          <w:spacing w:val="25"/>
        </w:rPr>
        <w:t> </w:t>
      </w:r>
      <w:r>
        <w:rPr/>
        <w:t>Anova</w:t>
      </w:r>
      <w:r>
        <w:rPr>
          <w:spacing w:val="24"/>
        </w:rPr>
        <w:t> </w:t>
      </w:r>
      <w:r>
        <w:rPr/>
        <w:t>table</w:t>
      </w:r>
      <w:r>
        <w:rPr>
          <w:spacing w:val="25"/>
        </w:rPr>
        <w:t> </w:t>
      </w:r>
      <w:r>
        <w:rPr/>
        <w:t>is</w:t>
      </w:r>
      <w:r>
        <w:rPr>
          <w:spacing w:val="26"/>
        </w:rPr>
        <w:t> </w:t>
      </w:r>
      <w:r>
        <w:rPr>
          <w:spacing w:val="-10"/>
        </w:rPr>
        <w:t>˃</w:t>
      </w:r>
    </w:p>
    <w:p>
      <w:pPr>
        <w:pStyle w:val="BodyText"/>
        <w:ind w:left="400"/>
        <w:jc w:val="both"/>
      </w:pPr>
      <w:r>
        <w:rPr/>
        <w:t>0.05</w:t>
      </w:r>
      <w:r>
        <w:rPr>
          <w:spacing w:val="-3"/>
        </w:rPr>
        <w:t> </w:t>
      </w:r>
      <w:r>
        <w:rPr/>
        <w:t>level</w:t>
      </w:r>
      <w:r>
        <w:rPr>
          <w:spacing w:val="-1"/>
        </w:rPr>
        <w:t> </w:t>
      </w:r>
      <w:r>
        <w:rPr/>
        <w:t>of</w:t>
      </w:r>
      <w:r>
        <w:rPr>
          <w:spacing w:val="-2"/>
        </w:rPr>
        <w:t> </w:t>
      </w:r>
      <w:r>
        <w:rPr/>
        <w:t>significance,</w:t>
      </w:r>
      <w:r>
        <w:rPr>
          <w:spacing w:val="-1"/>
        </w:rPr>
        <w:t> </w:t>
      </w:r>
      <w:r>
        <w:rPr/>
        <w:t>we</w:t>
      </w:r>
      <w:r>
        <w:rPr>
          <w:spacing w:val="-2"/>
        </w:rPr>
        <w:t> </w:t>
      </w:r>
      <w:r>
        <w:rPr/>
        <w:t>accept</w:t>
      </w:r>
      <w:r>
        <w:rPr>
          <w:spacing w:val="-1"/>
        </w:rPr>
        <w:t> </w:t>
      </w:r>
      <w:r>
        <w:rPr/>
        <w:t>the</w:t>
      </w:r>
      <w:r>
        <w:rPr>
          <w:spacing w:val="-2"/>
        </w:rPr>
        <w:t> </w:t>
      </w:r>
      <w:r>
        <w:rPr/>
        <w:t>null</w:t>
      </w:r>
      <w:r>
        <w:rPr>
          <w:spacing w:val="-1"/>
        </w:rPr>
        <w:t> </w:t>
      </w:r>
      <w:r>
        <w:rPr/>
        <w:t>hypothesis,</w:t>
      </w:r>
      <w:r>
        <w:rPr>
          <w:spacing w:val="-1"/>
        </w:rPr>
        <w:t> </w:t>
      </w:r>
      <w:r>
        <w:rPr/>
        <w:t>otherwise</w:t>
      </w:r>
      <w:r>
        <w:rPr>
          <w:spacing w:val="-2"/>
        </w:rPr>
        <w:t> </w:t>
      </w:r>
      <w:r>
        <w:rPr/>
        <w:t>we reject</w:t>
      </w:r>
      <w:r>
        <w:rPr>
          <w:spacing w:val="-1"/>
        </w:rPr>
        <w:t> </w:t>
      </w:r>
      <w:r>
        <w:rPr/>
        <w:t>the</w:t>
      </w:r>
      <w:r>
        <w:rPr>
          <w:spacing w:val="-2"/>
        </w:rPr>
        <w:t> </w:t>
      </w:r>
      <w:r>
        <w:rPr/>
        <w:t>null </w:t>
      </w:r>
      <w:r>
        <w:rPr>
          <w:spacing w:val="-2"/>
        </w:rPr>
        <w:t>hypothesis.</w:t>
      </w:r>
    </w:p>
    <w:p>
      <w:pPr>
        <w:spacing w:after="0"/>
        <w:jc w:val="both"/>
        <w:sectPr>
          <w:pgSz w:w="12240" w:h="15840"/>
          <w:pgMar w:header="0" w:footer="1017" w:top="1360" w:bottom="1200" w:left="1040" w:right="120"/>
        </w:sectPr>
      </w:pPr>
    </w:p>
    <w:p>
      <w:pPr>
        <w:pStyle w:val="Heading2"/>
        <w:spacing w:before="76"/>
      </w:pPr>
      <w:r>
        <w:rPr/>
        <w:t>Hypothesis</w:t>
      </w:r>
      <w:r>
        <w:rPr>
          <w:spacing w:val="-2"/>
        </w:rPr>
        <w:t> </w:t>
      </w:r>
      <w:r>
        <w:rPr>
          <w:spacing w:val="-5"/>
        </w:rPr>
        <w:t>two</w:t>
      </w:r>
    </w:p>
    <w:p>
      <w:pPr>
        <w:pStyle w:val="BodyText"/>
        <w:spacing w:line="480" w:lineRule="auto" w:before="272"/>
        <w:ind w:left="400" w:right="1318"/>
        <w:jc w:val="both"/>
      </w:pPr>
      <w:r>
        <w:rPr/>
        <w:t>Student’s z</w:t>
      </w:r>
      <w:r>
        <w:rPr>
          <w:color w:val="FF0000"/>
        </w:rPr>
        <w:t>- </w:t>
      </w:r>
      <w:r>
        <w:rPr/>
        <w:t>test is a parametric test- statistic used to determine if two sets of data are significantly different from each other, and is most commonly applied when the tests statistic would</w:t>
      </w:r>
      <w:r>
        <w:rPr>
          <w:spacing w:val="-2"/>
        </w:rPr>
        <w:t> </w:t>
      </w:r>
      <w:r>
        <w:rPr/>
        <w:t>follow</w:t>
      </w:r>
      <w:r>
        <w:rPr>
          <w:spacing w:val="-3"/>
        </w:rPr>
        <w:t> </w:t>
      </w:r>
      <w:r>
        <w:rPr/>
        <w:t>a</w:t>
      </w:r>
      <w:r>
        <w:rPr>
          <w:spacing w:val="-1"/>
        </w:rPr>
        <w:t> </w:t>
      </w:r>
      <w:r>
        <w:rPr/>
        <w:t>normal</w:t>
      </w:r>
      <w:r>
        <w:rPr>
          <w:spacing w:val="-2"/>
        </w:rPr>
        <w:t> </w:t>
      </w:r>
      <w:r>
        <w:rPr/>
        <w:t>distribution</w:t>
      </w:r>
      <w:r>
        <w:rPr>
          <w:spacing w:val="-2"/>
        </w:rPr>
        <w:t> </w:t>
      </w:r>
      <w:r>
        <w:rPr/>
        <w:t>if</w:t>
      </w:r>
      <w:r>
        <w:rPr>
          <w:spacing w:val="-3"/>
        </w:rPr>
        <w:t> </w:t>
      </w:r>
      <w:r>
        <w:rPr/>
        <w:t>the</w:t>
      </w:r>
      <w:r>
        <w:rPr>
          <w:spacing w:val="-3"/>
        </w:rPr>
        <w:t> </w:t>
      </w:r>
      <w:r>
        <w:rPr/>
        <w:t>value</w:t>
      </w:r>
      <w:r>
        <w:rPr>
          <w:spacing w:val="-1"/>
        </w:rPr>
        <w:t> </w:t>
      </w:r>
      <w:r>
        <w:rPr/>
        <w:t>of</w:t>
      </w:r>
      <w:r>
        <w:rPr>
          <w:spacing w:val="-1"/>
        </w:rPr>
        <w:t> </w:t>
      </w:r>
      <w:r>
        <w:rPr/>
        <w:t>a</w:t>
      </w:r>
      <w:r>
        <w:rPr>
          <w:spacing w:val="-3"/>
        </w:rPr>
        <w:t> </w:t>
      </w:r>
      <w:r>
        <w:rPr/>
        <w:t>scaling</w:t>
      </w:r>
      <w:r>
        <w:rPr>
          <w:spacing w:val="-5"/>
        </w:rPr>
        <w:t> </w:t>
      </w:r>
      <w:r>
        <w:rPr/>
        <w:t>term</w:t>
      </w:r>
      <w:r>
        <w:rPr>
          <w:spacing w:val="-2"/>
        </w:rPr>
        <w:t> </w:t>
      </w:r>
      <w:r>
        <w:rPr/>
        <w:t>in</w:t>
      </w:r>
      <w:r>
        <w:rPr>
          <w:spacing w:val="-2"/>
        </w:rPr>
        <w:t> </w:t>
      </w:r>
      <w:r>
        <w:rPr/>
        <w:t>the</w:t>
      </w:r>
      <w:r>
        <w:rPr>
          <w:spacing w:val="-1"/>
        </w:rPr>
        <w:t> </w:t>
      </w:r>
      <w:r>
        <w:rPr/>
        <w:t>test statistics</w:t>
      </w:r>
      <w:r>
        <w:rPr>
          <w:spacing w:val="-2"/>
        </w:rPr>
        <w:t> </w:t>
      </w:r>
      <w:r>
        <w:rPr/>
        <w:t>were</w:t>
      </w:r>
      <w:r>
        <w:rPr>
          <w:spacing w:val="-1"/>
        </w:rPr>
        <w:t> </w:t>
      </w:r>
      <w:r>
        <w:rPr/>
        <w:t>known. Students’ z-test was used to show if critical success factors does not significantly affect companies’ strategies in South-East Nigeria.</w:t>
      </w:r>
    </w:p>
    <w:p>
      <w:pPr>
        <w:pStyle w:val="BodyText"/>
        <w:spacing w:line="480" w:lineRule="auto"/>
        <w:ind w:left="400" w:right="1314"/>
        <w:jc w:val="both"/>
      </w:pPr>
      <w:r>
        <w:rPr>
          <w:b/>
        </w:rPr>
        <w:t>Decision rule</w:t>
      </w:r>
      <w:r>
        <w:rPr/>
        <w:t>: The decision to accept null hypothesis is anchored on the probability value of the student t- test becoming ˃ 0.05 level of significance, otherwise the null hypothesis will be </w:t>
      </w:r>
      <w:r>
        <w:rPr>
          <w:spacing w:val="-2"/>
        </w:rPr>
        <w:t>rejected.</w:t>
      </w:r>
    </w:p>
    <w:p>
      <w:pPr>
        <w:pStyle w:val="Heading2"/>
        <w:spacing w:before="187"/>
      </w:pPr>
      <w:r>
        <w:rPr/>
        <w:t>Hypothesis</w:t>
      </w:r>
      <w:r>
        <w:rPr>
          <w:spacing w:val="-2"/>
        </w:rPr>
        <w:t> three:</w:t>
      </w:r>
    </w:p>
    <w:p>
      <w:pPr>
        <w:pStyle w:val="BodyText"/>
        <w:spacing w:line="480" w:lineRule="auto" w:before="271"/>
        <w:ind w:left="400" w:right="1314"/>
        <w:jc w:val="both"/>
      </w:pPr>
      <w:r>
        <w:rPr/>
        <w:t>Pearson Correlation Coefficient was used to validate hypothesis three. It is the mostly widely used method to measure the extent of relationship between two or more variables and used for both interval and ratio scales. Pearson Correlation Coefficient tool was used to assess the respondent’s opinion that there is no significant relationship between the application of TQM</w:t>
      </w:r>
      <w:r>
        <w:rPr>
          <w:spacing w:val="80"/>
        </w:rPr>
        <w:t> </w:t>
      </w:r>
      <w:r>
        <w:rPr/>
        <w:t>and Competitive Advantage. See formula for Pearson correlation coefficient.</w:t>
      </w:r>
    </w:p>
    <w:p>
      <w:pPr>
        <w:pStyle w:val="BodyText"/>
        <w:spacing w:line="480" w:lineRule="auto" w:before="231"/>
        <w:ind w:left="400" w:right="1317"/>
        <w:jc w:val="both"/>
      </w:pPr>
      <w:r>
        <w:rPr/>
        <w:t>While Kendall tau rank correlation coefficient and spearman correlation coefficient were used to validate the Pearson correlation analysis.</w:t>
      </w:r>
    </w:p>
    <w:p>
      <w:pPr>
        <w:pStyle w:val="BodyText"/>
        <w:ind w:left="400"/>
        <w:jc w:val="both"/>
      </w:pPr>
      <w:r>
        <w:rPr>
          <w:b/>
        </w:rPr>
        <w:t>Decision</w:t>
      </w:r>
      <w:r>
        <w:rPr>
          <w:b/>
          <w:spacing w:val="44"/>
        </w:rPr>
        <w:t> </w:t>
      </w:r>
      <w:r>
        <w:rPr>
          <w:b/>
        </w:rPr>
        <w:t>Rule:</w:t>
      </w:r>
      <w:r>
        <w:rPr>
          <w:b/>
          <w:spacing w:val="42"/>
        </w:rPr>
        <w:t> </w:t>
      </w:r>
      <w:r>
        <w:rPr/>
        <w:t>Reject</w:t>
      </w:r>
      <w:r>
        <w:rPr>
          <w:spacing w:val="45"/>
        </w:rPr>
        <w:t> </w:t>
      </w:r>
      <w:r>
        <w:rPr/>
        <w:t>the</w:t>
      </w:r>
      <w:r>
        <w:rPr>
          <w:spacing w:val="42"/>
        </w:rPr>
        <w:t> </w:t>
      </w:r>
      <w:r>
        <w:rPr/>
        <w:t>null</w:t>
      </w:r>
      <w:r>
        <w:rPr>
          <w:spacing w:val="44"/>
        </w:rPr>
        <w:t> </w:t>
      </w:r>
      <w:r>
        <w:rPr/>
        <w:t>hypothesis</w:t>
      </w:r>
      <w:r>
        <w:rPr>
          <w:spacing w:val="44"/>
        </w:rPr>
        <w:t> </w:t>
      </w:r>
      <w:r>
        <w:rPr/>
        <w:t>if</w:t>
      </w:r>
      <w:r>
        <w:rPr>
          <w:spacing w:val="42"/>
        </w:rPr>
        <w:t> </w:t>
      </w:r>
      <w:r>
        <w:rPr/>
        <w:t>p-value</w:t>
      </w:r>
      <w:r>
        <w:rPr>
          <w:spacing w:val="43"/>
        </w:rPr>
        <w:t> </w:t>
      </w:r>
      <w:r>
        <w:rPr/>
        <w:t>is</w:t>
      </w:r>
      <w:r>
        <w:rPr>
          <w:spacing w:val="43"/>
        </w:rPr>
        <w:t> </w:t>
      </w:r>
      <w:r>
        <w:rPr/>
        <w:t>less</w:t>
      </w:r>
      <w:r>
        <w:rPr>
          <w:spacing w:val="43"/>
        </w:rPr>
        <w:t> </w:t>
      </w:r>
      <w:r>
        <w:rPr/>
        <w:t>than</w:t>
      </w:r>
      <w:r>
        <w:rPr>
          <w:spacing w:val="44"/>
        </w:rPr>
        <w:t> </w:t>
      </w:r>
      <w:r>
        <w:rPr/>
        <w:t>or</w:t>
      </w:r>
      <w:r>
        <w:rPr>
          <w:spacing w:val="42"/>
        </w:rPr>
        <w:t> </w:t>
      </w:r>
      <w:r>
        <w:rPr/>
        <w:t>equal</w:t>
      </w:r>
      <w:r>
        <w:rPr>
          <w:spacing w:val="44"/>
        </w:rPr>
        <w:t> </w:t>
      </w:r>
      <w:r>
        <w:rPr/>
        <w:t>to</w:t>
      </w:r>
      <w:r>
        <w:rPr>
          <w:spacing w:val="44"/>
        </w:rPr>
        <w:t> </w:t>
      </w:r>
      <w:r>
        <w:rPr/>
        <w:t>0.05</w:t>
      </w:r>
      <w:r>
        <w:rPr>
          <w:spacing w:val="41"/>
        </w:rPr>
        <w:t> </w:t>
      </w:r>
      <w:r>
        <w:rPr/>
        <w:t>[Level</w:t>
      </w:r>
      <w:r>
        <w:rPr>
          <w:spacing w:val="45"/>
        </w:rPr>
        <w:t> </w:t>
      </w:r>
      <w:r>
        <w:rPr>
          <w:spacing w:val="-5"/>
        </w:rPr>
        <w:t>of</w:t>
      </w:r>
    </w:p>
    <w:p>
      <w:pPr>
        <w:pStyle w:val="BodyText"/>
      </w:pPr>
    </w:p>
    <w:p>
      <w:pPr>
        <w:pStyle w:val="BodyText"/>
        <w:ind w:left="399"/>
        <w:jc w:val="both"/>
      </w:pPr>
      <w:r>
        <w:rPr/>
        <w:t>significance</w:t>
      </w:r>
      <w:r>
        <w:rPr>
          <w:spacing w:val="-3"/>
        </w:rPr>
        <w:t> </w:t>
      </w:r>
      <w:r>
        <w:rPr/>
        <w:t>(α)];</w:t>
      </w:r>
      <w:r>
        <w:rPr>
          <w:spacing w:val="-1"/>
        </w:rPr>
        <w:t> </w:t>
      </w:r>
      <w:r>
        <w:rPr/>
        <w:t>otherwise</w:t>
      </w:r>
      <w:r>
        <w:rPr>
          <w:spacing w:val="-2"/>
        </w:rPr>
        <w:t> </w:t>
      </w:r>
      <w:r>
        <w:rPr/>
        <w:t>do</w:t>
      </w:r>
      <w:r>
        <w:rPr>
          <w:spacing w:val="-1"/>
        </w:rPr>
        <w:t> </w:t>
      </w:r>
      <w:r>
        <w:rPr/>
        <w:t>not</w:t>
      </w:r>
      <w:r>
        <w:rPr>
          <w:spacing w:val="-1"/>
        </w:rPr>
        <w:t> </w:t>
      </w:r>
      <w:r>
        <w:rPr>
          <w:spacing w:val="-2"/>
        </w:rPr>
        <w:t>reject.</w:t>
      </w:r>
    </w:p>
    <w:p>
      <w:pPr>
        <w:spacing w:after="0"/>
        <w:jc w:val="both"/>
        <w:sectPr>
          <w:pgSz w:w="12240" w:h="15840"/>
          <w:pgMar w:header="0" w:footer="1017" w:top="1360" w:bottom="1200" w:left="1040" w:right="120"/>
        </w:sectPr>
      </w:pPr>
    </w:p>
    <w:p>
      <w:pPr>
        <w:pStyle w:val="Heading2"/>
        <w:spacing w:before="76"/>
      </w:pPr>
      <w:r>
        <w:rPr/>
        <w:t>Spearman</w:t>
      </w:r>
      <w:r>
        <w:rPr>
          <w:spacing w:val="-5"/>
        </w:rPr>
        <w:t> </w:t>
      </w:r>
      <w:r>
        <w:rPr/>
        <w:t>Correlation</w:t>
      </w:r>
      <w:r>
        <w:rPr>
          <w:spacing w:val="-1"/>
        </w:rPr>
        <w:t> </w:t>
      </w:r>
      <w:r>
        <w:rPr>
          <w:spacing w:val="-2"/>
        </w:rPr>
        <w:t>Coefficient</w:t>
      </w:r>
    </w:p>
    <w:p>
      <w:pPr>
        <w:pStyle w:val="BodyText"/>
        <w:spacing w:line="480" w:lineRule="auto" w:before="272"/>
        <w:ind w:left="400" w:right="1321"/>
        <w:jc w:val="both"/>
      </w:pPr>
      <w:r>
        <w:rPr/>
        <w:t>The spearman correlation coefficient is used to determine the type of relationship or level of association between the variables and also the strength of this relationship. In this regard, it was used to validate the Pearson correlation analysis.</w:t>
      </w:r>
    </w:p>
    <w:p>
      <w:pPr>
        <w:pStyle w:val="Heading2"/>
        <w:rPr>
          <w:b w:val="0"/>
        </w:rPr>
      </w:pPr>
      <w:r>
        <w:rPr/>
        <w:t>Hypothesis</w:t>
      </w:r>
      <w:r>
        <w:rPr>
          <w:spacing w:val="-4"/>
        </w:rPr>
        <w:t> four</w:t>
      </w:r>
      <w:r>
        <w:rPr>
          <w:b w:val="0"/>
          <w:spacing w:val="-4"/>
        </w:rPr>
        <w:t>:</w:t>
      </w:r>
    </w:p>
    <w:p>
      <w:pPr>
        <w:pStyle w:val="BodyText"/>
        <w:spacing w:before="120"/>
      </w:pPr>
    </w:p>
    <w:p>
      <w:pPr>
        <w:pStyle w:val="BodyText"/>
        <w:spacing w:line="480" w:lineRule="auto"/>
        <w:ind w:left="399" w:right="1313"/>
        <w:jc w:val="both"/>
      </w:pPr>
      <w:r>
        <w:rPr/>
        <w:t>In</w:t>
      </w:r>
      <w:r>
        <w:rPr>
          <w:spacing w:val="-1"/>
        </w:rPr>
        <w:t> </w:t>
      </w:r>
      <w:r>
        <w:rPr/>
        <w:t>other</w:t>
      </w:r>
      <w:r>
        <w:rPr>
          <w:spacing w:val="-2"/>
        </w:rPr>
        <w:t> </w:t>
      </w:r>
      <w:r>
        <w:rPr/>
        <w:t>to</w:t>
      </w:r>
      <w:r>
        <w:rPr>
          <w:spacing w:val="-1"/>
        </w:rPr>
        <w:t> </w:t>
      </w:r>
      <w:r>
        <w:rPr/>
        <w:t>estimate</w:t>
      </w:r>
      <w:r>
        <w:rPr>
          <w:spacing w:val="-2"/>
        </w:rPr>
        <w:t> </w:t>
      </w:r>
      <w:r>
        <w:rPr/>
        <w:t>the</w:t>
      </w:r>
      <w:r>
        <w:rPr>
          <w:spacing w:val="-2"/>
        </w:rPr>
        <w:t> </w:t>
      </w:r>
      <w:r>
        <w:rPr/>
        <w:t>impact</w:t>
      </w:r>
      <w:r>
        <w:rPr>
          <w:spacing w:val="-1"/>
        </w:rPr>
        <w:t> </w:t>
      </w:r>
      <w:r>
        <w:rPr/>
        <w:t>of</w:t>
      </w:r>
      <w:r>
        <w:rPr>
          <w:spacing w:val="-1"/>
        </w:rPr>
        <w:t> </w:t>
      </w:r>
      <w:r>
        <w:rPr/>
        <w:t>the</w:t>
      </w:r>
      <w:r>
        <w:rPr>
          <w:spacing w:val="-2"/>
        </w:rPr>
        <w:t> </w:t>
      </w:r>
      <w:r>
        <w:rPr/>
        <w:t>companies’ strategies</w:t>
      </w:r>
      <w:r>
        <w:rPr>
          <w:spacing w:val="-1"/>
        </w:rPr>
        <w:t> </w:t>
      </w:r>
      <w:r>
        <w:rPr/>
        <w:t>on</w:t>
      </w:r>
      <w:r>
        <w:rPr>
          <w:spacing w:val="-1"/>
        </w:rPr>
        <w:t> </w:t>
      </w:r>
      <w:r>
        <w:rPr/>
        <w:t>competitive</w:t>
      </w:r>
      <w:r>
        <w:rPr>
          <w:spacing w:val="-2"/>
        </w:rPr>
        <w:t> </w:t>
      </w:r>
      <w:r>
        <w:rPr/>
        <w:t>advantages,</w:t>
      </w:r>
      <w:r>
        <w:rPr>
          <w:spacing w:val="-1"/>
        </w:rPr>
        <w:t> </w:t>
      </w:r>
      <w:r>
        <w:rPr/>
        <w:t>this</w:t>
      </w:r>
      <w:r>
        <w:rPr>
          <w:spacing w:val="-1"/>
        </w:rPr>
        <w:t> </w:t>
      </w:r>
      <w:r>
        <w:rPr/>
        <w:t>study adopted ordinary least square (OLS) technique. This technique was chosen because it possesses some optimal properties; its computational procedure is fairly simple and it is also essential component of most other techniques.</w:t>
      </w:r>
    </w:p>
    <w:p>
      <w:pPr>
        <w:pStyle w:val="Heading2"/>
        <w:spacing w:before="187"/>
      </w:pPr>
      <w:r>
        <w:rPr/>
        <w:t>Model</w:t>
      </w:r>
      <w:r>
        <w:rPr>
          <w:spacing w:val="-2"/>
        </w:rPr>
        <w:t> Specification</w:t>
      </w:r>
    </w:p>
    <w:p>
      <w:pPr>
        <w:pStyle w:val="BodyText"/>
        <w:spacing w:line="480" w:lineRule="auto" w:before="271"/>
        <w:ind w:left="400" w:right="1318"/>
        <w:jc w:val="both"/>
      </w:pPr>
      <w:r>
        <w:rPr/>
        <w:t>This study built a multiple regression model and make use of econometrics procedure in estimating the relationship between the variables under study.</w:t>
      </w:r>
    </w:p>
    <w:p>
      <w:pPr>
        <w:pStyle w:val="BodyText"/>
        <w:spacing w:before="1"/>
        <w:ind w:left="400"/>
        <w:jc w:val="both"/>
      </w:pPr>
      <w:r>
        <w:rPr/>
        <w:t>The</w:t>
      </w:r>
      <w:r>
        <w:rPr>
          <w:spacing w:val="-3"/>
        </w:rPr>
        <w:t> </w:t>
      </w:r>
      <w:r>
        <w:rPr/>
        <w:t>functional</w:t>
      </w:r>
      <w:r>
        <w:rPr>
          <w:spacing w:val="-1"/>
        </w:rPr>
        <w:t> </w:t>
      </w:r>
      <w:r>
        <w:rPr/>
        <w:t>form</w:t>
      </w:r>
      <w:r>
        <w:rPr>
          <w:spacing w:val="-1"/>
        </w:rPr>
        <w:t> </w:t>
      </w:r>
      <w:r>
        <w:rPr/>
        <w:t>of</w:t>
      </w:r>
      <w:r>
        <w:rPr>
          <w:spacing w:val="-2"/>
        </w:rPr>
        <w:t> </w:t>
      </w:r>
      <w:r>
        <w:rPr/>
        <w:t>the</w:t>
      </w:r>
      <w:r>
        <w:rPr>
          <w:spacing w:val="-2"/>
        </w:rPr>
        <w:t> </w:t>
      </w:r>
      <w:r>
        <w:rPr/>
        <w:t>model</w:t>
      </w:r>
      <w:r>
        <w:rPr>
          <w:spacing w:val="-1"/>
        </w:rPr>
        <w:t> </w:t>
      </w:r>
      <w:r>
        <w:rPr/>
        <w:t>is</w:t>
      </w:r>
      <w:r>
        <w:rPr>
          <w:spacing w:val="-1"/>
        </w:rPr>
        <w:t> </w:t>
      </w:r>
      <w:r>
        <w:rPr/>
        <w:t>specified</w:t>
      </w:r>
      <w:r>
        <w:rPr>
          <w:spacing w:val="-1"/>
        </w:rPr>
        <w:t> </w:t>
      </w:r>
      <w:r>
        <w:rPr>
          <w:spacing w:val="-5"/>
        </w:rPr>
        <w:t>as:</w:t>
      </w:r>
    </w:p>
    <w:p>
      <w:pPr>
        <w:pStyle w:val="BodyText"/>
        <w:spacing w:before="4"/>
      </w:pPr>
    </w:p>
    <w:p>
      <w:pPr>
        <w:pStyle w:val="Heading2"/>
      </w:pPr>
      <w:r>
        <w:rPr/>
        <w:t>Model</w:t>
      </w:r>
      <w:r>
        <w:rPr>
          <w:spacing w:val="-2"/>
        </w:rPr>
        <w:t> </w:t>
      </w:r>
      <w:r>
        <w:rPr>
          <w:spacing w:val="-5"/>
        </w:rPr>
        <w:t>One</w:t>
      </w:r>
    </w:p>
    <w:p>
      <w:pPr>
        <w:pStyle w:val="BodyText"/>
        <w:tabs>
          <w:tab w:pos="5670" w:val="left" w:leader="dot"/>
        </w:tabs>
        <w:spacing w:before="272"/>
        <w:ind w:left="400"/>
      </w:pPr>
      <w:r>
        <w:rPr/>
        <w:t>PR=</w:t>
      </w:r>
      <w:r>
        <w:rPr>
          <w:spacing w:val="-2"/>
        </w:rPr>
        <w:t> </w:t>
      </w:r>
      <w:r>
        <w:rPr/>
        <w:t>F</w:t>
      </w:r>
      <w:r>
        <w:rPr>
          <w:spacing w:val="-3"/>
        </w:rPr>
        <w:t> </w:t>
      </w:r>
      <w:r>
        <w:rPr/>
        <w:t>(ST, </w:t>
      </w:r>
      <w:r>
        <w:rPr>
          <w:spacing w:val="-5"/>
        </w:rPr>
        <w:t>OP)</w:t>
      </w:r>
      <w:r>
        <w:rPr/>
        <w:tab/>
      </w:r>
      <w:r>
        <w:rPr>
          <w:spacing w:val="-2"/>
        </w:rPr>
        <w:t>(3.1)</w:t>
      </w:r>
    </w:p>
    <w:p>
      <w:pPr>
        <w:pStyle w:val="BodyText"/>
        <w:spacing w:before="276"/>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tabs>
          <w:tab w:pos="5665" w:val="left" w:leader="dot"/>
        </w:tabs>
        <w:spacing w:before="275"/>
        <w:ind w:left="400" w:right="0" w:firstLine="0"/>
        <w:jc w:val="left"/>
        <w:rPr>
          <w:sz w:val="24"/>
        </w:rPr>
      </w:pPr>
      <w:r>
        <w:rPr>
          <w:position w:val="2"/>
          <w:sz w:val="24"/>
        </w:rPr>
        <w:t>PR</w:t>
      </w:r>
      <w:r>
        <w:rPr>
          <w:sz w:val="16"/>
        </w:rPr>
        <w:t>t</w:t>
      </w:r>
      <w:r>
        <w:rPr>
          <w:spacing w:val="18"/>
          <w:sz w:val="16"/>
        </w:rPr>
        <w:t> </w:t>
      </w:r>
      <w:r>
        <w:rPr>
          <w:position w:val="2"/>
          <w:sz w:val="24"/>
        </w:rPr>
        <w:t>=</w:t>
      </w:r>
      <w:r>
        <w:rPr>
          <w:spacing w:val="-2"/>
          <w:position w:val="2"/>
          <w:sz w:val="24"/>
        </w:rPr>
        <w:t> </w:t>
      </w:r>
      <w:r>
        <w:rPr>
          <w:position w:val="2"/>
          <w:sz w:val="24"/>
        </w:rPr>
        <w:t>β</w:t>
      </w:r>
      <w:r>
        <w:rPr>
          <w:sz w:val="16"/>
        </w:rPr>
        <w:t>0</w:t>
      </w:r>
      <w:r>
        <w:rPr>
          <w:spacing w:val="1"/>
          <w:sz w:val="16"/>
        </w:rPr>
        <w:t> </w:t>
      </w:r>
      <w:r>
        <w:rPr>
          <w:position w:val="2"/>
          <w:sz w:val="24"/>
        </w:rPr>
        <w:t>+</w:t>
      </w:r>
      <w:r>
        <w:rPr>
          <w:spacing w:val="-2"/>
          <w:position w:val="2"/>
          <w:sz w:val="24"/>
        </w:rPr>
        <w:t> </w:t>
      </w:r>
      <w:r>
        <w:rPr>
          <w:position w:val="2"/>
          <w:sz w:val="24"/>
        </w:rPr>
        <w:t>β</w:t>
      </w:r>
      <w:r>
        <w:rPr>
          <w:sz w:val="16"/>
        </w:rPr>
        <w:t>1</w:t>
      </w:r>
      <w:r>
        <w:rPr>
          <w:position w:val="2"/>
          <w:sz w:val="24"/>
        </w:rPr>
        <w:t>ST</w:t>
      </w:r>
      <w:r>
        <w:rPr>
          <w:sz w:val="16"/>
        </w:rPr>
        <w:t>t</w:t>
      </w:r>
      <w:r>
        <w:rPr>
          <w:position w:val="2"/>
          <w:sz w:val="24"/>
        </w:rPr>
        <w:t>+</w:t>
      </w:r>
      <w:r>
        <w:rPr>
          <w:spacing w:val="-2"/>
          <w:position w:val="2"/>
          <w:sz w:val="24"/>
        </w:rPr>
        <w:t> </w:t>
      </w:r>
      <w:r>
        <w:rPr>
          <w:position w:val="2"/>
          <w:sz w:val="24"/>
        </w:rPr>
        <w:t>β</w:t>
      </w:r>
      <w:r>
        <w:rPr>
          <w:sz w:val="16"/>
        </w:rPr>
        <w:t>2</w:t>
      </w:r>
      <w:r>
        <w:rPr>
          <w:position w:val="2"/>
          <w:sz w:val="24"/>
        </w:rPr>
        <w:t>OP</w:t>
      </w:r>
      <w:r>
        <w:rPr>
          <w:sz w:val="16"/>
        </w:rPr>
        <w:t>t</w:t>
      </w:r>
      <w:r>
        <w:rPr>
          <w:spacing w:val="17"/>
          <w:sz w:val="16"/>
        </w:rPr>
        <w:t> </w:t>
      </w:r>
      <w:r>
        <w:rPr>
          <w:position w:val="2"/>
          <w:sz w:val="24"/>
        </w:rPr>
        <w:t>+</w:t>
      </w:r>
      <w:r>
        <w:rPr>
          <w:spacing w:val="-2"/>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274"/>
        <w:ind w:left="400"/>
      </w:pPr>
      <w:r>
        <w:rPr>
          <w:spacing w:val="-2"/>
        </w:rPr>
        <w:t>Where</w:t>
      </w:r>
    </w:p>
    <w:p>
      <w:pPr>
        <w:pStyle w:val="BodyText"/>
      </w:pPr>
    </w:p>
    <w:p>
      <w:pPr>
        <w:pStyle w:val="BodyText"/>
        <w:spacing w:line="480" w:lineRule="auto"/>
        <w:ind w:left="400" w:right="7451"/>
      </w:pPr>
      <w:r>
        <w:rPr/>
        <w:t>PR=</w:t>
      </w:r>
      <w:r>
        <w:rPr>
          <w:spacing w:val="-14"/>
        </w:rPr>
        <w:t> </w:t>
      </w:r>
      <w:r>
        <w:rPr/>
        <w:t>Price</w:t>
      </w:r>
      <w:r>
        <w:rPr>
          <w:spacing w:val="-14"/>
        </w:rPr>
        <w:t> </w:t>
      </w:r>
      <w:r>
        <w:rPr/>
        <w:t>(dependent</w:t>
      </w:r>
      <w:r>
        <w:rPr>
          <w:spacing w:val="-13"/>
        </w:rPr>
        <w:t> </w:t>
      </w:r>
      <w:r>
        <w:rPr/>
        <w:t>variable) F= functional relationship</w:t>
      </w:r>
    </w:p>
    <w:p>
      <w:pPr>
        <w:pStyle w:val="BodyText"/>
        <w:spacing w:before="3"/>
        <w:ind w:left="400"/>
      </w:pPr>
      <w:r>
        <w:rPr/>
        <w:t>ST</w:t>
      </w:r>
      <w:r>
        <w:rPr>
          <w:spacing w:val="-3"/>
        </w:rPr>
        <w:t> </w:t>
      </w:r>
      <w:r>
        <w:rPr/>
        <w:t>=</w:t>
      </w:r>
      <w:r>
        <w:rPr>
          <w:spacing w:val="-3"/>
        </w:rPr>
        <w:t> </w:t>
      </w:r>
      <w:r>
        <w:rPr/>
        <w:t>strength</w:t>
      </w:r>
      <w:r>
        <w:rPr>
          <w:spacing w:val="-1"/>
        </w:rPr>
        <w:t> </w:t>
      </w:r>
      <w:r>
        <w:rPr/>
        <w:t>(first</w:t>
      </w:r>
      <w:r>
        <w:rPr>
          <w:spacing w:val="-2"/>
        </w:rPr>
        <w:t> </w:t>
      </w:r>
      <w:r>
        <w:rPr/>
        <w:t>independent</w:t>
      </w:r>
      <w:r>
        <w:rPr>
          <w:spacing w:val="-1"/>
        </w:rPr>
        <w:t> </w:t>
      </w:r>
      <w:r>
        <w:rPr>
          <w:spacing w:val="-2"/>
        </w:rPr>
        <w:t>variable)</w:t>
      </w:r>
    </w:p>
    <w:p>
      <w:pPr>
        <w:pStyle w:val="BodyText"/>
        <w:spacing w:line="360" w:lineRule="auto" w:before="139"/>
        <w:ind w:left="400" w:right="5986"/>
      </w:pPr>
      <w:r>
        <w:rPr/>
        <w:t>OP</w:t>
      </w:r>
      <w:r>
        <w:rPr>
          <w:spacing w:val="-7"/>
        </w:rPr>
        <w:t> </w:t>
      </w:r>
      <w:r>
        <w:rPr/>
        <w:t>=</w:t>
      </w:r>
      <w:r>
        <w:rPr>
          <w:spacing w:val="-8"/>
        </w:rPr>
        <w:t> </w:t>
      </w:r>
      <w:r>
        <w:rPr/>
        <w:t>Opportunity</w:t>
      </w:r>
      <w:r>
        <w:rPr>
          <w:spacing w:val="-12"/>
        </w:rPr>
        <w:t> </w:t>
      </w:r>
      <w:r>
        <w:rPr/>
        <w:t>(second</w:t>
      </w:r>
      <w:r>
        <w:rPr>
          <w:spacing w:val="-7"/>
        </w:rPr>
        <w:t> </w:t>
      </w:r>
      <w:r>
        <w:rPr/>
        <w:t>independent</w:t>
      </w:r>
      <w:r>
        <w:rPr>
          <w:spacing w:val="-7"/>
        </w:rPr>
        <w:t> </w:t>
      </w:r>
      <w:r>
        <w:rPr/>
        <w:t>variable) t = time period</w:t>
      </w:r>
    </w:p>
    <w:p>
      <w:pPr>
        <w:pStyle w:val="BodyText"/>
        <w:spacing w:line="276" w:lineRule="exact"/>
        <w:ind w:left="400"/>
      </w:pPr>
      <w:r>
        <w:rPr>
          <w:position w:val="2"/>
        </w:rPr>
        <w:t>β</w:t>
      </w:r>
      <w:r>
        <w:rPr>
          <w:sz w:val="16"/>
        </w:rPr>
        <w:t>0</w:t>
      </w:r>
      <w:r>
        <w:rPr>
          <w:position w:val="2"/>
        </w:rPr>
        <w:t>= </w:t>
      </w:r>
      <w:r>
        <w:rPr>
          <w:spacing w:val="-2"/>
          <w:position w:val="2"/>
        </w:rPr>
        <w:t>Constant</w:t>
      </w:r>
    </w:p>
    <w:p>
      <w:pPr>
        <w:spacing w:after="0" w:line="276" w:lineRule="exact"/>
        <w:sectPr>
          <w:pgSz w:w="12240" w:h="15840"/>
          <w:pgMar w:header="0" w:footer="1017" w:top="1360" w:bottom="1200" w:left="1040" w:right="120"/>
        </w:sectPr>
      </w:pPr>
    </w:p>
    <w:p>
      <w:pPr>
        <w:pStyle w:val="BodyText"/>
        <w:spacing w:line="477" w:lineRule="auto" w:before="71"/>
        <w:ind w:left="400" w:right="2805"/>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97"/>
        <w:jc w:val="left"/>
      </w:pPr>
      <w:r>
        <w:rPr/>
        <w:t>Model</w:t>
      </w:r>
      <w:r>
        <w:rPr>
          <w:spacing w:val="-2"/>
        </w:rPr>
        <w:t> </w:t>
      </w:r>
      <w:r>
        <w:rPr>
          <w:spacing w:val="-5"/>
        </w:rPr>
        <w:t>Two</w:t>
      </w:r>
    </w:p>
    <w:p>
      <w:pPr>
        <w:pStyle w:val="BodyText"/>
        <w:tabs>
          <w:tab w:pos="5723" w:val="left" w:leader="dot"/>
        </w:tabs>
        <w:spacing w:before="271"/>
        <w:ind w:left="399"/>
      </w:pPr>
      <w:r>
        <w:rPr/>
        <w:t>MS=</w:t>
      </w:r>
      <w:r>
        <w:rPr>
          <w:spacing w:val="-2"/>
        </w:rPr>
        <w:t> </w:t>
      </w:r>
      <w:r>
        <w:rPr/>
        <w:t>F</w:t>
      </w:r>
      <w:r>
        <w:rPr>
          <w:spacing w:val="-3"/>
        </w:rPr>
        <w:t> </w:t>
      </w:r>
      <w:r>
        <w:rPr/>
        <w:t>(ST, </w:t>
      </w:r>
      <w:r>
        <w:rPr>
          <w:spacing w:val="-5"/>
        </w:rPr>
        <w:t>OP)</w:t>
      </w:r>
      <w:r>
        <w:rPr/>
        <w:tab/>
      </w:r>
      <w:r>
        <w:rPr>
          <w:spacing w:val="-2"/>
        </w:rPr>
        <w:t>(3.1)</w:t>
      </w:r>
    </w:p>
    <w:p>
      <w:pPr>
        <w:pStyle w:val="BodyText"/>
      </w:pPr>
    </w:p>
    <w:p>
      <w:pPr>
        <w:pStyle w:val="BodyText"/>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tabs>
          <w:tab w:pos="5756" w:val="left" w:leader="dot"/>
        </w:tabs>
        <w:spacing w:before="275"/>
        <w:ind w:left="400" w:right="0" w:firstLine="0"/>
        <w:jc w:val="left"/>
        <w:rPr>
          <w:sz w:val="24"/>
        </w:rPr>
      </w:pPr>
      <w:r>
        <w:rPr>
          <w:position w:val="2"/>
          <w:sz w:val="24"/>
        </w:rPr>
        <w:t>MS</w:t>
      </w:r>
      <w:r>
        <w:rPr>
          <w:sz w:val="16"/>
        </w:rPr>
        <w:t>t</w:t>
      </w:r>
      <w:r>
        <w:rPr>
          <w:spacing w:val="19"/>
          <w:sz w:val="16"/>
        </w:rPr>
        <w:t> </w:t>
      </w:r>
      <w:r>
        <w:rPr>
          <w:position w:val="2"/>
          <w:sz w:val="24"/>
        </w:rPr>
        <w:t>=</w:t>
      </w:r>
      <w:r>
        <w:rPr>
          <w:spacing w:val="-2"/>
          <w:position w:val="2"/>
          <w:sz w:val="24"/>
        </w:rPr>
        <w:t> </w:t>
      </w:r>
      <w:r>
        <w:rPr>
          <w:position w:val="2"/>
          <w:sz w:val="24"/>
        </w:rPr>
        <w:t>β</w:t>
      </w:r>
      <w:r>
        <w:rPr>
          <w:sz w:val="16"/>
        </w:rPr>
        <w:t>0</w:t>
      </w:r>
      <w:r>
        <w:rPr>
          <w:spacing w:val="-1"/>
          <w:sz w:val="16"/>
        </w:rPr>
        <w:t> </w:t>
      </w:r>
      <w:r>
        <w:rPr>
          <w:position w:val="2"/>
          <w:sz w:val="24"/>
        </w:rPr>
        <w:t>+</w:t>
      </w:r>
      <w:r>
        <w:rPr>
          <w:spacing w:val="-2"/>
          <w:position w:val="2"/>
          <w:sz w:val="24"/>
        </w:rPr>
        <w:t> </w:t>
      </w:r>
      <w:r>
        <w:rPr>
          <w:position w:val="2"/>
          <w:sz w:val="24"/>
        </w:rPr>
        <w:t>β</w:t>
      </w:r>
      <w:r>
        <w:rPr>
          <w:sz w:val="16"/>
        </w:rPr>
        <w:t>1</w:t>
      </w:r>
      <w:r>
        <w:rPr>
          <w:position w:val="2"/>
          <w:sz w:val="24"/>
        </w:rPr>
        <w:t>ST</w:t>
      </w:r>
      <w:r>
        <w:rPr>
          <w:sz w:val="16"/>
        </w:rPr>
        <w:t>t</w:t>
      </w:r>
      <w:r>
        <w:rPr>
          <w:position w:val="2"/>
          <w:sz w:val="24"/>
        </w:rPr>
        <w:t>+</w:t>
      </w:r>
      <w:r>
        <w:rPr>
          <w:spacing w:val="-1"/>
          <w:position w:val="2"/>
          <w:sz w:val="24"/>
        </w:rPr>
        <w:t> </w:t>
      </w:r>
      <w:r>
        <w:rPr>
          <w:position w:val="2"/>
          <w:sz w:val="24"/>
        </w:rPr>
        <w:t>β</w:t>
      </w:r>
      <w:r>
        <w:rPr>
          <w:sz w:val="16"/>
        </w:rPr>
        <w:t>2</w:t>
      </w:r>
      <w:r>
        <w:rPr>
          <w:position w:val="2"/>
          <w:sz w:val="24"/>
        </w:rPr>
        <w:t>OP</w:t>
      </w:r>
      <w:r>
        <w:rPr>
          <w:sz w:val="16"/>
        </w:rPr>
        <w:t>t</w:t>
      </w:r>
      <w:r>
        <w:rPr>
          <w:spacing w:val="17"/>
          <w:sz w:val="16"/>
        </w:rPr>
        <w:t> </w:t>
      </w:r>
      <w:r>
        <w:rPr>
          <w:position w:val="2"/>
          <w:sz w:val="24"/>
        </w:rPr>
        <w:t>+</w:t>
      </w:r>
      <w:r>
        <w:rPr>
          <w:spacing w:val="-1"/>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274"/>
        <w:ind w:left="400"/>
      </w:pPr>
      <w:r>
        <w:rPr>
          <w:spacing w:val="-2"/>
        </w:rPr>
        <w:t>Where</w:t>
      </w:r>
    </w:p>
    <w:p>
      <w:pPr>
        <w:pStyle w:val="BodyText"/>
      </w:pPr>
    </w:p>
    <w:p>
      <w:pPr>
        <w:pStyle w:val="BodyText"/>
        <w:spacing w:line="480" w:lineRule="auto" w:before="1"/>
        <w:ind w:left="400" w:right="6630"/>
      </w:pPr>
      <w:r>
        <w:rPr/>
        <w:t>MS=</w:t>
      </w:r>
      <w:r>
        <w:rPr>
          <w:spacing w:val="-10"/>
        </w:rPr>
        <w:t> </w:t>
      </w:r>
      <w:r>
        <w:rPr/>
        <w:t>Market</w:t>
      </w:r>
      <w:r>
        <w:rPr>
          <w:spacing w:val="-10"/>
        </w:rPr>
        <w:t> </w:t>
      </w:r>
      <w:r>
        <w:rPr/>
        <w:t>share</w:t>
      </w:r>
      <w:r>
        <w:rPr>
          <w:spacing w:val="-10"/>
        </w:rPr>
        <w:t> </w:t>
      </w:r>
      <w:r>
        <w:rPr/>
        <w:t>(dependent</w:t>
      </w:r>
      <w:r>
        <w:rPr>
          <w:spacing w:val="-10"/>
        </w:rPr>
        <w:t> </w:t>
      </w:r>
      <w:r>
        <w:rPr/>
        <w:t>variable) F= functional relationship</w:t>
      </w:r>
    </w:p>
    <w:p>
      <w:pPr>
        <w:pStyle w:val="BodyText"/>
        <w:ind w:left="400"/>
      </w:pPr>
      <w:r>
        <w:rPr/>
        <w:t>ST</w:t>
      </w:r>
      <w:r>
        <w:rPr>
          <w:spacing w:val="-3"/>
        </w:rPr>
        <w:t> </w:t>
      </w:r>
      <w:r>
        <w:rPr/>
        <w:t>=</w:t>
      </w:r>
      <w:r>
        <w:rPr>
          <w:spacing w:val="-3"/>
        </w:rPr>
        <w:t> </w:t>
      </w:r>
      <w:r>
        <w:rPr/>
        <w:t>strength</w:t>
      </w:r>
      <w:r>
        <w:rPr>
          <w:spacing w:val="-1"/>
        </w:rPr>
        <w:t> </w:t>
      </w:r>
      <w:r>
        <w:rPr/>
        <w:t>(first</w:t>
      </w:r>
      <w:r>
        <w:rPr>
          <w:spacing w:val="-2"/>
        </w:rPr>
        <w:t> </w:t>
      </w:r>
      <w:r>
        <w:rPr/>
        <w:t>independent</w:t>
      </w:r>
      <w:r>
        <w:rPr>
          <w:spacing w:val="-1"/>
        </w:rPr>
        <w:t> </w:t>
      </w:r>
      <w:r>
        <w:rPr>
          <w:spacing w:val="-2"/>
        </w:rPr>
        <w:t>variable)</w:t>
      </w:r>
    </w:p>
    <w:p>
      <w:pPr>
        <w:pStyle w:val="BodyText"/>
        <w:spacing w:line="480" w:lineRule="auto" w:before="276"/>
        <w:ind w:left="400" w:right="5986"/>
      </w:pPr>
      <w:r>
        <w:rPr/>
        <w:t>OP</w:t>
      </w:r>
      <w:r>
        <w:rPr>
          <w:spacing w:val="-7"/>
        </w:rPr>
        <w:t> </w:t>
      </w:r>
      <w:r>
        <w:rPr/>
        <w:t>=</w:t>
      </w:r>
      <w:r>
        <w:rPr>
          <w:spacing w:val="-8"/>
        </w:rPr>
        <w:t> </w:t>
      </w:r>
      <w:r>
        <w:rPr/>
        <w:t>Opportunity</w:t>
      </w:r>
      <w:r>
        <w:rPr>
          <w:spacing w:val="-12"/>
        </w:rPr>
        <w:t> </w:t>
      </w:r>
      <w:r>
        <w:rPr/>
        <w:t>(second</w:t>
      </w:r>
      <w:r>
        <w:rPr>
          <w:spacing w:val="-7"/>
        </w:rPr>
        <w:t> </w:t>
      </w:r>
      <w:r>
        <w:rPr/>
        <w:t>independent</w:t>
      </w:r>
      <w:r>
        <w:rPr>
          <w:spacing w:val="-7"/>
        </w:rPr>
        <w:t> </w:t>
      </w:r>
      <w:r>
        <w:rPr/>
        <w:t>variable) t = time period</w:t>
      </w:r>
    </w:p>
    <w:p>
      <w:pPr>
        <w:pStyle w:val="BodyText"/>
        <w:spacing w:line="278" w:lineRule="exact"/>
        <w:ind w:left="400"/>
      </w:pPr>
      <w:r>
        <w:rPr>
          <w:position w:val="2"/>
        </w:rPr>
        <w:t>β</w:t>
      </w:r>
      <w:r>
        <w:rPr>
          <w:sz w:val="16"/>
        </w:rPr>
        <w:t>0</w:t>
      </w:r>
      <w:r>
        <w:rPr>
          <w:position w:val="2"/>
        </w:rPr>
        <w:t>= </w:t>
      </w:r>
      <w:r>
        <w:rPr>
          <w:spacing w:val="-2"/>
          <w:position w:val="2"/>
        </w:rPr>
        <w:t>Constant</w:t>
      </w:r>
    </w:p>
    <w:p>
      <w:pPr>
        <w:pStyle w:val="BodyText"/>
        <w:spacing w:line="477" w:lineRule="auto" w:before="273"/>
        <w:ind w:left="400" w:right="2805"/>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97"/>
        <w:jc w:val="left"/>
      </w:pPr>
      <w:r>
        <w:rPr/>
        <w:t>Model</w:t>
      </w:r>
      <w:r>
        <w:rPr>
          <w:spacing w:val="-2"/>
        </w:rPr>
        <w:t> three</w:t>
      </w:r>
    </w:p>
    <w:p>
      <w:pPr>
        <w:pStyle w:val="BodyText"/>
        <w:tabs>
          <w:tab w:pos="5742" w:val="left" w:leader="dot"/>
        </w:tabs>
        <w:spacing w:before="271"/>
        <w:ind w:left="400"/>
      </w:pPr>
      <w:r>
        <w:rPr/>
        <w:t>QS</w:t>
      </w:r>
      <w:r>
        <w:rPr>
          <w:spacing w:val="-1"/>
        </w:rPr>
        <w:t> </w:t>
      </w:r>
      <w:r>
        <w:rPr/>
        <w:t>=</w:t>
      </w:r>
      <w:r>
        <w:rPr>
          <w:spacing w:val="-2"/>
        </w:rPr>
        <w:t> </w:t>
      </w:r>
      <w:r>
        <w:rPr/>
        <w:t>F</w:t>
      </w:r>
      <w:r>
        <w:rPr>
          <w:spacing w:val="-3"/>
        </w:rPr>
        <w:t> </w:t>
      </w:r>
      <w:r>
        <w:rPr/>
        <w:t>(ST, </w:t>
      </w:r>
      <w:r>
        <w:rPr>
          <w:spacing w:val="-5"/>
        </w:rPr>
        <w:t>OP)</w:t>
      </w:r>
      <w:r>
        <w:rPr/>
        <w:tab/>
      </w:r>
      <w:r>
        <w:rPr>
          <w:spacing w:val="-2"/>
        </w:rPr>
        <w:t>(3.1)</w:t>
      </w:r>
    </w:p>
    <w:p>
      <w:pPr>
        <w:pStyle w:val="BodyText"/>
      </w:pPr>
    </w:p>
    <w:p>
      <w:pPr>
        <w:pStyle w:val="BodyText"/>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tabs>
          <w:tab w:pos="5377" w:val="left" w:leader="dot"/>
        </w:tabs>
        <w:spacing w:before="275"/>
        <w:ind w:left="400" w:right="0" w:firstLine="0"/>
        <w:jc w:val="left"/>
        <w:rPr>
          <w:sz w:val="24"/>
        </w:rPr>
      </w:pPr>
      <w:r>
        <w:rPr>
          <w:position w:val="2"/>
          <w:sz w:val="24"/>
        </w:rPr>
        <w:t>QS</w:t>
      </w:r>
      <w:r>
        <w:rPr>
          <w:sz w:val="16"/>
        </w:rPr>
        <w:t>t</w:t>
      </w:r>
      <w:r>
        <w:rPr>
          <w:spacing w:val="18"/>
          <w:sz w:val="16"/>
        </w:rPr>
        <w:t> </w:t>
      </w:r>
      <w:r>
        <w:rPr>
          <w:position w:val="2"/>
          <w:sz w:val="24"/>
        </w:rPr>
        <w:t>=</w:t>
      </w:r>
      <w:r>
        <w:rPr>
          <w:spacing w:val="-2"/>
          <w:position w:val="2"/>
          <w:sz w:val="24"/>
        </w:rPr>
        <w:t> </w:t>
      </w:r>
      <w:r>
        <w:rPr>
          <w:position w:val="2"/>
          <w:sz w:val="24"/>
        </w:rPr>
        <w:t>β</w:t>
      </w:r>
      <w:r>
        <w:rPr>
          <w:sz w:val="16"/>
        </w:rPr>
        <w:t>0</w:t>
      </w:r>
      <w:r>
        <w:rPr>
          <w:spacing w:val="1"/>
          <w:sz w:val="16"/>
        </w:rPr>
        <w:t> </w:t>
      </w:r>
      <w:r>
        <w:rPr>
          <w:position w:val="2"/>
          <w:sz w:val="24"/>
        </w:rPr>
        <w:t>+</w:t>
      </w:r>
      <w:r>
        <w:rPr>
          <w:spacing w:val="-2"/>
          <w:position w:val="2"/>
          <w:sz w:val="24"/>
        </w:rPr>
        <w:t> </w:t>
      </w:r>
      <w:r>
        <w:rPr>
          <w:position w:val="2"/>
          <w:sz w:val="24"/>
        </w:rPr>
        <w:t>β</w:t>
      </w:r>
      <w:r>
        <w:rPr>
          <w:sz w:val="16"/>
        </w:rPr>
        <w:t>1</w:t>
      </w:r>
      <w:r>
        <w:rPr>
          <w:position w:val="2"/>
          <w:sz w:val="24"/>
        </w:rPr>
        <w:t>ST</w:t>
      </w:r>
      <w:r>
        <w:rPr>
          <w:sz w:val="16"/>
        </w:rPr>
        <w:t>t</w:t>
      </w:r>
      <w:r>
        <w:rPr>
          <w:position w:val="2"/>
          <w:sz w:val="24"/>
        </w:rPr>
        <w:t>+</w:t>
      </w:r>
      <w:r>
        <w:rPr>
          <w:spacing w:val="-3"/>
          <w:position w:val="2"/>
          <w:sz w:val="24"/>
        </w:rPr>
        <w:t> </w:t>
      </w:r>
      <w:r>
        <w:rPr>
          <w:position w:val="2"/>
          <w:sz w:val="24"/>
        </w:rPr>
        <w:t>β</w:t>
      </w:r>
      <w:r>
        <w:rPr>
          <w:sz w:val="16"/>
        </w:rPr>
        <w:t>2</w:t>
      </w:r>
      <w:r>
        <w:rPr>
          <w:position w:val="2"/>
          <w:sz w:val="24"/>
        </w:rPr>
        <w:t>OP</w:t>
      </w:r>
      <w:r>
        <w:rPr>
          <w:sz w:val="16"/>
        </w:rPr>
        <w:t>t</w:t>
      </w:r>
      <w:r>
        <w:rPr>
          <w:spacing w:val="17"/>
          <w:sz w:val="16"/>
        </w:rPr>
        <w:t> </w:t>
      </w:r>
      <w:r>
        <w:rPr>
          <w:position w:val="2"/>
          <w:sz w:val="24"/>
        </w:rPr>
        <w:t>+</w:t>
      </w:r>
      <w:r>
        <w:rPr>
          <w:spacing w:val="-2"/>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275"/>
        <w:ind w:left="399"/>
      </w:pPr>
      <w:r>
        <w:rPr>
          <w:spacing w:val="-2"/>
        </w:rPr>
        <w:t>Where</w:t>
      </w:r>
    </w:p>
    <w:p>
      <w:pPr>
        <w:pStyle w:val="BodyText"/>
        <w:spacing w:line="480" w:lineRule="auto" w:before="276"/>
        <w:ind w:left="399" w:right="6398"/>
      </w:pPr>
      <w:r>
        <w:rPr/>
        <w:t>QS=</w:t>
      </w:r>
      <w:r>
        <w:rPr>
          <w:spacing w:val="-9"/>
        </w:rPr>
        <w:t> </w:t>
      </w:r>
      <w:r>
        <w:rPr/>
        <w:t>quality</w:t>
      </w:r>
      <w:r>
        <w:rPr>
          <w:spacing w:val="-12"/>
        </w:rPr>
        <w:t> </w:t>
      </w:r>
      <w:r>
        <w:rPr/>
        <w:t>of</w:t>
      </w:r>
      <w:r>
        <w:rPr>
          <w:spacing w:val="-9"/>
        </w:rPr>
        <w:t> </w:t>
      </w:r>
      <w:r>
        <w:rPr/>
        <w:t>service</w:t>
      </w:r>
      <w:r>
        <w:rPr>
          <w:spacing w:val="-7"/>
        </w:rPr>
        <w:t> </w:t>
      </w:r>
      <w:r>
        <w:rPr/>
        <w:t>(dependent</w:t>
      </w:r>
      <w:r>
        <w:rPr>
          <w:spacing w:val="-8"/>
        </w:rPr>
        <w:t> </w:t>
      </w:r>
      <w:r>
        <w:rPr/>
        <w:t>variable) F= functional relationship</w:t>
      </w:r>
    </w:p>
    <w:p>
      <w:pPr>
        <w:spacing w:after="0" w:line="480" w:lineRule="auto"/>
        <w:sectPr>
          <w:pgSz w:w="12240" w:h="15840"/>
          <w:pgMar w:header="0" w:footer="1017" w:top="1360" w:bottom="1200" w:left="1040" w:right="120"/>
        </w:sectPr>
      </w:pPr>
    </w:p>
    <w:p>
      <w:pPr>
        <w:pStyle w:val="BodyText"/>
        <w:spacing w:before="72"/>
        <w:ind w:left="400"/>
      </w:pPr>
      <w:r>
        <w:rPr/>
        <w:t>ST</w:t>
      </w:r>
      <w:r>
        <w:rPr>
          <w:spacing w:val="-3"/>
        </w:rPr>
        <w:t> </w:t>
      </w:r>
      <w:r>
        <w:rPr/>
        <w:t>=</w:t>
      </w:r>
      <w:r>
        <w:rPr>
          <w:spacing w:val="-2"/>
        </w:rPr>
        <w:t> </w:t>
      </w:r>
      <w:r>
        <w:rPr/>
        <w:t>strength</w:t>
      </w:r>
      <w:r>
        <w:rPr>
          <w:spacing w:val="-2"/>
        </w:rPr>
        <w:t> </w:t>
      </w:r>
      <w:r>
        <w:rPr/>
        <w:t>(first</w:t>
      </w:r>
      <w:r>
        <w:rPr>
          <w:spacing w:val="-1"/>
        </w:rPr>
        <w:t> </w:t>
      </w:r>
      <w:r>
        <w:rPr/>
        <w:t>independent</w:t>
      </w:r>
      <w:r>
        <w:rPr>
          <w:spacing w:val="-1"/>
        </w:rPr>
        <w:t> </w:t>
      </w:r>
      <w:r>
        <w:rPr>
          <w:spacing w:val="-2"/>
        </w:rPr>
        <w:t>variable)</w:t>
      </w:r>
    </w:p>
    <w:p>
      <w:pPr>
        <w:pStyle w:val="BodyText"/>
        <w:spacing w:before="2"/>
      </w:pPr>
    </w:p>
    <w:p>
      <w:pPr>
        <w:pStyle w:val="BodyText"/>
        <w:spacing w:line="360" w:lineRule="auto"/>
        <w:ind w:left="400" w:right="5986"/>
      </w:pPr>
      <w:r>
        <w:rPr/>
        <w:t>OP</w:t>
      </w:r>
      <w:r>
        <w:rPr>
          <w:spacing w:val="-7"/>
        </w:rPr>
        <w:t> </w:t>
      </w:r>
      <w:r>
        <w:rPr/>
        <w:t>=</w:t>
      </w:r>
      <w:r>
        <w:rPr>
          <w:spacing w:val="-8"/>
        </w:rPr>
        <w:t> </w:t>
      </w:r>
      <w:r>
        <w:rPr/>
        <w:t>Opportunity</w:t>
      </w:r>
      <w:r>
        <w:rPr>
          <w:spacing w:val="-12"/>
        </w:rPr>
        <w:t> </w:t>
      </w:r>
      <w:r>
        <w:rPr/>
        <w:t>(second</w:t>
      </w:r>
      <w:r>
        <w:rPr>
          <w:spacing w:val="-7"/>
        </w:rPr>
        <w:t> </w:t>
      </w:r>
      <w:r>
        <w:rPr/>
        <w:t>independent</w:t>
      </w:r>
      <w:r>
        <w:rPr>
          <w:spacing w:val="-7"/>
        </w:rPr>
        <w:t> </w:t>
      </w:r>
      <w:r>
        <w:rPr/>
        <w:t>variable) t = time period</w:t>
      </w:r>
    </w:p>
    <w:p>
      <w:pPr>
        <w:pStyle w:val="BodyText"/>
        <w:spacing w:line="278" w:lineRule="exact"/>
        <w:ind w:left="400"/>
      </w:pPr>
      <w:r>
        <w:rPr>
          <w:position w:val="2"/>
        </w:rPr>
        <w:t>β</w:t>
      </w:r>
      <w:r>
        <w:rPr>
          <w:sz w:val="16"/>
        </w:rPr>
        <w:t>0</w:t>
      </w:r>
      <w:r>
        <w:rPr>
          <w:position w:val="2"/>
        </w:rPr>
        <w:t>= </w:t>
      </w:r>
      <w:r>
        <w:rPr>
          <w:spacing w:val="-2"/>
          <w:position w:val="2"/>
        </w:rPr>
        <w:t>Constant</w:t>
      </w:r>
    </w:p>
    <w:p>
      <w:pPr>
        <w:pStyle w:val="BodyText"/>
        <w:spacing w:line="357" w:lineRule="auto" w:before="134"/>
        <w:ind w:left="400" w:right="2805"/>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76"/>
        <w:jc w:val="left"/>
      </w:pPr>
      <w:r>
        <w:rPr/>
        <w:t>Model</w:t>
      </w:r>
      <w:r>
        <w:rPr>
          <w:spacing w:val="-2"/>
        </w:rPr>
        <w:t> </w:t>
      </w:r>
      <w:r>
        <w:rPr>
          <w:spacing w:val="-4"/>
        </w:rPr>
        <w:t>four</w:t>
      </w:r>
    </w:p>
    <w:p>
      <w:pPr>
        <w:pStyle w:val="BodyText"/>
        <w:tabs>
          <w:tab w:pos="5787" w:val="left" w:leader="dot"/>
        </w:tabs>
        <w:spacing w:before="134"/>
        <w:ind w:left="400"/>
      </w:pPr>
      <w:r>
        <w:rPr/>
        <w:t>PR=</w:t>
      </w:r>
      <w:r>
        <w:rPr>
          <w:spacing w:val="-2"/>
        </w:rPr>
        <w:t> </w:t>
      </w:r>
      <w:r>
        <w:rPr/>
        <w:t>F</w:t>
      </w:r>
      <w:r>
        <w:rPr>
          <w:spacing w:val="-2"/>
        </w:rPr>
        <w:t> </w:t>
      </w:r>
      <w:r>
        <w:rPr/>
        <w:t>(WK, </w:t>
      </w:r>
      <w:r>
        <w:rPr>
          <w:spacing w:val="-5"/>
        </w:rPr>
        <w:t>TR)</w:t>
      </w:r>
      <w:r>
        <w:rPr/>
        <w:tab/>
      </w:r>
      <w:r>
        <w:rPr>
          <w:spacing w:val="-2"/>
        </w:rPr>
        <w:t>(3.1)</w:t>
      </w:r>
    </w:p>
    <w:p>
      <w:pPr>
        <w:pStyle w:val="BodyText"/>
        <w:spacing w:before="137"/>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tabs>
          <w:tab w:pos="5523" w:val="left" w:leader="dot"/>
        </w:tabs>
        <w:spacing w:before="136"/>
        <w:ind w:left="400" w:right="0" w:firstLine="0"/>
        <w:jc w:val="left"/>
        <w:rPr>
          <w:sz w:val="24"/>
        </w:rPr>
      </w:pPr>
      <w:r>
        <w:rPr>
          <w:position w:val="2"/>
          <w:sz w:val="24"/>
        </w:rPr>
        <w:t>PR</w:t>
      </w:r>
      <w:r>
        <w:rPr>
          <w:sz w:val="16"/>
        </w:rPr>
        <w:t>t</w:t>
      </w:r>
      <w:r>
        <w:rPr>
          <w:spacing w:val="16"/>
          <w:sz w:val="16"/>
        </w:rPr>
        <w:t> </w:t>
      </w:r>
      <w:r>
        <w:rPr>
          <w:position w:val="2"/>
          <w:sz w:val="24"/>
        </w:rPr>
        <w:t>=</w:t>
      </w:r>
      <w:r>
        <w:rPr>
          <w:spacing w:val="-2"/>
          <w:position w:val="2"/>
          <w:sz w:val="24"/>
        </w:rPr>
        <w:t> </w:t>
      </w:r>
      <w:r>
        <w:rPr>
          <w:position w:val="2"/>
          <w:sz w:val="24"/>
        </w:rPr>
        <w:t>β</w:t>
      </w:r>
      <w:r>
        <w:rPr>
          <w:sz w:val="16"/>
        </w:rPr>
        <w:t>0</w:t>
      </w:r>
      <w:r>
        <w:rPr>
          <w:spacing w:val="2"/>
          <w:sz w:val="16"/>
        </w:rPr>
        <w:t> </w:t>
      </w:r>
      <w:r>
        <w:rPr>
          <w:position w:val="2"/>
          <w:sz w:val="24"/>
        </w:rPr>
        <w:t>+</w:t>
      </w:r>
      <w:r>
        <w:rPr>
          <w:spacing w:val="-2"/>
          <w:position w:val="2"/>
          <w:sz w:val="24"/>
        </w:rPr>
        <w:t> </w:t>
      </w:r>
      <w:r>
        <w:rPr>
          <w:position w:val="2"/>
          <w:sz w:val="24"/>
        </w:rPr>
        <w:t>β</w:t>
      </w:r>
      <w:r>
        <w:rPr>
          <w:sz w:val="16"/>
        </w:rPr>
        <w:t>1</w:t>
      </w:r>
      <w:r>
        <w:rPr>
          <w:position w:val="2"/>
          <w:sz w:val="24"/>
        </w:rPr>
        <w:t>WK</w:t>
      </w:r>
      <w:r>
        <w:rPr>
          <w:sz w:val="16"/>
        </w:rPr>
        <w:t>t</w:t>
      </w:r>
      <w:r>
        <w:rPr>
          <w:position w:val="2"/>
          <w:sz w:val="24"/>
        </w:rPr>
        <w:t>+</w:t>
      </w:r>
      <w:r>
        <w:rPr>
          <w:spacing w:val="-2"/>
          <w:position w:val="2"/>
          <w:sz w:val="24"/>
        </w:rPr>
        <w:t> </w:t>
      </w:r>
      <w:r>
        <w:rPr>
          <w:position w:val="2"/>
          <w:sz w:val="24"/>
        </w:rPr>
        <w:t>β</w:t>
      </w:r>
      <w:r>
        <w:rPr>
          <w:sz w:val="16"/>
        </w:rPr>
        <w:t>2</w:t>
      </w:r>
      <w:r>
        <w:rPr>
          <w:position w:val="2"/>
          <w:sz w:val="24"/>
        </w:rPr>
        <w:t>TR</w:t>
      </w:r>
      <w:r>
        <w:rPr>
          <w:sz w:val="16"/>
        </w:rPr>
        <w:t>t</w:t>
      </w:r>
      <w:r>
        <w:rPr>
          <w:spacing w:val="17"/>
          <w:sz w:val="16"/>
        </w:rPr>
        <w:t> </w:t>
      </w:r>
      <w:r>
        <w:rPr>
          <w:position w:val="2"/>
          <w:sz w:val="24"/>
        </w:rPr>
        <w:t>+</w:t>
      </w:r>
      <w:r>
        <w:rPr>
          <w:spacing w:val="-2"/>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274"/>
        <w:ind w:left="400"/>
      </w:pPr>
      <w:r>
        <w:rPr>
          <w:spacing w:val="-2"/>
        </w:rPr>
        <w:t>Where</w:t>
      </w:r>
    </w:p>
    <w:p>
      <w:pPr>
        <w:pStyle w:val="BodyText"/>
      </w:pPr>
    </w:p>
    <w:p>
      <w:pPr>
        <w:pStyle w:val="BodyText"/>
        <w:spacing w:line="480" w:lineRule="auto"/>
        <w:ind w:left="400" w:right="7659"/>
        <w:jc w:val="both"/>
      </w:pPr>
      <w:r>
        <w:rPr/>
        <w:t>PR=</w:t>
      </w:r>
      <w:r>
        <w:rPr>
          <w:spacing w:val="-14"/>
        </w:rPr>
        <w:t> </w:t>
      </w:r>
      <w:r>
        <w:rPr/>
        <w:t>Price</w:t>
      </w:r>
      <w:r>
        <w:rPr>
          <w:spacing w:val="-14"/>
        </w:rPr>
        <w:t> </w:t>
      </w:r>
      <w:r>
        <w:rPr/>
        <w:t>(dependent</w:t>
      </w:r>
      <w:r>
        <w:rPr>
          <w:spacing w:val="-13"/>
        </w:rPr>
        <w:t> </w:t>
      </w:r>
      <w:r>
        <w:rPr/>
        <w:t>variable) F= functional relationship</w:t>
      </w:r>
    </w:p>
    <w:p>
      <w:pPr>
        <w:pStyle w:val="BodyText"/>
        <w:spacing w:line="480" w:lineRule="auto"/>
        <w:ind w:left="400" w:right="6380"/>
        <w:jc w:val="both"/>
      </w:pPr>
      <w:r>
        <w:rPr/>
        <w:t>WK</w:t>
      </w:r>
      <w:r>
        <w:rPr>
          <w:spacing w:val="-9"/>
        </w:rPr>
        <w:t> </w:t>
      </w:r>
      <w:r>
        <w:rPr/>
        <w:t>=</w:t>
      </w:r>
      <w:r>
        <w:rPr>
          <w:spacing w:val="-9"/>
        </w:rPr>
        <w:t> </w:t>
      </w:r>
      <w:r>
        <w:rPr/>
        <w:t>Weakness</w:t>
      </w:r>
      <w:r>
        <w:rPr>
          <w:spacing w:val="-8"/>
        </w:rPr>
        <w:t> </w:t>
      </w:r>
      <w:r>
        <w:rPr/>
        <w:t>(first</w:t>
      </w:r>
      <w:r>
        <w:rPr>
          <w:spacing w:val="-8"/>
        </w:rPr>
        <w:t> </w:t>
      </w:r>
      <w:r>
        <w:rPr/>
        <w:t>independent</w:t>
      </w:r>
      <w:r>
        <w:rPr>
          <w:spacing w:val="-8"/>
        </w:rPr>
        <w:t> </w:t>
      </w:r>
      <w:r>
        <w:rPr/>
        <w:t>variable) TR = Threats (second independent variable) t = time period</w:t>
      </w:r>
    </w:p>
    <w:p>
      <w:pPr>
        <w:pStyle w:val="BodyText"/>
        <w:spacing w:line="276" w:lineRule="exact"/>
        <w:ind w:left="400"/>
      </w:pPr>
      <w:r>
        <w:rPr>
          <w:position w:val="2"/>
        </w:rPr>
        <w:t>β</w:t>
      </w:r>
      <w:r>
        <w:rPr>
          <w:sz w:val="16"/>
        </w:rPr>
        <w:t>0</w:t>
      </w:r>
      <w:r>
        <w:rPr>
          <w:position w:val="2"/>
        </w:rPr>
        <w:t>= </w:t>
      </w:r>
      <w:r>
        <w:rPr>
          <w:spacing w:val="-2"/>
          <w:position w:val="2"/>
        </w:rPr>
        <w:t>Constant</w:t>
      </w:r>
    </w:p>
    <w:p>
      <w:pPr>
        <w:pStyle w:val="BodyText"/>
        <w:spacing w:line="477" w:lineRule="auto" w:before="273"/>
        <w:ind w:left="400" w:right="2805"/>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237"/>
        <w:jc w:val="left"/>
      </w:pPr>
      <w:r>
        <w:rPr/>
        <w:t>Model</w:t>
      </w:r>
      <w:r>
        <w:rPr>
          <w:spacing w:val="-2"/>
        </w:rPr>
        <w:t> </w:t>
      </w:r>
      <w:r>
        <w:rPr>
          <w:spacing w:val="-4"/>
        </w:rPr>
        <w:t>Five</w:t>
      </w:r>
    </w:p>
    <w:p>
      <w:pPr>
        <w:pStyle w:val="BodyText"/>
        <w:tabs>
          <w:tab w:pos="5843" w:val="left" w:leader="dot"/>
        </w:tabs>
        <w:spacing w:before="271"/>
        <w:ind w:left="400"/>
      </w:pPr>
      <w:r>
        <w:rPr/>
        <w:t>MS=</w:t>
      </w:r>
      <w:r>
        <w:rPr>
          <w:spacing w:val="-2"/>
        </w:rPr>
        <w:t> </w:t>
      </w:r>
      <w:r>
        <w:rPr/>
        <w:t>F</w:t>
      </w:r>
      <w:r>
        <w:rPr>
          <w:spacing w:val="-2"/>
        </w:rPr>
        <w:t> </w:t>
      </w:r>
      <w:r>
        <w:rPr/>
        <w:t>(WK, </w:t>
      </w:r>
      <w:r>
        <w:rPr>
          <w:spacing w:val="-5"/>
        </w:rPr>
        <w:t>TR)</w:t>
      </w:r>
      <w:r>
        <w:rPr/>
        <w:tab/>
      </w:r>
      <w:r>
        <w:rPr>
          <w:spacing w:val="-2"/>
        </w:rPr>
        <w:t>(3.1)</w:t>
      </w:r>
    </w:p>
    <w:p>
      <w:pPr>
        <w:pStyle w:val="BodyText"/>
      </w:pPr>
    </w:p>
    <w:p>
      <w:pPr>
        <w:pStyle w:val="BodyText"/>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pStyle w:val="BodyText"/>
        <w:spacing w:before="1"/>
      </w:pPr>
    </w:p>
    <w:p>
      <w:pPr>
        <w:tabs>
          <w:tab w:pos="5538" w:val="left" w:leader="dot"/>
        </w:tabs>
        <w:spacing w:before="1"/>
        <w:ind w:left="400" w:right="0" w:firstLine="0"/>
        <w:jc w:val="left"/>
        <w:rPr>
          <w:sz w:val="24"/>
        </w:rPr>
      </w:pPr>
      <w:r>
        <w:rPr>
          <w:position w:val="2"/>
          <w:sz w:val="24"/>
        </w:rPr>
        <w:t>MS</w:t>
      </w:r>
      <w:r>
        <w:rPr>
          <w:sz w:val="16"/>
        </w:rPr>
        <w:t>t</w:t>
      </w:r>
      <w:r>
        <w:rPr>
          <w:spacing w:val="19"/>
          <w:sz w:val="16"/>
        </w:rPr>
        <w:t> </w:t>
      </w:r>
      <w:r>
        <w:rPr>
          <w:position w:val="2"/>
          <w:sz w:val="24"/>
        </w:rPr>
        <w:t>=</w:t>
      </w:r>
      <w:r>
        <w:rPr>
          <w:spacing w:val="-2"/>
          <w:position w:val="2"/>
          <w:sz w:val="24"/>
        </w:rPr>
        <w:t> </w:t>
      </w:r>
      <w:r>
        <w:rPr>
          <w:position w:val="2"/>
          <w:sz w:val="24"/>
        </w:rPr>
        <w:t>β</w:t>
      </w:r>
      <w:r>
        <w:rPr>
          <w:sz w:val="16"/>
        </w:rPr>
        <w:t>0</w:t>
      </w:r>
      <w:r>
        <w:rPr>
          <w:spacing w:val="-1"/>
          <w:sz w:val="16"/>
        </w:rPr>
        <w:t> </w:t>
      </w:r>
      <w:r>
        <w:rPr>
          <w:position w:val="2"/>
          <w:sz w:val="24"/>
        </w:rPr>
        <w:t>+</w:t>
      </w:r>
      <w:r>
        <w:rPr>
          <w:spacing w:val="-2"/>
          <w:position w:val="2"/>
          <w:sz w:val="24"/>
        </w:rPr>
        <w:t> </w:t>
      </w:r>
      <w:r>
        <w:rPr>
          <w:position w:val="2"/>
          <w:sz w:val="24"/>
        </w:rPr>
        <w:t>β</w:t>
      </w:r>
      <w:r>
        <w:rPr>
          <w:sz w:val="16"/>
        </w:rPr>
        <w:t>1</w:t>
      </w:r>
      <w:r>
        <w:rPr>
          <w:position w:val="2"/>
          <w:sz w:val="24"/>
        </w:rPr>
        <w:t>WK</w:t>
      </w:r>
      <w:r>
        <w:rPr>
          <w:sz w:val="16"/>
        </w:rPr>
        <w:t>t</w:t>
      </w:r>
      <w:r>
        <w:rPr>
          <w:position w:val="2"/>
          <w:sz w:val="24"/>
        </w:rPr>
        <w:t>+</w:t>
      </w:r>
      <w:r>
        <w:rPr>
          <w:spacing w:val="-1"/>
          <w:position w:val="2"/>
          <w:sz w:val="24"/>
        </w:rPr>
        <w:t> </w:t>
      </w:r>
      <w:r>
        <w:rPr>
          <w:position w:val="2"/>
          <w:sz w:val="24"/>
        </w:rPr>
        <w:t>β</w:t>
      </w:r>
      <w:r>
        <w:rPr>
          <w:sz w:val="16"/>
        </w:rPr>
        <w:t>2</w:t>
      </w:r>
      <w:r>
        <w:rPr>
          <w:position w:val="2"/>
          <w:sz w:val="24"/>
        </w:rPr>
        <w:t>TR</w:t>
      </w:r>
      <w:r>
        <w:rPr>
          <w:sz w:val="16"/>
        </w:rPr>
        <w:t>t</w:t>
      </w:r>
      <w:r>
        <w:rPr>
          <w:spacing w:val="19"/>
          <w:sz w:val="16"/>
        </w:rPr>
        <w:t> </w:t>
      </w:r>
      <w:r>
        <w:rPr>
          <w:position w:val="2"/>
          <w:sz w:val="24"/>
        </w:rPr>
        <w:t>+</w:t>
      </w:r>
      <w:r>
        <w:rPr>
          <w:spacing w:val="-1"/>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137"/>
        <w:ind w:left="400"/>
      </w:pPr>
      <w:r>
        <w:rPr>
          <w:spacing w:val="-2"/>
        </w:rPr>
        <w:t>Where</w:t>
      </w:r>
    </w:p>
    <w:p>
      <w:pPr>
        <w:pStyle w:val="BodyText"/>
        <w:spacing w:line="360" w:lineRule="auto" w:before="137"/>
        <w:ind w:left="400" w:right="6630"/>
      </w:pPr>
      <w:r>
        <w:rPr/>
        <w:t>MS=</w:t>
      </w:r>
      <w:r>
        <w:rPr>
          <w:spacing w:val="-10"/>
        </w:rPr>
        <w:t> </w:t>
      </w:r>
      <w:r>
        <w:rPr/>
        <w:t>Market</w:t>
      </w:r>
      <w:r>
        <w:rPr>
          <w:spacing w:val="-10"/>
        </w:rPr>
        <w:t> </w:t>
      </w:r>
      <w:r>
        <w:rPr/>
        <w:t>share</w:t>
      </w:r>
      <w:r>
        <w:rPr>
          <w:spacing w:val="-10"/>
        </w:rPr>
        <w:t> </w:t>
      </w:r>
      <w:r>
        <w:rPr/>
        <w:t>(dependent</w:t>
      </w:r>
      <w:r>
        <w:rPr>
          <w:spacing w:val="-10"/>
        </w:rPr>
        <w:t> </w:t>
      </w:r>
      <w:r>
        <w:rPr/>
        <w:t>variable) F= functional relationship</w:t>
      </w:r>
    </w:p>
    <w:p>
      <w:pPr>
        <w:spacing w:after="0" w:line="360" w:lineRule="auto"/>
        <w:sectPr>
          <w:pgSz w:w="12240" w:h="15840"/>
          <w:pgMar w:header="0" w:footer="1017" w:top="1360" w:bottom="1200" w:left="1040" w:right="120"/>
        </w:sectPr>
      </w:pPr>
    </w:p>
    <w:p>
      <w:pPr>
        <w:pStyle w:val="BodyText"/>
        <w:spacing w:line="360" w:lineRule="auto" w:before="74"/>
        <w:ind w:left="400" w:right="6380"/>
        <w:jc w:val="both"/>
      </w:pPr>
      <w:r>
        <w:rPr/>
        <w:t>WK</w:t>
      </w:r>
      <w:r>
        <w:rPr>
          <w:spacing w:val="-9"/>
        </w:rPr>
        <w:t> </w:t>
      </w:r>
      <w:r>
        <w:rPr/>
        <w:t>=</w:t>
      </w:r>
      <w:r>
        <w:rPr>
          <w:spacing w:val="-9"/>
        </w:rPr>
        <w:t> </w:t>
      </w:r>
      <w:r>
        <w:rPr/>
        <w:t>Weakness</w:t>
      </w:r>
      <w:r>
        <w:rPr>
          <w:spacing w:val="-8"/>
        </w:rPr>
        <w:t> </w:t>
      </w:r>
      <w:r>
        <w:rPr/>
        <w:t>(first</w:t>
      </w:r>
      <w:r>
        <w:rPr>
          <w:spacing w:val="-8"/>
        </w:rPr>
        <w:t> </w:t>
      </w:r>
      <w:r>
        <w:rPr/>
        <w:t>independent</w:t>
      </w:r>
      <w:r>
        <w:rPr>
          <w:spacing w:val="-8"/>
        </w:rPr>
        <w:t> </w:t>
      </w:r>
      <w:r>
        <w:rPr/>
        <w:t>variable) TR = Threats (second independent variable) t = time period</w:t>
      </w:r>
    </w:p>
    <w:p>
      <w:pPr>
        <w:pStyle w:val="BodyText"/>
        <w:spacing w:line="277" w:lineRule="exact"/>
        <w:ind w:left="400"/>
        <w:jc w:val="both"/>
      </w:pPr>
      <w:r>
        <w:rPr>
          <w:position w:val="2"/>
        </w:rPr>
        <w:t>β</w:t>
      </w:r>
      <w:r>
        <w:rPr>
          <w:sz w:val="16"/>
        </w:rPr>
        <w:t>0</w:t>
      </w:r>
      <w:r>
        <w:rPr>
          <w:position w:val="2"/>
        </w:rPr>
        <w:t>= </w:t>
      </w:r>
      <w:r>
        <w:rPr>
          <w:spacing w:val="-2"/>
          <w:position w:val="2"/>
        </w:rPr>
        <w:t>Constant</w:t>
      </w:r>
    </w:p>
    <w:p>
      <w:pPr>
        <w:pStyle w:val="BodyText"/>
        <w:spacing w:line="357" w:lineRule="auto" w:before="137"/>
        <w:ind w:left="400" w:right="2805"/>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109"/>
        <w:jc w:val="left"/>
      </w:pPr>
      <w:r>
        <w:rPr/>
        <w:t>Model</w:t>
      </w:r>
      <w:r>
        <w:rPr>
          <w:spacing w:val="-2"/>
        </w:rPr>
        <w:t> </w:t>
      </w:r>
      <w:r>
        <w:rPr>
          <w:spacing w:val="-5"/>
        </w:rPr>
        <w:t>Six</w:t>
      </w:r>
    </w:p>
    <w:p>
      <w:pPr>
        <w:pStyle w:val="BodyText"/>
        <w:tabs>
          <w:tab w:pos="5802" w:val="left" w:leader="dot"/>
        </w:tabs>
        <w:spacing w:before="134"/>
        <w:ind w:left="400"/>
      </w:pPr>
      <w:r>
        <w:rPr/>
        <w:t>QS=</w:t>
      </w:r>
      <w:r>
        <w:rPr>
          <w:spacing w:val="-2"/>
        </w:rPr>
        <w:t> </w:t>
      </w:r>
      <w:r>
        <w:rPr/>
        <w:t>F</w:t>
      </w:r>
      <w:r>
        <w:rPr>
          <w:spacing w:val="-3"/>
        </w:rPr>
        <w:t> </w:t>
      </w:r>
      <w:r>
        <w:rPr/>
        <w:t>(WK, </w:t>
      </w:r>
      <w:r>
        <w:rPr>
          <w:spacing w:val="-5"/>
        </w:rPr>
        <w:t>TR)</w:t>
      </w:r>
      <w:r>
        <w:rPr/>
        <w:tab/>
      </w:r>
      <w:r>
        <w:rPr>
          <w:spacing w:val="-2"/>
        </w:rPr>
        <w:t>(3.1)</w:t>
      </w:r>
    </w:p>
    <w:p>
      <w:pPr>
        <w:pStyle w:val="BodyText"/>
        <w:spacing w:before="137"/>
        <w:ind w:left="400"/>
      </w:pPr>
      <w:r>
        <w:rPr/>
        <w:t>The</w:t>
      </w:r>
      <w:r>
        <w:rPr>
          <w:spacing w:val="-3"/>
        </w:rPr>
        <w:t> </w:t>
      </w:r>
      <w:r>
        <w:rPr/>
        <w:t>stochastic</w:t>
      </w:r>
      <w:r>
        <w:rPr>
          <w:spacing w:val="-3"/>
        </w:rPr>
        <w:t> </w:t>
      </w:r>
      <w:r>
        <w:rPr/>
        <w:t>model</w:t>
      </w:r>
      <w:r>
        <w:rPr>
          <w:spacing w:val="-1"/>
        </w:rPr>
        <w:t> </w:t>
      </w:r>
      <w:r>
        <w:rPr/>
        <w:t>is</w:t>
      </w:r>
      <w:r>
        <w:rPr>
          <w:spacing w:val="-2"/>
        </w:rPr>
        <w:t> </w:t>
      </w:r>
      <w:r>
        <w:rPr/>
        <w:t>specified</w:t>
      </w:r>
      <w:r>
        <w:rPr>
          <w:spacing w:val="-1"/>
        </w:rPr>
        <w:t> </w:t>
      </w:r>
      <w:r>
        <w:rPr>
          <w:spacing w:val="-5"/>
        </w:rPr>
        <w:t>as:</w:t>
      </w:r>
    </w:p>
    <w:p>
      <w:pPr>
        <w:tabs>
          <w:tab w:pos="5485" w:val="left" w:leader="dot"/>
        </w:tabs>
        <w:spacing w:before="136"/>
        <w:ind w:left="400" w:right="0" w:firstLine="0"/>
        <w:jc w:val="left"/>
        <w:rPr>
          <w:sz w:val="24"/>
        </w:rPr>
      </w:pPr>
      <w:r>
        <w:rPr>
          <w:position w:val="2"/>
          <w:sz w:val="24"/>
        </w:rPr>
        <w:t>PR</w:t>
      </w:r>
      <w:r>
        <w:rPr>
          <w:sz w:val="16"/>
        </w:rPr>
        <w:t>t</w:t>
      </w:r>
      <w:r>
        <w:rPr>
          <w:spacing w:val="16"/>
          <w:sz w:val="16"/>
        </w:rPr>
        <w:t> </w:t>
      </w:r>
      <w:r>
        <w:rPr>
          <w:position w:val="2"/>
          <w:sz w:val="24"/>
        </w:rPr>
        <w:t>=</w:t>
      </w:r>
      <w:r>
        <w:rPr>
          <w:spacing w:val="-2"/>
          <w:position w:val="2"/>
          <w:sz w:val="24"/>
        </w:rPr>
        <w:t> </w:t>
      </w:r>
      <w:r>
        <w:rPr>
          <w:position w:val="2"/>
          <w:sz w:val="24"/>
        </w:rPr>
        <w:t>β</w:t>
      </w:r>
      <w:r>
        <w:rPr>
          <w:sz w:val="16"/>
        </w:rPr>
        <w:t>0</w:t>
      </w:r>
      <w:r>
        <w:rPr>
          <w:spacing w:val="2"/>
          <w:sz w:val="16"/>
        </w:rPr>
        <w:t> </w:t>
      </w:r>
      <w:r>
        <w:rPr>
          <w:position w:val="2"/>
          <w:sz w:val="24"/>
        </w:rPr>
        <w:t>+</w:t>
      </w:r>
      <w:r>
        <w:rPr>
          <w:spacing w:val="-2"/>
          <w:position w:val="2"/>
          <w:sz w:val="24"/>
        </w:rPr>
        <w:t> </w:t>
      </w:r>
      <w:r>
        <w:rPr>
          <w:position w:val="2"/>
          <w:sz w:val="24"/>
        </w:rPr>
        <w:t>β</w:t>
      </w:r>
      <w:r>
        <w:rPr>
          <w:sz w:val="16"/>
        </w:rPr>
        <w:t>1</w:t>
      </w:r>
      <w:r>
        <w:rPr>
          <w:position w:val="2"/>
          <w:sz w:val="24"/>
        </w:rPr>
        <w:t>WK</w:t>
      </w:r>
      <w:r>
        <w:rPr>
          <w:sz w:val="16"/>
        </w:rPr>
        <w:t>t</w:t>
      </w:r>
      <w:r>
        <w:rPr>
          <w:position w:val="2"/>
          <w:sz w:val="24"/>
        </w:rPr>
        <w:t>+</w:t>
      </w:r>
      <w:r>
        <w:rPr>
          <w:spacing w:val="-2"/>
          <w:position w:val="2"/>
          <w:sz w:val="24"/>
        </w:rPr>
        <w:t> </w:t>
      </w:r>
      <w:r>
        <w:rPr>
          <w:position w:val="2"/>
          <w:sz w:val="24"/>
        </w:rPr>
        <w:t>β</w:t>
      </w:r>
      <w:r>
        <w:rPr>
          <w:sz w:val="16"/>
        </w:rPr>
        <w:t>2</w:t>
      </w:r>
      <w:r>
        <w:rPr>
          <w:position w:val="2"/>
          <w:sz w:val="24"/>
        </w:rPr>
        <w:t>TR</w:t>
      </w:r>
      <w:r>
        <w:rPr>
          <w:sz w:val="16"/>
        </w:rPr>
        <w:t>t</w:t>
      </w:r>
      <w:r>
        <w:rPr>
          <w:spacing w:val="17"/>
          <w:sz w:val="16"/>
        </w:rPr>
        <w:t> </w:t>
      </w:r>
      <w:r>
        <w:rPr>
          <w:position w:val="2"/>
          <w:sz w:val="24"/>
        </w:rPr>
        <w:t>+</w:t>
      </w:r>
      <w:r>
        <w:rPr>
          <w:spacing w:val="-2"/>
          <w:position w:val="2"/>
          <w:sz w:val="24"/>
        </w:rPr>
        <w:t> </w:t>
      </w:r>
      <w:r>
        <w:rPr>
          <w:spacing w:val="-5"/>
          <w:position w:val="2"/>
          <w:sz w:val="24"/>
        </w:rPr>
        <w:t>µ</w:t>
      </w:r>
      <w:r>
        <w:rPr>
          <w:spacing w:val="-5"/>
          <w:sz w:val="16"/>
        </w:rPr>
        <w:t>t</w:t>
      </w:r>
      <w:r>
        <w:rPr>
          <w:sz w:val="16"/>
        </w:rPr>
        <w:tab/>
      </w:r>
      <w:r>
        <w:rPr>
          <w:spacing w:val="-2"/>
          <w:position w:val="2"/>
          <w:sz w:val="24"/>
        </w:rPr>
        <w:t>(3.2)</w:t>
      </w:r>
    </w:p>
    <w:p>
      <w:pPr>
        <w:pStyle w:val="BodyText"/>
        <w:spacing w:before="137"/>
        <w:ind w:left="400"/>
      </w:pPr>
      <w:r>
        <w:rPr>
          <w:spacing w:val="-2"/>
        </w:rPr>
        <w:t>Where</w:t>
      </w:r>
    </w:p>
    <w:p>
      <w:pPr>
        <w:pStyle w:val="BodyText"/>
        <w:spacing w:line="360" w:lineRule="auto" w:before="137"/>
        <w:ind w:left="400" w:right="6475"/>
        <w:jc w:val="both"/>
      </w:pPr>
      <w:r>
        <w:rPr/>
        <w:t>QS=</w:t>
      </w:r>
      <w:r>
        <w:rPr>
          <w:spacing w:val="-9"/>
        </w:rPr>
        <w:t> </w:t>
      </w:r>
      <w:r>
        <w:rPr/>
        <w:t>quality</w:t>
      </w:r>
      <w:r>
        <w:rPr>
          <w:spacing w:val="-12"/>
        </w:rPr>
        <w:t> </w:t>
      </w:r>
      <w:r>
        <w:rPr/>
        <w:t>of</w:t>
      </w:r>
      <w:r>
        <w:rPr>
          <w:spacing w:val="-9"/>
        </w:rPr>
        <w:t> </w:t>
      </w:r>
      <w:r>
        <w:rPr/>
        <w:t>service</w:t>
      </w:r>
      <w:r>
        <w:rPr>
          <w:spacing w:val="-7"/>
        </w:rPr>
        <w:t> </w:t>
      </w:r>
      <w:r>
        <w:rPr/>
        <w:t>(dependent</w:t>
      </w:r>
      <w:r>
        <w:rPr>
          <w:spacing w:val="-8"/>
        </w:rPr>
        <w:t> </w:t>
      </w:r>
      <w:r>
        <w:rPr/>
        <w:t>variable) F= functional relationship</w:t>
      </w:r>
    </w:p>
    <w:p>
      <w:pPr>
        <w:pStyle w:val="BodyText"/>
        <w:spacing w:line="360" w:lineRule="auto"/>
        <w:ind w:left="400" w:right="6380"/>
        <w:jc w:val="both"/>
      </w:pPr>
      <w:r>
        <w:rPr/>
        <w:t>WK</w:t>
      </w:r>
      <w:r>
        <w:rPr>
          <w:spacing w:val="-9"/>
        </w:rPr>
        <w:t> </w:t>
      </w:r>
      <w:r>
        <w:rPr/>
        <w:t>=</w:t>
      </w:r>
      <w:r>
        <w:rPr>
          <w:spacing w:val="-9"/>
        </w:rPr>
        <w:t> </w:t>
      </w:r>
      <w:r>
        <w:rPr/>
        <w:t>Weakness</w:t>
      </w:r>
      <w:r>
        <w:rPr>
          <w:spacing w:val="-8"/>
        </w:rPr>
        <w:t> </w:t>
      </w:r>
      <w:r>
        <w:rPr/>
        <w:t>(first</w:t>
      </w:r>
      <w:r>
        <w:rPr>
          <w:spacing w:val="-8"/>
        </w:rPr>
        <w:t> </w:t>
      </w:r>
      <w:r>
        <w:rPr/>
        <w:t>independent</w:t>
      </w:r>
      <w:r>
        <w:rPr>
          <w:spacing w:val="-8"/>
        </w:rPr>
        <w:t> </w:t>
      </w:r>
      <w:r>
        <w:rPr/>
        <w:t>variable) TR = Threats (second independent variable) t = time period</w:t>
      </w:r>
    </w:p>
    <w:p>
      <w:pPr>
        <w:pStyle w:val="BodyText"/>
        <w:spacing w:before="1"/>
        <w:ind w:left="400"/>
        <w:jc w:val="both"/>
      </w:pPr>
      <w:r>
        <w:rPr>
          <w:position w:val="2"/>
        </w:rPr>
        <w:t>β</w:t>
      </w:r>
      <w:r>
        <w:rPr>
          <w:sz w:val="16"/>
        </w:rPr>
        <w:t>0</w:t>
      </w:r>
      <w:r>
        <w:rPr>
          <w:position w:val="2"/>
        </w:rPr>
        <w:t>= </w:t>
      </w:r>
      <w:r>
        <w:rPr>
          <w:spacing w:val="-2"/>
          <w:position w:val="2"/>
        </w:rPr>
        <w:t>Constant</w:t>
      </w:r>
    </w:p>
    <w:p>
      <w:pPr>
        <w:pStyle w:val="BodyText"/>
        <w:spacing w:line="357" w:lineRule="auto" w:before="134"/>
        <w:ind w:left="400" w:right="2927"/>
        <w:jc w:val="both"/>
      </w:pPr>
      <w:r>
        <w:rPr>
          <w:position w:val="2"/>
        </w:rPr>
        <w:t>β</w:t>
      </w:r>
      <w:r>
        <w:rPr>
          <w:sz w:val="16"/>
        </w:rPr>
        <w:t>1</w:t>
      </w:r>
      <w:r>
        <w:rPr>
          <w:position w:val="2"/>
        </w:rPr>
        <w:t>,</w:t>
      </w:r>
      <w:r>
        <w:rPr>
          <w:spacing w:val="-3"/>
          <w:position w:val="2"/>
        </w:rPr>
        <w:t> </w:t>
      </w:r>
      <w:r>
        <w:rPr>
          <w:position w:val="2"/>
        </w:rPr>
        <w:t>β</w:t>
      </w:r>
      <w:r>
        <w:rPr>
          <w:sz w:val="16"/>
        </w:rPr>
        <w:t>2</w:t>
      </w:r>
      <w:r>
        <w:rPr>
          <w:position w:val="2"/>
        </w:rPr>
        <w:t>,</w:t>
      </w:r>
      <w:r>
        <w:rPr>
          <w:spacing w:val="-3"/>
          <w:position w:val="2"/>
        </w:rPr>
        <w:t> </w:t>
      </w:r>
      <w:r>
        <w:rPr>
          <w:position w:val="2"/>
        </w:rPr>
        <w:t>are</w:t>
      </w:r>
      <w:r>
        <w:rPr>
          <w:spacing w:val="-4"/>
          <w:position w:val="2"/>
        </w:rPr>
        <w:t> </w:t>
      </w:r>
      <w:r>
        <w:rPr>
          <w:position w:val="2"/>
        </w:rPr>
        <w:t>the</w:t>
      </w:r>
      <w:r>
        <w:rPr>
          <w:spacing w:val="-4"/>
          <w:position w:val="2"/>
        </w:rPr>
        <w:t> </w:t>
      </w:r>
      <w:r>
        <w:rPr>
          <w:position w:val="2"/>
        </w:rPr>
        <w:t>relative</w:t>
      </w:r>
      <w:r>
        <w:rPr>
          <w:spacing w:val="-4"/>
          <w:position w:val="2"/>
        </w:rPr>
        <w:t> </w:t>
      </w:r>
      <w:r>
        <w:rPr>
          <w:position w:val="2"/>
        </w:rPr>
        <w:t>slope</w:t>
      </w:r>
      <w:r>
        <w:rPr>
          <w:spacing w:val="-4"/>
          <w:position w:val="2"/>
        </w:rPr>
        <w:t> </w:t>
      </w:r>
      <w:r>
        <w:rPr>
          <w:position w:val="2"/>
        </w:rPr>
        <w:t>coefficients</w:t>
      </w:r>
      <w:r>
        <w:rPr>
          <w:spacing w:val="-3"/>
          <w:position w:val="2"/>
        </w:rPr>
        <w:t> </w:t>
      </w:r>
      <w:r>
        <w:rPr>
          <w:position w:val="2"/>
        </w:rPr>
        <w:t>and</w:t>
      </w:r>
      <w:r>
        <w:rPr>
          <w:spacing w:val="-3"/>
          <w:position w:val="2"/>
        </w:rPr>
        <w:t> </w:t>
      </w:r>
      <w:r>
        <w:rPr>
          <w:position w:val="2"/>
        </w:rPr>
        <w:t>partial</w:t>
      </w:r>
      <w:r>
        <w:rPr>
          <w:spacing w:val="-3"/>
          <w:position w:val="2"/>
        </w:rPr>
        <w:t> </w:t>
      </w:r>
      <w:r>
        <w:rPr>
          <w:position w:val="2"/>
        </w:rPr>
        <w:t>elasticities</w:t>
      </w:r>
      <w:r>
        <w:rPr>
          <w:spacing w:val="-3"/>
          <w:position w:val="2"/>
        </w:rPr>
        <w:t> </w:t>
      </w:r>
      <w:r>
        <w:rPr>
          <w:position w:val="2"/>
        </w:rPr>
        <w:t>of</w:t>
      </w:r>
      <w:r>
        <w:rPr>
          <w:spacing w:val="-4"/>
          <w:position w:val="2"/>
        </w:rPr>
        <w:t> </w:t>
      </w:r>
      <w:r>
        <w:rPr>
          <w:position w:val="2"/>
        </w:rPr>
        <w:t>the</w:t>
      </w:r>
      <w:r>
        <w:rPr>
          <w:spacing w:val="-4"/>
          <w:position w:val="2"/>
        </w:rPr>
        <w:t> </w:t>
      </w:r>
      <w:r>
        <w:rPr>
          <w:position w:val="2"/>
        </w:rPr>
        <w:t>parameters. µ</w:t>
      </w:r>
      <w:r>
        <w:rPr>
          <w:sz w:val="16"/>
        </w:rPr>
        <w:t>t</w:t>
      </w:r>
      <w:r>
        <w:rPr>
          <w:spacing w:val="40"/>
          <w:sz w:val="16"/>
        </w:rPr>
        <w:t> </w:t>
      </w:r>
      <w:r>
        <w:rPr>
          <w:position w:val="2"/>
        </w:rPr>
        <w:t>= stochastic error term</w:t>
      </w:r>
    </w:p>
    <w:p>
      <w:pPr>
        <w:pStyle w:val="Heading2"/>
        <w:spacing w:before="5"/>
      </w:pPr>
      <w:r>
        <w:rPr/>
        <w:t>The</w:t>
      </w:r>
      <w:r>
        <w:rPr>
          <w:spacing w:val="-1"/>
        </w:rPr>
        <w:t> </w:t>
      </w:r>
      <w:r>
        <w:rPr>
          <w:spacing w:val="-2"/>
        </w:rPr>
        <w:t>models</w:t>
      </w:r>
    </w:p>
    <w:p>
      <w:pPr>
        <w:pStyle w:val="BodyText"/>
        <w:tabs>
          <w:tab w:pos="5670" w:val="left" w:leader="dot"/>
        </w:tabs>
        <w:spacing w:before="255"/>
        <w:ind w:left="400"/>
      </w:pPr>
      <w:r>
        <w:rPr/>
        <w:t>PR=</w:t>
      </w:r>
      <w:r>
        <w:rPr>
          <w:spacing w:val="-2"/>
        </w:rPr>
        <w:t> </w:t>
      </w:r>
      <w:r>
        <w:rPr/>
        <w:t>F</w:t>
      </w:r>
      <w:r>
        <w:rPr>
          <w:spacing w:val="-3"/>
        </w:rPr>
        <w:t> </w:t>
      </w:r>
      <w:r>
        <w:rPr/>
        <w:t>(ST, </w:t>
      </w:r>
      <w:r>
        <w:rPr>
          <w:spacing w:val="-5"/>
        </w:rPr>
        <w:t>OP)</w:t>
      </w:r>
      <w:r>
        <w:rPr/>
        <w:tab/>
      </w:r>
      <w:r>
        <w:rPr>
          <w:spacing w:val="-5"/>
        </w:rPr>
        <w:t>(1)</w:t>
      </w:r>
    </w:p>
    <w:p>
      <w:pPr>
        <w:pStyle w:val="BodyText"/>
        <w:tabs>
          <w:tab w:pos="5723" w:val="left" w:leader="dot"/>
        </w:tabs>
        <w:spacing w:before="137"/>
        <w:ind w:left="400"/>
      </w:pPr>
      <w:r>
        <w:rPr/>
        <w:t>MS=</w:t>
      </w:r>
      <w:r>
        <w:rPr>
          <w:spacing w:val="-2"/>
        </w:rPr>
        <w:t> </w:t>
      </w:r>
      <w:r>
        <w:rPr/>
        <w:t>F</w:t>
      </w:r>
      <w:r>
        <w:rPr>
          <w:spacing w:val="-3"/>
        </w:rPr>
        <w:t> </w:t>
      </w:r>
      <w:r>
        <w:rPr/>
        <w:t>(ST, </w:t>
      </w:r>
      <w:r>
        <w:rPr>
          <w:spacing w:val="-5"/>
        </w:rPr>
        <w:t>OP)</w:t>
      </w:r>
      <w:r>
        <w:rPr/>
        <w:tab/>
      </w:r>
      <w:r>
        <w:rPr>
          <w:spacing w:val="-5"/>
        </w:rPr>
        <w:t>(2)</w:t>
      </w:r>
    </w:p>
    <w:p>
      <w:pPr>
        <w:pStyle w:val="BodyText"/>
        <w:tabs>
          <w:tab w:pos="5682" w:val="left" w:leader="dot"/>
        </w:tabs>
        <w:spacing w:before="139"/>
        <w:ind w:left="400"/>
      </w:pPr>
      <w:r>
        <w:rPr/>
        <w:t>QS=</w:t>
      </w:r>
      <w:r>
        <w:rPr>
          <w:spacing w:val="-2"/>
        </w:rPr>
        <w:t> </w:t>
      </w:r>
      <w:r>
        <w:rPr/>
        <w:t>F</w:t>
      </w:r>
      <w:r>
        <w:rPr>
          <w:spacing w:val="-3"/>
        </w:rPr>
        <w:t> </w:t>
      </w:r>
      <w:r>
        <w:rPr/>
        <w:t>(ST,</w:t>
      </w:r>
      <w:r>
        <w:rPr>
          <w:spacing w:val="-1"/>
        </w:rPr>
        <w:t> </w:t>
      </w:r>
      <w:r>
        <w:rPr>
          <w:spacing w:val="-5"/>
        </w:rPr>
        <w:t>OP)</w:t>
      </w:r>
      <w:r>
        <w:rPr/>
        <w:tab/>
      </w:r>
      <w:r>
        <w:rPr>
          <w:spacing w:val="-5"/>
        </w:rPr>
        <w:t>(3)</w:t>
      </w:r>
    </w:p>
    <w:p>
      <w:pPr>
        <w:pStyle w:val="BodyText"/>
        <w:tabs>
          <w:tab w:pos="5727" w:val="left" w:leader="dot"/>
        </w:tabs>
        <w:spacing w:before="137"/>
        <w:ind w:left="400"/>
      </w:pPr>
      <w:r>
        <w:rPr/>
        <w:t>PR=</w:t>
      </w:r>
      <w:r>
        <w:rPr>
          <w:spacing w:val="-2"/>
        </w:rPr>
        <w:t> </w:t>
      </w:r>
      <w:r>
        <w:rPr/>
        <w:t>F</w:t>
      </w:r>
      <w:r>
        <w:rPr>
          <w:spacing w:val="-2"/>
        </w:rPr>
        <w:t> </w:t>
      </w:r>
      <w:r>
        <w:rPr/>
        <w:t>(WK, </w:t>
      </w:r>
      <w:r>
        <w:rPr>
          <w:spacing w:val="-5"/>
        </w:rPr>
        <w:t>TR)</w:t>
      </w:r>
      <w:r>
        <w:rPr/>
        <w:tab/>
      </w:r>
      <w:r>
        <w:rPr>
          <w:spacing w:val="-5"/>
        </w:rPr>
        <w:t>(4)</w:t>
      </w:r>
    </w:p>
    <w:p>
      <w:pPr>
        <w:pStyle w:val="BodyText"/>
        <w:tabs>
          <w:tab w:pos="5783" w:val="left" w:leader="dot"/>
        </w:tabs>
        <w:spacing w:before="139"/>
        <w:ind w:left="400"/>
        <w:jc w:val="both"/>
      </w:pPr>
      <w:r>
        <w:rPr/>
        <w:t>MS=</w:t>
      </w:r>
      <w:r>
        <w:rPr>
          <w:spacing w:val="-3"/>
        </w:rPr>
        <w:t> </w:t>
      </w:r>
      <w:r>
        <w:rPr/>
        <w:t>F</w:t>
      </w:r>
      <w:r>
        <w:rPr>
          <w:spacing w:val="-2"/>
        </w:rPr>
        <w:t> </w:t>
      </w:r>
      <w:r>
        <w:rPr/>
        <w:t>(WK, </w:t>
      </w:r>
      <w:r>
        <w:rPr>
          <w:spacing w:val="-5"/>
        </w:rPr>
        <w:t>TR)</w:t>
      </w:r>
      <w:r>
        <w:rPr/>
        <w:tab/>
      </w:r>
      <w:r>
        <w:rPr>
          <w:spacing w:val="-5"/>
        </w:rPr>
        <w:t>(5)</w:t>
      </w:r>
    </w:p>
    <w:p>
      <w:pPr>
        <w:pStyle w:val="BodyText"/>
        <w:tabs>
          <w:tab w:pos="5802" w:val="left" w:leader="dot"/>
        </w:tabs>
        <w:spacing w:before="137"/>
        <w:ind w:left="399"/>
        <w:jc w:val="both"/>
      </w:pPr>
      <w:r>
        <w:rPr/>
        <w:t>QS=</w:t>
      </w:r>
      <w:r>
        <w:rPr>
          <w:spacing w:val="-2"/>
        </w:rPr>
        <w:t> </w:t>
      </w:r>
      <w:r>
        <w:rPr/>
        <w:t>F</w:t>
      </w:r>
      <w:r>
        <w:rPr>
          <w:spacing w:val="-3"/>
        </w:rPr>
        <w:t> </w:t>
      </w:r>
      <w:r>
        <w:rPr/>
        <w:t>(WK, </w:t>
      </w:r>
      <w:r>
        <w:rPr>
          <w:spacing w:val="-5"/>
        </w:rPr>
        <w:t>OP)</w:t>
      </w:r>
      <w:r>
        <w:rPr/>
        <w:tab/>
      </w:r>
      <w:r>
        <w:rPr>
          <w:spacing w:val="-5"/>
        </w:rPr>
        <w:t>(6)</w:t>
      </w:r>
    </w:p>
    <w:p>
      <w:pPr>
        <w:pStyle w:val="BodyText"/>
        <w:spacing w:line="480" w:lineRule="auto" w:before="257"/>
        <w:ind w:left="399" w:right="1316"/>
        <w:jc w:val="both"/>
      </w:pPr>
      <w:r>
        <w:rPr>
          <w:b/>
        </w:rPr>
        <w:t>Note: </w:t>
      </w:r>
      <w:r>
        <w:rPr/>
        <w:t>The first three models are to find the relationships between the competitive factors (Price, Market shares and Quality of service) with strength and opportunities while the last three is to find the relationship between competitive factors with weakness and threats.</w:t>
      </w:r>
    </w:p>
    <w:p>
      <w:pPr>
        <w:spacing w:after="0" w:line="480" w:lineRule="auto"/>
        <w:jc w:val="both"/>
        <w:sectPr>
          <w:pgSz w:w="12240" w:h="15840"/>
          <w:pgMar w:header="0" w:footer="1017" w:top="1360" w:bottom="1200" w:left="1040" w:right="120"/>
        </w:sectPr>
      </w:pPr>
    </w:p>
    <w:p>
      <w:pPr>
        <w:pStyle w:val="Heading2"/>
        <w:numPr>
          <w:ilvl w:val="1"/>
          <w:numId w:val="34"/>
        </w:numPr>
        <w:tabs>
          <w:tab w:pos="1119" w:val="left" w:leader="none"/>
        </w:tabs>
        <w:spacing w:line="240" w:lineRule="auto" w:before="76" w:after="0"/>
        <w:ind w:left="1119" w:right="0" w:hanging="719"/>
        <w:jc w:val="left"/>
      </w:pPr>
      <w:r>
        <w:rPr/>
        <w:t>Validity</w:t>
      </w:r>
      <w:r>
        <w:rPr>
          <w:spacing w:val="-2"/>
        </w:rPr>
        <w:t> </w:t>
      </w:r>
      <w:r>
        <w:rPr/>
        <w:t>and</w:t>
      </w:r>
      <w:r>
        <w:rPr>
          <w:spacing w:val="-2"/>
        </w:rPr>
        <w:t> </w:t>
      </w:r>
      <w:r>
        <w:rPr/>
        <w:t>Reliability</w:t>
      </w:r>
      <w:r>
        <w:rPr>
          <w:spacing w:val="-5"/>
        </w:rPr>
        <w:t> </w:t>
      </w:r>
      <w:r>
        <w:rPr/>
        <w:t>of</w:t>
      </w:r>
      <w:r>
        <w:rPr>
          <w:spacing w:val="-1"/>
        </w:rPr>
        <w:t> </w:t>
      </w:r>
      <w:r>
        <w:rPr/>
        <w:t>the</w:t>
      </w:r>
      <w:r>
        <w:rPr>
          <w:spacing w:val="-3"/>
        </w:rPr>
        <w:t> </w:t>
      </w:r>
      <w:r>
        <w:rPr/>
        <w:t>Measuring</w:t>
      </w:r>
      <w:r>
        <w:rPr>
          <w:spacing w:val="-1"/>
        </w:rPr>
        <w:t> </w:t>
      </w:r>
      <w:r>
        <w:rPr>
          <w:spacing w:val="-2"/>
        </w:rPr>
        <w:t>Instrument</w:t>
      </w:r>
    </w:p>
    <w:p>
      <w:pPr>
        <w:pStyle w:val="BodyText"/>
        <w:spacing w:before="132"/>
        <w:rPr>
          <w:b/>
        </w:rPr>
      </w:pPr>
    </w:p>
    <w:p>
      <w:pPr>
        <w:pStyle w:val="BodyText"/>
        <w:spacing w:line="480" w:lineRule="auto"/>
        <w:ind w:left="399" w:right="1316"/>
        <w:jc w:val="both"/>
      </w:pPr>
      <w:r>
        <w:rPr/>
        <w:t>In an effort to ensure the validity of the instrument, the instrument was subjected to face and content validity. This is to enable the researcher obtain information relevant to the purpose and objectives of the research. The factors had content validity since their items were adapted from the previous studies in the literature. Copies of the questionnaire were presented to three professionals in 2 small and medium scale construction firms for vetting. Their suggestions were incorporated into the final draft. The questionnaires were also validated by ensuring that all the questions and statements in the questionnaires were geared towards answering the research questions. It was ensured that it formed the appropriate instrument for testing of the hypotheses. The questionnaires were also structured to ensure consistency by avoiding ambiguous items and there was personal determination and commitment on the part of the researcher to follow up, collect, and present data in its real and undiluted form.</w:t>
      </w:r>
    </w:p>
    <w:p>
      <w:pPr>
        <w:pStyle w:val="BodyText"/>
        <w:spacing w:line="480" w:lineRule="auto" w:before="231"/>
        <w:ind w:left="400" w:right="1318" w:firstLine="60"/>
        <w:jc w:val="both"/>
      </w:pPr>
      <w:r>
        <w:rPr/>
        <w:t>The reliability of the study was enhanced by conducting a pilot study before the main data collection exercise. The pilot involved a total of 7 respondents in the relevant firms and utilized the test retest approach. The questionnaire was administered to the 7 respondents who were</w:t>
      </w:r>
      <w:r>
        <w:rPr>
          <w:spacing w:val="40"/>
        </w:rPr>
        <w:t> </w:t>
      </w:r>
      <w:r>
        <w:rPr/>
        <w:t>asked to complete. After two weeks, the same questionnaire was administered to the same set of respondents. The responses for the first and second round were compared using the Pearson Product Moment Correlation Coefficient at a threshold of 0.7. Cronbach’s coefficient alpha values vary between 0 and 1. it</w:t>
      </w:r>
      <w:r>
        <w:rPr>
          <w:spacing w:val="80"/>
        </w:rPr>
        <w:t> </w:t>
      </w:r>
      <w:r>
        <w:rPr/>
        <w:t>is</w:t>
      </w:r>
      <w:r>
        <w:rPr>
          <w:spacing w:val="80"/>
        </w:rPr>
        <w:t> </w:t>
      </w:r>
      <w:r>
        <w:rPr/>
        <w:t>also</w:t>
      </w:r>
      <w:r>
        <w:rPr>
          <w:spacing w:val="80"/>
        </w:rPr>
        <w:t> </w:t>
      </w:r>
      <w:r>
        <w:rPr/>
        <w:t>important</w:t>
      </w:r>
      <w:r>
        <w:rPr>
          <w:spacing w:val="80"/>
        </w:rPr>
        <w:t> </w:t>
      </w:r>
      <w:r>
        <w:rPr/>
        <w:t>to</w:t>
      </w:r>
      <w:r>
        <w:rPr>
          <w:spacing w:val="80"/>
        </w:rPr>
        <w:t> </w:t>
      </w:r>
      <w:r>
        <w:rPr/>
        <w:t>know</w:t>
      </w:r>
      <w:r>
        <w:rPr>
          <w:spacing w:val="80"/>
        </w:rPr>
        <w:t> </w:t>
      </w:r>
      <w:r>
        <w:rPr/>
        <w:t>that Nunnally</w:t>
      </w:r>
      <w:r>
        <w:rPr>
          <w:spacing w:val="80"/>
        </w:rPr>
        <w:t> </w:t>
      </w:r>
      <w:r>
        <w:rPr/>
        <w:t>and</w:t>
      </w:r>
      <w:r>
        <w:rPr>
          <w:spacing w:val="80"/>
        </w:rPr>
        <w:t> </w:t>
      </w:r>
      <w:r>
        <w:rPr/>
        <w:t>Bernstein, (1994)</w:t>
      </w:r>
      <w:r>
        <w:rPr>
          <w:spacing w:val="40"/>
        </w:rPr>
        <w:t> </w:t>
      </w:r>
      <w:r>
        <w:rPr/>
        <w:t>suggest</w:t>
      </w:r>
      <w:r>
        <w:rPr>
          <w:spacing w:val="40"/>
        </w:rPr>
        <w:t> </w:t>
      </w:r>
      <w:r>
        <w:rPr/>
        <w:t>that</w:t>
      </w:r>
      <w:r>
        <w:rPr>
          <w:spacing w:val="40"/>
        </w:rPr>
        <w:t> </w:t>
      </w:r>
      <w:r>
        <w:rPr/>
        <w:t>alpha values above 0.7 can be considered as adequate.</w:t>
      </w:r>
      <w:r>
        <w:rPr>
          <w:spacing w:val="40"/>
        </w:rPr>
        <w:t> </w:t>
      </w:r>
      <w:r>
        <w:rPr/>
        <w:t>The test yielded a correlation coefficient of 0.85 leading to the conclusion that the instrument is highly reliable.</w:t>
      </w:r>
    </w:p>
    <w:p>
      <w:pPr>
        <w:pStyle w:val="BodyText"/>
        <w:spacing w:line="480" w:lineRule="auto" w:before="1"/>
        <w:ind w:left="400" w:right="1321"/>
        <w:jc w:val="both"/>
      </w:pPr>
      <w:r>
        <w:rPr/>
        <w:t>The</w:t>
      </w:r>
      <w:r>
        <w:rPr>
          <w:spacing w:val="80"/>
        </w:rPr>
        <w:t> </w:t>
      </w:r>
      <w:r>
        <w:rPr/>
        <w:t>summary</w:t>
      </w:r>
      <w:r>
        <w:rPr>
          <w:spacing w:val="80"/>
        </w:rPr>
        <w:t> </w:t>
      </w:r>
      <w:r>
        <w:rPr/>
        <w:t>of</w:t>
      </w:r>
      <w:r>
        <w:rPr>
          <w:spacing w:val="80"/>
        </w:rPr>
        <w:t> </w:t>
      </w:r>
      <w:r>
        <w:rPr/>
        <w:t>results</w:t>
      </w:r>
      <w:r>
        <w:rPr>
          <w:spacing w:val="80"/>
        </w:rPr>
        <w:t> </w:t>
      </w:r>
      <w:r>
        <w:rPr/>
        <w:t>of</w:t>
      </w:r>
      <w:r>
        <w:rPr>
          <w:spacing w:val="80"/>
        </w:rPr>
        <w:t> </w:t>
      </w:r>
      <w:r>
        <w:rPr/>
        <w:t>the</w:t>
      </w:r>
      <w:r>
        <w:rPr>
          <w:spacing w:val="80"/>
        </w:rPr>
        <w:t> </w:t>
      </w:r>
      <w:r>
        <w:rPr/>
        <w:t>internal</w:t>
      </w:r>
      <w:r>
        <w:rPr>
          <w:spacing w:val="80"/>
        </w:rPr>
        <w:t> </w:t>
      </w:r>
      <w:r>
        <w:rPr/>
        <w:t>consistency reliability</w:t>
      </w:r>
      <w:r>
        <w:rPr>
          <w:spacing w:val="80"/>
        </w:rPr>
        <w:t> </w:t>
      </w:r>
      <w:r>
        <w:rPr/>
        <w:t>test</w:t>
      </w:r>
      <w:r>
        <w:rPr>
          <w:spacing w:val="80"/>
        </w:rPr>
        <w:t> </w:t>
      </w:r>
      <w:r>
        <w:rPr/>
        <w:t>for</w:t>
      </w:r>
      <w:r>
        <w:rPr>
          <w:spacing w:val="80"/>
        </w:rPr>
        <w:t> </w:t>
      </w:r>
      <w:r>
        <w:rPr/>
        <w:t>all</w:t>
      </w:r>
      <w:r>
        <w:rPr>
          <w:spacing w:val="80"/>
        </w:rPr>
        <w:t> </w:t>
      </w:r>
      <w:r>
        <w:rPr/>
        <w:t>the</w:t>
      </w:r>
      <w:r>
        <w:rPr>
          <w:spacing w:val="80"/>
        </w:rPr>
        <w:t> </w:t>
      </w:r>
      <w:r>
        <w:rPr/>
        <w:t>constructs used</w:t>
      </w:r>
      <w:r>
        <w:rPr>
          <w:spacing w:val="40"/>
        </w:rPr>
        <w:t> </w:t>
      </w:r>
      <w:r>
        <w:rPr/>
        <w:t>in</w:t>
      </w:r>
      <w:r>
        <w:rPr>
          <w:spacing w:val="40"/>
        </w:rPr>
        <w:t> </w:t>
      </w:r>
      <w:r>
        <w:rPr/>
        <w:t>this</w:t>
      </w:r>
      <w:r>
        <w:rPr>
          <w:spacing w:val="40"/>
        </w:rPr>
        <w:t> </w:t>
      </w:r>
      <w:r>
        <w:rPr/>
        <w:t>study</w:t>
      </w:r>
      <w:r>
        <w:rPr>
          <w:spacing w:val="40"/>
        </w:rPr>
        <w:t> </w:t>
      </w:r>
      <w:r>
        <w:rPr/>
        <w:t>is presented in Table 4.3.</w:t>
      </w:r>
    </w:p>
    <w:p>
      <w:pPr>
        <w:spacing w:after="0" w:line="480" w:lineRule="auto"/>
        <w:jc w:val="both"/>
        <w:sectPr>
          <w:pgSz w:w="12240" w:h="15840"/>
          <w:pgMar w:header="0" w:footer="1017" w:top="1360" w:bottom="1200" w:left="1040" w:right="120"/>
        </w:sectPr>
      </w:pPr>
    </w:p>
    <w:p>
      <w:pPr>
        <w:pStyle w:val="BodyText"/>
        <w:spacing w:before="77"/>
        <w:ind w:left="400"/>
      </w:pPr>
      <w:r>
        <w:rPr/>
        <w:t>Table</w:t>
      </w:r>
      <w:r>
        <w:rPr>
          <w:spacing w:val="-4"/>
        </w:rPr>
        <w:t> </w:t>
      </w:r>
      <w:r>
        <w:rPr/>
        <w:t>4.3: Internal</w:t>
      </w:r>
      <w:r>
        <w:rPr>
          <w:spacing w:val="-1"/>
        </w:rPr>
        <w:t> </w:t>
      </w:r>
      <w:r>
        <w:rPr/>
        <w:t>Consistency</w:t>
      </w:r>
      <w:r>
        <w:rPr>
          <w:spacing w:val="-4"/>
        </w:rPr>
        <w:t> </w:t>
      </w:r>
      <w:r>
        <w:rPr/>
        <w:t>reliability</w:t>
      </w:r>
      <w:r>
        <w:rPr>
          <w:spacing w:val="-5"/>
        </w:rPr>
        <w:t> </w:t>
      </w:r>
      <w:r>
        <w:rPr/>
        <w:t>test</w:t>
      </w:r>
      <w:r>
        <w:rPr>
          <w:spacing w:val="-1"/>
        </w:rPr>
        <w:t> </w:t>
      </w:r>
      <w:r>
        <w:rPr/>
        <w:t>for all</w:t>
      </w:r>
      <w:r>
        <w:rPr>
          <w:spacing w:val="-1"/>
        </w:rPr>
        <w:t> </w:t>
      </w:r>
      <w:r>
        <w:rPr/>
        <w:t>the</w:t>
      </w:r>
      <w:r>
        <w:rPr>
          <w:spacing w:val="-2"/>
        </w:rPr>
        <w:t> construct</w:t>
      </w:r>
    </w:p>
    <w:p>
      <w:pPr>
        <w:pStyle w:val="BodyText"/>
        <w:spacing w:before="54"/>
        <w:rPr>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
        <w:gridCol w:w="2165"/>
        <w:gridCol w:w="3418"/>
      </w:tblGrid>
      <w:tr>
        <w:trPr>
          <w:trHeight w:val="265" w:hRule="atLeast"/>
        </w:trPr>
        <w:tc>
          <w:tcPr>
            <w:tcW w:w="751" w:type="dxa"/>
            <w:shd w:val="clear" w:color="auto" w:fill="D6E3BC"/>
          </w:tcPr>
          <w:p>
            <w:pPr>
              <w:pStyle w:val="TableParagraph"/>
              <w:spacing w:line="256" w:lineRule="exact"/>
              <w:ind w:left="108"/>
              <w:rPr>
                <w:b/>
                <w:sz w:val="24"/>
              </w:rPr>
            </w:pPr>
            <w:r>
              <w:rPr>
                <w:b/>
                <w:spacing w:val="-4"/>
                <w:sz w:val="24"/>
              </w:rPr>
              <w:t>S/No</w:t>
            </w:r>
          </w:p>
        </w:tc>
        <w:tc>
          <w:tcPr>
            <w:tcW w:w="2165" w:type="dxa"/>
            <w:shd w:val="clear" w:color="auto" w:fill="D6E3BC"/>
          </w:tcPr>
          <w:p>
            <w:pPr>
              <w:pStyle w:val="TableParagraph"/>
              <w:spacing w:line="256" w:lineRule="exact"/>
              <w:ind w:left="149"/>
              <w:rPr>
                <w:b/>
                <w:sz w:val="24"/>
              </w:rPr>
            </w:pPr>
            <w:r>
              <w:rPr>
                <w:b/>
                <w:spacing w:val="-2"/>
                <w:sz w:val="24"/>
              </w:rPr>
              <w:t>Section</w:t>
            </w:r>
          </w:p>
        </w:tc>
        <w:tc>
          <w:tcPr>
            <w:tcW w:w="3418" w:type="dxa"/>
            <w:shd w:val="clear" w:color="auto" w:fill="D6E3BC"/>
          </w:tcPr>
          <w:p>
            <w:pPr>
              <w:pStyle w:val="TableParagraph"/>
              <w:spacing w:line="256" w:lineRule="exact"/>
              <w:ind w:left="993"/>
              <w:rPr>
                <w:b/>
                <w:sz w:val="24"/>
              </w:rPr>
            </w:pPr>
            <w:r>
              <w:rPr>
                <w:b/>
                <w:sz w:val="24"/>
              </w:rPr>
              <w:t>Cronbach’s</w:t>
            </w:r>
            <w:r>
              <w:rPr>
                <w:b/>
                <w:spacing w:val="-4"/>
                <w:sz w:val="24"/>
              </w:rPr>
              <w:t> </w:t>
            </w:r>
            <w:r>
              <w:rPr>
                <w:b/>
                <w:spacing w:val="-2"/>
                <w:sz w:val="24"/>
              </w:rPr>
              <w:t>Alpha</w:t>
            </w:r>
          </w:p>
        </w:tc>
      </w:tr>
      <w:tr>
        <w:trPr>
          <w:trHeight w:val="273" w:hRule="atLeast"/>
        </w:trPr>
        <w:tc>
          <w:tcPr>
            <w:tcW w:w="751" w:type="dxa"/>
          </w:tcPr>
          <w:p>
            <w:pPr>
              <w:pStyle w:val="TableParagraph"/>
              <w:spacing w:line="256" w:lineRule="exact"/>
              <w:ind w:left="108"/>
              <w:rPr>
                <w:sz w:val="24"/>
              </w:rPr>
            </w:pPr>
            <w:r>
              <w:rPr>
                <w:spacing w:val="-10"/>
                <w:sz w:val="24"/>
              </w:rPr>
              <w:t>1</w:t>
            </w:r>
          </w:p>
        </w:tc>
        <w:tc>
          <w:tcPr>
            <w:tcW w:w="2165" w:type="dxa"/>
          </w:tcPr>
          <w:p>
            <w:pPr>
              <w:pStyle w:val="TableParagraph"/>
              <w:spacing w:line="256" w:lineRule="exact"/>
              <w:ind w:left="149"/>
              <w:rPr>
                <w:sz w:val="24"/>
              </w:rPr>
            </w:pPr>
            <w:r>
              <w:rPr>
                <w:sz w:val="24"/>
              </w:rPr>
              <w:t>1</w:t>
            </w:r>
            <w:r>
              <w:rPr>
                <w:sz w:val="24"/>
                <w:vertAlign w:val="superscript"/>
              </w:rPr>
              <w:t>st</w:t>
            </w:r>
            <w:r>
              <w:rPr>
                <w:sz w:val="24"/>
                <w:vertAlign w:val="baseline"/>
              </w:rPr>
              <w:t> </w:t>
            </w:r>
            <w:r>
              <w:rPr>
                <w:spacing w:val="-2"/>
                <w:sz w:val="24"/>
                <w:vertAlign w:val="baseline"/>
              </w:rPr>
              <w:t>section</w:t>
            </w:r>
          </w:p>
        </w:tc>
        <w:tc>
          <w:tcPr>
            <w:tcW w:w="3418" w:type="dxa"/>
          </w:tcPr>
          <w:p>
            <w:pPr>
              <w:pStyle w:val="TableParagraph"/>
              <w:spacing w:line="256" w:lineRule="exact"/>
              <w:ind w:left="993"/>
              <w:rPr>
                <w:sz w:val="24"/>
              </w:rPr>
            </w:pPr>
            <w:r>
              <w:rPr>
                <w:spacing w:val="-2"/>
                <w:sz w:val="24"/>
              </w:rPr>
              <w:t>0.963</w:t>
            </w:r>
          </w:p>
        </w:tc>
      </w:tr>
      <w:tr>
        <w:trPr>
          <w:trHeight w:val="289" w:hRule="atLeast"/>
        </w:trPr>
        <w:tc>
          <w:tcPr>
            <w:tcW w:w="751" w:type="dxa"/>
            <w:shd w:val="clear" w:color="auto" w:fill="D6E3BC"/>
          </w:tcPr>
          <w:p>
            <w:pPr>
              <w:pStyle w:val="TableParagraph"/>
              <w:spacing w:line="256" w:lineRule="exact"/>
              <w:ind w:left="108"/>
              <w:rPr>
                <w:sz w:val="24"/>
              </w:rPr>
            </w:pPr>
            <w:r>
              <w:rPr>
                <w:spacing w:val="-10"/>
                <w:sz w:val="24"/>
              </w:rPr>
              <w:t>2</w:t>
            </w:r>
          </w:p>
        </w:tc>
        <w:tc>
          <w:tcPr>
            <w:tcW w:w="2165" w:type="dxa"/>
            <w:shd w:val="clear" w:color="auto" w:fill="D6E3BC"/>
          </w:tcPr>
          <w:p>
            <w:pPr>
              <w:pStyle w:val="TableParagraph"/>
              <w:spacing w:line="256" w:lineRule="exact"/>
              <w:ind w:left="149"/>
              <w:rPr>
                <w:sz w:val="24"/>
              </w:rPr>
            </w:pPr>
            <w:r>
              <w:rPr>
                <w:sz w:val="24"/>
              </w:rPr>
              <w:t>2</w:t>
            </w:r>
            <w:r>
              <w:rPr>
                <w:sz w:val="24"/>
                <w:vertAlign w:val="superscript"/>
              </w:rPr>
              <w:t>nd</w:t>
            </w:r>
            <w:r>
              <w:rPr>
                <w:spacing w:val="3"/>
                <w:sz w:val="24"/>
                <w:vertAlign w:val="baseline"/>
              </w:rPr>
              <w:t> </w:t>
            </w:r>
            <w:r>
              <w:rPr>
                <w:spacing w:val="-2"/>
                <w:sz w:val="24"/>
                <w:vertAlign w:val="baseline"/>
              </w:rPr>
              <w:t>section</w:t>
            </w:r>
          </w:p>
        </w:tc>
        <w:tc>
          <w:tcPr>
            <w:tcW w:w="3418" w:type="dxa"/>
            <w:shd w:val="clear" w:color="auto" w:fill="D6E3BC"/>
          </w:tcPr>
          <w:p>
            <w:pPr>
              <w:pStyle w:val="TableParagraph"/>
              <w:spacing w:line="256" w:lineRule="exact"/>
              <w:ind w:left="993"/>
              <w:rPr>
                <w:sz w:val="24"/>
              </w:rPr>
            </w:pPr>
            <w:r>
              <w:rPr>
                <w:spacing w:val="-2"/>
                <w:sz w:val="24"/>
              </w:rPr>
              <w:t>0.955</w:t>
            </w:r>
          </w:p>
        </w:tc>
      </w:tr>
    </w:tbl>
    <w:p>
      <w:pPr>
        <w:pStyle w:val="BodyText"/>
        <w:spacing w:before="31"/>
      </w:pPr>
    </w:p>
    <w:p>
      <w:pPr>
        <w:pStyle w:val="Heading2"/>
        <w:jc w:val="left"/>
      </w:pPr>
      <w:r>
        <w:rPr/>
        <w:t>Level</w:t>
      </w:r>
      <w:r>
        <w:rPr>
          <w:spacing w:val="-1"/>
        </w:rPr>
        <w:t> </w:t>
      </w:r>
      <w:r>
        <w:rPr/>
        <w:t>of </w:t>
      </w:r>
      <w:r>
        <w:rPr>
          <w:spacing w:val="-2"/>
        </w:rPr>
        <w:t>Implementation</w:t>
      </w:r>
    </w:p>
    <w:p>
      <w:pPr>
        <w:pStyle w:val="BodyText"/>
        <w:spacing w:before="11"/>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3329"/>
        <w:gridCol w:w="1438"/>
      </w:tblGrid>
      <w:tr>
        <w:trPr>
          <w:trHeight w:val="828" w:hRule="atLeast"/>
        </w:trPr>
        <w:tc>
          <w:tcPr>
            <w:tcW w:w="749" w:type="dxa"/>
            <w:shd w:val="clear" w:color="auto" w:fill="D6E3BC"/>
          </w:tcPr>
          <w:p>
            <w:pPr>
              <w:pStyle w:val="TableParagraph"/>
              <w:spacing w:line="275" w:lineRule="exact"/>
              <w:ind w:left="108"/>
              <w:rPr>
                <w:b/>
                <w:sz w:val="24"/>
              </w:rPr>
            </w:pPr>
            <w:r>
              <w:rPr>
                <w:b/>
                <w:spacing w:val="-4"/>
                <w:sz w:val="24"/>
              </w:rPr>
              <w:t>S/No</w:t>
            </w:r>
          </w:p>
        </w:tc>
        <w:tc>
          <w:tcPr>
            <w:tcW w:w="3329" w:type="dxa"/>
            <w:shd w:val="clear" w:color="auto" w:fill="D6E3BC"/>
          </w:tcPr>
          <w:p>
            <w:pPr>
              <w:pStyle w:val="TableParagraph"/>
              <w:spacing w:line="275" w:lineRule="exact"/>
              <w:ind w:left="146"/>
              <w:rPr>
                <w:b/>
                <w:sz w:val="24"/>
              </w:rPr>
            </w:pPr>
            <w:r>
              <w:rPr>
                <w:b/>
                <w:sz w:val="24"/>
              </w:rPr>
              <w:t>Critical</w:t>
            </w:r>
            <w:r>
              <w:rPr>
                <w:b/>
                <w:spacing w:val="-4"/>
                <w:sz w:val="24"/>
              </w:rPr>
              <w:t> </w:t>
            </w:r>
            <w:r>
              <w:rPr>
                <w:b/>
                <w:sz w:val="24"/>
              </w:rPr>
              <w:t>Success</w:t>
            </w:r>
            <w:r>
              <w:rPr>
                <w:b/>
                <w:spacing w:val="-1"/>
                <w:sz w:val="24"/>
              </w:rPr>
              <w:t> </w:t>
            </w:r>
            <w:r>
              <w:rPr>
                <w:b/>
                <w:spacing w:val="-2"/>
                <w:sz w:val="24"/>
              </w:rPr>
              <w:t>Factor</w:t>
            </w:r>
          </w:p>
        </w:tc>
        <w:tc>
          <w:tcPr>
            <w:tcW w:w="1438" w:type="dxa"/>
            <w:shd w:val="clear" w:color="auto" w:fill="D6E3BC"/>
          </w:tcPr>
          <w:p>
            <w:pPr>
              <w:pStyle w:val="TableParagraph"/>
              <w:spacing w:line="275" w:lineRule="exact"/>
              <w:ind w:left="107"/>
              <w:rPr>
                <w:b/>
                <w:sz w:val="24"/>
              </w:rPr>
            </w:pPr>
            <w:r>
              <w:rPr>
                <w:b/>
                <w:spacing w:val="-2"/>
                <w:sz w:val="24"/>
              </w:rPr>
              <w:t>Cronbach’s</w:t>
            </w:r>
          </w:p>
          <w:p>
            <w:pPr>
              <w:pStyle w:val="TableParagraph"/>
              <w:spacing w:before="139"/>
              <w:ind w:left="107"/>
              <w:rPr>
                <w:b/>
                <w:sz w:val="24"/>
              </w:rPr>
            </w:pPr>
            <w:r>
              <w:rPr>
                <w:b/>
                <w:spacing w:val="-2"/>
                <w:sz w:val="24"/>
              </w:rPr>
              <w:t>Alpha</w:t>
            </w:r>
          </w:p>
        </w:tc>
      </w:tr>
      <w:tr>
        <w:trPr>
          <w:trHeight w:val="1243" w:hRule="atLeast"/>
        </w:trPr>
        <w:tc>
          <w:tcPr>
            <w:tcW w:w="749" w:type="dxa"/>
          </w:tcPr>
          <w:p>
            <w:pPr>
              <w:pStyle w:val="TableParagraph"/>
              <w:spacing w:line="270" w:lineRule="exact"/>
              <w:ind w:left="108"/>
              <w:rPr>
                <w:sz w:val="24"/>
              </w:rPr>
            </w:pPr>
            <w:r>
              <w:rPr>
                <w:spacing w:val="-10"/>
                <w:sz w:val="24"/>
              </w:rPr>
              <w:t>1</w:t>
            </w:r>
          </w:p>
        </w:tc>
        <w:tc>
          <w:tcPr>
            <w:tcW w:w="3329" w:type="dxa"/>
          </w:tcPr>
          <w:p>
            <w:pPr>
              <w:pStyle w:val="TableParagraph"/>
              <w:tabs>
                <w:tab w:pos="1888" w:val="left" w:leader="none"/>
                <w:tab w:pos="2913" w:val="left" w:leader="none"/>
              </w:tabs>
              <w:spacing w:line="270" w:lineRule="exact"/>
              <w:ind w:left="146"/>
              <w:rPr>
                <w:sz w:val="24"/>
              </w:rPr>
            </w:pPr>
            <w:r>
              <w:rPr>
                <w:spacing w:val="-2"/>
                <w:sz w:val="24"/>
              </w:rPr>
              <w:t>Leadership</w:t>
            </w:r>
            <w:r>
              <w:rPr>
                <w:sz w:val="24"/>
              </w:rPr>
              <w:tab/>
            </w:r>
            <w:r>
              <w:rPr>
                <w:spacing w:val="-5"/>
                <w:sz w:val="24"/>
              </w:rPr>
              <w:t>and</w:t>
            </w:r>
            <w:r>
              <w:rPr>
                <w:sz w:val="24"/>
              </w:rPr>
              <w:tab/>
            </w:r>
            <w:r>
              <w:rPr>
                <w:spacing w:val="-5"/>
                <w:sz w:val="24"/>
              </w:rPr>
              <w:t>top</w:t>
            </w:r>
          </w:p>
          <w:p>
            <w:pPr>
              <w:pStyle w:val="TableParagraph"/>
              <w:spacing w:line="410" w:lineRule="atLeast" w:before="5"/>
              <w:ind w:left="146"/>
              <w:rPr>
                <w:sz w:val="24"/>
              </w:rPr>
            </w:pPr>
            <w:r>
              <w:rPr>
                <w:sz w:val="24"/>
              </w:rPr>
              <w:t>management</w:t>
            </w:r>
            <w:r>
              <w:rPr>
                <w:spacing w:val="40"/>
                <w:sz w:val="24"/>
              </w:rPr>
              <w:t> </w:t>
            </w:r>
            <w:r>
              <w:rPr>
                <w:sz w:val="24"/>
              </w:rPr>
              <w:t>commitment</w:t>
            </w:r>
            <w:r>
              <w:rPr>
                <w:spacing w:val="40"/>
                <w:sz w:val="24"/>
              </w:rPr>
              <w:t> </w:t>
            </w:r>
            <w:r>
              <w:rPr>
                <w:sz w:val="24"/>
              </w:rPr>
              <w:t>and </w:t>
            </w:r>
            <w:r>
              <w:rPr>
                <w:spacing w:val="-2"/>
                <w:sz w:val="24"/>
              </w:rPr>
              <w:t>leadership</w:t>
            </w:r>
          </w:p>
        </w:tc>
        <w:tc>
          <w:tcPr>
            <w:tcW w:w="1438" w:type="dxa"/>
          </w:tcPr>
          <w:p>
            <w:pPr>
              <w:pStyle w:val="TableParagraph"/>
              <w:spacing w:line="270" w:lineRule="exact"/>
              <w:ind w:left="107"/>
              <w:rPr>
                <w:sz w:val="24"/>
              </w:rPr>
            </w:pPr>
            <w:r>
              <w:rPr>
                <w:spacing w:val="-2"/>
                <w:sz w:val="24"/>
              </w:rPr>
              <w:t>0.869</w:t>
            </w:r>
          </w:p>
        </w:tc>
      </w:tr>
      <w:tr>
        <w:trPr>
          <w:trHeight w:val="412" w:hRule="atLeast"/>
        </w:trPr>
        <w:tc>
          <w:tcPr>
            <w:tcW w:w="749" w:type="dxa"/>
            <w:shd w:val="clear" w:color="auto" w:fill="D6E3BC"/>
          </w:tcPr>
          <w:p>
            <w:pPr>
              <w:pStyle w:val="TableParagraph"/>
              <w:spacing w:line="270" w:lineRule="exact"/>
              <w:ind w:left="108"/>
              <w:rPr>
                <w:sz w:val="24"/>
              </w:rPr>
            </w:pPr>
            <w:r>
              <w:rPr>
                <w:spacing w:val="-10"/>
                <w:sz w:val="24"/>
              </w:rPr>
              <w:t>2</w:t>
            </w:r>
          </w:p>
        </w:tc>
        <w:tc>
          <w:tcPr>
            <w:tcW w:w="3329" w:type="dxa"/>
            <w:shd w:val="clear" w:color="auto" w:fill="D6E3BC"/>
          </w:tcPr>
          <w:p>
            <w:pPr>
              <w:pStyle w:val="TableParagraph"/>
              <w:spacing w:line="270" w:lineRule="exact"/>
              <w:ind w:left="146"/>
              <w:rPr>
                <w:sz w:val="24"/>
              </w:rPr>
            </w:pPr>
            <w:r>
              <w:rPr>
                <w:sz w:val="24"/>
              </w:rPr>
              <w:t>Customer</w:t>
            </w:r>
            <w:r>
              <w:rPr>
                <w:spacing w:val="-2"/>
                <w:sz w:val="24"/>
              </w:rPr>
              <w:t> Focus</w:t>
            </w:r>
          </w:p>
        </w:tc>
        <w:tc>
          <w:tcPr>
            <w:tcW w:w="1438" w:type="dxa"/>
            <w:shd w:val="clear" w:color="auto" w:fill="D6E3BC"/>
          </w:tcPr>
          <w:p>
            <w:pPr>
              <w:pStyle w:val="TableParagraph"/>
              <w:spacing w:line="270" w:lineRule="exact"/>
              <w:ind w:left="107"/>
              <w:rPr>
                <w:sz w:val="24"/>
              </w:rPr>
            </w:pPr>
            <w:r>
              <w:rPr>
                <w:spacing w:val="-2"/>
                <w:sz w:val="24"/>
              </w:rPr>
              <w:t>0.980</w:t>
            </w:r>
          </w:p>
        </w:tc>
      </w:tr>
      <w:tr>
        <w:trPr>
          <w:trHeight w:val="412" w:hRule="atLeast"/>
        </w:trPr>
        <w:tc>
          <w:tcPr>
            <w:tcW w:w="749" w:type="dxa"/>
          </w:tcPr>
          <w:p>
            <w:pPr>
              <w:pStyle w:val="TableParagraph"/>
              <w:spacing w:line="270" w:lineRule="exact"/>
              <w:ind w:left="108"/>
              <w:rPr>
                <w:sz w:val="24"/>
              </w:rPr>
            </w:pPr>
            <w:r>
              <w:rPr>
                <w:spacing w:val="-10"/>
                <w:sz w:val="24"/>
              </w:rPr>
              <w:t>3</w:t>
            </w:r>
          </w:p>
        </w:tc>
        <w:tc>
          <w:tcPr>
            <w:tcW w:w="3329" w:type="dxa"/>
          </w:tcPr>
          <w:p>
            <w:pPr>
              <w:pStyle w:val="TableParagraph"/>
              <w:spacing w:line="270" w:lineRule="exact"/>
              <w:ind w:left="146"/>
              <w:rPr>
                <w:sz w:val="24"/>
              </w:rPr>
            </w:pPr>
            <w:r>
              <w:rPr>
                <w:sz w:val="24"/>
              </w:rPr>
              <w:t>Continuous</w:t>
            </w:r>
            <w:r>
              <w:rPr>
                <w:spacing w:val="2"/>
                <w:sz w:val="24"/>
              </w:rPr>
              <w:t> </w:t>
            </w:r>
            <w:r>
              <w:rPr>
                <w:spacing w:val="-2"/>
                <w:sz w:val="24"/>
              </w:rPr>
              <w:t>Improvement</w:t>
            </w:r>
          </w:p>
        </w:tc>
        <w:tc>
          <w:tcPr>
            <w:tcW w:w="1438" w:type="dxa"/>
          </w:tcPr>
          <w:p>
            <w:pPr>
              <w:pStyle w:val="TableParagraph"/>
              <w:spacing w:line="270" w:lineRule="exact"/>
              <w:ind w:left="107"/>
              <w:rPr>
                <w:sz w:val="24"/>
              </w:rPr>
            </w:pPr>
            <w:r>
              <w:rPr>
                <w:spacing w:val="-2"/>
                <w:sz w:val="24"/>
              </w:rPr>
              <w:t>0.989</w:t>
            </w:r>
          </w:p>
        </w:tc>
      </w:tr>
      <w:tr>
        <w:trPr>
          <w:trHeight w:val="415" w:hRule="atLeast"/>
        </w:trPr>
        <w:tc>
          <w:tcPr>
            <w:tcW w:w="749" w:type="dxa"/>
            <w:shd w:val="clear" w:color="auto" w:fill="D6E3BC"/>
          </w:tcPr>
          <w:p>
            <w:pPr>
              <w:pStyle w:val="TableParagraph"/>
              <w:spacing w:line="270" w:lineRule="exact"/>
              <w:ind w:left="108"/>
              <w:rPr>
                <w:sz w:val="24"/>
              </w:rPr>
            </w:pPr>
            <w:r>
              <w:rPr>
                <w:spacing w:val="-10"/>
                <w:sz w:val="24"/>
              </w:rPr>
              <w:t>4</w:t>
            </w:r>
          </w:p>
        </w:tc>
        <w:tc>
          <w:tcPr>
            <w:tcW w:w="3329" w:type="dxa"/>
            <w:shd w:val="clear" w:color="auto" w:fill="D6E3BC"/>
          </w:tcPr>
          <w:p>
            <w:pPr>
              <w:pStyle w:val="TableParagraph"/>
              <w:spacing w:line="270" w:lineRule="exact"/>
              <w:ind w:left="146"/>
              <w:rPr>
                <w:sz w:val="24"/>
              </w:rPr>
            </w:pPr>
            <w:r>
              <w:rPr>
                <w:sz w:val="24"/>
              </w:rPr>
              <w:t>Employee</w:t>
            </w:r>
            <w:r>
              <w:rPr>
                <w:spacing w:val="-6"/>
                <w:sz w:val="24"/>
              </w:rPr>
              <w:t> </w:t>
            </w:r>
            <w:r>
              <w:rPr>
                <w:spacing w:val="-2"/>
                <w:sz w:val="24"/>
              </w:rPr>
              <w:t>Participation</w:t>
            </w:r>
          </w:p>
        </w:tc>
        <w:tc>
          <w:tcPr>
            <w:tcW w:w="1438" w:type="dxa"/>
            <w:shd w:val="clear" w:color="auto" w:fill="D6E3BC"/>
          </w:tcPr>
          <w:p>
            <w:pPr>
              <w:pStyle w:val="TableParagraph"/>
              <w:spacing w:line="270" w:lineRule="exact"/>
              <w:ind w:left="107"/>
              <w:rPr>
                <w:sz w:val="24"/>
              </w:rPr>
            </w:pPr>
            <w:r>
              <w:rPr>
                <w:spacing w:val="-2"/>
                <w:sz w:val="24"/>
              </w:rPr>
              <w:t>0.982</w:t>
            </w:r>
          </w:p>
        </w:tc>
      </w:tr>
      <w:tr>
        <w:trPr>
          <w:trHeight w:val="412" w:hRule="atLeast"/>
        </w:trPr>
        <w:tc>
          <w:tcPr>
            <w:tcW w:w="749" w:type="dxa"/>
          </w:tcPr>
          <w:p>
            <w:pPr>
              <w:pStyle w:val="TableParagraph"/>
              <w:spacing w:line="270" w:lineRule="exact"/>
              <w:ind w:left="108"/>
              <w:rPr>
                <w:sz w:val="24"/>
              </w:rPr>
            </w:pPr>
            <w:r>
              <w:rPr>
                <w:spacing w:val="-10"/>
                <w:sz w:val="24"/>
              </w:rPr>
              <w:t>5</w:t>
            </w:r>
          </w:p>
        </w:tc>
        <w:tc>
          <w:tcPr>
            <w:tcW w:w="3329" w:type="dxa"/>
          </w:tcPr>
          <w:p>
            <w:pPr>
              <w:pStyle w:val="TableParagraph"/>
              <w:spacing w:line="270" w:lineRule="exact"/>
              <w:ind w:left="146"/>
              <w:rPr>
                <w:sz w:val="24"/>
              </w:rPr>
            </w:pPr>
            <w:r>
              <w:rPr>
                <w:sz w:val="24"/>
              </w:rPr>
              <w:t>Recognition</w:t>
            </w:r>
            <w:r>
              <w:rPr>
                <w:spacing w:val="-3"/>
                <w:sz w:val="24"/>
              </w:rPr>
              <w:t> </w:t>
            </w:r>
            <w:r>
              <w:rPr>
                <w:sz w:val="24"/>
              </w:rPr>
              <w:t>and</w:t>
            </w:r>
            <w:r>
              <w:rPr>
                <w:spacing w:val="-3"/>
                <w:sz w:val="24"/>
              </w:rPr>
              <w:t> </w:t>
            </w:r>
            <w:r>
              <w:rPr>
                <w:spacing w:val="-2"/>
                <w:sz w:val="24"/>
              </w:rPr>
              <w:t>Reward</w:t>
            </w:r>
          </w:p>
        </w:tc>
        <w:tc>
          <w:tcPr>
            <w:tcW w:w="1438" w:type="dxa"/>
          </w:tcPr>
          <w:p>
            <w:pPr>
              <w:pStyle w:val="TableParagraph"/>
              <w:spacing w:line="270" w:lineRule="exact"/>
              <w:ind w:left="107"/>
              <w:rPr>
                <w:sz w:val="24"/>
              </w:rPr>
            </w:pPr>
            <w:r>
              <w:rPr>
                <w:spacing w:val="-2"/>
                <w:sz w:val="24"/>
              </w:rPr>
              <w:t>0.963</w:t>
            </w:r>
          </w:p>
        </w:tc>
      </w:tr>
      <w:tr>
        <w:trPr>
          <w:trHeight w:val="415" w:hRule="atLeast"/>
        </w:trPr>
        <w:tc>
          <w:tcPr>
            <w:tcW w:w="749" w:type="dxa"/>
            <w:shd w:val="clear" w:color="auto" w:fill="D6E3BC"/>
          </w:tcPr>
          <w:p>
            <w:pPr>
              <w:pStyle w:val="TableParagraph"/>
              <w:spacing w:line="270" w:lineRule="exact"/>
              <w:ind w:left="108"/>
              <w:rPr>
                <w:sz w:val="24"/>
              </w:rPr>
            </w:pPr>
            <w:r>
              <w:rPr>
                <w:spacing w:val="-10"/>
                <w:sz w:val="24"/>
              </w:rPr>
              <w:t>6</w:t>
            </w:r>
          </w:p>
        </w:tc>
        <w:tc>
          <w:tcPr>
            <w:tcW w:w="3329" w:type="dxa"/>
            <w:shd w:val="clear" w:color="auto" w:fill="D6E3BC"/>
          </w:tcPr>
          <w:p>
            <w:pPr>
              <w:pStyle w:val="TableParagraph"/>
              <w:spacing w:line="270" w:lineRule="exact"/>
              <w:ind w:left="146"/>
              <w:rPr>
                <w:sz w:val="24"/>
              </w:rPr>
            </w:pPr>
            <w:r>
              <w:rPr>
                <w:spacing w:val="-2"/>
                <w:sz w:val="24"/>
              </w:rPr>
              <w:t>Training</w:t>
            </w:r>
          </w:p>
        </w:tc>
        <w:tc>
          <w:tcPr>
            <w:tcW w:w="1438" w:type="dxa"/>
            <w:shd w:val="clear" w:color="auto" w:fill="D6E3BC"/>
          </w:tcPr>
          <w:p>
            <w:pPr>
              <w:pStyle w:val="TableParagraph"/>
              <w:spacing w:line="270" w:lineRule="exact"/>
              <w:ind w:left="107"/>
              <w:rPr>
                <w:sz w:val="24"/>
              </w:rPr>
            </w:pPr>
            <w:r>
              <w:rPr>
                <w:spacing w:val="-2"/>
                <w:sz w:val="24"/>
              </w:rPr>
              <w:t>0.954</w:t>
            </w:r>
          </w:p>
        </w:tc>
      </w:tr>
      <w:tr>
        <w:trPr>
          <w:trHeight w:val="412" w:hRule="atLeast"/>
        </w:trPr>
        <w:tc>
          <w:tcPr>
            <w:tcW w:w="749" w:type="dxa"/>
          </w:tcPr>
          <w:p>
            <w:pPr>
              <w:pStyle w:val="TableParagraph"/>
              <w:spacing w:line="270" w:lineRule="exact"/>
              <w:ind w:left="108"/>
              <w:rPr>
                <w:sz w:val="24"/>
              </w:rPr>
            </w:pPr>
            <w:r>
              <w:rPr>
                <w:spacing w:val="-10"/>
                <w:sz w:val="24"/>
              </w:rPr>
              <w:t>7</w:t>
            </w:r>
          </w:p>
        </w:tc>
        <w:tc>
          <w:tcPr>
            <w:tcW w:w="3329" w:type="dxa"/>
          </w:tcPr>
          <w:p>
            <w:pPr>
              <w:pStyle w:val="TableParagraph"/>
              <w:spacing w:line="270" w:lineRule="exact"/>
              <w:ind w:left="146"/>
              <w:rPr>
                <w:sz w:val="24"/>
              </w:rPr>
            </w:pPr>
            <w:r>
              <w:rPr>
                <w:sz w:val="24"/>
              </w:rPr>
              <w:t>Quality</w:t>
            </w:r>
            <w:r>
              <w:rPr>
                <w:spacing w:val="-5"/>
                <w:sz w:val="24"/>
              </w:rPr>
              <w:t> </w:t>
            </w:r>
            <w:r>
              <w:rPr>
                <w:spacing w:val="-2"/>
                <w:sz w:val="24"/>
              </w:rPr>
              <w:t>Culture</w:t>
            </w:r>
          </w:p>
        </w:tc>
        <w:tc>
          <w:tcPr>
            <w:tcW w:w="1438" w:type="dxa"/>
          </w:tcPr>
          <w:p>
            <w:pPr>
              <w:pStyle w:val="TableParagraph"/>
              <w:spacing w:line="270" w:lineRule="exact"/>
              <w:ind w:left="107"/>
              <w:rPr>
                <w:sz w:val="24"/>
              </w:rPr>
            </w:pPr>
            <w:r>
              <w:rPr>
                <w:spacing w:val="-2"/>
                <w:sz w:val="24"/>
              </w:rPr>
              <w:t>0.879</w:t>
            </w:r>
          </w:p>
        </w:tc>
      </w:tr>
      <w:tr>
        <w:trPr>
          <w:trHeight w:val="415" w:hRule="atLeast"/>
        </w:trPr>
        <w:tc>
          <w:tcPr>
            <w:tcW w:w="749" w:type="dxa"/>
            <w:shd w:val="clear" w:color="auto" w:fill="D6E3BC"/>
          </w:tcPr>
          <w:p>
            <w:pPr>
              <w:pStyle w:val="TableParagraph"/>
              <w:spacing w:line="270" w:lineRule="exact"/>
              <w:ind w:left="108"/>
              <w:rPr>
                <w:sz w:val="24"/>
              </w:rPr>
            </w:pPr>
            <w:r>
              <w:rPr>
                <w:spacing w:val="-10"/>
                <w:sz w:val="24"/>
              </w:rPr>
              <w:t>8</w:t>
            </w:r>
          </w:p>
        </w:tc>
        <w:tc>
          <w:tcPr>
            <w:tcW w:w="3329" w:type="dxa"/>
            <w:shd w:val="clear" w:color="auto" w:fill="D6E3BC"/>
          </w:tcPr>
          <w:p>
            <w:pPr>
              <w:pStyle w:val="TableParagraph"/>
              <w:spacing w:line="270" w:lineRule="exact"/>
              <w:ind w:left="146"/>
              <w:rPr>
                <w:sz w:val="24"/>
              </w:rPr>
            </w:pPr>
            <w:r>
              <w:rPr>
                <w:spacing w:val="-2"/>
                <w:sz w:val="24"/>
              </w:rPr>
              <w:t>Communication</w:t>
            </w:r>
          </w:p>
        </w:tc>
        <w:tc>
          <w:tcPr>
            <w:tcW w:w="1438" w:type="dxa"/>
            <w:shd w:val="clear" w:color="auto" w:fill="D6E3BC"/>
          </w:tcPr>
          <w:p>
            <w:pPr>
              <w:pStyle w:val="TableParagraph"/>
              <w:spacing w:line="270" w:lineRule="exact"/>
              <w:ind w:left="107"/>
              <w:rPr>
                <w:sz w:val="24"/>
              </w:rPr>
            </w:pPr>
            <w:r>
              <w:rPr>
                <w:spacing w:val="-2"/>
                <w:sz w:val="24"/>
              </w:rPr>
              <w:t>0.905</w:t>
            </w:r>
          </w:p>
        </w:tc>
      </w:tr>
      <w:tr>
        <w:trPr>
          <w:trHeight w:val="412" w:hRule="atLeast"/>
        </w:trPr>
        <w:tc>
          <w:tcPr>
            <w:tcW w:w="749" w:type="dxa"/>
          </w:tcPr>
          <w:p>
            <w:pPr>
              <w:pStyle w:val="TableParagraph"/>
              <w:spacing w:line="270" w:lineRule="exact"/>
              <w:ind w:left="108"/>
              <w:rPr>
                <w:sz w:val="24"/>
              </w:rPr>
            </w:pPr>
            <w:r>
              <w:rPr>
                <w:spacing w:val="-10"/>
                <w:sz w:val="24"/>
              </w:rPr>
              <w:t>9</w:t>
            </w:r>
          </w:p>
        </w:tc>
        <w:tc>
          <w:tcPr>
            <w:tcW w:w="3329" w:type="dxa"/>
          </w:tcPr>
          <w:p>
            <w:pPr>
              <w:pStyle w:val="TableParagraph"/>
              <w:spacing w:line="270" w:lineRule="exact"/>
              <w:ind w:left="146"/>
              <w:rPr>
                <w:sz w:val="24"/>
              </w:rPr>
            </w:pPr>
            <w:r>
              <w:rPr>
                <w:sz w:val="24"/>
              </w:rPr>
              <w:t>Performance</w:t>
            </w:r>
            <w:r>
              <w:rPr>
                <w:spacing w:val="-5"/>
                <w:sz w:val="24"/>
              </w:rPr>
              <w:t> </w:t>
            </w:r>
            <w:r>
              <w:rPr>
                <w:spacing w:val="-2"/>
                <w:sz w:val="24"/>
              </w:rPr>
              <w:t>Measurement</w:t>
            </w:r>
          </w:p>
        </w:tc>
        <w:tc>
          <w:tcPr>
            <w:tcW w:w="1438" w:type="dxa"/>
          </w:tcPr>
          <w:p>
            <w:pPr>
              <w:pStyle w:val="TableParagraph"/>
              <w:spacing w:line="270" w:lineRule="exact"/>
              <w:ind w:left="107"/>
              <w:rPr>
                <w:sz w:val="24"/>
              </w:rPr>
            </w:pPr>
            <w:r>
              <w:rPr>
                <w:spacing w:val="-2"/>
                <w:sz w:val="24"/>
              </w:rPr>
              <w:t>0.806</w:t>
            </w:r>
          </w:p>
        </w:tc>
      </w:tr>
      <w:tr>
        <w:trPr>
          <w:trHeight w:val="415" w:hRule="atLeast"/>
        </w:trPr>
        <w:tc>
          <w:tcPr>
            <w:tcW w:w="749" w:type="dxa"/>
            <w:shd w:val="clear" w:color="auto" w:fill="D6E3BC"/>
          </w:tcPr>
          <w:p>
            <w:pPr>
              <w:pStyle w:val="TableParagraph"/>
              <w:spacing w:line="270" w:lineRule="exact"/>
              <w:ind w:left="108"/>
              <w:rPr>
                <w:sz w:val="24"/>
              </w:rPr>
            </w:pPr>
            <w:r>
              <w:rPr>
                <w:spacing w:val="-5"/>
                <w:sz w:val="24"/>
              </w:rPr>
              <w:t>10</w:t>
            </w:r>
          </w:p>
        </w:tc>
        <w:tc>
          <w:tcPr>
            <w:tcW w:w="3329" w:type="dxa"/>
            <w:shd w:val="clear" w:color="auto" w:fill="D6E3BC"/>
          </w:tcPr>
          <w:p>
            <w:pPr>
              <w:pStyle w:val="TableParagraph"/>
              <w:spacing w:line="270" w:lineRule="exact"/>
              <w:ind w:left="146"/>
              <w:rPr>
                <w:sz w:val="24"/>
              </w:rPr>
            </w:pPr>
            <w:r>
              <w:rPr>
                <w:sz w:val="24"/>
              </w:rPr>
              <w:t>Strategic</w:t>
            </w:r>
            <w:r>
              <w:rPr>
                <w:spacing w:val="-7"/>
                <w:sz w:val="24"/>
              </w:rPr>
              <w:t> </w:t>
            </w:r>
            <w:r>
              <w:rPr>
                <w:spacing w:val="-2"/>
                <w:sz w:val="24"/>
              </w:rPr>
              <w:t>Planning</w:t>
            </w:r>
          </w:p>
        </w:tc>
        <w:tc>
          <w:tcPr>
            <w:tcW w:w="1438" w:type="dxa"/>
            <w:shd w:val="clear" w:color="auto" w:fill="D6E3BC"/>
          </w:tcPr>
          <w:p>
            <w:pPr>
              <w:pStyle w:val="TableParagraph"/>
              <w:spacing w:line="270" w:lineRule="exact"/>
              <w:ind w:left="107"/>
              <w:rPr>
                <w:sz w:val="24"/>
              </w:rPr>
            </w:pPr>
            <w:r>
              <w:rPr>
                <w:spacing w:val="-2"/>
                <w:sz w:val="24"/>
              </w:rPr>
              <w:t>0.761</w:t>
            </w:r>
          </w:p>
        </w:tc>
      </w:tr>
    </w:tbl>
    <w:p>
      <w:pPr>
        <w:pStyle w:val="BodyText"/>
        <w:spacing w:before="19" w:after="1"/>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3494"/>
        <w:gridCol w:w="2338"/>
      </w:tblGrid>
      <w:tr>
        <w:trPr>
          <w:trHeight w:val="319" w:hRule="atLeast"/>
        </w:trPr>
        <w:tc>
          <w:tcPr>
            <w:tcW w:w="743" w:type="dxa"/>
            <w:shd w:val="clear" w:color="auto" w:fill="D6E3BC"/>
          </w:tcPr>
          <w:p>
            <w:pPr>
              <w:pStyle w:val="TableParagraph"/>
              <w:spacing w:line="275" w:lineRule="exact"/>
              <w:ind w:left="108"/>
              <w:rPr>
                <w:b/>
                <w:sz w:val="24"/>
              </w:rPr>
            </w:pPr>
            <w:r>
              <w:rPr>
                <w:b/>
                <w:spacing w:val="-4"/>
                <w:sz w:val="24"/>
              </w:rPr>
              <w:t>S/No</w:t>
            </w:r>
          </w:p>
        </w:tc>
        <w:tc>
          <w:tcPr>
            <w:tcW w:w="3494" w:type="dxa"/>
            <w:shd w:val="clear" w:color="auto" w:fill="D6E3BC"/>
          </w:tcPr>
          <w:p>
            <w:pPr>
              <w:pStyle w:val="TableParagraph"/>
              <w:spacing w:line="275" w:lineRule="exact"/>
              <w:ind w:left="140"/>
              <w:rPr>
                <w:b/>
                <w:sz w:val="24"/>
              </w:rPr>
            </w:pPr>
            <w:r>
              <w:rPr>
                <w:b/>
                <w:spacing w:val="-2"/>
                <w:sz w:val="24"/>
              </w:rPr>
              <w:t>Section</w:t>
            </w:r>
          </w:p>
        </w:tc>
        <w:tc>
          <w:tcPr>
            <w:tcW w:w="2338" w:type="dxa"/>
            <w:shd w:val="clear" w:color="auto" w:fill="D6E3BC"/>
          </w:tcPr>
          <w:p>
            <w:pPr>
              <w:pStyle w:val="TableParagraph"/>
              <w:spacing w:line="275" w:lineRule="exact"/>
              <w:ind w:left="109"/>
              <w:rPr>
                <w:b/>
                <w:sz w:val="24"/>
              </w:rPr>
            </w:pPr>
            <w:r>
              <w:rPr>
                <w:b/>
                <w:sz w:val="24"/>
              </w:rPr>
              <w:t>Cronbach’s</w:t>
            </w:r>
            <w:r>
              <w:rPr>
                <w:b/>
                <w:spacing w:val="-4"/>
                <w:sz w:val="24"/>
              </w:rPr>
              <w:t> </w:t>
            </w:r>
            <w:r>
              <w:rPr>
                <w:b/>
                <w:spacing w:val="-2"/>
                <w:sz w:val="24"/>
              </w:rPr>
              <w:t>Alpha</w:t>
            </w:r>
          </w:p>
        </w:tc>
      </w:tr>
      <w:tr>
        <w:trPr>
          <w:trHeight w:val="316" w:hRule="atLeast"/>
        </w:trPr>
        <w:tc>
          <w:tcPr>
            <w:tcW w:w="743" w:type="dxa"/>
          </w:tcPr>
          <w:p>
            <w:pPr>
              <w:pStyle w:val="TableParagraph"/>
              <w:spacing w:line="270" w:lineRule="exact"/>
              <w:ind w:left="108"/>
              <w:rPr>
                <w:sz w:val="24"/>
              </w:rPr>
            </w:pPr>
            <w:r>
              <w:rPr>
                <w:spacing w:val="-10"/>
                <w:sz w:val="24"/>
              </w:rPr>
              <w:t>1</w:t>
            </w:r>
          </w:p>
        </w:tc>
        <w:tc>
          <w:tcPr>
            <w:tcW w:w="3494" w:type="dxa"/>
          </w:tcPr>
          <w:p>
            <w:pPr>
              <w:pStyle w:val="TableParagraph"/>
              <w:spacing w:line="270" w:lineRule="exact"/>
              <w:ind w:left="140"/>
              <w:rPr>
                <w:sz w:val="24"/>
              </w:rPr>
            </w:pPr>
            <w:r>
              <w:rPr>
                <w:sz w:val="24"/>
              </w:rPr>
              <w:t>Critical</w:t>
            </w:r>
            <w:r>
              <w:rPr>
                <w:spacing w:val="-3"/>
                <w:sz w:val="24"/>
              </w:rPr>
              <w:t> </w:t>
            </w:r>
            <w:r>
              <w:rPr>
                <w:sz w:val="24"/>
              </w:rPr>
              <w:t>Success</w:t>
            </w:r>
            <w:r>
              <w:rPr>
                <w:spacing w:val="-3"/>
                <w:sz w:val="24"/>
              </w:rPr>
              <w:t> </w:t>
            </w:r>
            <w:r>
              <w:rPr>
                <w:spacing w:val="-2"/>
                <w:sz w:val="24"/>
              </w:rPr>
              <w:t>Factor</w:t>
            </w:r>
          </w:p>
        </w:tc>
        <w:tc>
          <w:tcPr>
            <w:tcW w:w="2338" w:type="dxa"/>
          </w:tcPr>
          <w:p>
            <w:pPr>
              <w:pStyle w:val="TableParagraph"/>
              <w:spacing w:line="270" w:lineRule="exact"/>
              <w:ind w:left="109"/>
              <w:rPr>
                <w:sz w:val="24"/>
              </w:rPr>
            </w:pPr>
            <w:r>
              <w:rPr>
                <w:spacing w:val="-2"/>
                <w:sz w:val="24"/>
              </w:rPr>
              <w:t>0.842</w:t>
            </w:r>
          </w:p>
        </w:tc>
      </w:tr>
      <w:tr>
        <w:trPr>
          <w:trHeight w:val="316" w:hRule="atLeast"/>
        </w:trPr>
        <w:tc>
          <w:tcPr>
            <w:tcW w:w="743" w:type="dxa"/>
            <w:shd w:val="clear" w:color="auto" w:fill="D6E3BC"/>
          </w:tcPr>
          <w:p>
            <w:pPr>
              <w:pStyle w:val="TableParagraph"/>
              <w:spacing w:line="270" w:lineRule="exact"/>
              <w:ind w:left="108"/>
              <w:rPr>
                <w:sz w:val="24"/>
              </w:rPr>
            </w:pPr>
            <w:r>
              <w:rPr>
                <w:spacing w:val="-10"/>
                <w:sz w:val="24"/>
              </w:rPr>
              <w:t>2</w:t>
            </w:r>
          </w:p>
        </w:tc>
        <w:tc>
          <w:tcPr>
            <w:tcW w:w="3494" w:type="dxa"/>
            <w:shd w:val="clear" w:color="auto" w:fill="D6E3BC"/>
          </w:tcPr>
          <w:p>
            <w:pPr>
              <w:pStyle w:val="TableParagraph"/>
              <w:spacing w:line="270" w:lineRule="exact"/>
              <w:ind w:left="140"/>
              <w:rPr>
                <w:sz w:val="24"/>
              </w:rPr>
            </w:pPr>
            <w:r>
              <w:rPr>
                <w:spacing w:val="-2"/>
                <w:sz w:val="24"/>
              </w:rPr>
              <w:t>Strength</w:t>
            </w:r>
          </w:p>
        </w:tc>
        <w:tc>
          <w:tcPr>
            <w:tcW w:w="2338" w:type="dxa"/>
            <w:shd w:val="clear" w:color="auto" w:fill="D6E3BC"/>
          </w:tcPr>
          <w:p>
            <w:pPr>
              <w:pStyle w:val="TableParagraph"/>
              <w:spacing w:line="270" w:lineRule="exact"/>
              <w:ind w:left="109"/>
              <w:rPr>
                <w:sz w:val="24"/>
              </w:rPr>
            </w:pPr>
            <w:r>
              <w:rPr>
                <w:spacing w:val="-2"/>
                <w:sz w:val="24"/>
              </w:rPr>
              <w:t>0.983</w:t>
            </w:r>
          </w:p>
        </w:tc>
      </w:tr>
      <w:tr>
        <w:trPr>
          <w:trHeight w:val="316" w:hRule="atLeast"/>
        </w:trPr>
        <w:tc>
          <w:tcPr>
            <w:tcW w:w="743" w:type="dxa"/>
          </w:tcPr>
          <w:p>
            <w:pPr>
              <w:pStyle w:val="TableParagraph"/>
              <w:spacing w:line="270" w:lineRule="exact"/>
              <w:ind w:left="108"/>
              <w:rPr>
                <w:sz w:val="24"/>
              </w:rPr>
            </w:pPr>
            <w:r>
              <w:rPr>
                <w:spacing w:val="-10"/>
                <w:sz w:val="24"/>
              </w:rPr>
              <w:t>3</w:t>
            </w:r>
          </w:p>
        </w:tc>
        <w:tc>
          <w:tcPr>
            <w:tcW w:w="3494" w:type="dxa"/>
          </w:tcPr>
          <w:p>
            <w:pPr>
              <w:pStyle w:val="TableParagraph"/>
              <w:spacing w:line="270" w:lineRule="exact"/>
              <w:ind w:left="140"/>
              <w:rPr>
                <w:sz w:val="24"/>
              </w:rPr>
            </w:pPr>
            <w:r>
              <w:rPr>
                <w:spacing w:val="-2"/>
                <w:sz w:val="24"/>
              </w:rPr>
              <w:t>Opportunities</w:t>
            </w:r>
          </w:p>
        </w:tc>
        <w:tc>
          <w:tcPr>
            <w:tcW w:w="2338" w:type="dxa"/>
          </w:tcPr>
          <w:p>
            <w:pPr>
              <w:pStyle w:val="TableParagraph"/>
              <w:spacing w:line="270" w:lineRule="exact"/>
              <w:ind w:left="109"/>
              <w:rPr>
                <w:sz w:val="24"/>
              </w:rPr>
            </w:pPr>
            <w:r>
              <w:rPr>
                <w:spacing w:val="-2"/>
                <w:sz w:val="24"/>
              </w:rPr>
              <w:t>0.969</w:t>
            </w:r>
          </w:p>
        </w:tc>
      </w:tr>
      <w:tr>
        <w:trPr>
          <w:trHeight w:val="319" w:hRule="atLeast"/>
        </w:trPr>
        <w:tc>
          <w:tcPr>
            <w:tcW w:w="743" w:type="dxa"/>
            <w:shd w:val="clear" w:color="auto" w:fill="D6E3BC"/>
          </w:tcPr>
          <w:p>
            <w:pPr>
              <w:pStyle w:val="TableParagraph"/>
              <w:spacing w:line="270" w:lineRule="exact"/>
              <w:ind w:left="108"/>
              <w:rPr>
                <w:sz w:val="24"/>
              </w:rPr>
            </w:pPr>
            <w:r>
              <w:rPr>
                <w:spacing w:val="-10"/>
                <w:sz w:val="24"/>
              </w:rPr>
              <w:t>4</w:t>
            </w:r>
          </w:p>
        </w:tc>
        <w:tc>
          <w:tcPr>
            <w:tcW w:w="3494" w:type="dxa"/>
            <w:shd w:val="clear" w:color="auto" w:fill="D6E3BC"/>
          </w:tcPr>
          <w:p>
            <w:pPr>
              <w:pStyle w:val="TableParagraph"/>
              <w:spacing w:line="270" w:lineRule="exact"/>
              <w:ind w:left="140"/>
              <w:rPr>
                <w:sz w:val="24"/>
              </w:rPr>
            </w:pPr>
            <w:r>
              <w:rPr>
                <w:spacing w:val="-2"/>
                <w:sz w:val="24"/>
              </w:rPr>
              <w:t>Weakness</w:t>
            </w:r>
          </w:p>
        </w:tc>
        <w:tc>
          <w:tcPr>
            <w:tcW w:w="2338" w:type="dxa"/>
            <w:shd w:val="clear" w:color="auto" w:fill="D6E3BC"/>
          </w:tcPr>
          <w:p>
            <w:pPr>
              <w:pStyle w:val="TableParagraph"/>
              <w:spacing w:line="270" w:lineRule="exact"/>
              <w:ind w:left="109"/>
              <w:rPr>
                <w:sz w:val="24"/>
              </w:rPr>
            </w:pPr>
            <w:r>
              <w:rPr>
                <w:spacing w:val="-2"/>
                <w:sz w:val="24"/>
              </w:rPr>
              <w:t>0.988</w:t>
            </w:r>
          </w:p>
        </w:tc>
      </w:tr>
      <w:tr>
        <w:trPr>
          <w:trHeight w:val="316" w:hRule="atLeast"/>
        </w:trPr>
        <w:tc>
          <w:tcPr>
            <w:tcW w:w="743" w:type="dxa"/>
          </w:tcPr>
          <w:p>
            <w:pPr>
              <w:pStyle w:val="TableParagraph"/>
              <w:spacing w:line="270" w:lineRule="exact"/>
              <w:ind w:left="108"/>
              <w:rPr>
                <w:sz w:val="24"/>
              </w:rPr>
            </w:pPr>
            <w:r>
              <w:rPr>
                <w:spacing w:val="-10"/>
                <w:sz w:val="24"/>
              </w:rPr>
              <w:t>5</w:t>
            </w:r>
          </w:p>
        </w:tc>
        <w:tc>
          <w:tcPr>
            <w:tcW w:w="3494" w:type="dxa"/>
          </w:tcPr>
          <w:p>
            <w:pPr>
              <w:pStyle w:val="TableParagraph"/>
              <w:spacing w:line="270" w:lineRule="exact"/>
              <w:ind w:left="140"/>
              <w:rPr>
                <w:sz w:val="24"/>
              </w:rPr>
            </w:pPr>
            <w:r>
              <w:rPr>
                <w:spacing w:val="-2"/>
                <w:sz w:val="24"/>
              </w:rPr>
              <w:t>Threats</w:t>
            </w:r>
          </w:p>
        </w:tc>
        <w:tc>
          <w:tcPr>
            <w:tcW w:w="2338" w:type="dxa"/>
          </w:tcPr>
          <w:p>
            <w:pPr>
              <w:pStyle w:val="TableParagraph"/>
              <w:spacing w:line="270" w:lineRule="exact"/>
              <w:ind w:left="109"/>
              <w:rPr>
                <w:sz w:val="24"/>
              </w:rPr>
            </w:pPr>
            <w:r>
              <w:rPr>
                <w:spacing w:val="-2"/>
                <w:sz w:val="24"/>
              </w:rPr>
              <w:t>0.985</w:t>
            </w:r>
          </w:p>
        </w:tc>
      </w:tr>
      <w:tr>
        <w:trPr>
          <w:trHeight w:val="316" w:hRule="atLeast"/>
        </w:trPr>
        <w:tc>
          <w:tcPr>
            <w:tcW w:w="743" w:type="dxa"/>
            <w:shd w:val="clear" w:color="auto" w:fill="D6E3BC"/>
          </w:tcPr>
          <w:p>
            <w:pPr>
              <w:pStyle w:val="TableParagraph"/>
              <w:spacing w:line="270" w:lineRule="exact"/>
              <w:ind w:left="108"/>
              <w:rPr>
                <w:sz w:val="24"/>
              </w:rPr>
            </w:pPr>
            <w:r>
              <w:rPr>
                <w:spacing w:val="-10"/>
                <w:sz w:val="24"/>
              </w:rPr>
              <w:t>6</w:t>
            </w:r>
          </w:p>
        </w:tc>
        <w:tc>
          <w:tcPr>
            <w:tcW w:w="3494" w:type="dxa"/>
            <w:shd w:val="clear" w:color="auto" w:fill="D6E3BC"/>
          </w:tcPr>
          <w:p>
            <w:pPr>
              <w:pStyle w:val="TableParagraph"/>
              <w:spacing w:line="270" w:lineRule="exact"/>
              <w:ind w:left="140"/>
              <w:rPr>
                <w:sz w:val="24"/>
              </w:rPr>
            </w:pPr>
            <w:r>
              <w:rPr>
                <w:spacing w:val="-2"/>
                <w:sz w:val="24"/>
              </w:rPr>
              <w:t>Price</w:t>
            </w:r>
          </w:p>
        </w:tc>
        <w:tc>
          <w:tcPr>
            <w:tcW w:w="2338" w:type="dxa"/>
            <w:shd w:val="clear" w:color="auto" w:fill="D6E3BC"/>
          </w:tcPr>
          <w:p>
            <w:pPr>
              <w:pStyle w:val="TableParagraph"/>
              <w:spacing w:line="270" w:lineRule="exact"/>
              <w:ind w:left="109"/>
              <w:rPr>
                <w:sz w:val="24"/>
              </w:rPr>
            </w:pPr>
            <w:r>
              <w:rPr>
                <w:spacing w:val="-2"/>
                <w:sz w:val="24"/>
              </w:rPr>
              <w:t>0.984</w:t>
            </w:r>
          </w:p>
        </w:tc>
      </w:tr>
      <w:tr>
        <w:trPr>
          <w:trHeight w:val="316" w:hRule="atLeast"/>
        </w:trPr>
        <w:tc>
          <w:tcPr>
            <w:tcW w:w="743" w:type="dxa"/>
          </w:tcPr>
          <w:p>
            <w:pPr>
              <w:pStyle w:val="TableParagraph"/>
              <w:spacing w:line="270" w:lineRule="exact"/>
              <w:ind w:left="108"/>
              <w:rPr>
                <w:sz w:val="24"/>
              </w:rPr>
            </w:pPr>
            <w:r>
              <w:rPr>
                <w:spacing w:val="-10"/>
                <w:sz w:val="24"/>
              </w:rPr>
              <w:t>7</w:t>
            </w:r>
          </w:p>
        </w:tc>
        <w:tc>
          <w:tcPr>
            <w:tcW w:w="3494" w:type="dxa"/>
          </w:tcPr>
          <w:p>
            <w:pPr>
              <w:pStyle w:val="TableParagraph"/>
              <w:spacing w:line="270" w:lineRule="exact"/>
              <w:ind w:left="140"/>
              <w:rPr>
                <w:sz w:val="24"/>
              </w:rPr>
            </w:pPr>
            <w:r>
              <w:rPr>
                <w:sz w:val="24"/>
              </w:rPr>
              <w:t>Market</w:t>
            </w:r>
            <w:r>
              <w:rPr>
                <w:spacing w:val="-3"/>
                <w:sz w:val="24"/>
              </w:rPr>
              <w:t> </w:t>
            </w:r>
            <w:r>
              <w:rPr>
                <w:spacing w:val="-2"/>
                <w:sz w:val="24"/>
              </w:rPr>
              <w:t>Share</w:t>
            </w:r>
          </w:p>
        </w:tc>
        <w:tc>
          <w:tcPr>
            <w:tcW w:w="2338" w:type="dxa"/>
          </w:tcPr>
          <w:p>
            <w:pPr>
              <w:pStyle w:val="TableParagraph"/>
              <w:spacing w:line="270" w:lineRule="exact"/>
              <w:ind w:left="109"/>
              <w:rPr>
                <w:sz w:val="24"/>
              </w:rPr>
            </w:pPr>
            <w:r>
              <w:rPr>
                <w:spacing w:val="-2"/>
                <w:sz w:val="24"/>
              </w:rPr>
              <w:t>0.975</w:t>
            </w:r>
          </w:p>
        </w:tc>
      </w:tr>
      <w:tr>
        <w:trPr>
          <w:trHeight w:val="319" w:hRule="atLeast"/>
        </w:trPr>
        <w:tc>
          <w:tcPr>
            <w:tcW w:w="743" w:type="dxa"/>
            <w:shd w:val="clear" w:color="auto" w:fill="D6E3BC"/>
          </w:tcPr>
          <w:p>
            <w:pPr>
              <w:pStyle w:val="TableParagraph"/>
              <w:spacing w:line="270" w:lineRule="exact"/>
              <w:ind w:left="108"/>
              <w:rPr>
                <w:sz w:val="24"/>
              </w:rPr>
            </w:pPr>
            <w:r>
              <w:rPr>
                <w:spacing w:val="-10"/>
                <w:sz w:val="24"/>
              </w:rPr>
              <w:t>8</w:t>
            </w:r>
          </w:p>
        </w:tc>
        <w:tc>
          <w:tcPr>
            <w:tcW w:w="3494" w:type="dxa"/>
            <w:shd w:val="clear" w:color="auto" w:fill="D6E3BC"/>
          </w:tcPr>
          <w:p>
            <w:pPr>
              <w:pStyle w:val="TableParagraph"/>
              <w:spacing w:line="270" w:lineRule="exact"/>
              <w:ind w:left="140"/>
              <w:rPr>
                <w:sz w:val="24"/>
              </w:rPr>
            </w:pPr>
            <w:r>
              <w:rPr>
                <w:sz w:val="24"/>
              </w:rPr>
              <w:t>Quality</w:t>
            </w:r>
            <w:r>
              <w:rPr>
                <w:spacing w:val="-7"/>
                <w:sz w:val="24"/>
              </w:rPr>
              <w:t> </w:t>
            </w:r>
            <w:r>
              <w:rPr>
                <w:sz w:val="24"/>
              </w:rPr>
              <w:t>Service</w:t>
            </w:r>
            <w:r>
              <w:rPr>
                <w:spacing w:val="-2"/>
                <w:sz w:val="24"/>
              </w:rPr>
              <w:t> </w:t>
            </w:r>
            <w:r>
              <w:rPr>
                <w:sz w:val="24"/>
              </w:rPr>
              <w:t>(Product</w:t>
            </w:r>
            <w:r>
              <w:rPr>
                <w:spacing w:val="1"/>
                <w:sz w:val="24"/>
              </w:rPr>
              <w:t> </w:t>
            </w:r>
            <w:r>
              <w:rPr>
                <w:spacing w:val="-2"/>
                <w:sz w:val="24"/>
              </w:rPr>
              <w:t>Quality)</w:t>
            </w:r>
          </w:p>
        </w:tc>
        <w:tc>
          <w:tcPr>
            <w:tcW w:w="2338" w:type="dxa"/>
            <w:shd w:val="clear" w:color="auto" w:fill="D6E3BC"/>
          </w:tcPr>
          <w:p>
            <w:pPr>
              <w:pStyle w:val="TableParagraph"/>
              <w:spacing w:line="270" w:lineRule="exact"/>
              <w:ind w:left="109"/>
              <w:rPr>
                <w:sz w:val="24"/>
              </w:rPr>
            </w:pPr>
            <w:r>
              <w:rPr>
                <w:spacing w:val="-2"/>
                <w:sz w:val="24"/>
              </w:rPr>
              <w:t>0.988</w:t>
            </w:r>
          </w:p>
        </w:tc>
      </w:tr>
    </w:tbl>
    <w:p>
      <w:pPr>
        <w:pStyle w:val="BodyText"/>
        <w:ind w:left="400"/>
      </w:pPr>
      <w:r>
        <w:rPr/>
        <w:t>Source:</w:t>
      </w:r>
      <w:r>
        <w:rPr>
          <w:spacing w:val="-2"/>
        </w:rPr>
        <w:t> </w:t>
      </w:r>
      <w:r>
        <w:rPr/>
        <w:t>Researcher’s</w:t>
      </w:r>
      <w:r>
        <w:rPr>
          <w:spacing w:val="-2"/>
        </w:rPr>
        <w:t> </w:t>
      </w:r>
      <w:r>
        <w:rPr/>
        <w:t>field</w:t>
      </w:r>
      <w:r>
        <w:rPr>
          <w:spacing w:val="-2"/>
        </w:rPr>
        <w:t> </w:t>
      </w:r>
      <w:r>
        <w:rPr/>
        <w:t>Work</w:t>
      </w:r>
      <w:r>
        <w:rPr>
          <w:spacing w:val="-1"/>
        </w:rPr>
        <w:t> </w:t>
      </w:r>
      <w:r>
        <w:rPr>
          <w:spacing w:val="-2"/>
        </w:rPr>
        <w:t>(2017)</w:t>
      </w:r>
    </w:p>
    <w:p>
      <w:pPr>
        <w:pStyle w:val="BodyText"/>
        <w:spacing w:before="196"/>
      </w:pPr>
    </w:p>
    <w:p>
      <w:pPr>
        <w:pStyle w:val="BodyText"/>
        <w:spacing w:line="482" w:lineRule="auto"/>
        <w:ind w:left="400" w:right="1315"/>
      </w:pPr>
      <w:r>
        <w:rPr/>
        <w:t>From</w:t>
      </w:r>
      <w:r>
        <w:rPr>
          <w:spacing w:val="40"/>
        </w:rPr>
        <w:t> </w:t>
      </w:r>
      <w:r>
        <w:rPr/>
        <w:t>the</w:t>
      </w:r>
      <w:r>
        <w:rPr>
          <w:spacing w:val="40"/>
        </w:rPr>
        <w:t> </w:t>
      </w:r>
      <w:r>
        <w:rPr/>
        <w:t>tables,</w:t>
      </w:r>
      <w:r>
        <w:rPr>
          <w:spacing w:val="40"/>
        </w:rPr>
        <w:t> </w:t>
      </w:r>
      <w:r>
        <w:rPr/>
        <w:t>each</w:t>
      </w:r>
      <w:r>
        <w:rPr>
          <w:spacing w:val="40"/>
        </w:rPr>
        <w:t> </w:t>
      </w:r>
      <w:r>
        <w:rPr/>
        <w:t>section</w:t>
      </w:r>
      <w:r>
        <w:rPr>
          <w:spacing w:val="40"/>
        </w:rPr>
        <w:t> </w:t>
      </w:r>
      <w:r>
        <w:rPr/>
        <w:t>is</w:t>
      </w:r>
      <w:r>
        <w:rPr>
          <w:spacing w:val="40"/>
        </w:rPr>
        <w:t> </w:t>
      </w:r>
      <w:r>
        <w:rPr/>
        <w:t>good</w:t>
      </w:r>
      <w:r>
        <w:rPr>
          <w:spacing w:val="40"/>
        </w:rPr>
        <w:t> </w:t>
      </w:r>
      <w:r>
        <w:rPr/>
        <w:t>for</w:t>
      </w:r>
      <w:r>
        <w:rPr>
          <w:spacing w:val="40"/>
        </w:rPr>
        <w:t> </w:t>
      </w:r>
      <w:r>
        <w:rPr/>
        <w:t>various</w:t>
      </w:r>
      <w:r>
        <w:rPr>
          <w:spacing w:val="40"/>
        </w:rPr>
        <w:t> </w:t>
      </w:r>
      <w:r>
        <w:rPr/>
        <w:t>analyses;</w:t>
      </w:r>
      <w:r>
        <w:rPr>
          <w:spacing w:val="40"/>
        </w:rPr>
        <w:t> </w:t>
      </w:r>
      <w:r>
        <w:rPr/>
        <w:t>this</w:t>
      </w:r>
      <w:r>
        <w:rPr>
          <w:spacing w:val="40"/>
        </w:rPr>
        <w:t> </w:t>
      </w:r>
      <w:r>
        <w:rPr/>
        <w:t>is</w:t>
      </w:r>
      <w:r>
        <w:rPr>
          <w:spacing w:val="40"/>
        </w:rPr>
        <w:t> </w:t>
      </w:r>
      <w:r>
        <w:rPr/>
        <w:t>because</w:t>
      </w:r>
      <w:r>
        <w:rPr>
          <w:spacing w:val="40"/>
        </w:rPr>
        <w:t> </w:t>
      </w:r>
      <w:r>
        <w:rPr/>
        <w:t>all</w:t>
      </w:r>
      <w:r>
        <w:rPr>
          <w:spacing w:val="40"/>
        </w:rPr>
        <w:t> </w:t>
      </w:r>
      <w:r>
        <w:rPr/>
        <w:t>the</w:t>
      </w:r>
      <w:r>
        <w:rPr>
          <w:spacing w:val="40"/>
        </w:rPr>
        <w:t> </w:t>
      </w:r>
      <w:r>
        <w:rPr/>
        <w:t>reliability values are greater than 0.70 which is the minimum acceptable value.</w:t>
      </w:r>
    </w:p>
    <w:p>
      <w:pPr>
        <w:spacing w:after="0" w:line="482" w:lineRule="auto"/>
        <w:sectPr>
          <w:pgSz w:w="12240" w:h="15840"/>
          <w:pgMar w:header="0" w:footer="1017" w:top="1400" w:bottom="1200" w:left="1040" w:right="120"/>
        </w:sectPr>
      </w:pPr>
    </w:p>
    <w:p>
      <w:pPr>
        <w:spacing w:before="76"/>
        <w:ind w:left="0" w:right="923" w:firstLine="0"/>
        <w:jc w:val="center"/>
        <w:rPr>
          <w:b/>
          <w:sz w:val="24"/>
        </w:rPr>
      </w:pPr>
      <w:r>
        <w:rPr>
          <w:b/>
          <w:sz w:val="24"/>
        </w:rPr>
        <w:t>CHAPTER</w:t>
      </w:r>
      <w:r>
        <w:rPr>
          <w:b/>
          <w:spacing w:val="-6"/>
          <w:sz w:val="24"/>
        </w:rPr>
        <w:t> </w:t>
      </w:r>
      <w:r>
        <w:rPr>
          <w:b/>
          <w:spacing w:val="-4"/>
          <w:sz w:val="24"/>
        </w:rPr>
        <w:t>FIVE</w:t>
      </w:r>
    </w:p>
    <w:p>
      <w:pPr>
        <w:pStyle w:val="BodyText"/>
        <w:spacing w:before="161"/>
        <w:rPr>
          <w:b/>
        </w:rPr>
      </w:pPr>
    </w:p>
    <w:p>
      <w:pPr>
        <w:spacing w:before="0"/>
        <w:ind w:left="0" w:right="916" w:firstLine="0"/>
        <w:jc w:val="center"/>
        <w:rPr>
          <w:b/>
          <w:sz w:val="24"/>
        </w:rPr>
      </w:pPr>
      <w:r>
        <w:rPr>
          <w:b/>
          <w:sz w:val="24"/>
        </w:rPr>
        <w:t>DATA</w:t>
      </w:r>
      <w:r>
        <w:rPr>
          <w:b/>
          <w:spacing w:val="-7"/>
          <w:sz w:val="24"/>
        </w:rPr>
        <w:t> </w:t>
      </w:r>
      <w:r>
        <w:rPr>
          <w:b/>
          <w:sz w:val="24"/>
        </w:rPr>
        <w:t>PRESENTATION,</w:t>
      </w:r>
      <w:r>
        <w:rPr>
          <w:b/>
          <w:spacing w:val="-4"/>
          <w:sz w:val="24"/>
        </w:rPr>
        <w:t> </w:t>
      </w:r>
      <w:r>
        <w:rPr>
          <w:b/>
          <w:sz w:val="24"/>
        </w:rPr>
        <w:t>ANALYSIS</w:t>
      </w:r>
      <w:r>
        <w:rPr>
          <w:b/>
          <w:spacing w:val="-5"/>
          <w:sz w:val="24"/>
        </w:rPr>
        <w:t> </w:t>
      </w:r>
      <w:r>
        <w:rPr>
          <w:b/>
          <w:sz w:val="24"/>
        </w:rPr>
        <w:t>AND</w:t>
      </w:r>
      <w:r>
        <w:rPr>
          <w:b/>
          <w:spacing w:val="-4"/>
          <w:sz w:val="24"/>
        </w:rPr>
        <w:t> </w:t>
      </w:r>
      <w:r>
        <w:rPr>
          <w:b/>
          <w:spacing w:val="-2"/>
          <w:sz w:val="24"/>
        </w:rPr>
        <w:t>INTERPRETATION</w:t>
      </w:r>
    </w:p>
    <w:p>
      <w:pPr>
        <w:pStyle w:val="BodyText"/>
        <w:spacing w:before="159"/>
        <w:rPr>
          <w:b/>
        </w:rPr>
      </w:pPr>
    </w:p>
    <w:p>
      <w:pPr>
        <w:pStyle w:val="ListParagraph"/>
        <w:numPr>
          <w:ilvl w:val="1"/>
          <w:numId w:val="37"/>
        </w:numPr>
        <w:tabs>
          <w:tab w:pos="760" w:val="left" w:leader="none"/>
        </w:tabs>
        <w:spacing w:line="240" w:lineRule="auto" w:before="0" w:after="0"/>
        <w:ind w:left="760" w:right="0" w:hanging="360"/>
        <w:jc w:val="both"/>
        <w:rPr>
          <w:b/>
          <w:sz w:val="24"/>
        </w:rPr>
      </w:pPr>
      <w:r>
        <w:rPr>
          <w:b/>
          <w:spacing w:val="-2"/>
          <w:sz w:val="24"/>
        </w:rPr>
        <w:t>Introduction</w:t>
      </w:r>
    </w:p>
    <w:p>
      <w:pPr>
        <w:pStyle w:val="BodyText"/>
        <w:spacing w:before="156"/>
        <w:rPr>
          <w:b/>
        </w:rPr>
      </w:pPr>
    </w:p>
    <w:p>
      <w:pPr>
        <w:pStyle w:val="BodyText"/>
        <w:spacing w:line="480" w:lineRule="auto"/>
        <w:ind w:left="399" w:right="1317"/>
        <w:jc w:val="both"/>
      </w:pPr>
      <w:r>
        <w:rPr/>
        <w:t>The goal of the study was to develop a total quality management model that will be used in South-East of Nigeria. The presentation, analysis and interpretation of all the data collected are presented and analysed in this chapter. They were based on the objectives, research questions</w:t>
      </w:r>
      <w:r>
        <w:rPr>
          <w:spacing w:val="40"/>
        </w:rPr>
        <w:t> </w:t>
      </w:r>
      <w:r>
        <w:rPr/>
        <w:t>and hypotheses which guided the research.</w:t>
      </w:r>
    </w:p>
    <w:p>
      <w:pPr>
        <w:pStyle w:val="Heading2"/>
        <w:spacing w:before="166"/>
        <w:ind w:left="399"/>
      </w:pPr>
      <w:r>
        <w:rPr/>
        <w:t>Distribution</w:t>
      </w:r>
      <w:r>
        <w:rPr>
          <w:spacing w:val="-3"/>
        </w:rPr>
        <w:t> </w:t>
      </w:r>
      <w:r>
        <w:rPr/>
        <w:t>of</w:t>
      </w:r>
      <w:r>
        <w:rPr>
          <w:spacing w:val="-2"/>
        </w:rPr>
        <w:t> Questionnaire</w:t>
      </w:r>
    </w:p>
    <w:p>
      <w:pPr>
        <w:pStyle w:val="ListParagraph"/>
        <w:numPr>
          <w:ilvl w:val="2"/>
          <w:numId w:val="38"/>
        </w:numPr>
        <w:tabs>
          <w:tab w:pos="1119" w:val="left" w:leader="none"/>
        </w:tabs>
        <w:spacing w:line="240" w:lineRule="auto" w:before="276" w:after="0"/>
        <w:ind w:left="1119" w:right="0" w:hanging="720"/>
        <w:jc w:val="both"/>
        <w:rPr>
          <w:b/>
          <w:sz w:val="24"/>
        </w:rPr>
      </w:pPr>
      <w:r>
        <w:rPr>
          <w:b/>
          <w:sz w:val="24"/>
        </w:rPr>
        <w:t>Number</w:t>
      </w:r>
      <w:r>
        <w:rPr>
          <w:b/>
          <w:spacing w:val="-6"/>
          <w:sz w:val="24"/>
        </w:rPr>
        <w:t> </w:t>
      </w:r>
      <w:r>
        <w:rPr>
          <w:b/>
          <w:sz w:val="24"/>
        </w:rPr>
        <w:t>of</w:t>
      </w:r>
      <w:r>
        <w:rPr>
          <w:b/>
          <w:spacing w:val="-1"/>
          <w:sz w:val="24"/>
        </w:rPr>
        <w:t> </w:t>
      </w:r>
      <w:r>
        <w:rPr>
          <w:b/>
          <w:sz w:val="24"/>
        </w:rPr>
        <w:t>copies</w:t>
      </w:r>
      <w:r>
        <w:rPr>
          <w:b/>
          <w:spacing w:val="-2"/>
          <w:sz w:val="24"/>
        </w:rPr>
        <w:t> </w:t>
      </w:r>
      <w:r>
        <w:rPr>
          <w:b/>
          <w:sz w:val="24"/>
        </w:rPr>
        <w:t>of</w:t>
      </w:r>
      <w:r>
        <w:rPr>
          <w:b/>
          <w:spacing w:val="-2"/>
          <w:sz w:val="24"/>
        </w:rPr>
        <w:t> </w:t>
      </w:r>
      <w:r>
        <w:rPr>
          <w:b/>
          <w:sz w:val="24"/>
        </w:rPr>
        <w:t>Questionnaire</w:t>
      </w:r>
      <w:r>
        <w:rPr>
          <w:b/>
          <w:spacing w:val="-3"/>
          <w:sz w:val="24"/>
        </w:rPr>
        <w:t> </w:t>
      </w:r>
      <w:r>
        <w:rPr>
          <w:b/>
          <w:sz w:val="24"/>
        </w:rPr>
        <w:t>Distributed</w:t>
      </w:r>
      <w:r>
        <w:rPr>
          <w:b/>
          <w:spacing w:val="-2"/>
          <w:sz w:val="24"/>
        </w:rPr>
        <w:t> </w:t>
      </w:r>
      <w:r>
        <w:rPr>
          <w:b/>
          <w:sz w:val="24"/>
        </w:rPr>
        <w:t>and</w:t>
      </w:r>
      <w:r>
        <w:rPr>
          <w:b/>
          <w:spacing w:val="-2"/>
          <w:sz w:val="24"/>
        </w:rPr>
        <w:t> Returned</w:t>
      </w:r>
    </w:p>
    <w:p>
      <w:pPr>
        <w:pStyle w:val="BodyText"/>
        <w:spacing w:line="480" w:lineRule="auto" w:before="268"/>
        <w:ind w:left="399" w:right="1316"/>
        <w:jc w:val="both"/>
      </w:pPr>
      <w:r>
        <w:rPr/>
        <w:t>Table 5.1 below shows that a total number of 328 copies of the questionnaire were distributed to the respondents based on a purposive sampling. Out of the 328 copies of questionnaire distributed, 303 were completed and returned which corresponds to a response rate of 92%. The response</w:t>
      </w:r>
      <w:r>
        <w:rPr>
          <w:spacing w:val="-2"/>
        </w:rPr>
        <w:t> </w:t>
      </w:r>
      <w:r>
        <w:rPr/>
        <w:t>rate</w:t>
      </w:r>
      <w:r>
        <w:rPr>
          <w:spacing w:val="-2"/>
        </w:rPr>
        <w:t> </w:t>
      </w:r>
      <w:r>
        <w:rPr/>
        <w:t>was</w:t>
      </w:r>
      <w:r>
        <w:rPr>
          <w:spacing w:val="-1"/>
        </w:rPr>
        <w:t> </w:t>
      </w:r>
      <w:r>
        <w:rPr/>
        <w:t>high</w:t>
      </w:r>
      <w:r>
        <w:rPr>
          <w:spacing w:val="-1"/>
        </w:rPr>
        <w:t> </w:t>
      </w:r>
      <w:r>
        <w:rPr/>
        <w:t>because professional</w:t>
      </w:r>
      <w:r>
        <w:rPr>
          <w:spacing w:val="-1"/>
        </w:rPr>
        <w:t> </w:t>
      </w:r>
      <w:r>
        <w:rPr/>
        <w:t>colleagues</w:t>
      </w:r>
      <w:r>
        <w:rPr>
          <w:spacing w:val="-1"/>
        </w:rPr>
        <w:t> </w:t>
      </w:r>
      <w:r>
        <w:rPr/>
        <w:t>assisted</w:t>
      </w:r>
      <w:r>
        <w:rPr>
          <w:spacing w:val="-1"/>
        </w:rPr>
        <w:t> </w:t>
      </w:r>
      <w:r>
        <w:rPr/>
        <w:t>the</w:t>
      </w:r>
      <w:r>
        <w:rPr>
          <w:spacing w:val="-2"/>
        </w:rPr>
        <w:t> </w:t>
      </w:r>
      <w:r>
        <w:rPr/>
        <w:t>researcher</w:t>
      </w:r>
      <w:r>
        <w:rPr>
          <w:spacing w:val="-2"/>
        </w:rPr>
        <w:t> </w:t>
      </w:r>
      <w:r>
        <w:rPr/>
        <w:t>in</w:t>
      </w:r>
      <w:r>
        <w:rPr>
          <w:spacing w:val="-1"/>
        </w:rPr>
        <w:t> </w:t>
      </w:r>
      <w:r>
        <w:rPr/>
        <w:t>distributing</w:t>
      </w:r>
      <w:r>
        <w:rPr>
          <w:spacing w:val="-2"/>
        </w:rPr>
        <w:t> </w:t>
      </w:r>
      <w:r>
        <w:rPr/>
        <w:t>and returning the questionnaire. The response rate of 92% is therefore reasonably high and adequate for the study. The rest of the questionnaire were either not properly completed or returned uncompleted. The ones not properly completed were disregarded because they were not usable. Some respondents gave no reason for the uncompleted questionnaire, while others cited busy schedule as their reason. Table 5.2 shows the population distribution of respondents and the percentage response to the questionnaires.</w:t>
      </w:r>
    </w:p>
    <w:p>
      <w:pPr>
        <w:spacing w:after="0" w:line="480" w:lineRule="auto"/>
        <w:jc w:val="both"/>
        <w:sectPr>
          <w:pgSz w:w="12240" w:h="15840"/>
          <w:pgMar w:header="0" w:footer="1017" w:top="1360" w:bottom="1200" w:left="1040" w:right="120"/>
        </w:sectPr>
      </w:pPr>
    </w:p>
    <w:p>
      <w:pPr>
        <w:pStyle w:val="Heading2"/>
        <w:spacing w:before="76"/>
        <w:jc w:val="left"/>
      </w:pPr>
      <w:r>
        <w:rPr/>
        <w:t>Table</w:t>
      </w:r>
      <w:r>
        <w:rPr>
          <w:spacing w:val="-3"/>
        </w:rPr>
        <w:t> </w:t>
      </w:r>
      <w:r>
        <w:rPr/>
        <w:t>5.1.</w:t>
      </w:r>
      <w:r>
        <w:rPr>
          <w:spacing w:val="-1"/>
        </w:rPr>
        <w:t> </w:t>
      </w:r>
      <w:r>
        <w:rPr/>
        <w:t>Return</w:t>
      </w:r>
      <w:r>
        <w:rPr>
          <w:spacing w:val="-1"/>
        </w:rPr>
        <w:t> </w:t>
      </w:r>
      <w:r>
        <w:rPr/>
        <w:t>Rate of </w:t>
      </w:r>
      <w:r>
        <w:rPr>
          <w:spacing w:val="-2"/>
        </w:rPr>
        <w:t>Questionnaire</w:t>
      </w:r>
    </w:p>
    <w:p>
      <w:pPr>
        <w:pStyle w:val="BodyText"/>
        <w:spacing w:before="50"/>
        <w:rPr>
          <w:b/>
          <w:sz w:val="20"/>
        </w:rPr>
      </w:pPr>
    </w:p>
    <w:tbl>
      <w:tblPr>
        <w:tblW w:w="0" w:type="auto"/>
        <w:jc w:val="left"/>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3"/>
        <w:gridCol w:w="1879"/>
        <w:gridCol w:w="1516"/>
      </w:tblGrid>
      <w:tr>
        <w:trPr>
          <w:trHeight w:val="944" w:hRule="atLeast"/>
        </w:trPr>
        <w:tc>
          <w:tcPr>
            <w:tcW w:w="5553" w:type="dxa"/>
            <w:tcBorders>
              <w:top w:val="single" w:sz="8" w:space="0" w:color="5B9BD5"/>
              <w:bottom w:val="single" w:sz="8" w:space="0" w:color="5B9BD5"/>
            </w:tcBorders>
          </w:tcPr>
          <w:p>
            <w:pPr>
              <w:pStyle w:val="TableParagraph"/>
              <w:spacing w:before="119"/>
              <w:ind w:left="115"/>
              <w:rPr>
                <w:rFonts w:ascii="Calibri"/>
                <w:b/>
                <w:sz w:val="24"/>
              </w:rPr>
            </w:pPr>
            <w:r>
              <w:rPr>
                <w:rFonts w:ascii="Calibri"/>
                <w:b/>
                <w:spacing w:val="-2"/>
                <w:sz w:val="24"/>
              </w:rPr>
              <w:t>Questionnaire</w:t>
            </w:r>
          </w:p>
        </w:tc>
        <w:tc>
          <w:tcPr>
            <w:tcW w:w="1879" w:type="dxa"/>
            <w:tcBorders>
              <w:top w:val="single" w:sz="8" w:space="0" w:color="5B9BD5"/>
              <w:bottom w:val="single" w:sz="8" w:space="0" w:color="5B9BD5"/>
            </w:tcBorders>
          </w:tcPr>
          <w:p>
            <w:pPr>
              <w:pStyle w:val="TableParagraph"/>
              <w:spacing w:before="119"/>
              <w:ind w:left="555"/>
              <w:rPr>
                <w:rFonts w:ascii="Calibri"/>
                <w:b/>
                <w:sz w:val="24"/>
              </w:rPr>
            </w:pPr>
            <w:r>
              <w:rPr>
                <w:rFonts w:ascii="Calibri"/>
                <w:b/>
                <w:spacing w:val="-2"/>
                <w:sz w:val="24"/>
              </w:rPr>
              <w:t>Frequency</w:t>
            </w:r>
          </w:p>
        </w:tc>
        <w:tc>
          <w:tcPr>
            <w:tcW w:w="1516" w:type="dxa"/>
            <w:tcBorders>
              <w:top w:val="single" w:sz="8" w:space="0" w:color="5B9BD5"/>
              <w:bottom w:val="single" w:sz="8" w:space="0" w:color="5B9BD5"/>
            </w:tcBorders>
          </w:tcPr>
          <w:p>
            <w:pPr>
              <w:pStyle w:val="TableParagraph"/>
              <w:spacing w:line="412" w:lineRule="exact" w:before="18"/>
              <w:ind w:left="449" w:right="78" w:hanging="166"/>
              <w:rPr>
                <w:rFonts w:ascii="Calibri"/>
                <w:b/>
                <w:sz w:val="24"/>
              </w:rPr>
            </w:pPr>
            <w:r>
              <w:rPr>
                <w:rFonts w:ascii="Calibri"/>
                <w:b/>
                <w:spacing w:val="-2"/>
                <w:sz w:val="24"/>
              </w:rPr>
              <w:t>Percentage </w:t>
            </w:r>
            <w:r>
              <w:rPr>
                <w:rFonts w:ascii="Calibri"/>
                <w:b/>
                <w:sz w:val="24"/>
              </w:rPr>
              <w:t>( %)</w:t>
            </w:r>
          </w:p>
        </w:tc>
      </w:tr>
      <w:tr>
        <w:trPr>
          <w:trHeight w:val="2238" w:hRule="atLeast"/>
        </w:trPr>
        <w:tc>
          <w:tcPr>
            <w:tcW w:w="5553" w:type="dxa"/>
            <w:tcBorders>
              <w:top w:val="single" w:sz="8" w:space="0" w:color="5B9BD5"/>
            </w:tcBorders>
            <w:shd w:val="clear" w:color="auto" w:fill="D6E6F4"/>
          </w:tcPr>
          <w:p>
            <w:pPr>
              <w:pStyle w:val="TableParagraph"/>
              <w:spacing w:line="578" w:lineRule="auto" w:before="121"/>
              <w:ind w:left="115" w:right="328"/>
              <w:rPr>
                <w:rFonts w:ascii="Calibri"/>
                <w:b/>
                <w:sz w:val="24"/>
              </w:rPr>
            </w:pPr>
            <w:r>
              <w:rPr>
                <w:rFonts w:ascii="Calibri"/>
                <w:b/>
                <w:sz w:val="24"/>
              </w:rPr>
              <w:t>Total</w:t>
            </w:r>
            <w:r>
              <w:rPr>
                <w:rFonts w:ascii="Calibri"/>
                <w:b/>
                <w:spacing w:val="-7"/>
                <w:sz w:val="24"/>
              </w:rPr>
              <w:t> </w:t>
            </w:r>
            <w:r>
              <w:rPr>
                <w:rFonts w:ascii="Calibri"/>
                <w:b/>
                <w:sz w:val="24"/>
              </w:rPr>
              <w:t>no</w:t>
            </w:r>
            <w:r>
              <w:rPr>
                <w:rFonts w:ascii="Calibri"/>
                <w:b/>
                <w:spacing w:val="-7"/>
                <w:sz w:val="24"/>
              </w:rPr>
              <w:t> </w:t>
            </w:r>
            <w:r>
              <w:rPr>
                <w:rFonts w:ascii="Calibri"/>
                <w:b/>
                <w:sz w:val="24"/>
              </w:rPr>
              <w:t>of</w:t>
            </w:r>
            <w:r>
              <w:rPr>
                <w:rFonts w:ascii="Calibri"/>
                <w:b/>
                <w:spacing w:val="-7"/>
                <w:sz w:val="24"/>
              </w:rPr>
              <w:t> </w:t>
            </w:r>
            <w:r>
              <w:rPr>
                <w:rFonts w:ascii="Calibri"/>
                <w:b/>
                <w:sz w:val="24"/>
              </w:rPr>
              <w:t>copies</w:t>
            </w:r>
            <w:r>
              <w:rPr>
                <w:rFonts w:ascii="Calibri"/>
                <w:b/>
                <w:spacing w:val="-5"/>
                <w:sz w:val="24"/>
              </w:rPr>
              <w:t> </w:t>
            </w:r>
            <w:r>
              <w:rPr>
                <w:rFonts w:ascii="Calibri"/>
                <w:b/>
                <w:sz w:val="24"/>
              </w:rPr>
              <w:t>of</w:t>
            </w:r>
            <w:r>
              <w:rPr>
                <w:rFonts w:ascii="Calibri"/>
                <w:b/>
                <w:spacing w:val="-7"/>
                <w:sz w:val="24"/>
              </w:rPr>
              <w:t> </w:t>
            </w:r>
            <w:r>
              <w:rPr>
                <w:rFonts w:ascii="Calibri"/>
                <w:b/>
                <w:sz w:val="24"/>
              </w:rPr>
              <w:t>Questionnaire</w:t>
            </w:r>
            <w:r>
              <w:rPr>
                <w:rFonts w:ascii="Calibri"/>
                <w:b/>
                <w:spacing w:val="-6"/>
                <w:sz w:val="24"/>
              </w:rPr>
              <w:t> </w:t>
            </w:r>
            <w:r>
              <w:rPr>
                <w:rFonts w:ascii="Calibri"/>
                <w:b/>
                <w:sz w:val="24"/>
              </w:rPr>
              <w:t>administered No of copies received</w:t>
            </w:r>
          </w:p>
          <w:p>
            <w:pPr>
              <w:pStyle w:val="TableParagraph"/>
              <w:spacing w:line="292" w:lineRule="exact"/>
              <w:ind w:left="115"/>
              <w:rPr>
                <w:rFonts w:ascii="Calibri"/>
                <w:b/>
                <w:sz w:val="24"/>
              </w:rPr>
            </w:pPr>
            <w:r>
              <w:rPr>
                <w:rFonts w:ascii="Calibri"/>
                <w:b/>
                <w:sz w:val="24"/>
              </w:rPr>
              <w:t>No</w:t>
            </w:r>
            <w:r>
              <w:rPr>
                <w:rFonts w:ascii="Calibri"/>
                <w:b/>
                <w:spacing w:val="-2"/>
                <w:sz w:val="24"/>
              </w:rPr>
              <w:t> </w:t>
            </w:r>
            <w:r>
              <w:rPr>
                <w:rFonts w:ascii="Calibri"/>
                <w:b/>
                <w:sz w:val="24"/>
              </w:rPr>
              <w:t>not </w:t>
            </w:r>
            <w:r>
              <w:rPr>
                <w:rFonts w:ascii="Calibri"/>
                <w:b/>
                <w:spacing w:val="-2"/>
                <w:sz w:val="24"/>
              </w:rPr>
              <w:t>received</w:t>
            </w:r>
          </w:p>
        </w:tc>
        <w:tc>
          <w:tcPr>
            <w:tcW w:w="1879" w:type="dxa"/>
            <w:tcBorders>
              <w:top w:val="single" w:sz="8" w:space="0" w:color="5B9BD5"/>
            </w:tcBorders>
            <w:shd w:val="clear" w:color="auto" w:fill="D6E6F4"/>
          </w:tcPr>
          <w:p>
            <w:pPr>
              <w:pStyle w:val="TableParagraph"/>
              <w:spacing w:before="121"/>
              <w:ind w:left="555"/>
              <w:rPr>
                <w:rFonts w:ascii="Calibri"/>
                <w:sz w:val="24"/>
              </w:rPr>
            </w:pPr>
            <w:r>
              <w:rPr>
                <w:rFonts w:ascii="Calibri"/>
                <w:spacing w:val="-5"/>
                <w:sz w:val="24"/>
              </w:rPr>
              <w:t>328</w:t>
            </w:r>
          </w:p>
          <w:p>
            <w:pPr>
              <w:pStyle w:val="TableParagraph"/>
              <w:spacing w:before="137"/>
              <w:rPr>
                <w:b/>
                <w:sz w:val="24"/>
              </w:rPr>
            </w:pPr>
          </w:p>
          <w:p>
            <w:pPr>
              <w:pStyle w:val="TableParagraph"/>
              <w:ind w:left="555"/>
              <w:rPr>
                <w:rFonts w:ascii="Calibri"/>
                <w:sz w:val="24"/>
              </w:rPr>
            </w:pPr>
            <w:r>
              <w:rPr>
                <w:rFonts w:ascii="Calibri"/>
                <w:spacing w:val="-5"/>
                <w:sz w:val="24"/>
              </w:rPr>
              <w:t>303</w:t>
            </w:r>
          </w:p>
          <w:p>
            <w:pPr>
              <w:pStyle w:val="TableParagraph"/>
              <w:spacing w:before="136"/>
              <w:rPr>
                <w:b/>
                <w:sz w:val="24"/>
              </w:rPr>
            </w:pPr>
          </w:p>
          <w:p>
            <w:pPr>
              <w:pStyle w:val="TableParagraph"/>
              <w:ind w:left="555"/>
              <w:rPr>
                <w:rFonts w:ascii="Calibri"/>
                <w:sz w:val="24"/>
              </w:rPr>
            </w:pPr>
            <w:r>
              <w:rPr>
                <w:rFonts w:ascii="Calibri"/>
                <w:spacing w:val="-5"/>
                <w:sz w:val="24"/>
              </w:rPr>
              <w:t>25</w:t>
            </w:r>
          </w:p>
        </w:tc>
        <w:tc>
          <w:tcPr>
            <w:tcW w:w="1516" w:type="dxa"/>
            <w:tcBorders>
              <w:top w:val="single" w:sz="8" w:space="0" w:color="5B9BD5"/>
            </w:tcBorders>
            <w:shd w:val="clear" w:color="auto" w:fill="D6E6F4"/>
          </w:tcPr>
          <w:p>
            <w:pPr>
              <w:pStyle w:val="TableParagraph"/>
              <w:spacing w:line="578" w:lineRule="auto" w:before="121"/>
              <w:ind w:left="284" w:right="980"/>
              <w:rPr>
                <w:rFonts w:ascii="Calibri"/>
                <w:sz w:val="24"/>
              </w:rPr>
            </w:pPr>
            <w:r>
              <w:rPr>
                <w:rFonts w:ascii="Calibri"/>
                <w:spacing w:val="-10"/>
                <w:sz w:val="24"/>
              </w:rPr>
              <w:t>- </w:t>
            </w:r>
            <w:r>
              <w:rPr>
                <w:rFonts w:ascii="Calibri"/>
                <w:spacing w:val="-6"/>
                <w:sz w:val="24"/>
              </w:rPr>
              <w:t>92</w:t>
            </w:r>
          </w:p>
          <w:p>
            <w:pPr>
              <w:pStyle w:val="TableParagraph"/>
              <w:spacing w:line="292" w:lineRule="exact"/>
              <w:ind w:left="284"/>
              <w:rPr>
                <w:rFonts w:ascii="Calibri"/>
                <w:sz w:val="24"/>
              </w:rPr>
            </w:pPr>
            <w:r>
              <w:rPr>
                <w:rFonts w:ascii="Calibri"/>
                <w:spacing w:val="-10"/>
                <w:sz w:val="24"/>
              </w:rPr>
              <w:t>8</w:t>
            </w:r>
          </w:p>
        </w:tc>
      </w:tr>
      <w:tr>
        <w:trPr>
          <w:trHeight w:val="827" w:hRule="atLeast"/>
        </w:trPr>
        <w:tc>
          <w:tcPr>
            <w:tcW w:w="5553" w:type="dxa"/>
            <w:tcBorders>
              <w:bottom w:val="single" w:sz="8" w:space="0" w:color="5B9BD5"/>
            </w:tcBorders>
          </w:tcPr>
          <w:p>
            <w:pPr>
              <w:pStyle w:val="TableParagraph"/>
              <w:spacing w:before="119"/>
              <w:ind w:left="115"/>
              <w:rPr>
                <w:rFonts w:ascii="Calibri"/>
                <w:b/>
                <w:sz w:val="24"/>
              </w:rPr>
            </w:pPr>
            <w:r>
              <w:rPr>
                <w:rFonts w:ascii="Calibri"/>
                <w:b/>
                <w:spacing w:val="-4"/>
                <w:sz w:val="24"/>
              </w:rPr>
              <w:t>Total</w:t>
            </w:r>
          </w:p>
        </w:tc>
        <w:tc>
          <w:tcPr>
            <w:tcW w:w="1879" w:type="dxa"/>
            <w:tcBorders>
              <w:bottom w:val="single" w:sz="8" w:space="0" w:color="5B9BD5"/>
            </w:tcBorders>
          </w:tcPr>
          <w:p>
            <w:pPr>
              <w:pStyle w:val="TableParagraph"/>
              <w:rPr>
                <w:sz w:val="24"/>
              </w:rPr>
            </w:pPr>
          </w:p>
        </w:tc>
        <w:tc>
          <w:tcPr>
            <w:tcW w:w="1516" w:type="dxa"/>
            <w:tcBorders>
              <w:bottom w:val="single" w:sz="8" w:space="0" w:color="5B9BD5"/>
            </w:tcBorders>
          </w:tcPr>
          <w:p>
            <w:pPr>
              <w:pStyle w:val="TableParagraph"/>
              <w:spacing w:before="119"/>
              <w:ind w:left="284"/>
              <w:rPr>
                <w:rFonts w:ascii="Calibri"/>
                <w:sz w:val="24"/>
              </w:rPr>
            </w:pPr>
            <w:r>
              <w:rPr>
                <w:rFonts w:ascii="Calibri"/>
                <w:spacing w:val="-4"/>
                <w:sz w:val="24"/>
              </w:rPr>
              <w:t>100%</w:t>
            </w:r>
          </w:p>
        </w:tc>
      </w:tr>
    </w:tbl>
    <w:p>
      <w:pPr>
        <w:pStyle w:val="BodyText"/>
        <w:ind w:left="400"/>
      </w:pPr>
      <w:r>
        <w:rPr/>
        <w:t>Source:</w:t>
      </w:r>
      <w:r>
        <w:rPr>
          <w:spacing w:val="-2"/>
        </w:rPr>
        <w:t> </w:t>
      </w:r>
      <w:r>
        <w:rPr/>
        <w:t>Researcher’s</w:t>
      </w:r>
      <w:r>
        <w:rPr>
          <w:spacing w:val="-1"/>
        </w:rPr>
        <w:t> </w:t>
      </w:r>
      <w:r>
        <w:rPr/>
        <w:t>field</w:t>
      </w:r>
      <w:r>
        <w:rPr>
          <w:spacing w:val="-1"/>
        </w:rPr>
        <w:t> </w:t>
      </w:r>
      <w:r>
        <w:rPr/>
        <w:t>survey</w:t>
      </w:r>
      <w:r>
        <w:rPr>
          <w:spacing w:val="-6"/>
        </w:rPr>
        <w:t> </w:t>
      </w:r>
      <w:r>
        <w:rPr>
          <w:spacing w:val="-2"/>
        </w:rPr>
        <w:t>(2018)</w:t>
      </w:r>
    </w:p>
    <w:p>
      <w:pPr>
        <w:pStyle w:val="BodyText"/>
      </w:pPr>
    </w:p>
    <w:p>
      <w:pPr>
        <w:pStyle w:val="BodyText"/>
        <w:spacing w:before="43"/>
      </w:pPr>
    </w:p>
    <w:p>
      <w:pPr>
        <w:pStyle w:val="Heading2"/>
        <w:numPr>
          <w:ilvl w:val="2"/>
          <w:numId w:val="38"/>
        </w:numPr>
        <w:tabs>
          <w:tab w:pos="1120" w:val="left" w:leader="none"/>
        </w:tabs>
        <w:spacing w:line="240" w:lineRule="auto" w:before="0" w:after="0"/>
        <w:ind w:left="1120" w:right="0" w:hanging="720"/>
        <w:jc w:val="both"/>
      </w:pPr>
      <w:r>
        <w:rPr/>
        <w:t>Response</w:t>
      </w:r>
      <w:r>
        <w:rPr>
          <w:spacing w:val="-3"/>
        </w:rPr>
        <w:t> </w:t>
      </w:r>
      <w:r>
        <w:rPr/>
        <w:t>rate</w:t>
      </w:r>
      <w:r>
        <w:rPr>
          <w:spacing w:val="-2"/>
        </w:rPr>
        <w:t> </w:t>
      </w:r>
      <w:r>
        <w:rPr/>
        <w:t>of </w:t>
      </w:r>
      <w:r>
        <w:rPr>
          <w:spacing w:val="-2"/>
        </w:rPr>
        <w:t>questionnaire</w:t>
      </w:r>
    </w:p>
    <w:p>
      <w:pPr>
        <w:pStyle w:val="BodyText"/>
        <w:spacing w:line="480" w:lineRule="auto" w:before="272"/>
        <w:ind w:left="400" w:right="1317"/>
        <w:jc w:val="both"/>
      </w:pPr>
      <w:r>
        <w:rPr/>
        <w:t>Table 5.2 below provides two basic information. First; the population of respondents or staff in each of the state that were issued copies of the questionnaire and second; their response rates. Majority of the respondents work in small and medium scale construction firms in Enugu, while those who work in Ebonyi had the least population distribution. It is also instructive to note that this</w:t>
      </w:r>
      <w:r>
        <w:rPr>
          <w:spacing w:val="-1"/>
        </w:rPr>
        <w:t> </w:t>
      </w:r>
      <w:r>
        <w:rPr/>
        <w:t>distribution</w:t>
      </w:r>
      <w:r>
        <w:rPr>
          <w:spacing w:val="-1"/>
        </w:rPr>
        <w:t> </w:t>
      </w:r>
      <w:r>
        <w:rPr/>
        <w:t>depicts</w:t>
      </w:r>
      <w:r>
        <w:rPr>
          <w:spacing w:val="-1"/>
        </w:rPr>
        <w:t> </w:t>
      </w:r>
      <w:r>
        <w:rPr/>
        <w:t>the</w:t>
      </w:r>
      <w:r>
        <w:rPr>
          <w:spacing w:val="-2"/>
        </w:rPr>
        <w:t> </w:t>
      </w:r>
      <w:r>
        <w:rPr/>
        <w:t>population</w:t>
      </w:r>
      <w:r>
        <w:rPr>
          <w:spacing w:val="-1"/>
        </w:rPr>
        <w:t> </w:t>
      </w:r>
      <w:r>
        <w:rPr/>
        <w:t>strength</w:t>
      </w:r>
      <w:r>
        <w:rPr>
          <w:spacing w:val="-1"/>
        </w:rPr>
        <w:t> </w:t>
      </w:r>
      <w:r>
        <w:rPr/>
        <w:t>of the</w:t>
      </w:r>
      <w:r>
        <w:rPr>
          <w:spacing w:val="-2"/>
        </w:rPr>
        <w:t> </w:t>
      </w:r>
      <w:r>
        <w:rPr/>
        <w:t>small</w:t>
      </w:r>
      <w:r>
        <w:rPr>
          <w:spacing w:val="-1"/>
        </w:rPr>
        <w:t> </w:t>
      </w:r>
      <w:r>
        <w:rPr/>
        <w:t>and</w:t>
      </w:r>
      <w:r>
        <w:rPr>
          <w:spacing w:val="-1"/>
        </w:rPr>
        <w:t> </w:t>
      </w:r>
      <w:r>
        <w:rPr/>
        <w:t>medium scale</w:t>
      </w:r>
      <w:r>
        <w:rPr>
          <w:spacing w:val="-2"/>
        </w:rPr>
        <w:t> </w:t>
      </w:r>
      <w:r>
        <w:rPr/>
        <w:t>construction</w:t>
      </w:r>
      <w:r>
        <w:rPr>
          <w:spacing w:val="-1"/>
        </w:rPr>
        <w:t> </w:t>
      </w:r>
      <w:r>
        <w:rPr/>
        <w:t>firms that are registered in those various States.</w:t>
      </w:r>
    </w:p>
    <w:p>
      <w:pPr>
        <w:pStyle w:val="BodyText"/>
        <w:spacing w:before="91"/>
      </w:pPr>
    </w:p>
    <w:p>
      <w:pPr>
        <w:pStyle w:val="BodyText"/>
        <w:spacing w:line="480" w:lineRule="auto"/>
        <w:ind w:left="400" w:right="1316"/>
        <w:jc w:val="both"/>
      </w:pPr>
      <w:r>
        <w:rPr/>
        <w:t>112 copies of questionnaires were distributed SMCFs in Abia, 82 to SMCFs in Ebonyi and 134</w:t>
      </w:r>
      <w:r>
        <w:rPr>
          <w:spacing w:val="40"/>
        </w:rPr>
        <w:t> </w:t>
      </w:r>
      <w:r>
        <w:rPr/>
        <w:t>to those in Enugu. Out of these, 101, 74 and 128 copies respectively were returned, representing 33.33%, 24.42% and 42.24% response rates. Overall, this shows that the majority of the respondents responded to the questionnaire. The percentage responses also show a fair representation of all the small and medium firms in the three states.</w:t>
      </w:r>
    </w:p>
    <w:p>
      <w:pPr>
        <w:spacing w:after="0" w:line="480" w:lineRule="auto"/>
        <w:jc w:val="both"/>
        <w:sectPr>
          <w:pgSz w:w="12240" w:h="15840"/>
          <w:pgMar w:header="0" w:footer="1017" w:top="1360" w:bottom="1200" w:left="1040" w:right="120"/>
        </w:sectPr>
      </w:pPr>
    </w:p>
    <w:p>
      <w:pPr>
        <w:pStyle w:val="Heading2"/>
        <w:spacing w:before="61"/>
        <w:jc w:val="left"/>
      </w:pPr>
      <w:r>
        <w:rPr/>
        <w:t>Table</w:t>
      </w:r>
      <w:r>
        <w:rPr>
          <w:spacing w:val="-6"/>
        </w:rPr>
        <w:t> </w:t>
      </w:r>
      <w:r>
        <w:rPr/>
        <w:t>5.2.</w:t>
      </w:r>
      <w:r>
        <w:rPr>
          <w:spacing w:val="-3"/>
        </w:rPr>
        <w:t> </w:t>
      </w:r>
      <w:r>
        <w:rPr/>
        <w:t>Population</w:t>
      </w:r>
      <w:r>
        <w:rPr>
          <w:spacing w:val="-3"/>
        </w:rPr>
        <w:t> </w:t>
      </w:r>
      <w:r>
        <w:rPr/>
        <w:t>Distribution</w:t>
      </w:r>
      <w:r>
        <w:rPr>
          <w:spacing w:val="-3"/>
        </w:rPr>
        <w:t> </w:t>
      </w:r>
      <w:r>
        <w:rPr/>
        <w:t>of</w:t>
      </w:r>
      <w:r>
        <w:rPr>
          <w:spacing w:val="-2"/>
        </w:rPr>
        <w:t> </w:t>
      </w:r>
      <w:r>
        <w:rPr/>
        <w:t>Questionnaires</w:t>
      </w:r>
      <w:r>
        <w:rPr>
          <w:spacing w:val="-3"/>
        </w:rPr>
        <w:t> </w:t>
      </w:r>
      <w:r>
        <w:rPr/>
        <w:t>and</w:t>
      </w:r>
      <w:r>
        <w:rPr>
          <w:spacing w:val="-3"/>
        </w:rPr>
        <w:t> </w:t>
      </w:r>
      <w:r>
        <w:rPr/>
        <w:t>Percentage</w:t>
      </w:r>
      <w:r>
        <w:rPr>
          <w:spacing w:val="-3"/>
        </w:rPr>
        <w:t> </w:t>
      </w:r>
      <w:r>
        <w:rPr>
          <w:spacing w:val="-2"/>
        </w:rPr>
        <w:t>Response</w:t>
      </w:r>
    </w:p>
    <w:p>
      <w:pPr>
        <w:pStyle w:val="BodyText"/>
        <w:spacing w:before="49" w:after="1"/>
        <w:rPr>
          <w:b/>
          <w:sz w:val="20"/>
        </w:rPr>
      </w:pPr>
    </w:p>
    <w:tbl>
      <w:tblPr>
        <w:tblW w:w="0" w:type="auto"/>
        <w:jc w:val="left"/>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4"/>
        <w:gridCol w:w="3137"/>
        <w:gridCol w:w="2516"/>
        <w:gridCol w:w="2236"/>
      </w:tblGrid>
      <w:tr>
        <w:trPr>
          <w:trHeight w:val="1540" w:hRule="atLeast"/>
        </w:trPr>
        <w:tc>
          <w:tcPr>
            <w:tcW w:w="1554" w:type="dxa"/>
            <w:tcBorders>
              <w:top w:val="single" w:sz="8" w:space="0" w:color="5B9BD5"/>
              <w:bottom w:val="single" w:sz="8" w:space="0" w:color="5B9BD5"/>
            </w:tcBorders>
          </w:tcPr>
          <w:p>
            <w:pPr>
              <w:pStyle w:val="TableParagraph"/>
              <w:spacing w:line="228" w:lineRule="exact"/>
              <w:ind w:left="122"/>
              <w:rPr>
                <w:b/>
                <w:sz w:val="20"/>
              </w:rPr>
            </w:pPr>
            <w:r>
              <w:rPr>
                <w:b/>
                <w:spacing w:val="-2"/>
                <w:sz w:val="20"/>
              </w:rPr>
              <w:t>State</w:t>
            </w:r>
          </w:p>
        </w:tc>
        <w:tc>
          <w:tcPr>
            <w:tcW w:w="3137" w:type="dxa"/>
            <w:tcBorders>
              <w:top w:val="single" w:sz="8" w:space="0" w:color="5B9BD5"/>
              <w:bottom w:val="single" w:sz="8" w:space="0" w:color="5B9BD5"/>
            </w:tcBorders>
          </w:tcPr>
          <w:p>
            <w:pPr>
              <w:pStyle w:val="TableParagraph"/>
              <w:tabs>
                <w:tab w:pos="1436" w:val="left" w:leader="none"/>
                <w:tab w:pos="1973" w:val="left" w:leader="none"/>
                <w:tab w:pos="2861" w:val="left" w:leader="none"/>
              </w:tabs>
              <w:spacing w:line="480" w:lineRule="auto"/>
              <w:ind w:left="822" w:right="104"/>
              <w:rPr>
                <w:b/>
                <w:sz w:val="20"/>
              </w:rPr>
            </w:pPr>
            <w:r>
              <w:rPr>
                <w:b/>
                <w:spacing w:val="-6"/>
                <w:sz w:val="20"/>
              </w:rPr>
              <w:t>No</w:t>
            </w:r>
            <w:r>
              <w:rPr>
                <w:b/>
                <w:sz w:val="20"/>
              </w:rPr>
              <w:tab/>
            </w:r>
            <w:r>
              <w:rPr>
                <w:b/>
                <w:spacing w:val="-6"/>
                <w:sz w:val="20"/>
              </w:rPr>
              <w:t>of</w:t>
            </w:r>
            <w:r>
              <w:rPr>
                <w:b/>
                <w:sz w:val="20"/>
              </w:rPr>
              <w:tab/>
            </w:r>
            <w:r>
              <w:rPr>
                <w:b/>
                <w:spacing w:val="-2"/>
                <w:sz w:val="20"/>
              </w:rPr>
              <w:t>copies</w:t>
            </w:r>
            <w:r>
              <w:rPr>
                <w:b/>
                <w:sz w:val="20"/>
              </w:rPr>
              <w:tab/>
            </w:r>
            <w:r>
              <w:rPr>
                <w:b/>
                <w:spacing w:val="-6"/>
                <w:sz w:val="20"/>
              </w:rPr>
              <w:t>of </w:t>
            </w:r>
            <w:r>
              <w:rPr>
                <w:b/>
                <w:spacing w:val="-2"/>
                <w:sz w:val="20"/>
              </w:rPr>
              <w:t>Questionnaire</w:t>
            </w:r>
            <w:r>
              <w:rPr>
                <w:b/>
                <w:spacing w:val="9"/>
                <w:sz w:val="20"/>
              </w:rPr>
              <w:t> </w:t>
            </w:r>
            <w:r>
              <w:rPr>
                <w:b/>
                <w:spacing w:val="-2"/>
                <w:sz w:val="20"/>
              </w:rPr>
              <w:t>distributed</w:t>
            </w:r>
          </w:p>
        </w:tc>
        <w:tc>
          <w:tcPr>
            <w:tcW w:w="2516" w:type="dxa"/>
            <w:tcBorders>
              <w:top w:val="single" w:sz="8" w:space="0" w:color="5B9BD5"/>
              <w:bottom w:val="single" w:sz="8" w:space="0" w:color="5B9BD5"/>
            </w:tcBorders>
          </w:tcPr>
          <w:p>
            <w:pPr>
              <w:pStyle w:val="TableParagraph"/>
              <w:tabs>
                <w:tab w:pos="1419" w:val="left" w:leader="none"/>
              </w:tabs>
              <w:spacing w:line="480" w:lineRule="auto"/>
              <w:ind w:left="106" w:right="105"/>
              <w:jc w:val="both"/>
              <w:rPr>
                <w:b/>
                <w:sz w:val="20"/>
              </w:rPr>
            </w:pPr>
            <w:r>
              <w:rPr>
                <w:b/>
                <w:sz w:val="20"/>
              </w:rPr>
              <w:t>No</w:t>
            </w:r>
            <w:r>
              <w:rPr>
                <w:b/>
                <w:spacing w:val="80"/>
                <w:sz w:val="20"/>
              </w:rPr>
              <w:t>  </w:t>
            </w:r>
            <w:r>
              <w:rPr>
                <w:b/>
                <w:sz w:val="20"/>
              </w:rPr>
              <w:t>of</w:t>
              <w:tab/>
              <w:t>copies </w:t>
            </w:r>
            <w:r>
              <w:rPr>
                <w:b/>
                <w:sz w:val="20"/>
              </w:rPr>
              <w:t>of Questionnaire received </w:t>
            </w:r>
            <w:r>
              <w:rPr>
                <w:b/>
                <w:spacing w:val="-2"/>
                <w:sz w:val="20"/>
              </w:rPr>
              <w:t>(response)</w:t>
            </w:r>
          </w:p>
        </w:tc>
        <w:tc>
          <w:tcPr>
            <w:tcW w:w="2236" w:type="dxa"/>
            <w:tcBorders>
              <w:top w:val="single" w:sz="8" w:space="0" w:color="5B9BD5"/>
              <w:bottom w:val="single" w:sz="8" w:space="0" w:color="5B9BD5"/>
            </w:tcBorders>
          </w:tcPr>
          <w:p>
            <w:pPr>
              <w:pStyle w:val="TableParagraph"/>
              <w:tabs>
                <w:tab w:pos="1737" w:val="left" w:leader="none"/>
              </w:tabs>
              <w:spacing w:line="480" w:lineRule="auto"/>
              <w:ind w:left="105" w:right="105"/>
              <w:rPr>
                <w:b/>
                <w:sz w:val="20"/>
              </w:rPr>
            </w:pPr>
            <w:r>
              <w:rPr>
                <w:b/>
                <w:spacing w:val="-2"/>
                <w:sz w:val="20"/>
              </w:rPr>
              <w:t>Percentage</w:t>
            </w:r>
            <w:r>
              <w:rPr>
                <w:b/>
                <w:spacing w:val="40"/>
                <w:sz w:val="20"/>
              </w:rPr>
              <w:t> </w:t>
            </w:r>
            <w:r>
              <w:rPr>
                <w:b/>
                <w:sz w:val="20"/>
              </w:rPr>
              <w:t>contribution</w:t>
            </w:r>
            <w:r>
              <w:rPr>
                <w:b/>
                <w:spacing w:val="80"/>
                <w:sz w:val="20"/>
              </w:rPr>
              <w:t> </w:t>
            </w:r>
            <w:r>
              <w:rPr>
                <w:b/>
                <w:sz w:val="20"/>
              </w:rPr>
              <w:t>to</w:t>
              <w:tab/>
            </w:r>
            <w:r>
              <w:rPr>
                <w:b/>
                <w:spacing w:val="-4"/>
                <w:sz w:val="20"/>
              </w:rPr>
              <w:t>total </w:t>
            </w:r>
            <w:r>
              <w:rPr>
                <w:b/>
                <w:spacing w:val="-2"/>
                <w:sz w:val="20"/>
              </w:rPr>
              <w:t>response</w:t>
            </w:r>
          </w:p>
        </w:tc>
      </w:tr>
      <w:tr>
        <w:trPr>
          <w:trHeight w:val="618" w:hRule="atLeast"/>
        </w:trPr>
        <w:tc>
          <w:tcPr>
            <w:tcW w:w="1554" w:type="dxa"/>
            <w:tcBorders>
              <w:top w:val="single" w:sz="8" w:space="0" w:color="5B9BD5"/>
            </w:tcBorders>
            <w:shd w:val="clear" w:color="auto" w:fill="D6E6F4"/>
          </w:tcPr>
          <w:p>
            <w:pPr>
              <w:pStyle w:val="TableParagraph"/>
              <w:spacing w:line="228" w:lineRule="exact"/>
              <w:ind w:left="122"/>
              <w:rPr>
                <w:b/>
                <w:sz w:val="20"/>
              </w:rPr>
            </w:pPr>
            <w:r>
              <w:rPr>
                <w:b/>
                <w:spacing w:val="-4"/>
                <w:sz w:val="20"/>
              </w:rPr>
              <w:t>Abia</w:t>
            </w:r>
          </w:p>
        </w:tc>
        <w:tc>
          <w:tcPr>
            <w:tcW w:w="3137" w:type="dxa"/>
            <w:tcBorders>
              <w:top w:val="single" w:sz="8" w:space="0" w:color="5B9BD5"/>
            </w:tcBorders>
            <w:shd w:val="clear" w:color="auto" w:fill="D6E6F4"/>
          </w:tcPr>
          <w:p>
            <w:pPr>
              <w:pStyle w:val="TableParagraph"/>
              <w:spacing w:line="223" w:lineRule="exact"/>
              <w:ind w:left="822"/>
              <w:rPr>
                <w:sz w:val="20"/>
              </w:rPr>
            </w:pPr>
            <w:r>
              <w:rPr>
                <w:spacing w:val="-5"/>
                <w:sz w:val="20"/>
              </w:rPr>
              <w:t>112</w:t>
            </w:r>
          </w:p>
        </w:tc>
        <w:tc>
          <w:tcPr>
            <w:tcW w:w="2516" w:type="dxa"/>
            <w:tcBorders>
              <w:top w:val="single" w:sz="8" w:space="0" w:color="5B9BD5"/>
            </w:tcBorders>
            <w:shd w:val="clear" w:color="auto" w:fill="D6E6F4"/>
          </w:tcPr>
          <w:p>
            <w:pPr>
              <w:pStyle w:val="TableParagraph"/>
              <w:spacing w:line="223" w:lineRule="exact"/>
              <w:ind w:left="709"/>
              <w:rPr>
                <w:sz w:val="20"/>
              </w:rPr>
            </w:pPr>
            <w:r>
              <w:rPr>
                <w:spacing w:val="-5"/>
                <w:sz w:val="20"/>
              </w:rPr>
              <w:t>101</w:t>
            </w:r>
          </w:p>
        </w:tc>
        <w:tc>
          <w:tcPr>
            <w:tcW w:w="2236" w:type="dxa"/>
            <w:tcBorders>
              <w:top w:val="single" w:sz="8" w:space="0" w:color="5B9BD5"/>
            </w:tcBorders>
            <w:shd w:val="clear" w:color="auto" w:fill="D6E6F4"/>
          </w:tcPr>
          <w:p>
            <w:pPr>
              <w:pStyle w:val="TableParagraph"/>
              <w:spacing w:line="223" w:lineRule="exact"/>
              <w:ind w:left="105"/>
              <w:rPr>
                <w:sz w:val="20"/>
              </w:rPr>
            </w:pPr>
            <w:r>
              <w:rPr>
                <w:spacing w:val="-2"/>
                <w:sz w:val="20"/>
              </w:rPr>
              <w:t>33.33</w:t>
            </w:r>
          </w:p>
        </w:tc>
      </w:tr>
      <w:tr>
        <w:trPr>
          <w:trHeight w:val="621" w:hRule="atLeast"/>
        </w:trPr>
        <w:tc>
          <w:tcPr>
            <w:tcW w:w="1554" w:type="dxa"/>
          </w:tcPr>
          <w:p>
            <w:pPr>
              <w:pStyle w:val="TableParagraph"/>
              <w:spacing w:line="228" w:lineRule="exact"/>
              <w:ind w:left="122"/>
              <w:rPr>
                <w:b/>
                <w:sz w:val="20"/>
              </w:rPr>
            </w:pPr>
            <w:r>
              <w:rPr>
                <w:b/>
                <w:spacing w:val="-2"/>
                <w:sz w:val="20"/>
              </w:rPr>
              <w:t>Ebonyi</w:t>
            </w:r>
          </w:p>
        </w:tc>
        <w:tc>
          <w:tcPr>
            <w:tcW w:w="3137" w:type="dxa"/>
          </w:tcPr>
          <w:p>
            <w:pPr>
              <w:pStyle w:val="TableParagraph"/>
              <w:spacing w:line="223" w:lineRule="exact"/>
              <w:ind w:left="922"/>
              <w:rPr>
                <w:sz w:val="20"/>
              </w:rPr>
            </w:pPr>
            <w:r>
              <w:rPr>
                <w:spacing w:val="-5"/>
                <w:sz w:val="20"/>
              </w:rPr>
              <w:t>82</w:t>
            </w:r>
          </w:p>
        </w:tc>
        <w:tc>
          <w:tcPr>
            <w:tcW w:w="2516" w:type="dxa"/>
          </w:tcPr>
          <w:p>
            <w:pPr>
              <w:pStyle w:val="TableParagraph"/>
              <w:spacing w:line="223" w:lineRule="exact"/>
              <w:ind w:left="807"/>
              <w:rPr>
                <w:sz w:val="20"/>
              </w:rPr>
            </w:pPr>
            <w:r>
              <w:rPr>
                <w:spacing w:val="-5"/>
                <w:sz w:val="20"/>
              </w:rPr>
              <w:t>74</w:t>
            </w:r>
          </w:p>
        </w:tc>
        <w:tc>
          <w:tcPr>
            <w:tcW w:w="2236" w:type="dxa"/>
          </w:tcPr>
          <w:p>
            <w:pPr>
              <w:pStyle w:val="TableParagraph"/>
              <w:spacing w:line="223" w:lineRule="exact"/>
              <w:ind w:left="105"/>
              <w:rPr>
                <w:sz w:val="20"/>
              </w:rPr>
            </w:pPr>
            <w:r>
              <w:rPr>
                <w:spacing w:val="-2"/>
                <w:sz w:val="20"/>
              </w:rPr>
              <w:t>24.42</w:t>
            </w:r>
          </w:p>
        </w:tc>
      </w:tr>
      <w:tr>
        <w:trPr>
          <w:trHeight w:val="619" w:hRule="atLeast"/>
        </w:trPr>
        <w:tc>
          <w:tcPr>
            <w:tcW w:w="1554" w:type="dxa"/>
            <w:shd w:val="clear" w:color="auto" w:fill="D6E6F4"/>
          </w:tcPr>
          <w:p>
            <w:pPr>
              <w:pStyle w:val="TableParagraph"/>
              <w:spacing w:line="228" w:lineRule="exact"/>
              <w:ind w:left="122"/>
              <w:rPr>
                <w:b/>
                <w:sz w:val="20"/>
              </w:rPr>
            </w:pPr>
            <w:r>
              <w:rPr>
                <w:b/>
                <w:spacing w:val="-2"/>
                <w:sz w:val="20"/>
              </w:rPr>
              <w:t>Enugu</w:t>
            </w:r>
          </w:p>
        </w:tc>
        <w:tc>
          <w:tcPr>
            <w:tcW w:w="3137" w:type="dxa"/>
            <w:shd w:val="clear" w:color="auto" w:fill="D6E6F4"/>
          </w:tcPr>
          <w:p>
            <w:pPr>
              <w:pStyle w:val="TableParagraph"/>
              <w:spacing w:line="223" w:lineRule="exact"/>
              <w:ind w:left="822"/>
              <w:rPr>
                <w:sz w:val="20"/>
              </w:rPr>
            </w:pPr>
            <w:r>
              <w:rPr>
                <w:spacing w:val="-5"/>
                <w:sz w:val="20"/>
              </w:rPr>
              <w:t>134</w:t>
            </w:r>
          </w:p>
        </w:tc>
        <w:tc>
          <w:tcPr>
            <w:tcW w:w="2516" w:type="dxa"/>
            <w:shd w:val="clear" w:color="auto" w:fill="D6E6F4"/>
          </w:tcPr>
          <w:p>
            <w:pPr>
              <w:pStyle w:val="TableParagraph"/>
              <w:spacing w:line="223" w:lineRule="exact"/>
              <w:ind w:left="709"/>
              <w:rPr>
                <w:sz w:val="20"/>
              </w:rPr>
            </w:pPr>
            <w:r>
              <w:rPr>
                <w:spacing w:val="-5"/>
                <w:sz w:val="20"/>
              </w:rPr>
              <w:t>128</w:t>
            </w:r>
          </w:p>
        </w:tc>
        <w:tc>
          <w:tcPr>
            <w:tcW w:w="2236" w:type="dxa"/>
            <w:shd w:val="clear" w:color="auto" w:fill="D6E6F4"/>
          </w:tcPr>
          <w:p>
            <w:pPr>
              <w:pStyle w:val="TableParagraph"/>
              <w:spacing w:line="223" w:lineRule="exact"/>
              <w:ind w:left="105"/>
              <w:rPr>
                <w:sz w:val="20"/>
              </w:rPr>
            </w:pPr>
            <w:r>
              <w:rPr>
                <w:spacing w:val="-2"/>
                <w:sz w:val="20"/>
              </w:rPr>
              <w:t>42.24</w:t>
            </w:r>
          </w:p>
        </w:tc>
      </w:tr>
      <w:tr>
        <w:trPr>
          <w:trHeight w:val="619" w:hRule="atLeast"/>
        </w:trPr>
        <w:tc>
          <w:tcPr>
            <w:tcW w:w="1554" w:type="dxa"/>
          </w:tcPr>
          <w:p>
            <w:pPr>
              <w:pStyle w:val="TableParagraph"/>
              <w:rPr>
                <w:sz w:val="22"/>
              </w:rPr>
            </w:pPr>
          </w:p>
        </w:tc>
        <w:tc>
          <w:tcPr>
            <w:tcW w:w="3137" w:type="dxa"/>
          </w:tcPr>
          <w:p>
            <w:pPr>
              <w:pStyle w:val="TableParagraph"/>
              <w:rPr>
                <w:sz w:val="22"/>
              </w:rPr>
            </w:pPr>
          </w:p>
        </w:tc>
        <w:tc>
          <w:tcPr>
            <w:tcW w:w="2516" w:type="dxa"/>
          </w:tcPr>
          <w:p>
            <w:pPr>
              <w:pStyle w:val="TableParagraph"/>
              <w:rPr>
                <w:sz w:val="22"/>
              </w:rPr>
            </w:pPr>
          </w:p>
        </w:tc>
        <w:tc>
          <w:tcPr>
            <w:tcW w:w="2236" w:type="dxa"/>
          </w:tcPr>
          <w:p>
            <w:pPr>
              <w:pStyle w:val="TableParagraph"/>
              <w:rPr>
                <w:sz w:val="22"/>
              </w:rPr>
            </w:pPr>
          </w:p>
        </w:tc>
      </w:tr>
      <w:tr>
        <w:trPr>
          <w:trHeight w:val="621" w:hRule="atLeast"/>
        </w:trPr>
        <w:tc>
          <w:tcPr>
            <w:tcW w:w="1554" w:type="dxa"/>
            <w:tcBorders>
              <w:bottom w:val="single" w:sz="8" w:space="0" w:color="5B9BD5"/>
            </w:tcBorders>
            <w:shd w:val="clear" w:color="auto" w:fill="D6E6F4"/>
          </w:tcPr>
          <w:p>
            <w:pPr>
              <w:pStyle w:val="TableParagraph"/>
              <w:spacing w:line="228" w:lineRule="exact"/>
              <w:ind w:left="122"/>
              <w:rPr>
                <w:b/>
                <w:sz w:val="20"/>
              </w:rPr>
            </w:pPr>
            <w:r>
              <w:rPr>
                <w:b/>
                <w:spacing w:val="-2"/>
                <w:sz w:val="20"/>
              </w:rPr>
              <w:t>Total</w:t>
            </w:r>
          </w:p>
        </w:tc>
        <w:tc>
          <w:tcPr>
            <w:tcW w:w="3137" w:type="dxa"/>
            <w:tcBorders>
              <w:bottom w:val="single" w:sz="8" w:space="0" w:color="5B9BD5"/>
            </w:tcBorders>
            <w:shd w:val="clear" w:color="auto" w:fill="D6E6F4"/>
          </w:tcPr>
          <w:p>
            <w:pPr>
              <w:pStyle w:val="TableParagraph"/>
              <w:spacing w:line="223" w:lineRule="exact"/>
              <w:ind w:left="822"/>
              <w:rPr>
                <w:sz w:val="20"/>
              </w:rPr>
            </w:pPr>
            <w:r>
              <w:rPr>
                <w:spacing w:val="-5"/>
                <w:sz w:val="20"/>
              </w:rPr>
              <w:t>328</w:t>
            </w:r>
          </w:p>
        </w:tc>
        <w:tc>
          <w:tcPr>
            <w:tcW w:w="2516" w:type="dxa"/>
            <w:tcBorders>
              <w:bottom w:val="single" w:sz="8" w:space="0" w:color="5B9BD5"/>
            </w:tcBorders>
            <w:shd w:val="clear" w:color="auto" w:fill="D6E6F4"/>
          </w:tcPr>
          <w:p>
            <w:pPr>
              <w:pStyle w:val="TableParagraph"/>
              <w:spacing w:line="223" w:lineRule="exact"/>
              <w:ind w:left="709"/>
              <w:rPr>
                <w:sz w:val="20"/>
              </w:rPr>
            </w:pPr>
            <w:r>
              <w:rPr>
                <w:spacing w:val="-5"/>
                <w:sz w:val="20"/>
              </w:rPr>
              <w:t>303</w:t>
            </w:r>
          </w:p>
        </w:tc>
        <w:tc>
          <w:tcPr>
            <w:tcW w:w="2236" w:type="dxa"/>
            <w:tcBorders>
              <w:bottom w:val="single" w:sz="8" w:space="0" w:color="5B9BD5"/>
            </w:tcBorders>
            <w:shd w:val="clear" w:color="auto" w:fill="D6E6F4"/>
          </w:tcPr>
          <w:p>
            <w:pPr>
              <w:pStyle w:val="TableParagraph"/>
              <w:spacing w:line="223" w:lineRule="exact"/>
              <w:ind w:left="105"/>
              <w:rPr>
                <w:sz w:val="20"/>
              </w:rPr>
            </w:pPr>
            <w:r>
              <w:rPr>
                <w:spacing w:val="-4"/>
                <w:sz w:val="20"/>
              </w:rPr>
              <w:t>100%</w:t>
            </w:r>
          </w:p>
        </w:tc>
      </w:tr>
    </w:tbl>
    <w:p>
      <w:pPr>
        <w:pStyle w:val="BodyText"/>
        <w:ind w:left="400"/>
      </w:pPr>
      <w:r>
        <w:rPr>
          <w:b/>
        </w:rPr>
        <w:t>Source:</w:t>
      </w:r>
      <w:r>
        <w:rPr>
          <w:b/>
          <w:spacing w:val="-5"/>
        </w:rPr>
        <w:t> </w:t>
      </w:r>
      <w:r>
        <w:rPr/>
        <w:t>Researcher’s</w:t>
      </w:r>
      <w:r>
        <w:rPr>
          <w:spacing w:val="-1"/>
        </w:rPr>
        <w:t> </w:t>
      </w:r>
      <w:r>
        <w:rPr/>
        <w:t>field</w:t>
      </w:r>
      <w:r>
        <w:rPr>
          <w:spacing w:val="-1"/>
        </w:rPr>
        <w:t> </w:t>
      </w:r>
      <w:r>
        <w:rPr/>
        <w:t>survey</w:t>
      </w:r>
      <w:r>
        <w:rPr>
          <w:spacing w:val="-4"/>
        </w:rPr>
        <w:t> </w:t>
      </w:r>
      <w:r>
        <w:rPr>
          <w:spacing w:val="-2"/>
        </w:rPr>
        <w:t>(2018)</w:t>
      </w:r>
    </w:p>
    <w:p>
      <w:pPr>
        <w:pStyle w:val="BodyText"/>
      </w:pPr>
    </w:p>
    <w:p>
      <w:pPr>
        <w:pStyle w:val="BodyText"/>
      </w:pPr>
    </w:p>
    <w:p>
      <w:pPr>
        <w:pStyle w:val="BodyText"/>
        <w:spacing w:before="274"/>
      </w:pPr>
    </w:p>
    <w:p>
      <w:pPr>
        <w:pStyle w:val="Heading2"/>
        <w:numPr>
          <w:ilvl w:val="1"/>
          <w:numId w:val="39"/>
        </w:numPr>
        <w:tabs>
          <w:tab w:pos="760" w:val="left" w:leader="none"/>
        </w:tabs>
        <w:spacing w:line="240" w:lineRule="auto" w:before="0" w:after="0"/>
        <w:ind w:left="760" w:right="0" w:hanging="360"/>
        <w:jc w:val="both"/>
      </w:pPr>
      <w:r>
        <w:rPr/>
        <w:t>Background</w:t>
      </w:r>
      <w:r>
        <w:rPr>
          <w:spacing w:val="-2"/>
        </w:rPr>
        <w:t> Information</w:t>
      </w:r>
    </w:p>
    <w:p>
      <w:pPr>
        <w:pStyle w:val="BodyText"/>
        <w:spacing w:line="480" w:lineRule="auto" w:before="271"/>
        <w:ind w:left="400" w:right="1316"/>
        <w:jc w:val="both"/>
      </w:pPr>
      <w:r>
        <w:rPr/>
        <w:t>The study collected basic information regarding the participants and the organizations in which they work. According to Sifers </w:t>
      </w:r>
      <w:r>
        <w:rPr>
          <w:i/>
        </w:rPr>
        <w:t>et al. </w:t>
      </w:r>
      <w:r>
        <w:rPr/>
        <w:t>(2012), reporting the sample characteristics enables</w:t>
      </w:r>
      <w:r>
        <w:rPr>
          <w:spacing w:val="40"/>
        </w:rPr>
        <w:t> </w:t>
      </w:r>
      <w:r>
        <w:rPr/>
        <w:t>research consumers to determine the representativeness of the sample and applicability of findings in their settings.</w:t>
      </w:r>
    </w:p>
    <w:p>
      <w:pPr>
        <w:pStyle w:val="BodyText"/>
      </w:pPr>
    </w:p>
    <w:p>
      <w:pPr>
        <w:pStyle w:val="BodyText"/>
      </w:pPr>
    </w:p>
    <w:p>
      <w:pPr>
        <w:pStyle w:val="BodyText"/>
        <w:spacing w:before="142"/>
      </w:pPr>
    </w:p>
    <w:p>
      <w:pPr>
        <w:pStyle w:val="Heading2"/>
        <w:numPr>
          <w:ilvl w:val="2"/>
          <w:numId w:val="39"/>
        </w:numPr>
        <w:tabs>
          <w:tab w:pos="940" w:val="left" w:leader="none"/>
        </w:tabs>
        <w:spacing w:line="240" w:lineRule="auto" w:before="0" w:after="0"/>
        <w:ind w:left="940" w:right="0" w:hanging="540"/>
        <w:jc w:val="both"/>
      </w:pPr>
      <w:r>
        <w:rPr/>
        <w:t>Gender</w:t>
      </w:r>
      <w:r>
        <w:rPr>
          <w:spacing w:val="-3"/>
        </w:rPr>
        <w:t> </w:t>
      </w:r>
      <w:r>
        <w:rPr/>
        <w:t>of</w:t>
      </w:r>
      <w:r>
        <w:rPr>
          <w:spacing w:val="-1"/>
        </w:rPr>
        <w:t> </w:t>
      </w:r>
      <w:r>
        <w:rPr>
          <w:spacing w:val="-2"/>
        </w:rPr>
        <w:t>Respondents</w:t>
      </w:r>
    </w:p>
    <w:p>
      <w:pPr>
        <w:pStyle w:val="BodyText"/>
        <w:spacing w:line="480" w:lineRule="auto" w:before="271"/>
        <w:ind w:left="400" w:right="1318"/>
        <w:jc w:val="both"/>
      </w:pPr>
      <w:r>
        <w:rPr/>
        <w:t>As shown in figure 5.1, 197 of the respondents representing 65% are males, while 106 respondents</w:t>
      </w:r>
      <w:r>
        <w:rPr>
          <w:spacing w:val="39"/>
        </w:rPr>
        <w:t> </w:t>
      </w:r>
      <w:r>
        <w:rPr/>
        <w:t>representing</w:t>
      </w:r>
      <w:r>
        <w:rPr>
          <w:spacing w:val="39"/>
        </w:rPr>
        <w:t> </w:t>
      </w:r>
      <w:r>
        <w:rPr/>
        <w:t>35%</w:t>
      </w:r>
      <w:r>
        <w:rPr>
          <w:spacing w:val="38"/>
        </w:rPr>
        <w:t> </w:t>
      </w:r>
      <w:r>
        <w:rPr/>
        <w:t>are</w:t>
      </w:r>
      <w:r>
        <w:rPr>
          <w:spacing w:val="40"/>
        </w:rPr>
        <w:t> </w:t>
      </w:r>
      <w:r>
        <w:rPr/>
        <w:t>females.</w:t>
      </w:r>
      <w:r>
        <w:rPr>
          <w:spacing w:val="39"/>
        </w:rPr>
        <w:t> </w:t>
      </w:r>
      <w:r>
        <w:rPr/>
        <w:t>This</w:t>
      </w:r>
      <w:r>
        <w:rPr>
          <w:spacing w:val="41"/>
        </w:rPr>
        <w:t> </w:t>
      </w:r>
      <w:r>
        <w:rPr/>
        <w:t>shows</w:t>
      </w:r>
      <w:r>
        <w:rPr>
          <w:spacing w:val="40"/>
        </w:rPr>
        <w:t> </w:t>
      </w:r>
      <w:r>
        <w:rPr/>
        <w:t>that</w:t>
      </w:r>
      <w:r>
        <w:rPr>
          <w:spacing w:val="39"/>
        </w:rPr>
        <w:t> </w:t>
      </w:r>
      <w:r>
        <w:rPr/>
        <w:t>majority</w:t>
      </w:r>
      <w:r>
        <w:rPr>
          <w:spacing w:val="35"/>
        </w:rPr>
        <w:t> </w:t>
      </w:r>
      <w:r>
        <w:rPr/>
        <w:t>of</w:t>
      </w:r>
      <w:r>
        <w:rPr>
          <w:spacing w:val="40"/>
        </w:rPr>
        <w:t> </w:t>
      </w:r>
      <w:r>
        <w:rPr/>
        <w:t>the</w:t>
      </w:r>
      <w:r>
        <w:rPr>
          <w:spacing w:val="38"/>
        </w:rPr>
        <w:t> </w:t>
      </w:r>
      <w:r>
        <w:rPr/>
        <w:t>participants</w:t>
      </w:r>
      <w:r>
        <w:rPr>
          <w:spacing w:val="40"/>
        </w:rPr>
        <w:t> </w:t>
      </w:r>
      <w:r>
        <w:rPr>
          <w:spacing w:val="-4"/>
        </w:rPr>
        <w:t>were</w:t>
      </w:r>
    </w:p>
    <w:p>
      <w:pPr>
        <w:spacing w:after="0" w:line="480" w:lineRule="auto"/>
        <w:jc w:val="both"/>
        <w:sectPr>
          <w:pgSz w:w="12240" w:h="15840"/>
          <w:pgMar w:header="0" w:footer="1017" w:top="1560" w:bottom="1200" w:left="1040" w:right="120"/>
        </w:sectPr>
      </w:pPr>
    </w:p>
    <w:p>
      <w:pPr>
        <w:pStyle w:val="BodyText"/>
        <w:spacing w:line="480" w:lineRule="auto" w:before="72"/>
        <w:ind w:left="400" w:right="1315"/>
      </w:pPr>
      <w:r>
        <w:rPr/>
        <w:t>male. This finding matches expectations as the construction is a male dominated industry in all</w:t>
      </w:r>
      <w:r>
        <w:rPr>
          <w:spacing w:val="40"/>
        </w:rPr>
        <w:t> </w:t>
      </w:r>
      <w:r>
        <w:rPr/>
        <w:t>parts of the world (Jimoh </w:t>
      </w:r>
      <w:r>
        <w:rPr>
          <w:i/>
        </w:rPr>
        <w:t>et al</w:t>
      </w:r>
      <w:r>
        <w:rPr/>
        <w:t>., 2016).</w:t>
      </w:r>
    </w:p>
    <w:p>
      <w:pPr>
        <w:pStyle w:val="BodyText"/>
        <w:rPr>
          <w:sz w:val="20"/>
        </w:rPr>
      </w:pPr>
    </w:p>
    <w:p>
      <w:pPr>
        <w:pStyle w:val="BodyText"/>
        <w:spacing w:before="165"/>
        <w:rPr>
          <w:sz w:val="20"/>
        </w:rPr>
      </w:pPr>
      <w:r>
        <w:rPr/>
        <w:drawing>
          <wp:anchor distT="0" distB="0" distL="0" distR="0" allowOverlap="1" layoutInCell="1" locked="0" behindDoc="1" simplePos="0" relativeHeight="487612928">
            <wp:simplePos x="0" y="0"/>
            <wp:positionH relativeFrom="page">
              <wp:posOffset>914399</wp:posOffset>
            </wp:positionH>
            <wp:positionV relativeFrom="paragraph">
              <wp:posOffset>266136</wp:posOffset>
            </wp:positionV>
            <wp:extent cx="5584795" cy="1813560"/>
            <wp:effectExtent l="0" t="0" r="0" b="0"/>
            <wp:wrapTopAndBottom/>
            <wp:docPr id="281" name="Image 281" descr=""/>
            <wp:cNvGraphicFramePr>
              <a:graphicFrameLocks/>
            </wp:cNvGraphicFramePr>
            <a:graphic>
              <a:graphicData uri="http://schemas.openxmlformats.org/drawingml/2006/picture">
                <pic:pic>
                  <pic:nvPicPr>
                    <pic:cNvPr id="281" name="Image 281" descr=""/>
                    <pic:cNvPicPr/>
                  </pic:nvPicPr>
                  <pic:blipFill>
                    <a:blip r:embed="rId23" cstate="print"/>
                    <a:stretch>
                      <a:fillRect/>
                    </a:stretch>
                  </pic:blipFill>
                  <pic:spPr>
                    <a:xfrm>
                      <a:off x="0" y="0"/>
                      <a:ext cx="5584795" cy="1813560"/>
                    </a:xfrm>
                    <a:prstGeom prst="rect">
                      <a:avLst/>
                    </a:prstGeom>
                  </pic:spPr>
                </pic:pic>
              </a:graphicData>
            </a:graphic>
          </wp:anchor>
        </w:drawing>
      </w:r>
    </w:p>
    <w:p>
      <w:pPr>
        <w:pStyle w:val="Heading2"/>
        <w:tabs>
          <w:tab w:pos="1839" w:val="left" w:leader="none"/>
        </w:tabs>
        <w:spacing w:line="276" w:lineRule="auto" w:before="30"/>
        <w:ind w:right="6547"/>
        <w:jc w:val="left"/>
      </w:pPr>
      <w:r>
        <w:rPr/>
        <w:t>Figure: 5.1</w:t>
        <w:tab/>
        <w:t>Gender of Respondents Source:</w:t>
      </w:r>
      <w:r>
        <w:rPr>
          <w:spacing w:val="-11"/>
        </w:rPr>
        <w:t> </w:t>
      </w:r>
      <w:r>
        <w:rPr/>
        <w:t>Researcher’s</w:t>
      </w:r>
      <w:r>
        <w:rPr>
          <w:spacing w:val="-10"/>
        </w:rPr>
        <w:t> </w:t>
      </w:r>
      <w:r>
        <w:rPr/>
        <w:t>field</w:t>
      </w:r>
      <w:r>
        <w:rPr>
          <w:spacing w:val="-10"/>
        </w:rPr>
        <w:t> </w:t>
      </w:r>
      <w:r>
        <w:rPr/>
        <w:t>survey</w:t>
      </w:r>
      <w:r>
        <w:rPr>
          <w:spacing w:val="-10"/>
        </w:rPr>
        <w:t> </w:t>
      </w:r>
      <w:r>
        <w:rPr/>
        <w:t>(2018)</w:t>
      </w:r>
    </w:p>
    <w:p>
      <w:pPr>
        <w:pStyle w:val="BodyText"/>
        <w:spacing w:before="181"/>
        <w:rPr>
          <w:b/>
        </w:rPr>
      </w:pPr>
    </w:p>
    <w:p>
      <w:pPr>
        <w:pStyle w:val="ListParagraph"/>
        <w:numPr>
          <w:ilvl w:val="2"/>
          <w:numId w:val="39"/>
        </w:numPr>
        <w:tabs>
          <w:tab w:pos="1119" w:val="left" w:leader="none"/>
        </w:tabs>
        <w:spacing w:line="240" w:lineRule="auto" w:before="0" w:after="0"/>
        <w:ind w:left="1119" w:right="0" w:hanging="719"/>
        <w:jc w:val="left"/>
        <w:rPr>
          <w:b/>
          <w:sz w:val="24"/>
        </w:rPr>
      </w:pPr>
      <w:r>
        <w:rPr>
          <w:b/>
          <w:sz w:val="24"/>
        </w:rPr>
        <w:t>Designation</w:t>
      </w:r>
      <w:r>
        <w:rPr>
          <w:b/>
          <w:spacing w:val="-2"/>
          <w:sz w:val="24"/>
        </w:rPr>
        <w:t> </w:t>
      </w:r>
      <w:r>
        <w:rPr>
          <w:b/>
          <w:sz w:val="24"/>
        </w:rPr>
        <w:t>of </w:t>
      </w:r>
      <w:r>
        <w:rPr>
          <w:b/>
          <w:spacing w:val="-2"/>
          <w:sz w:val="24"/>
        </w:rPr>
        <w:t>respondents</w:t>
      </w:r>
    </w:p>
    <w:p>
      <w:pPr>
        <w:pStyle w:val="BodyText"/>
        <w:spacing w:before="158"/>
        <w:rPr>
          <w:b/>
        </w:rPr>
      </w:pPr>
    </w:p>
    <w:p>
      <w:pPr>
        <w:pStyle w:val="BodyText"/>
        <w:spacing w:line="360" w:lineRule="auto" w:before="1"/>
        <w:ind w:left="399" w:right="1317"/>
        <w:jc w:val="both"/>
      </w:pPr>
      <w:r>
        <w:rPr/>
        <w:t>Figure 5.2, as shown below indicates participants held diverse position in their respective organisations. Engineers were the most highly represented in the sample with 83 at 27.4% followed by builders with 79 at 26.1%. The next were supervisors with 76 at 25.1%. Employers were the least represented with 65 at 21%. This shows that respondents were made up of professionals and experts that can effectively contribute to total quality management in their various fields.</w:t>
      </w:r>
    </w:p>
    <w:p>
      <w:pPr>
        <w:pStyle w:val="BodyText"/>
        <w:spacing w:before="11"/>
        <w:rPr>
          <w:sz w:val="11"/>
        </w:rPr>
      </w:pPr>
      <w:r>
        <w:rPr/>
        <w:drawing>
          <wp:anchor distT="0" distB="0" distL="0" distR="0" allowOverlap="1" layoutInCell="1" locked="0" behindDoc="1" simplePos="0" relativeHeight="487613440">
            <wp:simplePos x="0" y="0"/>
            <wp:positionH relativeFrom="page">
              <wp:posOffset>914400</wp:posOffset>
            </wp:positionH>
            <wp:positionV relativeFrom="paragraph">
              <wp:posOffset>102588</wp:posOffset>
            </wp:positionV>
            <wp:extent cx="5566804" cy="1471326"/>
            <wp:effectExtent l="0" t="0" r="0" b="0"/>
            <wp:wrapTopAndBottom/>
            <wp:docPr id="282" name="Image 282" descr=""/>
            <wp:cNvGraphicFramePr>
              <a:graphicFrameLocks/>
            </wp:cNvGraphicFramePr>
            <a:graphic>
              <a:graphicData uri="http://schemas.openxmlformats.org/drawingml/2006/picture">
                <pic:pic>
                  <pic:nvPicPr>
                    <pic:cNvPr id="282" name="Image 282" descr=""/>
                    <pic:cNvPicPr/>
                  </pic:nvPicPr>
                  <pic:blipFill>
                    <a:blip r:embed="rId24" cstate="print"/>
                    <a:stretch>
                      <a:fillRect/>
                    </a:stretch>
                  </pic:blipFill>
                  <pic:spPr>
                    <a:xfrm>
                      <a:off x="0" y="0"/>
                      <a:ext cx="5566804" cy="1471326"/>
                    </a:xfrm>
                    <a:prstGeom prst="rect">
                      <a:avLst/>
                    </a:prstGeom>
                  </pic:spPr>
                </pic:pic>
              </a:graphicData>
            </a:graphic>
          </wp:anchor>
        </w:drawing>
      </w:r>
    </w:p>
    <w:p>
      <w:pPr>
        <w:pStyle w:val="BodyText"/>
        <w:spacing w:before="29"/>
      </w:pPr>
    </w:p>
    <w:p>
      <w:pPr>
        <w:pStyle w:val="BodyText"/>
        <w:tabs>
          <w:tab w:pos="2814" w:val="left" w:leader="none"/>
          <w:tab w:pos="4554" w:val="left" w:leader="none"/>
          <w:tab w:pos="6135" w:val="left" w:leader="none"/>
        </w:tabs>
        <w:ind w:left="1028"/>
        <w:rPr>
          <w:b/>
        </w:rPr>
      </w:pPr>
      <w:r>
        <w:rPr>
          <w:spacing w:val="-2"/>
        </w:rPr>
        <w:t>Employer</w:t>
      </w:r>
      <w:r>
        <w:rPr/>
        <w:tab/>
      </w:r>
      <w:r>
        <w:rPr>
          <w:spacing w:val="-2"/>
        </w:rPr>
        <w:t>Builder</w:t>
      </w:r>
      <w:r>
        <w:rPr/>
        <w:tab/>
      </w:r>
      <w:r>
        <w:rPr>
          <w:spacing w:val="-2"/>
        </w:rPr>
        <w:t>Supervisor</w:t>
      </w:r>
      <w:r>
        <w:rPr/>
        <w:tab/>
      </w:r>
      <w:r>
        <w:rPr>
          <w:spacing w:val="-2"/>
        </w:rPr>
        <w:t>Engine</w:t>
      </w:r>
      <w:r>
        <w:rPr>
          <w:b/>
          <w:spacing w:val="-2"/>
        </w:rPr>
        <w:t>er</w:t>
      </w:r>
    </w:p>
    <w:p>
      <w:pPr>
        <w:pStyle w:val="BodyText"/>
        <w:spacing w:before="53"/>
        <w:rPr>
          <w:b/>
        </w:rPr>
      </w:pPr>
    </w:p>
    <w:p>
      <w:pPr>
        <w:pStyle w:val="Heading2"/>
        <w:tabs>
          <w:tab w:pos="1839" w:val="left" w:leader="none"/>
        </w:tabs>
        <w:spacing w:line="276" w:lineRule="auto"/>
        <w:ind w:right="6398"/>
        <w:jc w:val="left"/>
      </w:pPr>
      <w:r>
        <w:rPr/>
        <w:t>Figure: 5.2</w:t>
        <w:tab/>
        <w:t>Designation</w:t>
      </w:r>
      <w:r>
        <w:rPr>
          <w:spacing w:val="-15"/>
        </w:rPr>
        <w:t> </w:t>
      </w:r>
      <w:r>
        <w:rPr/>
        <w:t>of</w:t>
      </w:r>
      <w:r>
        <w:rPr>
          <w:spacing w:val="-15"/>
        </w:rPr>
        <w:t> </w:t>
      </w:r>
      <w:r>
        <w:rPr/>
        <w:t>Respondents Source: Researcher’s field survey (2018)</w:t>
      </w:r>
    </w:p>
    <w:p>
      <w:pPr>
        <w:spacing w:after="0" w:line="276" w:lineRule="auto"/>
        <w:jc w:val="left"/>
        <w:sectPr>
          <w:pgSz w:w="12240" w:h="15840"/>
          <w:pgMar w:header="0" w:footer="1017" w:top="1360" w:bottom="1200" w:left="1040" w:right="120"/>
        </w:sectPr>
      </w:pPr>
    </w:p>
    <w:p>
      <w:pPr>
        <w:pStyle w:val="ListParagraph"/>
        <w:numPr>
          <w:ilvl w:val="2"/>
          <w:numId w:val="39"/>
        </w:numPr>
        <w:tabs>
          <w:tab w:pos="1120" w:val="left" w:leader="none"/>
        </w:tabs>
        <w:spacing w:line="240" w:lineRule="auto" w:before="76" w:after="0"/>
        <w:ind w:left="1120" w:right="0" w:hanging="600"/>
        <w:jc w:val="left"/>
        <w:rPr>
          <w:b/>
          <w:sz w:val="24"/>
        </w:rPr>
      </w:pPr>
      <w:r>
        <w:rPr>
          <w:b/>
          <w:sz w:val="24"/>
        </w:rPr>
        <w:t>Work</w:t>
      </w:r>
      <w:r>
        <w:rPr>
          <w:b/>
          <w:spacing w:val="-2"/>
          <w:sz w:val="24"/>
        </w:rPr>
        <w:t> </w:t>
      </w:r>
      <w:r>
        <w:rPr>
          <w:b/>
          <w:sz w:val="24"/>
        </w:rPr>
        <w:t>experience</w:t>
      </w:r>
      <w:r>
        <w:rPr>
          <w:b/>
          <w:spacing w:val="-3"/>
          <w:sz w:val="24"/>
        </w:rPr>
        <w:t> </w:t>
      </w:r>
      <w:r>
        <w:rPr>
          <w:b/>
          <w:sz w:val="24"/>
        </w:rPr>
        <w:t>of</w:t>
      </w:r>
      <w:r>
        <w:rPr>
          <w:b/>
          <w:spacing w:val="-1"/>
          <w:sz w:val="24"/>
        </w:rPr>
        <w:t> </w:t>
      </w:r>
      <w:r>
        <w:rPr>
          <w:b/>
          <w:spacing w:val="-2"/>
          <w:sz w:val="24"/>
        </w:rPr>
        <w:t>respondents</w:t>
      </w:r>
    </w:p>
    <w:p>
      <w:pPr>
        <w:pStyle w:val="BodyText"/>
        <w:spacing w:before="115"/>
        <w:rPr>
          <w:b/>
        </w:rPr>
      </w:pPr>
    </w:p>
    <w:p>
      <w:pPr>
        <w:pStyle w:val="BodyText"/>
        <w:spacing w:before="1"/>
        <w:ind w:left="400"/>
        <w:jc w:val="both"/>
      </w:pPr>
      <w:r>
        <w:rPr/>
        <w:t>As</w:t>
      </w:r>
      <w:r>
        <w:rPr>
          <w:spacing w:val="29"/>
        </w:rPr>
        <w:t> </w:t>
      </w:r>
      <w:r>
        <w:rPr/>
        <w:t>the</w:t>
      </w:r>
      <w:r>
        <w:rPr>
          <w:spacing w:val="31"/>
        </w:rPr>
        <w:t> </w:t>
      </w:r>
      <w:r>
        <w:rPr/>
        <w:t>Figure</w:t>
      </w:r>
      <w:r>
        <w:rPr>
          <w:spacing w:val="30"/>
        </w:rPr>
        <w:t> </w:t>
      </w:r>
      <w:r>
        <w:rPr/>
        <w:t>5.3</w:t>
      </w:r>
      <w:r>
        <w:rPr>
          <w:spacing w:val="32"/>
        </w:rPr>
        <w:t> </w:t>
      </w:r>
      <w:r>
        <w:rPr/>
        <w:t>indicates,</w:t>
      </w:r>
      <w:r>
        <w:rPr>
          <w:spacing w:val="32"/>
        </w:rPr>
        <w:t> </w:t>
      </w:r>
      <w:r>
        <w:rPr/>
        <w:t>that</w:t>
      </w:r>
      <w:r>
        <w:rPr>
          <w:spacing w:val="32"/>
        </w:rPr>
        <w:t> </w:t>
      </w:r>
      <w:r>
        <w:rPr/>
        <w:t>94</w:t>
      </w:r>
      <w:r>
        <w:rPr>
          <w:spacing w:val="32"/>
        </w:rPr>
        <w:t> </w:t>
      </w:r>
      <w:r>
        <w:rPr/>
        <w:t>respondents</w:t>
      </w:r>
      <w:r>
        <w:rPr>
          <w:spacing w:val="30"/>
        </w:rPr>
        <w:t> </w:t>
      </w:r>
      <w:r>
        <w:rPr/>
        <w:t>representing</w:t>
      </w:r>
      <w:r>
        <w:rPr>
          <w:spacing w:val="29"/>
        </w:rPr>
        <w:t> </w:t>
      </w:r>
      <w:r>
        <w:rPr/>
        <w:t>31%</w:t>
      </w:r>
      <w:r>
        <w:rPr>
          <w:spacing w:val="31"/>
        </w:rPr>
        <w:t> </w:t>
      </w:r>
      <w:r>
        <w:rPr/>
        <w:t>have</w:t>
      </w:r>
      <w:r>
        <w:rPr>
          <w:spacing w:val="31"/>
        </w:rPr>
        <w:t> </w:t>
      </w:r>
      <w:r>
        <w:rPr/>
        <w:t>worked</w:t>
      </w:r>
      <w:r>
        <w:rPr>
          <w:spacing w:val="31"/>
        </w:rPr>
        <w:t> </w:t>
      </w:r>
      <w:r>
        <w:rPr/>
        <w:t>between</w:t>
      </w:r>
      <w:r>
        <w:rPr>
          <w:spacing w:val="32"/>
        </w:rPr>
        <w:t> </w:t>
      </w:r>
      <w:r>
        <w:rPr/>
        <w:t>1-</w:t>
      </w:r>
      <w:r>
        <w:rPr>
          <w:spacing w:val="32"/>
        </w:rPr>
        <w:t> </w:t>
      </w:r>
      <w:r>
        <w:rPr>
          <w:spacing w:val="-10"/>
        </w:rPr>
        <w:t>5</w:t>
      </w:r>
    </w:p>
    <w:p>
      <w:pPr>
        <w:pStyle w:val="BodyText"/>
      </w:pPr>
    </w:p>
    <w:p>
      <w:pPr>
        <w:pStyle w:val="BodyText"/>
        <w:ind w:left="399"/>
        <w:jc w:val="both"/>
      </w:pPr>
      <w:r>
        <w:rPr/>
        <w:t>years,</w:t>
      </w:r>
      <w:r>
        <w:rPr>
          <w:spacing w:val="54"/>
        </w:rPr>
        <w:t> </w:t>
      </w:r>
      <w:r>
        <w:rPr/>
        <w:t>79</w:t>
      </w:r>
      <w:r>
        <w:rPr>
          <w:spacing w:val="54"/>
        </w:rPr>
        <w:t> </w:t>
      </w:r>
      <w:r>
        <w:rPr/>
        <w:t>of</w:t>
      </w:r>
      <w:r>
        <w:rPr>
          <w:spacing w:val="51"/>
        </w:rPr>
        <w:t> </w:t>
      </w:r>
      <w:r>
        <w:rPr/>
        <w:t>them</w:t>
      </w:r>
      <w:r>
        <w:rPr>
          <w:spacing w:val="55"/>
        </w:rPr>
        <w:t> </w:t>
      </w:r>
      <w:r>
        <w:rPr/>
        <w:t>representing</w:t>
      </w:r>
      <w:r>
        <w:rPr>
          <w:spacing w:val="49"/>
        </w:rPr>
        <w:t> </w:t>
      </w:r>
      <w:r>
        <w:rPr/>
        <w:t>26.1%</w:t>
      </w:r>
      <w:r>
        <w:rPr>
          <w:spacing w:val="51"/>
        </w:rPr>
        <w:t> </w:t>
      </w:r>
      <w:r>
        <w:rPr/>
        <w:t>have</w:t>
      </w:r>
      <w:r>
        <w:rPr>
          <w:spacing w:val="54"/>
        </w:rPr>
        <w:t> </w:t>
      </w:r>
      <w:r>
        <w:rPr/>
        <w:t>worked</w:t>
      </w:r>
      <w:r>
        <w:rPr>
          <w:spacing w:val="51"/>
        </w:rPr>
        <w:t> </w:t>
      </w:r>
      <w:r>
        <w:rPr/>
        <w:t>between</w:t>
      </w:r>
      <w:r>
        <w:rPr>
          <w:spacing w:val="54"/>
        </w:rPr>
        <w:t> </w:t>
      </w:r>
      <w:r>
        <w:rPr/>
        <w:t>6</w:t>
      </w:r>
      <w:r>
        <w:rPr>
          <w:spacing w:val="51"/>
        </w:rPr>
        <w:t> </w:t>
      </w:r>
      <w:r>
        <w:rPr/>
        <w:t>to</w:t>
      </w:r>
      <w:r>
        <w:rPr>
          <w:spacing w:val="55"/>
        </w:rPr>
        <w:t> </w:t>
      </w:r>
      <w:r>
        <w:rPr/>
        <w:t>10</w:t>
      </w:r>
      <w:r>
        <w:rPr>
          <w:spacing w:val="54"/>
        </w:rPr>
        <w:t> </w:t>
      </w:r>
      <w:r>
        <w:rPr/>
        <w:t>years,</w:t>
      </w:r>
      <w:r>
        <w:rPr>
          <w:spacing w:val="54"/>
        </w:rPr>
        <w:t> </w:t>
      </w:r>
      <w:r>
        <w:rPr/>
        <w:t>67</w:t>
      </w:r>
      <w:r>
        <w:rPr>
          <w:spacing w:val="52"/>
        </w:rPr>
        <w:t> </w:t>
      </w:r>
      <w:r>
        <w:rPr>
          <w:spacing w:val="-2"/>
        </w:rPr>
        <w:t>respondents</w:t>
      </w:r>
    </w:p>
    <w:p>
      <w:pPr>
        <w:pStyle w:val="BodyText"/>
      </w:pPr>
    </w:p>
    <w:p>
      <w:pPr>
        <w:pStyle w:val="BodyText"/>
        <w:spacing w:line="480" w:lineRule="auto"/>
        <w:ind w:left="399" w:right="1315"/>
        <w:jc w:val="both"/>
      </w:pPr>
      <w:r>
        <w:rPr/>
        <w:t>representing 22.1% have worked between 11-15 years and 36 respondents representing 11.9% have worked between 16-29 years, while 27 respondents, representing 8.9% have worked over</w:t>
      </w:r>
      <w:r>
        <w:rPr>
          <w:spacing w:val="40"/>
        </w:rPr>
        <w:t> </w:t>
      </w:r>
      <w:r>
        <w:rPr/>
        <w:t>20</w:t>
      </w:r>
      <w:r>
        <w:rPr>
          <w:spacing w:val="-1"/>
        </w:rPr>
        <w:t> </w:t>
      </w:r>
      <w:r>
        <w:rPr/>
        <w:t>years.</w:t>
      </w:r>
      <w:r>
        <w:rPr>
          <w:spacing w:val="-1"/>
        </w:rPr>
        <w:t> </w:t>
      </w:r>
      <w:r>
        <w:rPr/>
        <w:t>The</w:t>
      </w:r>
      <w:r>
        <w:rPr>
          <w:spacing w:val="-4"/>
        </w:rPr>
        <w:t> </w:t>
      </w:r>
      <w:r>
        <w:rPr/>
        <w:t>trend</w:t>
      </w:r>
      <w:r>
        <w:rPr>
          <w:spacing w:val="-3"/>
        </w:rPr>
        <w:t> </w:t>
      </w:r>
      <w:r>
        <w:rPr/>
        <w:t>therefore,</w:t>
      </w:r>
      <w:r>
        <w:rPr>
          <w:spacing w:val="-3"/>
        </w:rPr>
        <w:t> </w:t>
      </w:r>
      <w:r>
        <w:rPr/>
        <w:t>shows</w:t>
      </w:r>
      <w:r>
        <w:rPr>
          <w:spacing w:val="-1"/>
        </w:rPr>
        <w:t> </w:t>
      </w:r>
      <w:r>
        <w:rPr/>
        <w:t>that</w:t>
      </w:r>
      <w:r>
        <w:rPr>
          <w:spacing w:val="-3"/>
        </w:rPr>
        <w:t> </w:t>
      </w:r>
      <w:r>
        <w:rPr/>
        <w:t>majority</w:t>
      </w:r>
      <w:r>
        <w:rPr>
          <w:spacing w:val="-5"/>
        </w:rPr>
        <w:t> </w:t>
      </w:r>
      <w:r>
        <w:rPr/>
        <w:t>of</w:t>
      </w:r>
      <w:r>
        <w:rPr>
          <w:spacing w:val="-4"/>
        </w:rPr>
        <w:t> </w:t>
      </w:r>
      <w:r>
        <w:rPr/>
        <w:t>the</w:t>
      </w:r>
      <w:r>
        <w:rPr>
          <w:spacing w:val="-2"/>
        </w:rPr>
        <w:t> </w:t>
      </w:r>
      <w:r>
        <w:rPr/>
        <w:t>respondents</w:t>
      </w:r>
      <w:r>
        <w:rPr>
          <w:spacing w:val="-1"/>
        </w:rPr>
        <w:t> </w:t>
      </w:r>
      <w:r>
        <w:rPr/>
        <w:t>are</w:t>
      </w:r>
      <w:r>
        <w:rPr>
          <w:spacing w:val="-2"/>
        </w:rPr>
        <w:t> </w:t>
      </w:r>
      <w:r>
        <w:rPr/>
        <w:t>experienced</w:t>
      </w:r>
      <w:r>
        <w:rPr>
          <w:spacing w:val="-3"/>
        </w:rPr>
        <w:t> </w:t>
      </w:r>
      <w:r>
        <w:rPr/>
        <w:t>and</w:t>
      </w:r>
      <w:r>
        <w:rPr>
          <w:spacing w:val="-1"/>
        </w:rPr>
        <w:t> </w:t>
      </w:r>
      <w:r>
        <w:rPr/>
        <w:t>as</w:t>
      </w:r>
      <w:r>
        <w:rPr>
          <w:spacing w:val="-3"/>
        </w:rPr>
        <w:t> </w:t>
      </w:r>
      <w:r>
        <w:rPr/>
        <w:t>such can provide informed opinion about the subject matter.</w:t>
      </w: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1" simplePos="0" relativeHeight="487613952">
            <wp:simplePos x="0" y="0"/>
            <wp:positionH relativeFrom="page">
              <wp:posOffset>914399</wp:posOffset>
            </wp:positionH>
            <wp:positionV relativeFrom="paragraph">
              <wp:posOffset>164062</wp:posOffset>
            </wp:positionV>
            <wp:extent cx="5614670" cy="2468880"/>
            <wp:effectExtent l="0" t="0" r="0" b="0"/>
            <wp:wrapTopAndBottom/>
            <wp:docPr id="283" name="Image 283" descr=""/>
            <wp:cNvGraphicFramePr>
              <a:graphicFrameLocks/>
            </wp:cNvGraphicFramePr>
            <a:graphic>
              <a:graphicData uri="http://schemas.openxmlformats.org/drawingml/2006/picture">
                <pic:pic>
                  <pic:nvPicPr>
                    <pic:cNvPr id="283" name="Image 283" descr=""/>
                    <pic:cNvPicPr/>
                  </pic:nvPicPr>
                  <pic:blipFill>
                    <a:blip r:embed="rId25" cstate="print"/>
                    <a:stretch>
                      <a:fillRect/>
                    </a:stretch>
                  </pic:blipFill>
                  <pic:spPr>
                    <a:xfrm>
                      <a:off x="0" y="0"/>
                      <a:ext cx="5614670" cy="2468880"/>
                    </a:xfrm>
                    <a:prstGeom prst="rect">
                      <a:avLst/>
                    </a:prstGeom>
                  </pic:spPr>
                </pic:pic>
              </a:graphicData>
            </a:graphic>
          </wp:anchor>
        </w:drawing>
      </w:r>
    </w:p>
    <w:p>
      <w:pPr>
        <w:pStyle w:val="BodyText"/>
        <w:spacing w:before="160"/>
      </w:pPr>
    </w:p>
    <w:p>
      <w:pPr>
        <w:pStyle w:val="Heading2"/>
        <w:spacing w:line="276" w:lineRule="auto"/>
        <w:ind w:right="5986"/>
        <w:jc w:val="left"/>
      </w:pPr>
      <w:r>
        <w:rPr/>
        <w:t>Figure:</w:t>
      </w:r>
      <w:r>
        <w:rPr>
          <w:spacing w:val="-9"/>
        </w:rPr>
        <w:t> </w:t>
      </w:r>
      <w:r>
        <w:rPr/>
        <w:t>5.3</w:t>
      </w:r>
      <w:r>
        <w:rPr>
          <w:spacing w:val="-8"/>
        </w:rPr>
        <w:t> </w:t>
      </w:r>
      <w:r>
        <w:rPr/>
        <w:t>Work</w:t>
      </w:r>
      <w:r>
        <w:rPr>
          <w:spacing w:val="-8"/>
        </w:rPr>
        <w:t> </w:t>
      </w:r>
      <w:r>
        <w:rPr/>
        <w:t>Experience</w:t>
      </w:r>
      <w:r>
        <w:rPr>
          <w:spacing w:val="-9"/>
        </w:rPr>
        <w:t> </w:t>
      </w:r>
      <w:r>
        <w:rPr/>
        <w:t>of</w:t>
      </w:r>
      <w:r>
        <w:rPr>
          <w:spacing w:val="-7"/>
        </w:rPr>
        <w:t> </w:t>
      </w:r>
      <w:r>
        <w:rPr/>
        <w:t>Respondents Source: Researcher’s field survey (2018)</w:t>
      </w:r>
    </w:p>
    <w:p>
      <w:pPr>
        <w:pStyle w:val="BodyText"/>
        <w:spacing w:before="112"/>
        <w:rPr>
          <w:b/>
        </w:rPr>
      </w:pPr>
    </w:p>
    <w:p>
      <w:pPr>
        <w:pStyle w:val="ListParagraph"/>
        <w:numPr>
          <w:ilvl w:val="2"/>
          <w:numId w:val="39"/>
        </w:numPr>
        <w:tabs>
          <w:tab w:pos="1119" w:val="left" w:leader="none"/>
        </w:tabs>
        <w:spacing w:line="240" w:lineRule="auto" w:before="0" w:after="0"/>
        <w:ind w:left="1119" w:right="0" w:hanging="719"/>
        <w:jc w:val="left"/>
        <w:rPr>
          <w:b/>
          <w:sz w:val="24"/>
        </w:rPr>
      </w:pPr>
      <w:r>
        <w:rPr>
          <w:b/>
          <w:sz w:val="24"/>
        </w:rPr>
        <w:t>Qualification</w:t>
      </w:r>
      <w:r>
        <w:rPr>
          <w:b/>
          <w:spacing w:val="-2"/>
          <w:sz w:val="24"/>
        </w:rPr>
        <w:t> </w:t>
      </w:r>
      <w:r>
        <w:rPr>
          <w:b/>
          <w:sz w:val="24"/>
        </w:rPr>
        <w:t>of</w:t>
      </w:r>
      <w:r>
        <w:rPr>
          <w:b/>
          <w:spacing w:val="-2"/>
          <w:sz w:val="24"/>
        </w:rPr>
        <w:t> respondents</w:t>
      </w:r>
    </w:p>
    <w:p>
      <w:pPr>
        <w:pStyle w:val="BodyText"/>
        <w:spacing w:before="156"/>
        <w:rPr>
          <w:b/>
        </w:rPr>
      </w:pPr>
    </w:p>
    <w:p>
      <w:pPr>
        <w:pStyle w:val="BodyText"/>
        <w:spacing w:line="480" w:lineRule="auto"/>
        <w:ind w:left="400" w:right="1319"/>
        <w:jc w:val="both"/>
      </w:pPr>
      <w:r>
        <w:rPr/>
        <w:t>In terms of their academic qualification, the Figure 5.4 below shows that majority of the respondents (127) representing 41.9% have Bachelor’s (first) degrees, followed by 79 (26.1%) who have M.Sc. The next is 62 (20.5%) who have Higher National Diplomas followed by 33 (10.9%)</w:t>
      </w:r>
      <w:r>
        <w:rPr>
          <w:spacing w:val="7"/>
        </w:rPr>
        <w:t> </w:t>
      </w:r>
      <w:r>
        <w:rPr/>
        <w:t>who</w:t>
      </w:r>
      <w:r>
        <w:rPr>
          <w:spacing w:val="11"/>
        </w:rPr>
        <w:t> </w:t>
      </w:r>
      <w:r>
        <w:rPr/>
        <w:t>have</w:t>
      </w:r>
      <w:r>
        <w:rPr>
          <w:spacing w:val="10"/>
        </w:rPr>
        <w:t> </w:t>
      </w:r>
      <w:r>
        <w:rPr/>
        <w:t>other</w:t>
      </w:r>
      <w:r>
        <w:rPr>
          <w:spacing w:val="10"/>
        </w:rPr>
        <w:t> </w:t>
      </w:r>
      <w:r>
        <w:rPr/>
        <w:t>qualifications.</w:t>
      </w:r>
      <w:r>
        <w:rPr>
          <w:spacing w:val="10"/>
        </w:rPr>
        <w:t> </w:t>
      </w:r>
      <w:r>
        <w:rPr/>
        <w:t>However,</w:t>
      </w:r>
      <w:r>
        <w:rPr>
          <w:spacing w:val="11"/>
        </w:rPr>
        <w:t> </w:t>
      </w:r>
      <w:r>
        <w:rPr/>
        <w:t>2</w:t>
      </w:r>
      <w:r>
        <w:rPr>
          <w:spacing w:val="11"/>
        </w:rPr>
        <w:t> </w:t>
      </w:r>
      <w:r>
        <w:rPr/>
        <w:t>respondents</w:t>
      </w:r>
      <w:r>
        <w:rPr>
          <w:spacing w:val="10"/>
        </w:rPr>
        <w:t> </w:t>
      </w:r>
      <w:r>
        <w:rPr/>
        <w:t>representing</w:t>
      </w:r>
      <w:r>
        <w:rPr>
          <w:spacing w:val="8"/>
        </w:rPr>
        <w:t> </w:t>
      </w:r>
      <w:r>
        <w:rPr/>
        <w:t>0.7%</w:t>
      </w:r>
      <w:r>
        <w:rPr>
          <w:spacing w:val="10"/>
        </w:rPr>
        <w:t> </w:t>
      </w:r>
      <w:r>
        <w:rPr/>
        <w:t>have</w:t>
      </w:r>
      <w:r>
        <w:rPr>
          <w:spacing w:val="10"/>
        </w:rPr>
        <w:t> </w:t>
      </w:r>
      <w:r>
        <w:rPr/>
        <w:t>a</w:t>
      </w:r>
      <w:r>
        <w:rPr>
          <w:spacing w:val="10"/>
        </w:rPr>
        <w:t> </w:t>
      </w:r>
      <w:r>
        <w:rPr>
          <w:spacing w:val="-2"/>
        </w:rPr>
        <w:t>Ph.D.</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Generally, the above scenario reflects the level of education, albeit the reasoning ability of the respondents, which is considered impressive, above average and will be pertinent for the total quality management issue under study.</w:t>
      </w:r>
    </w:p>
    <w:p>
      <w:pPr>
        <w:pStyle w:val="BodyText"/>
        <w:spacing w:before="97"/>
        <w:rPr>
          <w:sz w:val="20"/>
        </w:rPr>
      </w:pPr>
      <w:r>
        <w:rPr/>
        <w:drawing>
          <wp:anchor distT="0" distB="0" distL="0" distR="0" allowOverlap="1" layoutInCell="1" locked="0" behindDoc="1" simplePos="0" relativeHeight="487614464">
            <wp:simplePos x="0" y="0"/>
            <wp:positionH relativeFrom="page">
              <wp:posOffset>914399</wp:posOffset>
            </wp:positionH>
            <wp:positionV relativeFrom="paragraph">
              <wp:posOffset>222973</wp:posOffset>
            </wp:positionV>
            <wp:extent cx="5510529" cy="2255520"/>
            <wp:effectExtent l="0" t="0" r="0" b="0"/>
            <wp:wrapTopAndBottom/>
            <wp:docPr id="284" name="Image 284" descr=""/>
            <wp:cNvGraphicFramePr>
              <a:graphicFrameLocks/>
            </wp:cNvGraphicFramePr>
            <a:graphic>
              <a:graphicData uri="http://schemas.openxmlformats.org/drawingml/2006/picture">
                <pic:pic>
                  <pic:nvPicPr>
                    <pic:cNvPr id="284" name="Image 284" descr=""/>
                    <pic:cNvPicPr/>
                  </pic:nvPicPr>
                  <pic:blipFill>
                    <a:blip r:embed="rId26" cstate="print"/>
                    <a:stretch>
                      <a:fillRect/>
                    </a:stretch>
                  </pic:blipFill>
                  <pic:spPr>
                    <a:xfrm>
                      <a:off x="0" y="0"/>
                      <a:ext cx="5510529" cy="2255520"/>
                    </a:xfrm>
                    <a:prstGeom prst="rect">
                      <a:avLst/>
                    </a:prstGeom>
                  </pic:spPr>
                </pic:pic>
              </a:graphicData>
            </a:graphic>
          </wp:anchor>
        </w:drawing>
      </w:r>
    </w:p>
    <w:p>
      <w:pPr>
        <w:pStyle w:val="BodyText"/>
        <w:spacing w:before="20"/>
      </w:pPr>
    </w:p>
    <w:p>
      <w:pPr>
        <w:pStyle w:val="Heading2"/>
        <w:tabs>
          <w:tab w:pos="1839" w:val="left" w:leader="none"/>
        </w:tabs>
        <w:spacing w:line="360" w:lineRule="auto" w:before="1"/>
        <w:ind w:right="6264"/>
        <w:jc w:val="left"/>
      </w:pPr>
      <w:r>
        <w:rPr/>
        <w:t>Figure 5.4</w:t>
        <w:tab/>
        <w:t>Qualification</w:t>
      </w:r>
      <w:r>
        <w:rPr>
          <w:spacing w:val="-15"/>
        </w:rPr>
        <w:t> </w:t>
      </w:r>
      <w:r>
        <w:rPr/>
        <w:t>of</w:t>
      </w:r>
      <w:r>
        <w:rPr>
          <w:spacing w:val="-15"/>
        </w:rPr>
        <w:t> </w:t>
      </w:r>
      <w:r>
        <w:rPr/>
        <w:t>Respondents Source: Researcher’s field survey (2018)</w:t>
      </w:r>
    </w:p>
    <w:p>
      <w:pPr>
        <w:pStyle w:val="ListParagraph"/>
        <w:numPr>
          <w:ilvl w:val="2"/>
          <w:numId w:val="39"/>
        </w:numPr>
        <w:tabs>
          <w:tab w:pos="1119" w:val="left" w:leader="none"/>
        </w:tabs>
        <w:spacing w:line="240" w:lineRule="auto" w:before="273" w:after="0"/>
        <w:ind w:left="1119" w:right="0" w:hanging="719"/>
        <w:jc w:val="left"/>
        <w:rPr>
          <w:b/>
          <w:sz w:val="24"/>
        </w:rPr>
      </w:pPr>
      <w:r>
        <w:rPr>
          <w:b/>
          <w:sz w:val="24"/>
        </w:rPr>
        <w:t>No</w:t>
      </w:r>
      <w:r>
        <w:rPr>
          <w:b/>
          <w:spacing w:val="-2"/>
          <w:sz w:val="24"/>
        </w:rPr>
        <w:t> </w:t>
      </w:r>
      <w:r>
        <w:rPr>
          <w:b/>
          <w:sz w:val="24"/>
        </w:rPr>
        <w:t>of Employees</w:t>
      </w:r>
      <w:r>
        <w:rPr>
          <w:b/>
          <w:spacing w:val="-2"/>
          <w:sz w:val="24"/>
        </w:rPr>
        <w:t> </w:t>
      </w:r>
      <w:r>
        <w:rPr>
          <w:b/>
          <w:sz w:val="24"/>
        </w:rPr>
        <w:t>in</w:t>
      </w:r>
      <w:r>
        <w:rPr>
          <w:b/>
          <w:spacing w:val="-1"/>
          <w:sz w:val="24"/>
        </w:rPr>
        <w:t> </w:t>
      </w:r>
      <w:r>
        <w:rPr>
          <w:b/>
          <w:sz w:val="24"/>
        </w:rPr>
        <w:t>your</w:t>
      </w:r>
      <w:r>
        <w:rPr>
          <w:b/>
          <w:spacing w:val="-2"/>
          <w:sz w:val="24"/>
        </w:rPr>
        <w:t> </w:t>
      </w:r>
      <w:r>
        <w:rPr>
          <w:b/>
          <w:spacing w:val="-4"/>
          <w:sz w:val="24"/>
        </w:rPr>
        <w:t>firm</w:t>
      </w:r>
    </w:p>
    <w:p>
      <w:pPr>
        <w:pStyle w:val="BodyText"/>
        <w:spacing w:before="156"/>
        <w:rPr>
          <w:b/>
        </w:rPr>
      </w:pPr>
    </w:p>
    <w:p>
      <w:pPr>
        <w:pStyle w:val="BodyText"/>
        <w:ind w:left="400"/>
      </w:pPr>
      <w:r>
        <w:rPr/>
        <w:t>As</w:t>
      </w:r>
      <w:r>
        <w:rPr>
          <w:spacing w:val="64"/>
        </w:rPr>
        <w:t> </w:t>
      </w:r>
      <w:r>
        <w:rPr/>
        <w:t>the</w:t>
      </w:r>
      <w:r>
        <w:rPr>
          <w:spacing w:val="65"/>
        </w:rPr>
        <w:t> </w:t>
      </w:r>
      <w:r>
        <w:rPr/>
        <w:t>Figure</w:t>
      </w:r>
      <w:r>
        <w:rPr>
          <w:spacing w:val="65"/>
        </w:rPr>
        <w:t> </w:t>
      </w:r>
      <w:r>
        <w:rPr/>
        <w:t>5.5</w:t>
      </w:r>
      <w:r>
        <w:rPr>
          <w:spacing w:val="66"/>
        </w:rPr>
        <w:t> </w:t>
      </w:r>
      <w:r>
        <w:rPr/>
        <w:t>indicates,</w:t>
      </w:r>
      <w:r>
        <w:rPr>
          <w:spacing w:val="66"/>
        </w:rPr>
        <w:t> </w:t>
      </w:r>
      <w:r>
        <w:rPr/>
        <w:t>that</w:t>
      </w:r>
      <w:r>
        <w:rPr>
          <w:spacing w:val="66"/>
        </w:rPr>
        <w:t> </w:t>
      </w:r>
      <w:r>
        <w:rPr/>
        <w:t>106</w:t>
      </w:r>
      <w:r>
        <w:rPr>
          <w:spacing w:val="66"/>
        </w:rPr>
        <w:t> </w:t>
      </w:r>
      <w:r>
        <w:rPr/>
        <w:t>respondents</w:t>
      </w:r>
      <w:r>
        <w:rPr>
          <w:spacing w:val="66"/>
        </w:rPr>
        <w:t> </w:t>
      </w:r>
      <w:r>
        <w:rPr/>
        <w:t>representing</w:t>
      </w:r>
      <w:r>
        <w:rPr>
          <w:spacing w:val="66"/>
        </w:rPr>
        <w:t> </w:t>
      </w:r>
      <w:r>
        <w:rPr/>
        <w:t>35%</w:t>
      </w:r>
      <w:r>
        <w:rPr>
          <w:spacing w:val="67"/>
        </w:rPr>
        <w:t> </w:t>
      </w:r>
      <w:r>
        <w:rPr/>
        <w:t>have</w:t>
      </w:r>
      <w:r>
        <w:rPr>
          <w:spacing w:val="65"/>
        </w:rPr>
        <w:t> </w:t>
      </w:r>
      <w:r>
        <w:rPr/>
        <w:t>between</w:t>
      </w:r>
      <w:r>
        <w:rPr>
          <w:spacing w:val="66"/>
        </w:rPr>
        <w:t> </w:t>
      </w:r>
      <w:r>
        <w:rPr/>
        <w:t>10-</w:t>
      </w:r>
      <w:r>
        <w:rPr>
          <w:spacing w:val="66"/>
        </w:rPr>
        <w:t> </w:t>
      </w:r>
      <w:r>
        <w:rPr>
          <w:spacing w:val="-5"/>
        </w:rPr>
        <w:t>49</w:t>
      </w:r>
    </w:p>
    <w:p>
      <w:pPr>
        <w:pStyle w:val="BodyText"/>
      </w:pPr>
    </w:p>
    <w:p>
      <w:pPr>
        <w:pStyle w:val="BodyText"/>
        <w:ind w:left="400"/>
      </w:pPr>
      <w:r>
        <w:rPr/>
        <w:t>employees,</w:t>
      </w:r>
      <w:r>
        <w:rPr>
          <w:spacing w:val="67"/>
        </w:rPr>
        <w:t> </w:t>
      </w:r>
      <w:r>
        <w:rPr/>
        <w:t>97</w:t>
      </w:r>
      <w:r>
        <w:rPr>
          <w:spacing w:val="68"/>
        </w:rPr>
        <w:t> </w:t>
      </w:r>
      <w:r>
        <w:rPr/>
        <w:t>of</w:t>
      </w:r>
      <w:r>
        <w:rPr>
          <w:spacing w:val="67"/>
        </w:rPr>
        <w:t> </w:t>
      </w:r>
      <w:r>
        <w:rPr/>
        <w:t>them</w:t>
      </w:r>
      <w:r>
        <w:rPr>
          <w:spacing w:val="69"/>
        </w:rPr>
        <w:t> </w:t>
      </w:r>
      <w:r>
        <w:rPr/>
        <w:t>representing</w:t>
      </w:r>
      <w:r>
        <w:rPr>
          <w:spacing w:val="66"/>
        </w:rPr>
        <w:t> </w:t>
      </w:r>
      <w:r>
        <w:rPr/>
        <w:t>26.1%</w:t>
      </w:r>
      <w:r>
        <w:rPr>
          <w:spacing w:val="67"/>
        </w:rPr>
        <w:t> </w:t>
      </w:r>
      <w:r>
        <w:rPr/>
        <w:t>have</w:t>
      </w:r>
      <w:r>
        <w:rPr>
          <w:spacing w:val="66"/>
        </w:rPr>
        <w:t> </w:t>
      </w:r>
      <w:r>
        <w:rPr/>
        <w:t>between</w:t>
      </w:r>
      <w:r>
        <w:rPr>
          <w:spacing w:val="68"/>
        </w:rPr>
        <w:t> </w:t>
      </w:r>
      <w:r>
        <w:rPr/>
        <w:t>55</w:t>
      </w:r>
      <w:r>
        <w:rPr>
          <w:spacing w:val="68"/>
        </w:rPr>
        <w:t> </w:t>
      </w:r>
      <w:r>
        <w:rPr/>
        <w:t>to</w:t>
      </w:r>
      <w:r>
        <w:rPr>
          <w:spacing w:val="68"/>
        </w:rPr>
        <w:t> </w:t>
      </w:r>
      <w:r>
        <w:rPr/>
        <w:t>99</w:t>
      </w:r>
      <w:r>
        <w:rPr>
          <w:spacing w:val="68"/>
        </w:rPr>
        <w:t> </w:t>
      </w:r>
      <w:r>
        <w:rPr/>
        <w:t>years,</w:t>
      </w:r>
      <w:r>
        <w:rPr>
          <w:spacing w:val="68"/>
        </w:rPr>
        <w:t> </w:t>
      </w:r>
      <w:r>
        <w:rPr/>
        <w:t>54</w:t>
      </w:r>
      <w:r>
        <w:rPr>
          <w:spacing w:val="68"/>
        </w:rPr>
        <w:t> </w:t>
      </w:r>
      <w:r>
        <w:rPr>
          <w:spacing w:val="-2"/>
        </w:rPr>
        <w:t>respondents</w:t>
      </w:r>
    </w:p>
    <w:p>
      <w:pPr>
        <w:pStyle w:val="BodyText"/>
      </w:pPr>
    </w:p>
    <w:p>
      <w:pPr>
        <w:pStyle w:val="BodyText"/>
        <w:spacing w:line="480" w:lineRule="auto"/>
        <w:ind w:left="400" w:right="1319"/>
        <w:jc w:val="both"/>
      </w:pPr>
      <w:r>
        <w:rPr/>
        <w:t>representing 17.8% have between 150-199 years while 46 respondents representing 15.2% have worked between 100-149 years.</w:t>
      </w:r>
    </w:p>
    <w:p>
      <w:pPr>
        <w:pStyle w:val="BodyText"/>
        <w:spacing w:line="480" w:lineRule="auto" w:before="161"/>
        <w:ind w:left="400" w:right="1317"/>
        <w:jc w:val="both"/>
      </w:pPr>
      <w:r>
        <w:rPr/>
        <w:t>Following SMEDAN (2007), small-size companies have between 10- 49 employees while medium size companies have between 50- 199 employees. This shows that majority of the construction firms are medium size and this supports what Odediran </w:t>
      </w:r>
      <w:r>
        <w:rPr>
          <w:i/>
        </w:rPr>
        <w:t>et al</w:t>
      </w:r>
      <w:r>
        <w:rPr/>
        <w:t>.(2012) says that the majority of contracting firms in our construction industries were medium-size companies whose activities were limited to the locality.</w:t>
      </w:r>
    </w:p>
    <w:p>
      <w:pPr>
        <w:spacing w:after="0" w:line="480" w:lineRule="auto"/>
        <w:jc w:val="both"/>
        <w:sectPr>
          <w:pgSz w:w="12240" w:h="15840"/>
          <w:pgMar w:header="0" w:footer="1017" w:top="1360" w:bottom="1200" w:left="1040" w:right="120"/>
        </w:sectPr>
      </w:pPr>
    </w:p>
    <w:p>
      <w:pPr>
        <w:pStyle w:val="BodyText"/>
        <w:ind w:left="400"/>
        <w:rPr>
          <w:sz w:val="20"/>
        </w:rPr>
      </w:pPr>
      <w:r>
        <w:rPr>
          <w:sz w:val="20"/>
        </w:rPr>
        <w:drawing>
          <wp:inline distT="0" distB="0" distL="0" distR="0">
            <wp:extent cx="5569859" cy="2755392"/>
            <wp:effectExtent l="0" t="0" r="0" b="0"/>
            <wp:docPr id="285" name="Image 285" descr=""/>
            <wp:cNvGraphicFramePr>
              <a:graphicFrameLocks/>
            </wp:cNvGraphicFramePr>
            <a:graphic>
              <a:graphicData uri="http://schemas.openxmlformats.org/drawingml/2006/picture">
                <pic:pic>
                  <pic:nvPicPr>
                    <pic:cNvPr id="285" name="Image 285" descr=""/>
                    <pic:cNvPicPr/>
                  </pic:nvPicPr>
                  <pic:blipFill>
                    <a:blip r:embed="rId27" cstate="print"/>
                    <a:stretch>
                      <a:fillRect/>
                    </a:stretch>
                  </pic:blipFill>
                  <pic:spPr>
                    <a:xfrm>
                      <a:off x="0" y="0"/>
                      <a:ext cx="5569859" cy="2755392"/>
                    </a:xfrm>
                    <a:prstGeom prst="rect">
                      <a:avLst/>
                    </a:prstGeom>
                  </pic:spPr>
                </pic:pic>
              </a:graphicData>
            </a:graphic>
          </wp:inline>
        </w:drawing>
      </w:r>
      <w:r>
        <w:rPr>
          <w:sz w:val="20"/>
        </w:rPr>
      </w:r>
    </w:p>
    <w:p>
      <w:pPr>
        <w:pStyle w:val="BodyText"/>
        <w:spacing w:before="159"/>
      </w:pPr>
    </w:p>
    <w:p>
      <w:pPr>
        <w:pStyle w:val="Heading2"/>
        <w:spacing w:line="360" w:lineRule="auto"/>
        <w:ind w:right="6112"/>
        <w:jc w:val="left"/>
      </w:pPr>
      <w:r>
        <w:rPr/>
        <w:t>Figure:</w:t>
      </w:r>
      <w:r>
        <w:rPr>
          <w:spacing w:val="-6"/>
        </w:rPr>
        <w:t> </w:t>
      </w:r>
      <w:r>
        <w:rPr/>
        <w:t>5.5</w:t>
      </w:r>
      <w:r>
        <w:rPr>
          <w:spacing w:val="-5"/>
        </w:rPr>
        <w:t> </w:t>
      </w:r>
      <w:r>
        <w:rPr/>
        <w:t>No</w:t>
      </w:r>
      <w:r>
        <w:rPr>
          <w:spacing w:val="-6"/>
        </w:rPr>
        <w:t> </w:t>
      </w:r>
      <w:r>
        <w:rPr/>
        <w:t>of</w:t>
      </w:r>
      <w:r>
        <w:rPr>
          <w:spacing w:val="-5"/>
        </w:rPr>
        <w:t> </w:t>
      </w:r>
      <w:r>
        <w:rPr/>
        <w:t>Employees</w:t>
      </w:r>
      <w:r>
        <w:rPr>
          <w:spacing w:val="-5"/>
        </w:rPr>
        <w:t> </w:t>
      </w:r>
      <w:r>
        <w:rPr/>
        <w:t>in</w:t>
      </w:r>
      <w:r>
        <w:rPr>
          <w:spacing w:val="-6"/>
        </w:rPr>
        <w:t> </w:t>
      </w:r>
      <w:r>
        <w:rPr/>
        <w:t>your</w:t>
      </w:r>
      <w:r>
        <w:rPr>
          <w:spacing w:val="-6"/>
        </w:rPr>
        <w:t> </w:t>
      </w:r>
      <w:r>
        <w:rPr/>
        <w:t>firm Source: Researcher’s field survey (2018)</w:t>
      </w:r>
    </w:p>
    <w:p>
      <w:pPr>
        <w:pStyle w:val="BodyText"/>
        <w:spacing w:before="43"/>
        <w:rPr>
          <w:b/>
        </w:rPr>
      </w:pPr>
    </w:p>
    <w:p>
      <w:pPr>
        <w:pStyle w:val="ListParagraph"/>
        <w:numPr>
          <w:ilvl w:val="1"/>
          <w:numId w:val="40"/>
        </w:numPr>
        <w:tabs>
          <w:tab w:pos="820" w:val="left" w:leader="none"/>
        </w:tabs>
        <w:spacing w:line="240" w:lineRule="auto" w:before="0" w:after="0"/>
        <w:ind w:left="820" w:right="0" w:hanging="420"/>
        <w:jc w:val="both"/>
        <w:rPr>
          <w:b/>
          <w:sz w:val="24"/>
        </w:rPr>
      </w:pPr>
      <w:r>
        <w:rPr>
          <w:b/>
          <w:sz w:val="24"/>
        </w:rPr>
        <w:t>Questionnaire</w:t>
      </w:r>
      <w:r>
        <w:rPr>
          <w:b/>
          <w:spacing w:val="-5"/>
          <w:sz w:val="24"/>
        </w:rPr>
        <w:t> </w:t>
      </w:r>
      <w:r>
        <w:rPr>
          <w:b/>
          <w:sz w:val="24"/>
        </w:rPr>
        <w:t>Section</w:t>
      </w:r>
      <w:r>
        <w:rPr>
          <w:b/>
          <w:spacing w:val="-2"/>
          <w:sz w:val="24"/>
        </w:rPr>
        <w:t> </w:t>
      </w:r>
      <w:r>
        <w:rPr>
          <w:b/>
          <w:sz w:val="24"/>
        </w:rPr>
        <w:t>B:</w:t>
      </w:r>
      <w:r>
        <w:rPr>
          <w:b/>
          <w:spacing w:val="-3"/>
          <w:sz w:val="24"/>
        </w:rPr>
        <w:t> </w:t>
      </w:r>
      <w:r>
        <w:rPr>
          <w:b/>
          <w:sz w:val="24"/>
        </w:rPr>
        <w:t>Questions</w:t>
      </w:r>
      <w:r>
        <w:rPr>
          <w:b/>
          <w:spacing w:val="-2"/>
          <w:sz w:val="24"/>
        </w:rPr>
        <w:t> </w:t>
      </w:r>
      <w:r>
        <w:rPr>
          <w:b/>
          <w:sz w:val="24"/>
        </w:rPr>
        <w:t>Related</w:t>
      </w:r>
      <w:r>
        <w:rPr>
          <w:b/>
          <w:spacing w:val="-2"/>
          <w:sz w:val="24"/>
        </w:rPr>
        <w:t> </w:t>
      </w:r>
      <w:r>
        <w:rPr>
          <w:b/>
          <w:sz w:val="24"/>
        </w:rPr>
        <w:t>to</w:t>
      </w:r>
      <w:r>
        <w:rPr>
          <w:b/>
          <w:spacing w:val="-2"/>
          <w:sz w:val="24"/>
        </w:rPr>
        <w:t> </w:t>
      </w:r>
      <w:r>
        <w:rPr>
          <w:b/>
          <w:sz w:val="24"/>
        </w:rPr>
        <w:t>the</w:t>
      </w:r>
      <w:r>
        <w:rPr>
          <w:b/>
          <w:spacing w:val="-3"/>
          <w:sz w:val="24"/>
        </w:rPr>
        <w:t> </w:t>
      </w:r>
      <w:r>
        <w:rPr>
          <w:b/>
          <w:sz w:val="24"/>
        </w:rPr>
        <w:t>Concept</w:t>
      </w:r>
      <w:r>
        <w:rPr>
          <w:b/>
          <w:spacing w:val="-3"/>
          <w:sz w:val="24"/>
        </w:rPr>
        <w:t> </w:t>
      </w:r>
      <w:r>
        <w:rPr>
          <w:b/>
          <w:sz w:val="24"/>
        </w:rPr>
        <w:t>of </w:t>
      </w:r>
      <w:r>
        <w:rPr>
          <w:b/>
          <w:spacing w:val="-5"/>
          <w:sz w:val="24"/>
        </w:rPr>
        <w:t>TQM</w:t>
      </w:r>
    </w:p>
    <w:p>
      <w:pPr>
        <w:pStyle w:val="BodyText"/>
        <w:spacing w:line="480" w:lineRule="auto" w:before="271"/>
        <w:ind w:left="399" w:right="1317"/>
        <w:jc w:val="both"/>
      </w:pPr>
      <w:r>
        <w:rPr/>
        <w:t>The first objective of the study was to examine the perception of the concept of TQM by small and</w:t>
      </w:r>
      <w:r>
        <w:rPr>
          <w:spacing w:val="-2"/>
        </w:rPr>
        <w:t> </w:t>
      </w:r>
      <w:r>
        <w:rPr/>
        <w:t>medium</w:t>
      </w:r>
      <w:r>
        <w:rPr>
          <w:spacing w:val="-2"/>
        </w:rPr>
        <w:t> </w:t>
      </w:r>
      <w:r>
        <w:rPr/>
        <w:t>construction</w:t>
      </w:r>
      <w:r>
        <w:rPr>
          <w:spacing w:val="-2"/>
        </w:rPr>
        <w:t> </w:t>
      </w:r>
      <w:r>
        <w:rPr/>
        <w:t>firms</w:t>
      </w:r>
      <w:r>
        <w:rPr>
          <w:spacing w:val="-2"/>
        </w:rPr>
        <w:t> </w:t>
      </w:r>
      <w:r>
        <w:rPr/>
        <w:t>in</w:t>
      </w:r>
      <w:r>
        <w:rPr>
          <w:spacing w:val="-4"/>
        </w:rPr>
        <w:t> </w:t>
      </w:r>
      <w:r>
        <w:rPr/>
        <w:t>South-East</w:t>
      </w:r>
      <w:r>
        <w:rPr>
          <w:spacing w:val="-2"/>
        </w:rPr>
        <w:t> </w:t>
      </w:r>
      <w:r>
        <w:rPr/>
        <w:t>Nigeria.</w:t>
      </w:r>
      <w:r>
        <w:rPr>
          <w:spacing w:val="-2"/>
        </w:rPr>
        <w:t> </w:t>
      </w:r>
      <w:r>
        <w:rPr/>
        <w:t>To</w:t>
      </w:r>
      <w:r>
        <w:rPr>
          <w:spacing w:val="-2"/>
        </w:rPr>
        <w:t> </w:t>
      </w:r>
      <w:r>
        <w:rPr/>
        <w:t>realize</w:t>
      </w:r>
      <w:r>
        <w:rPr>
          <w:spacing w:val="-3"/>
        </w:rPr>
        <w:t> </w:t>
      </w:r>
      <w:r>
        <w:rPr/>
        <w:t>this</w:t>
      </w:r>
      <w:r>
        <w:rPr>
          <w:spacing w:val="-2"/>
        </w:rPr>
        <w:t> </w:t>
      </w:r>
      <w:r>
        <w:rPr/>
        <w:t>objective,</w:t>
      </w:r>
      <w:r>
        <w:rPr>
          <w:spacing w:val="-2"/>
        </w:rPr>
        <w:t> </w:t>
      </w:r>
      <w:r>
        <w:rPr/>
        <w:t>participants</w:t>
      </w:r>
      <w:r>
        <w:rPr>
          <w:spacing w:val="-2"/>
        </w:rPr>
        <w:t> </w:t>
      </w:r>
      <w:r>
        <w:rPr/>
        <w:t>were presented with a list of questions.</w:t>
      </w:r>
    </w:p>
    <w:p>
      <w:pPr>
        <w:pStyle w:val="BodyText"/>
        <w:spacing w:before="5"/>
      </w:pPr>
    </w:p>
    <w:p>
      <w:pPr>
        <w:pStyle w:val="Heading2"/>
        <w:numPr>
          <w:ilvl w:val="2"/>
          <w:numId w:val="40"/>
        </w:numPr>
        <w:tabs>
          <w:tab w:pos="1120" w:val="left" w:leader="none"/>
        </w:tabs>
        <w:spacing w:line="240" w:lineRule="auto" w:before="0" w:after="0"/>
        <w:ind w:left="1120" w:right="0" w:hanging="720"/>
        <w:jc w:val="both"/>
      </w:pPr>
      <w:r>
        <w:rPr/>
        <w:t>Awareness</w:t>
      </w:r>
      <w:r>
        <w:rPr>
          <w:spacing w:val="-4"/>
        </w:rPr>
        <w:t> </w:t>
      </w:r>
      <w:r>
        <w:rPr/>
        <w:t>of </w:t>
      </w:r>
      <w:r>
        <w:rPr>
          <w:spacing w:val="-5"/>
        </w:rPr>
        <w:t>TQM</w:t>
      </w:r>
    </w:p>
    <w:p>
      <w:pPr>
        <w:pStyle w:val="BodyText"/>
        <w:spacing w:line="480" w:lineRule="auto" w:before="272"/>
        <w:ind w:left="400" w:right="1316"/>
        <w:jc w:val="both"/>
      </w:pPr>
      <w:r>
        <w:rPr/>
        <w:t>Figure 5.6 further indicates that 288 respondents representing 95% are aware of total quality management while 15 respondents representing only 5% are not aware of it.</w:t>
      </w:r>
    </w:p>
    <w:p>
      <w:pPr>
        <w:spacing w:after="0" w:line="480" w:lineRule="auto"/>
        <w:jc w:val="both"/>
        <w:sectPr>
          <w:pgSz w:w="12240" w:h="15840"/>
          <w:pgMar w:header="0" w:footer="1017" w:top="1440" w:bottom="1200" w:left="1040" w:right="120"/>
        </w:sectPr>
      </w:pPr>
    </w:p>
    <w:p>
      <w:pPr>
        <w:pStyle w:val="BodyText"/>
        <w:ind w:left="400"/>
        <w:rPr>
          <w:sz w:val="20"/>
        </w:rPr>
      </w:pPr>
      <w:r>
        <w:rPr>
          <w:sz w:val="20"/>
        </w:rPr>
        <w:drawing>
          <wp:inline distT="0" distB="0" distL="0" distR="0">
            <wp:extent cx="5574316" cy="2755392"/>
            <wp:effectExtent l="0" t="0" r="0" b="0"/>
            <wp:docPr id="286" name="Image 286" descr=""/>
            <wp:cNvGraphicFramePr>
              <a:graphicFrameLocks/>
            </wp:cNvGraphicFramePr>
            <a:graphic>
              <a:graphicData uri="http://schemas.openxmlformats.org/drawingml/2006/picture">
                <pic:pic>
                  <pic:nvPicPr>
                    <pic:cNvPr id="286" name="Image 286" descr=""/>
                    <pic:cNvPicPr/>
                  </pic:nvPicPr>
                  <pic:blipFill>
                    <a:blip r:embed="rId28" cstate="print"/>
                    <a:stretch>
                      <a:fillRect/>
                    </a:stretch>
                  </pic:blipFill>
                  <pic:spPr>
                    <a:xfrm>
                      <a:off x="0" y="0"/>
                      <a:ext cx="5574316" cy="2755392"/>
                    </a:xfrm>
                    <a:prstGeom prst="rect">
                      <a:avLst/>
                    </a:prstGeom>
                  </pic:spPr>
                </pic:pic>
              </a:graphicData>
            </a:graphic>
          </wp:inline>
        </w:drawing>
      </w:r>
      <w:r>
        <w:rPr>
          <w:sz w:val="20"/>
        </w:rPr>
      </w:r>
    </w:p>
    <w:p>
      <w:pPr>
        <w:pStyle w:val="BodyText"/>
        <w:spacing w:before="159"/>
      </w:pPr>
    </w:p>
    <w:p>
      <w:pPr>
        <w:pStyle w:val="Heading2"/>
        <w:tabs>
          <w:tab w:pos="1899" w:val="left" w:leader="none"/>
        </w:tabs>
        <w:spacing w:line="360" w:lineRule="auto"/>
        <w:ind w:right="6547"/>
        <w:jc w:val="left"/>
      </w:pPr>
      <w:r>
        <w:rPr/>
        <w:t>Figure: 5.6</w:t>
        <w:tab/>
        <w:t>Awareness of TQM Source:</w:t>
      </w:r>
      <w:r>
        <w:rPr>
          <w:spacing w:val="-11"/>
        </w:rPr>
        <w:t> </w:t>
      </w:r>
      <w:r>
        <w:rPr/>
        <w:t>Researcher’s</w:t>
      </w:r>
      <w:r>
        <w:rPr>
          <w:spacing w:val="-10"/>
        </w:rPr>
        <w:t> </w:t>
      </w:r>
      <w:r>
        <w:rPr/>
        <w:t>field</w:t>
      </w:r>
      <w:r>
        <w:rPr>
          <w:spacing w:val="-10"/>
        </w:rPr>
        <w:t> </w:t>
      </w:r>
      <w:r>
        <w:rPr/>
        <w:t>survey</w:t>
      </w:r>
      <w:r>
        <w:rPr>
          <w:spacing w:val="-11"/>
        </w:rPr>
        <w:t> </w:t>
      </w:r>
      <w:r>
        <w:rPr/>
        <w:t>(2018)</w:t>
      </w:r>
    </w:p>
    <w:p>
      <w:pPr>
        <w:pStyle w:val="BodyText"/>
        <w:spacing w:before="273"/>
        <w:rPr>
          <w:b/>
        </w:rPr>
      </w:pPr>
    </w:p>
    <w:p>
      <w:pPr>
        <w:pStyle w:val="ListParagraph"/>
        <w:numPr>
          <w:ilvl w:val="2"/>
          <w:numId w:val="40"/>
        </w:numPr>
        <w:tabs>
          <w:tab w:pos="1119" w:val="left" w:leader="none"/>
        </w:tabs>
        <w:spacing w:line="480" w:lineRule="auto" w:before="1" w:after="0"/>
        <w:ind w:left="400" w:right="1315" w:firstLine="0"/>
        <w:jc w:val="left"/>
        <w:rPr>
          <w:sz w:val="24"/>
        </w:rPr>
      </w:pPr>
      <w:r>
        <w:rPr>
          <w:b/>
          <w:sz w:val="24"/>
        </w:rPr>
        <w:t>Analysis of responses on rating and ranking the definition and perception of TQM </w:t>
      </w:r>
      <w:r>
        <w:rPr>
          <w:sz w:val="24"/>
        </w:rPr>
        <w:t>To</w:t>
      </w:r>
      <w:r>
        <w:rPr>
          <w:spacing w:val="21"/>
          <w:sz w:val="24"/>
        </w:rPr>
        <w:t> </w:t>
      </w:r>
      <w:r>
        <w:rPr>
          <w:sz w:val="24"/>
        </w:rPr>
        <w:t>rank</w:t>
      </w:r>
      <w:r>
        <w:rPr>
          <w:spacing w:val="21"/>
          <w:sz w:val="24"/>
        </w:rPr>
        <w:t> </w:t>
      </w:r>
      <w:r>
        <w:rPr>
          <w:sz w:val="24"/>
        </w:rPr>
        <w:t>the</w:t>
      </w:r>
      <w:r>
        <w:rPr>
          <w:spacing w:val="20"/>
          <w:sz w:val="24"/>
        </w:rPr>
        <w:t> </w:t>
      </w:r>
      <w:r>
        <w:rPr>
          <w:sz w:val="24"/>
        </w:rPr>
        <w:t>definition</w:t>
      </w:r>
      <w:r>
        <w:rPr>
          <w:spacing w:val="21"/>
          <w:sz w:val="24"/>
        </w:rPr>
        <w:t> </w:t>
      </w:r>
      <w:r>
        <w:rPr>
          <w:sz w:val="24"/>
        </w:rPr>
        <w:t>of</w:t>
      </w:r>
      <w:r>
        <w:rPr>
          <w:spacing w:val="17"/>
          <w:sz w:val="24"/>
        </w:rPr>
        <w:t> </w:t>
      </w:r>
      <w:r>
        <w:rPr>
          <w:sz w:val="24"/>
        </w:rPr>
        <w:t>TQM,</w:t>
      </w:r>
      <w:r>
        <w:rPr>
          <w:spacing w:val="21"/>
          <w:sz w:val="24"/>
        </w:rPr>
        <w:t> </w:t>
      </w:r>
      <w:r>
        <w:rPr>
          <w:sz w:val="24"/>
        </w:rPr>
        <w:t>the</w:t>
      </w:r>
      <w:r>
        <w:rPr>
          <w:spacing w:val="20"/>
          <w:sz w:val="24"/>
        </w:rPr>
        <w:t> </w:t>
      </w:r>
      <w:r>
        <w:rPr>
          <w:sz w:val="24"/>
        </w:rPr>
        <w:t>respondents</w:t>
      </w:r>
      <w:r>
        <w:rPr>
          <w:spacing w:val="18"/>
          <w:sz w:val="24"/>
        </w:rPr>
        <w:t> </w:t>
      </w:r>
      <w:r>
        <w:rPr>
          <w:sz w:val="24"/>
        </w:rPr>
        <w:t>were</w:t>
      </w:r>
      <w:r>
        <w:rPr>
          <w:spacing w:val="20"/>
          <w:sz w:val="24"/>
        </w:rPr>
        <w:t> </w:t>
      </w:r>
      <w:r>
        <w:rPr>
          <w:sz w:val="24"/>
        </w:rPr>
        <w:t>asked</w:t>
      </w:r>
      <w:r>
        <w:rPr>
          <w:spacing w:val="21"/>
          <w:sz w:val="24"/>
        </w:rPr>
        <w:t> </w:t>
      </w:r>
      <w:r>
        <w:rPr>
          <w:sz w:val="24"/>
        </w:rPr>
        <w:t>to</w:t>
      </w:r>
      <w:r>
        <w:rPr>
          <w:spacing w:val="21"/>
          <w:sz w:val="24"/>
        </w:rPr>
        <w:t> </w:t>
      </w:r>
      <w:r>
        <w:rPr>
          <w:sz w:val="24"/>
        </w:rPr>
        <w:t>rate</w:t>
      </w:r>
      <w:r>
        <w:rPr>
          <w:spacing w:val="20"/>
          <w:sz w:val="24"/>
        </w:rPr>
        <w:t> </w:t>
      </w:r>
      <w:r>
        <w:rPr>
          <w:sz w:val="24"/>
        </w:rPr>
        <w:t>it</w:t>
      </w:r>
      <w:r>
        <w:rPr>
          <w:spacing w:val="21"/>
          <w:sz w:val="24"/>
        </w:rPr>
        <w:t> </w:t>
      </w:r>
      <w:r>
        <w:rPr>
          <w:sz w:val="24"/>
        </w:rPr>
        <w:t>on</w:t>
      </w:r>
      <w:r>
        <w:rPr>
          <w:spacing w:val="18"/>
          <w:sz w:val="24"/>
        </w:rPr>
        <w:t> </w:t>
      </w:r>
      <w:r>
        <w:rPr>
          <w:sz w:val="24"/>
        </w:rPr>
        <w:t>a</w:t>
      </w:r>
      <w:r>
        <w:rPr>
          <w:spacing w:val="20"/>
          <w:sz w:val="24"/>
        </w:rPr>
        <w:t> </w:t>
      </w:r>
      <w:r>
        <w:rPr>
          <w:sz w:val="24"/>
        </w:rPr>
        <w:t>5-point</w:t>
      </w:r>
      <w:r>
        <w:rPr>
          <w:spacing w:val="21"/>
          <w:sz w:val="24"/>
        </w:rPr>
        <w:t> </w:t>
      </w:r>
      <w:r>
        <w:rPr>
          <w:sz w:val="24"/>
        </w:rPr>
        <w:t>Likert</w:t>
      </w:r>
      <w:r>
        <w:rPr>
          <w:spacing w:val="21"/>
          <w:sz w:val="24"/>
        </w:rPr>
        <w:t> </w:t>
      </w:r>
      <w:r>
        <w:rPr>
          <w:sz w:val="24"/>
        </w:rPr>
        <w:t>scale (5=</w:t>
      </w:r>
      <w:r>
        <w:rPr>
          <w:spacing w:val="19"/>
          <w:sz w:val="24"/>
        </w:rPr>
        <w:t> </w:t>
      </w:r>
      <w:r>
        <w:rPr>
          <w:sz w:val="24"/>
        </w:rPr>
        <w:t>Strongly agree</w:t>
      </w:r>
      <w:r>
        <w:rPr>
          <w:spacing w:val="19"/>
          <w:sz w:val="24"/>
        </w:rPr>
        <w:t> </w:t>
      </w:r>
      <w:r>
        <w:rPr>
          <w:sz w:val="24"/>
        </w:rPr>
        <w:t>to</w:t>
      </w:r>
      <w:r>
        <w:rPr>
          <w:spacing w:val="20"/>
          <w:sz w:val="24"/>
        </w:rPr>
        <w:t> </w:t>
      </w:r>
      <w:r>
        <w:rPr>
          <w:sz w:val="24"/>
        </w:rPr>
        <w:t>1=</w:t>
      </w:r>
      <w:r>
        <w:rPr>
          <w:spacing w:val="22"/>
          <w:sz w:val="24"/>
        </w:rPr>
        <w:t> </w:t>
      </w:r>
      <w:r>
        <w:rPr>
          <w:sz w:val="24"/>
        </w:rPr>
        <w:t>Don’t</w:t>
      </w:r>
      <w:r>
        <w:rPr>
          <w:spacing w:val="21"/>
          <w:sz w:val="24"/>
        </w:rPr>
        <w:t> </w:t>
      </w:r>
      <w:r>
        <w:rPr>
          <w:sz w:val="24"/>
        </w:rPr>
        <w:t>know),</w:t>
      </w:r>
      <w:r>
        <w:rPr>
          <w:spacing w:val="23"/>
          <w:sz w:val="24"/>
        </w:rPr>
        <w:t> </w:t>
      </w:r>
      <w:r>
        <w:rPr>
          <w:sz w:val="24"/>
        </w:rPr>
        <w:t>after</w:t>
      </w:r>
      <w:r>
        <w:rPr>
          <w:spacing w:val="22"/>
          <w:sz w:val="24"/>
        </w:rPr>
        <w:t> </w:t>
      </w:r>
      <w:r>
        <w:rPr>
          <w:sz w:val="24"/>
        </w:rPr>
        <w:t>which</w:t>
      </w:r>
      <w:r>
        <w:rPr>
          <w:spacing w:val="20"/>
          <w:sz w:val="24"/>
        </w:rPr>
        <w:t> </w:t>
      </w:r>
      <w:r>
        <w:rPr>
          <w:sz w:val="24"/>
        </w:rPr>
        <w:t>the</w:t>
      </w:r>
      <w:r>
        <w:rPr>
          <w:spacing w:val="19"/>
          <w:sz w:val="24"/>
        </w:rPr>
        <w:t> </w:t>
      </w:r>
      <w:r>
        <w:rPr>
          <w:sz w:val="24"/>
        </w:rPr>
        <w:t>mean</w:t>
      </w:r>
      <w:r>
        <w:rPr>
          <w:spacing w:val="20"/>
          <w:sz w:val="24"/>
        </w:rPr>
        <w:t> </w:t>
      </w:r>
      <w:r>
        <w:rPr>
          <w:sz w:val="24"/>
        </w:rPr>
        <w:t>scores</w:t>
      </w:r>
      <w:r>
        <w:rPr>
          <w:spacing w:val="23"/>
          <w:sz w:val="24"/>
        </w:rPr>
        <w:t> </w:t>
      </w:r>
      <w:r>
        <w:rPr>
          <w:sz w:val="24"/>
        </w:rPr>
        <w:t>to</w:t>
      </w:r>
      <w:r>
        <w:rPr>
          <w:spacing w:val="20"/>
          <w:sz w:val="24"/>
        </w:rPr>
        <w:t> </w:t>
      </w:r>
      <w:r>
        <w:rPr>
          <w:sz w:val="24"/>
        </w:rPr>
        <w:t>be</w:t>
      </w:r>
      <w:r>
        <w:rPr>
          <w:spacing w:val="19"/>
          <w:sz w:val="24"/>
        </w:rPr>
        <w:t> </w:t>
      </w:r>
      <w:r>
        <w:rPr>
          <w:sz w:val="24"/>
        </w:rPr>
        <w:t>used</w:t>
      </w:r>
      <w:r>
        <w:rPr>
          <w:spacing w:val="23"/>
          <w:sz w:val="24"/>
        </w:rPr>
        <w:t> </w:t>
      </w:r>
      <w:r>
        <w:rPr>
          <w:sz w:val="24"/>
        </w:rPr>
        <w:t>for</w:t>
      </w:r>
      <w:r>
        <w:rPr>
          <w:spacing w:val="22"/>
          <w:sz w:val="24"/>
        </w:rPr>
        <w:t> </w:t>
      </w:r>
      <w:r>
        <w:rPr>
          <w:sz w:val="24"/>
        </w:rPr>
        <w:t>the</w:t>
      </w:r>
      <w:r>
        <w:rPr>
          <w:spacing w:val="22"/>
          <w:sz w:val="24"/>
        </w:rPr>
        <w:t> </w:t>
      </w:r>
      <w:r>
        <w:rPr>
          <w:sz w:val="24"/>
        </w:rPr>
        <w:t>ranking was</w:t>
      </w:r>
      <w:r>
        <w:rPr>
          <w:spacing w:val="40"/>
          <w:sz w:val="24"/>
        </w:rPr>
        <w:t> </w:t>
      </w:r>
      <w:r>
        <w:rPr>
          <w:sz w:val="24"/>
        </w:rPr>
        <w:t>calculated.</w:t>
      </w:r>
      <w:r>
        <w:rPr>
          <w:spacing w:val="40"/>
          <w:sz w:val="24"/>
        </w:rPr>
        <w:t> </w:t>
      </w:r>
      <w:r>
        <w:rPr>
          <w:sz w:val="24"/>
        </w:rPr>
        <w:t>Participants’</w:t>
      </w:r>
      <w:r>
        <w:rPr>
          <w:spacing w:val="40"/>
          <w:sz w:val="24"/>
        </w:rPr>
        <w:t> </w:t>
      </w:r>
      <w:r>
        <w:rPr>
          <w:sz w:val="24"/>
        </w:rPr>
        <w:t>responses</w:t>
      </w:r>
      <w:r>
        <w:rPr>
          <w:spacing w:val="40"/>
          <w:sz w:val="24"/>
        </w:rPr>
        <w:t> </w:t>
      </w:r>
      <w:r>
        <w:rPr>
          <w:sz w:val="24"/>
        </w:rPr>
        <w:t>were</w:t>
      </w:r>
      <w:r>
        <w:rPr>
          <w:spacing w:val="40"/>
          <w:sz w:val="24"/>
        </w:rPr>
        <w:t> </w:t>
      </w:r>
      <w:r>
        <w:rPr>
          <w:sz w:val="24"/>
        </w:rPr>
        <w:t>analyzed</w:t>
      </w:r>
      <w:r>
        <w:rPr>
          <w:spacing w:val="40"/>
          <w:sz w:val="24"/>
        </w:rPr>
        <w:t> </w:t>
      </w:r>
      <w:r>
        <w:rPr>
          <w:sz w:val="24"/>
        </w:rPr>
        <w:t>using</w:t>
      </w:r>
      <w:r>
        <w:rPr>
          <w:spacing w:val="40"/>
          <w:sz w:val="24"/>
        </w:rPr>
        <w:t> </w:t>
      </w:r>
      <w:r>
        <w:rPr>
          <w:sz w:val="24"/>
        </w:rPr>
        <w:t>descriptive</w:t>
      </w:r>
      <w:r>
        <w:rPr>
          <w:spacing w:val="40"/>
          <w:sz w:val="24"/>
        </w:rPr>
        <w:t> </w:t>
      </w:r>
      <w:r>
        <w:rPr>
          <w:sz w:val="24"/>
        </w:rPr>
        <w:t>statistics</w:t>
      </w:r>
      <w:r>
        <w:rPr>
          <w:spacing w:val="40"/>
          <w:sz w:val="24"/>
        </w:rPr>
        <w:t> </w:t>
      </w:r>
      <w:r>
        <w:rPr>
          <w:sz w:val="24"/>
        </w:rPr>
        <w:t>specifically mean and standard deviation with aid of the statistical package for social sciences. In this case,</w:t>
      </w:r>
      <w:r>
        <w:rPr>
          <w:spacing w:val="40"/>
          <w:sz w:val="24"/>
        </w:rPr>
        <w:t> </w:t>
      </w:r>
      <w:r>
        <w:rPr>
          <w:sz w:val="24"/>
        </w:rPr>
        <w:t>the</w:t>
      </w:r>
      <w:r>
        <w:rPr>
          <w:spacing w:val="30"/>
          <w:sz w:val="24"/>
        </w:rPr>
        <w:t> </w:t>
      </w:r>
      <w:r>
        <w:rPr>
          <w:sz w:val="24"/>
        </w:rPr>
        <w:t>mean</w:t>
      </w:r>
      <w:r>
        <w:rPr>
          <w:spacing w:val="34"/>
          <w:sz w:val="24"/>
        </w:rPr>
        <w:t> </w:t>
      </w:r>
      <w:r>
        <w:rPr>
          <w:sz w:val="24"/>
        </w:rPr>
        <w:t>ranged</w:t>
      </w:r>
      <w:r>
        <w:rPr>
          <w:spacing w:val="34"/>
          <w:sz w:val="24"/>
        </w:rPr>
        <w:t> </w:t>
      </w:r>
      <w:r>
        <w:rPr>
          <w:sz w:val="24"/>
        </w:rPr>
        <w:t>between</w:t>
      </w:r>
      <w:r>
        <w:rPr>
          <w:spacing w:val="31"/>
          <w:sz w:val="24"/>
        </w:rPr>
        <w:t> </w:t>
      </w:r>
      <w:r>
        <w:rPr>
          <w:sz w:val="24"/>
        </w:rPr>
        <w:t>1</w:t>
      </w:r>
      <w:r>
        <w:rPr>
          <w:spacing w:val="31"/>
          <w:sz w:val="24"/>
        </w:rPr>
        <w:t> </w:t>
      </w:r>
      <w:r>
        <w:rPr>
          <w:sz w:val="24"/>
        </w:rPr>
        <w:t>and</w:t>
      </w:r>
      <w:r>
        <w:rPr>
          <w:spacing w:val="31"/>
          <w:sz w:val="24"/>
        </w:rPr>
        <w:t> </w:t>
      </w:r>
      <w:r>
        <w:rPr>
          <w:sz w:val="24"/>
        </w:rPr>
        <w:t>5</w:t>
      </w:r>
      <w:r>
        <w:rPr>
          <w:spacing w:val="34"/>
          <w:sz w:val="24"/>
        </w:rPr>
        <w:t> </w:t>
      </w:r>
      <w:r>
        <w:rPr>
          <w:sz w:val="24"/>
        </w:rPr>
        <w:t>with</w:t>
      </w:r>
      <w:r>
        <w:rPr>
          <w:spacing w:val="31"/>
          <w:sz w:val="24"/>
        </w:rPr>
        <w:t> </w:t>
      </w:r>
      <w:r>
        <w:rPr>
          <w:sz w:val="24"/>
        </w:rPr>
        <w:t>means</w:t>
      </w:r>
      <w:r>
        <w:rPr>
          <w:spacing w:val="34"/>
          <w:sz w:val="24"/>
        </w:rPr>
        <w:t> </w:t>
      </w:r>
      <w:r>
        <w:rPr>
          <w:sz w:val="24"/>
        </w:rPr>
        <w:t>closer</w:t>
      </w:r>
      <w:r>
        <w:rPr>
          <w:spacing w:val="30"/>
          <w:sz w:val="24"/>
        </w:rPr>
        <w:t> </w:t>
      </w:r>
      <w:r>
        <w:rPr>
          <w:sz w:val="24"/>
        </w:rPr>
        <w:t>to</w:t>
      </w:r>
      <w:r>
        <w:rPr>
          <w:spacing w:val="31"/>
          <w:sz w:val="24"/>
        </w:rPr>
        <w:t> </w:t>
      </w:r>
      <w:r>
        <w:rPr>
          <w:sz w:val="24"/>
        </w:rPr>
        <w:t>1</w:t>
      </w:r>
      <w:r>
        <w:rPr>
          <w:spacing w:val="31"/>
          <w:sz w:val="24"/>
        </w:rPr>
        <w:t> </w:t>
      </w:r>
      <w:r>
        <w:rPr>
          <w:sz w:val="24"/>
        </w:rPr>
        <w:t>suggesting</w:t>
      </w:r>
      <w:r>
        <w:rPr>
          <w:spacing w:val="29"/>
          <w:sz w:val="24"/>
        </w:rPr>
        <w:t> </w:t>
      </w:r>
      <w:r>
        <w:rPr>
          <w:sz w:val="24"/>
        </w:rPr>
        <w:t>that</w:t>
      </w:r>
      <w:r>
        <w:rPr>
          <w:spacing w:val="32"/>
          <w:sz w:val="24"/>
        </w:rPr>
        <w:t> </w:t>
      </w:r>
      <w:r>
        <w:rPr>
          <w:sz w:val="24"/>
        </w:rPr>
        <w:t>the</w:t>
      </w:r>
      <w:r>
        <w:rPr>
          <w:spacing w:val="30"/>
          <w:sz w:val="24"/>
        </w:rPr>
        <w:t> </w:t>
      </w:r>
      <w:r>
        <w:rPr>
          <w:sz w:val="24"/>
        </w:rPr>
        <w:t>majority</w:t>
      </w:r>
      <w:r>
        <w:rPr>
          <w:spacing w:val="26"/>
          <w:sz w:val="24"/>
        </w:rPr>
        <w:t> </w:t>
      </w:r>
      <w:r>
        <w:rPr>
          <w:sz w:val="24"/>
        </w:rPr>
        <w:t>of</w:t>
      </w:r>
      <w:r>
        <w:rPr>
          <w:spacing w:val="33"/>
          <w:sz w:val="24"/>
        </w:rPr>
        <w:t> </w:t>
      </w:r>
      <w:r>
        <w:rPr>
          <w:sz w:val="24"/>
        </w:rPr>
        <w:t>the participants disagreed with the statement and means closer to 5 suggesting that the majority of</w:t>
      </w:r>
      <w:r>
        <w:rPr>
          <w:spacing w:val="80"/>
          <w:sz w:val="24"/>
        </w:rPr>
        <w:t> </w:t>
      </w:r>
      <w:r>
        <w:rPr>
          <w:sz w:val="24"/>
        </w:rPr>
        <w:t>participants agreed with the statement. Results are presented in Table 5.3:</w:t>
      </w:r>
    </w:p>
    <w:p>
      <w:pPr>
        <w:pStyle w:val="BodyText"/>
        <w:spacing w:before="41"/>
      </w:pPr>
    </w:p>
    <w:p>
      <w:pPr>
        <w:pStyle w:val="BodyText"/>
        <w:spacing w:line="480" w:lineRule="auto"/>
        <w:ind w:left="400" w:right="1314"/>
        <w:jc w:val="both"/>
      </w:pPr>
      <w:r>
        <w:rPr/>
        <w:t>From the table 5.3 each of the respondents gave their personal evaluation of each statement. As the Table illustrates, Result show that;</w:t>
      </w:r>
      <w:r>
        <w:rPr>
          <w:spacing w:val="-1"/>
        </w:rPr>
        <w:t> </w:t>
      </w:r>
      <w:r>
        <w:rPr/>
        <w:t>it</w:t>
      </w:r>
      <w:r>
        <w:rPr>
          <w:spacing w:val="-1"/>
        </w:rPr>
        <w:t> </w:t>
      </w:r>
      <w:r>
        <w:rPr/>
        <w:t>is</w:t>
      </w:r>
      <w:r>
        <w:rPr>
          <w:spacing w:val="-1"/>
        </w:rPr>
        <w:t> </w:t>
      </w:r>
      <w:r>
        <w:rPr/>
        <w:t>an approach of continuous improvement in all quality ranks first with mean scores of 4.310, while is a management practice through the organization geared</w:t>
      </w:r>
      <w:r>
        <w:rPr>
          <w:spacing w:val="70"/>
          <w:w w:val="150"/>
        </w:rPr>
        <w:t> </w:t>
      </w:r>
      <w:r>
        <w:rPr/>
        <w:t>to</w:t>
      </w:r>
      <w:r>
        <w:rPr>
          <w:spacing w:val="69"/>
          <w:w w:val="150"/>
        </w:rPr>
        <w:t> </w:t>
      </w:r>
      <w:r>
        <w:rPr/>
        <w:t>ensure</w:t>
      </w:r>
      <w:r>
        <w:rPr>
          <w:spacing w:val="68"/>
          <w:w w:val="150"/>
        </w:rPr>
        <w:t> </w:t>
      </w:r>
      <w:r>
        <w:rPr/>
        <w:t>the</w:t>
      </w:r>
      <w:r>
        <w:rPr>
          <w:spacing w:val="71"/>
          <w:w w:val="150"/>
        </w:rPr>
        <w:t> </w:t>
      </w:r>
      <w:r>
        <w:rPr/>
        <w:t>organization</w:t>
      </w:r>
      <w:r>
        <w:rPr>
          <w:spacing w:val="69"/>
          <w:w w:val="150"/>
        </w:rPr>
        <w:t> </w:t>
      </w:r>
      <w:r>
        <w:rPr/>
        <w:t>consistently</w:t>
      </w:r>
      <w:r>
        <w:rPr>
          <w:spacing w:val="67"/>
          <w:w w:val="150"/>
        </w:rPr>
        <w:t> </w:t>
      </w:r>
      <w:r>
        <w:rPr/>
        <w:t>meets</w:t>
      </w:r>
      <w:r>
        <w:rPr>
          <w:spacing w:val="70"/>
          <w:w w:val="150"/>
        </w:rPr>
        <w:t> </w:t>
      </w:r>
      <w:r>
        <w:rPr/>
        <w:t>or</w:t>
      </w:r>
      <w:r>
        <w:rPr>
          <w:spacing w:val="71"/>
          <w:w w:val="150"/>
        </w:rPr>
        <w:t> </w:t>
      </w:r>
      <w:r>
        <w:rPr/>
        <w:t>exceeds</w:t>
      </w:r>
      <w:r>
        <w:rPr>
          <w:spacing w:val="72"/>
          <w:w w:val="150"/>
        </w:rPr>
        <w:t> </w:t>
      </w:r>
      <w:r>
        <w:rPr/>
        <w:t>customer</w:t>
      </w:r>
      <w:r>
        <w:rPr>
          <w:spacing w:val="70"/>
          <w:w w:val="150"/>
        </w:rPr>
        <w:t> </w:t>
      </w:r>
      <w:r>
        <w:rPr>
          <w:spacing w:val="-2"/>
        </w:rPr>
        <w:t>requirements</w:t>
      </w:r>
    </w:p>
    <w:p>
      <w:pPr>
        <w:spacing w:after="0" w:line="480" w:lineRule="auto"/>
        <w:jc w:val="both"/>
        <w:sectPr>
          <w:pgSz w:w="12240" w:h="15840"/>
          <w:pgMar w:header="0" w:footer="1017" w:top="1440" w:bottom="1200" w:left="1040" w:right="120"/>
        </w:sectPr>
      </w:pPr>
    </w:p>
    <w:p>
      <w:pPr>
        <w:pStyle w:val="BodyText"/>
        <w:spacing w:line="480" w:lineRule="auto" w:before="72"/>
        <w:ind w:left="400" w:right="1317"/>
        <w:jc w:val="both"/>
      </w:pPr>
      <w:r>
        <w:rPr/>
        <w:t>establishing housing budget ceilings ranked 2nd with a mean score of 4.267. Other concept such as it is an effective system to ensure production and service at the most economical levels that allow customer satisfaction (4.237), is a management philosophy to achieve the organizational goal (4.122) and it is a quest for excellence, creating the right attitudes and quality control management philosophy</w:t>
      </w:r>
      <w:r>
        <w:rPr>
          <w:spacing w:val="-1"/>
        </w:rPr>
        <w:t> </w:t>
      </w:r>
      <w:r>
        <w:rPr/>
        <w:t>that promotes cost effectiveness and sustainable project quality</w:t>
      </w:r>
      <w:r>
        <w:rPr>
          <w:spacing w:val="-3"/>
        </w:rPr>
        <w:t> </w:t>
      </w:r>
      <w:r>
        <w:rPr/>
        <w:t>to client satisfaction (3.864) ranked, 3rd, 4th and 5th respectively.</w:t>
      </w:r>
    </w:p>
    <w:p>
      <w:pPr>
        <w:pStyle w:val="BodyText"/>
      </w:pPr>
    </w:p>
    <w:p>
      <w:pPr>
        <w:pStyle w:val="BodyText"/>
      </w:pPr>
    </w:p>
    <w:p>
      <w:pPr>
        <w:pStyle w:val="BodyText"/>
        <w:spacing w:line="480" w:lineRule="auto"/>
        <w:ind w:left="400" w:right="1317"/>
        <w:jc w:val="both"/>
      </w:pPr>
      <w:r>
        <w:rPr/>
        <w:t>However the different in their mean is small. This support what different authors stated that</w:t>
      </w:r>
      <w:r>
        <w:rPr>
          <w:spacing w:val="40"/>
        </w:rPr>
        <w:t> </w:t>
      </w:r>
      <w:r>
        <w:rPr/>
        <w:t>TQM is presented differently in different points of view, as there is no general and formal definition of TQM which can fit or be implemented in all organisations within all sectors.</w:t>
      </w:r>
      <w:r>
        <w:rPr>
          <w:spacing w:val="40"/>
        </w:rPr>
        <w:t> </w:t>
      </w:r>
      <w:r>
        <w:rPr/>
        <w:t>TQM definitions are different in each region and each country, based on national and organisational culture and perception of quality, and the requirement of that culture.</w:t>
      </w:r>
    </w:p>
    <w:p>
      <w:pPr>
        <w:spacing w:after="0" w:line="480" w:lineRule="auto"/>
        <w:jc w:val="both"/>
        <w:sectPr>
          <w:pgSz w:w="12240" w:h="15840"/>
          <w:pgMar w:header="0" w:footer="1017" w:top="1360" w:bottom="1200" w:left="1040" w:right="120"/>
        </w:sectPr>
      </w:pPr>
    </w:p>
    <w:p>
      <w:pPr>
        <w:tabs>
          <w:tab w:pos="1899" w:val="left" w:leader="none"/>
        </w:tabs>
        <w:spacing w:before="76"/>
        <w:ind w:left="400" w:right="0" w:firstLine="0"/>
        <w:jc w:val="left"/>
        <w:rPr>
          <w:b/>
          <w:sz w:val="24"/>
        </w:rPr>
      </w:pPr>
      <w:r>
        <w:rPr>
          <w:b/>
          <w:sz w:val="24"/>
        </w:rPr>
        <w:t>Table</w:t>
      </w:r>
      <w:r>
        <w:rPr>
          <w:b/>
          <w:spacing w:val="-1"/>
          <w:sz w:val="24"/>
        </w:rPr>
        <w:t> </w:t>
      </w:r>
      <w:r>
        <w:rPr>
          <w:b/>
          <w:spacing w:val="-4"/>
          <w:sz w:val="24"/>
        </w:rPr>
        <w:t>5.3.</w:t>
      </w:r>
      <w:r>
        <w:rPr>
          <w:b/>
          <w:sz w:val="24"/>
        </w:rPr>
        <w:tab/>
        <w:t>Ranking</w:t>
      </w:r>
      <w:r>
        <w:rPr>
          <w:b/>
          <w:spacing w:val="-4"/>
          <w:sz w:val="24"/>
        </w:rPr>
        <w:t> </w:t>
      </w:r>
      <w:r>
        <w:rPr>
          <w:b/>
          <w:sz w:val="24"/>
        </w:rPr>
        <w:t>of</w:t>
      </w:r>
      <w:r>
        <w:rPr>
          <w:b/>
          <w:spacing w:val="-1"/>
          <w:sz w:val="24"/>
        </w:rPr>
        <w:t> </w:t>
      </w:r>
      <w:r>
        <w:rPr>
          <w:b/>
          <w:sz w:val="24"/>
        </w:rPr>
        <w:t>the</w:t>
      </w:r>
      <w:r>
        <w:rPr>
          <w:b/>
          <w:spacing w:val="-2"/>
          <w:sz w:val="24"/>
        </w:rPr>
        <w:t> </w:t>
      </w:r>
      <w:r>
        <w:rPr>
          <w:b/>
          <w:sz w:val="24"/>
        </w:rPr>
        <w:t>Concept</w:t>
      </w:r>
      <w:r>
        <w:rPr>
          <w:b/>
          <w:spacing w:val="-3"/>
          <w:sz w:val="24"/>
        </w:rPr>
        <w:t> </w:t>
      </w:r>
      <w:r>
        <w:rPr>
          <w:b/>
          <w:sz w:val="24"/>
        </w:rPr>
        <w:t>of </w:t>
      </w:r>
      <w:r>
        <w:rPr>
          <w:b/>
          <w:spacing w:val="-5"/>
          <w:sz w:val="24"/>
        </w:rPr>
        <w:t>TQM</w:t>
      </w:r>
    </w:p>
    <w:p>
      <w:pPr>
        <w:pStyle w:val="BodyText"/>
        <w:rPr>
          <w:b/>
          <w:sz w:val="20"/>
        </w:rPr>
      </w:pPr>
    </w:p>
    <w:p>
      <w:pPr>
        <w:pStyle w:val="BodyText"/>
        <w:spacing w:before="115"/>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9"/>
        <w:gridCol w:w="1514"/>
        <w:gridCol w:w="705"/>
        <w:gridCol w:w="1586"/>
        <w:gridCol w:w="1466"/>
        <w:gridCol w:w="894"/>
        <w:gridCol w:w="869"/>
        <w:gridCol w:w="737"/>
        <w:gridCol w:w="906"/>
      </w:tblGrid>
      <w:tr>
        <w:trPr>
          <w:trHeight w:val="784" w:hRule="atLeast"/>
        </w:trPr>
        <w:tc>
          <w:tcPr>
            <w:tcW w:w="1999" w:type="dxa"/>
          </w:tcPr>
          <w:p>
            <w:pPr>
              <w:pStyle w:val="TableParagraph"/>
              <w:spacing w:line="221" w:lineRule="exact"/>
              <w:ind w:left="108"/>
              <w:rPr>
                <w:b/>
                <w:sz w:val="20"/>
              </w:rPr>
            </w:pPr>
            <w:r>
              <w:rPr>
                <w:b/>
                <w:sz w:val="20"/>
              </w:rPr>
              <w:t>Issues</w:t>
            </w:r>
            <w:r>
              <w:rPr>
                <w:b/>
                <w:spacing w:val="-9"/>
                <w:sz w:val="20"/>
              </w:rPr>
              <w:t> </w:t>
            </w:r>
            <w:r>
              <w:rPr>
                <w:b/>
                <w:spacing w:val="-2"/>
                <w:sz w:val="20"/>
              </w:rPr>
              <w:t>Raised</w:t>
            </w:r>
          </w:p>
        </w:tc>
        <w:tc>
          <w:tcPr>
            <w:tcW w:w="1514" w:type="dxa"/>
          </w:tcPr>
          <w:p>
            <w:pPr>
              <w:pStyle w:val="TableParagraph"/>
              <w:spacing w:line="276" w:lineRule="auto"/>
              <w:ind w:left="105"/>
              <w:rPr>
                <w:b/>
                <w:sz w:val="20"/>
              </w:rPr>
            </w:pPr>
            <w:r>
              <w:rPr>
                <w:b/>
                <w:sz w:val="20"/>
              </w:rPr>
              <w:t>Strongly</w:t>
            </w:r>
            <w:r>
              <w:rPr>
                <w:b/>
                <w:spacing w:val="14"/>
                <w:sz w:val="20"/>
              </w:rPr>
              <w:t> </w:t>
            </w:r>
            <w:r>
              <w:rPr>
                <w:b/>
                <w:sz w:val="20"/>
              </w:rPr>
              <w:t>agree </w:t>
            </w:r>
            <w:r>
              <w:rPr>
                <w:b/>
                <w:spacing w:val="-4"/>
                <w:sz w:val="20"/>
              </w:rPr>
              <w:t>(5)</w:t>
            </w:r>
          </w:p>
        </w:tc>
        <w:tc>
          <w:tcPr>
            <w:tcW w:w="705" w:type="dxa"/>
          </w:tcPr>
          <w:p>
            <w:pPr>
              <w:pStyle w:val="TableParagraph"/>
              <w:spacing w:line="276" w:lineRule="auto"/>
              <w:ind w:left="106" w:right="78"/>
              <w:rPr>
                <w:b/>
                <w:sz w:val="20"/>
              </w:rPr>
            </w:pPr>
            <w:r>
              <w:rPr>
                <w:b/>
                <w:spacing w:val="-2"/>
                <w:sz w:val="20"/>
              </w:rPr>
              <w:t>Agree </w:t>
            </w:r>
            <w:r>
              <w:rPr>
                <w:b/>
                <w:spacing w:val="-4"/>
                <w:sz w:val="20"/>
              </w:rPr>
              <w:t>(4)</w:t>
            </w:r>
          </w:p>
        </w:tc>
        <w:tc>
          <w:tcPr>
            <w:tcW w:w="1586" w:type="dxa"/>
          </w:tcPr>
          <w:p>
            <w:pPr>
              <w:pStyle w:val="TableParagraph"/>
              <w:spacing w:line="276" w:lineRule="auto"/>
              <w:ind w:left="317" w:right="531"/>
              <w:rPr>
                <w:b/>
                <w:sz w:val="20"/>
              </w:rPr>
            </w:pPr>
            <w:r>
              <w:rPr>
                <w:b/>
                <w:spacing w:val="-2"/>
                <w:sz w:val="20"/>
              </w:rPr>
              <w:t>Strongly disagree</w:t>
            </w:r>
          </w:p>
          <w:p>
            <w:pPr>
              <w:pStyle w:val="TableParagraph"/>
              <w:ind w:left="317"/>
              <w:rPr>
                <w:b/>
                <w:sz w:val="20"/>
              </w:rPr>
            </w:pPr>
            <w:r>
              <w:rPr>
                <w:b/>
                <w:spacing w:val="-5"/>
                <w:sz w:val="20"/>
              </w:rPr>
              <w:t>(3)</w:t>
            </w:r>
          </w:p>
        </w:tc>
        <w:tc>
          <w:tcPr>
            <w:tcW w:w="1466" w:type="dxa"/>
          </w:tcPr>
          <w:p>
            <w:pPr>
              <w:pStyle w:val="TableParagraph"/>
              <w:spacing w:line="276" w:lineRule="auto"/>
              <w:ind w:left="582" w:right="186" w:hanging="51"/>
              <w:rPr>
                <w:b/>
                <w:sz w:val="20"/>
              </w:rPr>
            </w:pPr>
            <w:r>
              <w:rPr>
                <w:b/>
                <w:spacing w:val="-2"/>
                <w:sz w:val="20"/>
              </w:rPr>
              <w:t>Disagree </w:t>
            </w:r>
            <w:r>
              <w:rPr>
                <w:b/>
                <w:spacing w:val="-4"/>
                <w:sz w:val="20"/>
              </w:rPr>
              <w:t>(2)</w:t>
            </w:r>
          </w:p>
        </w:tc>
        <w:tc>
          <w:tcPr>
            <w:tcW w:w="894" w:type="dxa"/>
          </w:tcPr>
          <w:p>
            <w:pPr>
              <w:pStyle w:val="TableParagraph"/>
              <w:spacing w:line="276" w:lineRule="auto"/>
              <w:ind w:left="186" w:right="192"/>
              <w:rPr>
                <w:b/>
                <w:sz w:val="20"/>
              </w:rPr>
            </w:pPr>
            <w:r>
              <w:rPr>
                <w:b/>
                <w:spacing w:val="-4"/>
                <w:sz w:val="20"/>
              </w:rPr>
              <w:t>Don’t Know</w:t>
            </w:r>
          </w:p>
          <w:p>
            <w:pPr>
              <w:pStyle w:val="TableParagraph"/>
              <w:ind w:left="186"/>
              <w:rPr>
                <w:b/>
                <w:sz w:val="20"/>
              </w:rPr>
            </w:pPr>
            <w:r>
              <w:rPr>
                <w:b/>
                <w:spacing w:val="-5"/>
                <w:sz w:val="20"/>
              </w:rPr>
              <w:t>(1)</w:t>
            </w:r>
          </w:p>
        </w:tc>
        <w:tc>
          <w:tcPr>
            <w:tcW w:w="869" w:type="dxa"/>
          </w:tcPr>
          <w:p>
            <w:pPr>
              <w:pStyle w:val="TableParagraph"/>
              <w:spacing w:line="221" w:lineRule="exact"/>
              <w:ind w:left="33" w:right="27"/>
              <w:jc w:val="center"/>
              <w:rPr>
                <w:b/>
                <w:sz w:val="20"/>
              </w:rPr>
            </w:pPr>
            <w:r>
              <w:rPr>
                <w:b/>
                <w:spacing w:val="-4"/>
                <w:sz w:val="20"/>
              </w:rPr>
              <w:t>Mean</w:t>
            </w:r>
          </w:p>
        </w:tc>
        <w:tc>
          <w:tcPr>
            <w:tcW w:w="737" w:type="dxa"/>
          </w:tcPr>
          <w:p>
            <w:pPr>
              <w:pStyle w:val="TableParagraph"/>
              <w:spacing w:line="276" w:lineRule="auto"/>
              <w:ind w:left="182" w:right="157"/>
              <w:rPr>
                <w:b/>
                <w:sz w:val="20"/>
              </w:rPr>
            </w:pPr>
            <w:r>
              <w:rPr>
                <w:b/>
                <w:spacing w:val="-4"/>
                <w:sz w:val="20"/>
              </w:rPr>
              <w:t>STD </w:t>
            </w:r>
            <w:r>
              <w:rPr>
                <w:b/>
                <w:spacing w:val="-6"/>
                <w:sz w:val="20"/>
              </w:rPr>
              <w:t>DV</w:t>
            </w:r>
          </w:p>
        </w:tc>
        <w:tc>
          <w:tcPr>
            <w:tcW w:w="906" w:type="dxa"/>
          </w:tcPr>
          <w:p>
            <w:pPr>
              <w:pStyle w:val="TableParagraph"/>
              <w:spacing w:line="221" w:lineRule="exact"/>
              <w:ind w:left="165"/>
              <w:rPr>
                <w:b/>
                <w:sz w:val="20"/>
              </w:rPr>
            </w:pPr>
            <w:r>
              <w:rPr>
                <w:b/>
                <w:spacing w:val="-4"/>
                <w:sz w:val="20"/>
              </w:rPr>
              <w:t>Rank</w:t>
            </w:r>
          </w:p>
        </w:tc>
      </w:tr>
      <w:tr>
        <w:trPr>
          <w:trHeight w:val="1058" w:hRule="atLeast"/>
        </w:trPr>
        <w:tc>
          <w:tcPr>
            <w:tcW w:w="1999" w:type="dxa"/>
            <w:shd w:val="clear" w:color="auto" w:fill="D5DCE4"/>
          </w:tcPr>
          <w:p>
            <w:pPr>
              <w:pStyle w:val="TableParagraph"/>
              <w:spacing w:line="276" w:lineRule="auto"/>
              <w:ind w:left="108" w:right="108"/>
              <w:jc w:val="both"/>
              <w:rPr>
                <w:sz w:val="20"/>
              </w:rPr>
            </w:pPr>
            <w:r>
              <w:rPr>
                <w:sz w:val="20"/>
              </w:rPr>
              <w:t>Is a </w:t>
            </w:r>
            <w:r>
              <w:rPr>
                <w:sz w:val="20"/>
              </w:rPr>
              <w:t>management philosophy</w:t>
            </w:r>
            <w:r>
              <w:rPr>
                <w:spacing w:val="-7"/>
                <w:sz w:val="20"/>
              </w:rPr>
              <w:t> </w:t>
            </w:r>
            <w:r>
              <w:rPr>
                <w:sz w:val="20"/>
              </w:rPr>
              <w:t>to</w:t>
            </w:r>
            <w:r>
              <w:rPr>
                <w:spacing w:val="-6"/>
                <w:sz w:val="20"/>
              </w:rPr>
              <w:t> </w:t>
            </w:r>
            <w:r>
              <w:rPr>
                <w:sz w:val="20"/>
              </w:rPr>
              <w:t>achieve the</w:t>
            </w:r>
            <w:r>
              <w:rPr>
                <w:spacing w:val="79"/>
                <w:sz w:val="20"/>
              </w:rPr>
              <w:t>   </w:t>
            </w:r>
            <w:r>
              <w:rPr>
                <w:spacing w:val="-2"/>
                <w:sz w:val="20"/>
              </w:rPr>
              <w:t>organizational</w:t>
            </w:r>
          </w:p>
          <w:p>
            <w:pPr>
              <w:pStyle w:val="TableParagraph"/>
              <w:spacing w:line="229" w:lineRule="exact"/>
              <w:ind w:left="108"/>
              <w:rPr>
                <w:sz w:val="20"/>
              </w:rPr>
            </w:pPr>
            <w:r>
              <w:rPr>
                <w:spacing w:val="-4"/>
                <w:sz w:val="20"/>
              </w:rPr>
              <w:t>goal</w:t>
            </w:r>
          </w:p>
        </w:tc>
        <w:tc>
          <w:tcPr>
            <w:tcW w:w="1514" w:type="dxa"/>
            <w:shd w:val="clear" w:color="auto" w:fill="D5DCE4"/>
          </w:tcPr>
          <w:p>
            <w:pPr>
              <w:pStyle w:val="TableParagraph"/>
              <w:spacing w:line="226" w:lineRule="exact"/>
              <w:ind w:left="105"/>
              <w:rPr>
                <w:sz w:val="20"/>
              </w:rPr>
            </w:pPr>
            <w:r>
              <w:rPr>
                <w:spacing w:val="-5"/>
                <w:sz w:val="20"/>
              </w:rPr>
              <w:t>141</w:t>
            </w:r>
          </w:p>
        </w:tc>
        <w:tc>
          <w:tcPr>
            <w:tcW w:w="705" w:type="dxa"/>
            <w:shd w:val="clear" w:color="auto" w:fill="D5DCE4"/>
          </w:tcPr>
          <w:p>
            <w:pPr>
              <w:pStyle w:val="TableParagraph"/>
              <w:spacing w:line="226" w:lineRule="exact"/>
              <w:ind w:left="106"/>
              <w:rPr>
                <w:sz w:val="20"/>
              </w:rPr>
            </w:pPr>
            <w:r>
              <w:rPr>
                <w:spacing w:val="-5"/>
                <w:sz w:val="20"/>
              </w:rPr>
              <w:t>124</w:t>
            </w:r>
          </w:p>
        </w:tc>
        <w:tc>
          <w:tcPr>
            <w:tcW w:w="1586" w:type="dxa"/>
            <w:shd w:val="clear" w:color="auto" w:fill="D5DCE4"/>
          </w:tcPr>
          <w:p>
            <w:pPr>
              <w:pStyle w:val="TableParagraph"/>
              <w:spacing w:line="226" w:lineRule="exact"/>
              <w:ind w:right="109"/>
              <w:jc w:val="center"/>
              <w:rPr>
                <w:sz w:val="20"/>
              </w:rPr>
            </w:pPr>
            <w:r>
              <w:rPr>
                <w:spacing w:val="-10"/>
                <w:sz w:val="20"/>
              </w:rPr>
              <w:t>3</w:t>
            </w:r>
          </w:p>
        </w:tc>
        <w:tc>
          <w:tcPr>
            <w:tcW w:w="1466" w:type="dxa"/>
            <w:shd w:val="clear" w:color="auto" w:fill="D5DCE4"/>
          </w:tcPr>
          <w:p>
            <w:pPr>
              <w:pStyle w:val="TableParagraph"/>
              <w:spacing w:line="226" w:lineRule="exact"/>
              <w:ind w:left="531"/>
              <w:rPr>
                <w:sz w:val="20"/>
              </w:rPr>
            </w:pPr>
            <w:r>
              <w:rPr>
                <w:spacing w:val="-10"/>
                <w:sz w:val="20"/>
              </w:rPr>
              <w:t>4</w:t>
            </w:r>
          </w:p>
        </w:tc>
        <w:tc>
          <w:tcPr>
            <w:tcW w:w="894" w:type="dxa"/>
            <w:shd w:val="clear" w:color="auto" w:fill="D5DCE4"/>
          </w:tcPr>
          <w:p>
            <w:pPr>
              <w:pStyle w:val="TableParagraph"/>
              <w:spacing w:line="226" w:lineRule="exact"/>
              <w:ind w:left="84"/>
              <w:jc w:val="center"/>
              <w:rPr>
                <w:sz w:val="20"/>
              </w:rPr>
            </w:pPr>
            <w:r>
              <w:rPr>
                <w:spacing w:val="-5"/>
                <w:sz w:val="20"/>
              </w:rPr>
              <w:t>31</w:t>
            </w:r>
          </w:p>
        </w:tc>
        <w:tc>
          <w:tcPr>
            <w:tcW w:w="869" w:type="dxa"/>
            <w:shd w:val="clear" w:color="auto" w:fill="D5DCE4"/>
          </w:tcPr>
          <w:p>
            <w:pPr>
              <w:pStyle w:val="TableParagraph"/>
              <w:spacing w:line="226" w:lineRule="exact"/>
              <w:ind w:left="6" w:right="33"/>
              <w:jc w:val="center"/>
              <w:rPr>
                <w:sz w:val="20"/>
              </w:rPr>
            </w:pPr>
            <w:r>
              <w:rPr>
                <w:spacing w:val="-2"/>
                <w:sz w:val="20"/>
              </w:rPr>
              <w:t>4.122</w:t>
            </w:r>
          </w:p>
        </w:tc>
        <w:tc>
          <w:tcPr>
            <w:tcW w:w="737" w:type="dxa"/>
            <w:shd w:val="clear" w:color="auto" w:fill="D5DCE4"/>
          </w:tcPr>
          <w:p>
            <w:pPr>
              <w:pStyle w:val="TableParagraph"/>
              <w:spacing w:line="226" w:lineRule="exact"/>
              <w:ind w:right="16"/>
              <w:jc w:val="center"/>
              <w:rPr>
                <w:sz w:val="20"/>
              </w:rPr>
            </w:pPr>
            <w:r>
              <w:rPr>
                <w:spacing w:val="-4"/>
                <w:sz w:val="20"/>
              </w:rPr>
              <w:t>0.82</w:t>
            </w:r>
          </w:p>
        </w:tc>
        <w:tc>
          <w:tcPr>
            <w:tcW w:w="906" w:type="dxa"/>
            <w:shd w:val="clear" w:color="auto" w:fill="D5DCE4"/>
          </w:tcPr>
          <w:p>
            <w:pPr>
              <w:pStyle w:val="TableParagraph"/>
              <w:spacing w:line="226" w:lineRule="exact"/>
              <w:ind w:left="206"/>
              <w:rPr>
                <w:sz w:val="20"/>
              </w:rPr>
            </w:pPr>
            <w:r>
              <w:rPr>
                <w:spacing w:val="-10"/>
                <w:sz w:val="20"/>
              </w:rPr>
              <w:t>4</w:t>
            </w:r>
          </w:p>
        </w:tc>
      </w:tr>
      <w:tr>
        <w:trPr>
          <w:trHeight w:val="1850" w:hRule="atLeast"/>
        </w:trPr>
        <w:tc>
          <w:tcPr>
            <w:tcW w:w="1999" w:type="dxa"/>
          </w:tcPr>
          <w:p>
            <w:pPr>
              <w:pStyle w:val="TableParagraph"/>
              <w:tabs>
                <w:tab w:pos="1600" w:val="left" w:leader="none"/>
              </w:tabs>
              <w:spacing w:line="276" w:lineRule="auto"/>
              <w:ind w:left="108" w:right="107"/>
              <w:jc w:val="both"/>
              <w:rPr>
                <w:sz w:val="20"/>
              </w:rPr>
            </w:pPr>
            <w:r>
              <w:rPr>
                <w:sz w:val="20"/>
              </w:rPr>
              <w:t>It is an effective system to ensure </w:t>
            </w:r>
            <w:r>
              <w:rPr>
                <w:spacing w:val="-2"/>
                <w:sz w:val="20"/>
              </w:rPr>
              <w:t>production</w:t>
            </w:r>
            <w:r>
              <w:rPr>
                <w:sz w:val="20"/>
              </w:rPr>
              <w:tab/>
            </w:r>
            <w:r>
              <w:rPr>
                <w:spacing w:val="-4"/>
                <w:sz w:val="20"/>
              </w:rPr>
              <w:t>and </w:t>
            </w:r>
            <w:r>
              <w:rPr>
                <w:sz w:val="20"/>
              </w:rPr>
              <w:t>service at the most economical levels</w:t>
            </w:r>
            <w:r>
              <w:rPr>
                <w:spacing w:val="40"/>
                <w:sz w:val="20"/>
              </w:rPr>
              <w:t> </w:t>
            </w:r>
            <w:r>
              <w:rPr>
                <w:sz w:val="20"/>
              </w:rPr>
              <w:t>that</w:t>
            </w:r>
            <w:r>
              <w:rPr>
                <w:spacing w:val="72"/>
                <w:w w:val="150"/>
                <w:sz w:val="20"/>
              </w:rPr>
              <w:t> </w:t>
            </w:r>
            <w:r>
              <w:rPr>
                <w:sz w:val="20"/>
              </w:rPr>
              <w:t>allow</w:t>
            </w:r>
            <w:r>
              <w:rPr>
                <w:spacing w:val="69"/>
                <w:w w:val="150"/>
                <w:sz w:val="20"/>
              </w:rPr>
              <w:t> </w:t>
            </w:r>
            <w:r>
              <w:rPr>
                <w:spacing w:val="-2"/>
                <w:sz w:val="20"/>
              </w:rPr>
              <w:t>customer</w:t>
            </w:r>
          </w:p>
          <w:p>
            <w:pPr>
              <w:pStyle w:val="TableParagraph"/>
              <w:spacing w:line="230" w:lineRule="exact"/>
              <w:ind w:left="108"/>
              <w:rPr>
                <w:sz w:val="20"/>
              </w:rPr>
            </w:pPr>
            <w:r>
              <w:rPr>
                <w:spacing w:val="-2"/>
                <w:sz w:val="20"/>
              </w:rPr>
              <w:t>satisfaction</w:t>
            </w:r>
          </w:p>
        </w:tc>
        <w:tc>
          <w:tcPr>
            <w:tcW w:w="1514" w:type="dxa"/>
          </w:tcPr>
          <w:p>
            <w:pPr>
              <w:pStyle w:val="TableParagraph"/>
              <w:spacing w:line="226" w:lineRule="exact"/>
              <w:ind w:left="105"/>
              <w:rPr>
                <w:sz w:val="20"/>
              </w:rPr>
            </w:pPr>
            <w:r>
              <w:rPr>
                <w:spacing w:val="-5"/>
                <w:sz w:val="20"/>
              </w:rPr>
              <w:t>199</w:t>
            </w:r>
          </w:p>
        </w:tc>
        <w:tc>
          <w:tcPr>
            <w:tcW w:w="705" w:type="dxa"/>
          </w:tcPr>
          <w:p>
            <w:pPr>
              <w:pStyle w:val="TableParagraph"/>
              <w:spacing w:line="226" w:lineRule="exact"/>
              <w:ind w:left="106"/>
              <w:rPr>
                <w:sz w:val="20"/>
              </w:rPr>
            </w:pPr>
            <w:r>
              <w:rPr>
                <w:spacing w:val="-5"/>
                <w:sz w:val="20"/>
              </w:rPr>
              <w:t>48</w:t>
            </w:r>
          </w:p>
        </w:tc>
        <w:tc>
          <w:tcPr>
            <w:tcW w:w="1586" w:type="dxa"/>
          </w:tcPr>
          <w:p>
            <w:pPr>
              <w:pStyle w:val="TableParagraph"/>
              <w:spacing w:line="226" w:lineRule="exact"/>
              <w:ind w:left="85"/>
              <w:rPr>
                <w:sz w:val="20"/>
              </w:rPr>
            </w:pPr>
            <w:r>
              <w:rPr>
                <w:spacing w:val="-5"/>
                <w:sz w:val="20"/>
              </w:rPr>
              <w:t>11</w:t>
            </w:r>
          </w:p>
        </w:tc>
        <w:tc>
          <w:tcPr>
            <w:tcW w:w="1466" w:type="dxa"/>
          </w:tcPr>
          <w:p>
            <w:pPr>
              <w:pStyle w:val="TableParagraph"/>
              <w:spacing w:line="226" w:lineRule="exact"/>
              <w:ind w:left="531"/>
              <w:rPr>
                <w:sz w:val="20"/>
              </w:rPr>
            </w:pPr>
            <w:r>
              <w:rPr>
                <w:spacing w:val="-5"/>
                <w:sz w:val="20"/>
              </w:rPr>
              <w:t>19</w:t>
            </w:r>
          </w:p>
        </w:tc>
        <w:tc>
          <w:tcPr>
            <w:tcW w:w="894" w:type="dxa"/>
          </w:tcPr>
          <w:p>
            <w:pPr>
              <w:pStyle w:val="TableParagraph"/>
              <w:spacing w:line="226" w:lineRule="exact"/>
              <w:ind w:left="186"/>
              <w:rPr>
                <w:sz w:val="20"/>
              </w:rPr>
            </w:pPr>
            <w:r>
              <w:rPr>
                <w:spacing w:val="-5"/>
                <w:sz w:val="20"/>
              </w:rPr>
              <w:t>26</w:t>
            </w:r>
          </w:p>
        </w:tc>
        <w:tc>
          <w:tcPr>
            <w:tcW w:w="869" w:type="dxa"/>
          </w:tcPr>
          <w:p>
            <w:pPr>
              <w:pStyle w:val="TableParagraph"/>
              <w:spacing w:line="226" w:lineRule="exact"/>
              <w:ind w:left="6" w:right="33"/>
              <w:jc w:val="center"/>
              <w:rPr>
                <w:sz w:val="20"/>
              </w:rPr>
            </w:pPr>
            <w:r>
              <w:rPr>
                <w:spacing w:val="-2"/>
                <w:sz w:val="20"/>
              </w:rPr>
              <w:t>4.237</w:t>
            </w:r>
          </w:p>
        </w:tc>
        <w:tc>
          <w:tcPr>
            <w:tcW w:w="737" w:type="dxa"/>
          </w:tcPr>
          <w:p>
            <w:pPr>
              <w:pStyle w:val="TableParagraph"/>
              <w:spacing w:line="226" w:lineRule="exact"/>
              <w:ind w:right="16"/>
              <w:jc w:val="center"/>
              <w:rPr>
                <w:sz w:val="20"/>
              </w:rPr>
            </w:pPr>
            <w:r>
              <w:rPr>
                <w:spacing w:val="-4"/>
                <w:sz w:val="20"/>
              </w:rPr>
              <w:t>0.68</w:t>
            </w:r>
          </w:p>
        </w:tc>
        <w:tc>
          <w:tcPr>
            <w:tcW w:w="906" w:type="dxa"/>
          </w:tcPr>
          <w:p>
            <w:pPr>
              <w:pStyle w:val="TableParagraph"/>
              <w:spacing w:line="226" w:lineRule="exact"/>
              <w:ind w:left="206"/>
              <w:rPr>
                <w:sz w:val="20"/>
              </w:rPr>
            </w:pPr>
            <w:r>
              <w:rPr>
                <w:spacing w:val="-10"/>
                <w:sz w:val="20"/>
              </w:rPr>
              <w:t>3</w:t>
            </w:r>
          </w:p>
        </w:tc>
      </w:tr>
      <w:tr>
        <w:trPr>
          <w:trHeight w:val="1058" w:hRule="atLeast"/>
        </w:trPr>
        <w:tc>
          <w:tcPr>
            <w:tcW w:w="1999" w:type="dxa"/>
            <w:shd w:val="clear" w:color="auto" w:fill="D5DCE4"/>
          </w:tcPr>
          <w:p>
            <w:pPr>
              <w:pStyle w:val="TableParagraph"/>
              <w:spacing w:line="276" w:lineRule="auto"/>
              <w:ind w:left="108"/>
              <w:rPr>
                <w:sz w:val="20"/>
              </w:rPr>
            </w:pPr>
            <w:r>
              <w:rPr>
                <w:sz w:val="20"/>
              </w:rPr>
              <w:t>It</w:t>
            </w:r>
            <w:r>
              <w:rPr>
                <w:spacing w:val="40"/>
                <w:sz w:val="20"/>
              </w:rPr>
              <w:t> </w:t>
            </w:r>
            <w:r>
              <w:rPr>
                <w:sz w:val="20"/>
              </w:rPr>
              <w:t>is</w:t>
            </w:r>
            <w:r>
              <w:rPr>
                <w:spacing w:val="40"/>
                <w:sz w:val="20"/>
              </w:rPr>
              <w:t> </w:t>
            </w:r>
            <w:r>
              <w:rPr>
                <w:sz w:val="20"/>
              </w:rPr>
              <w:t>an</w:t>
            </w:r>
            <w:r>
              <w:rPr>
                <w:spacing w:val="40"/>
                <w:sz w:val="20"/>
              </w:rPr>
              <w:t> </w:t>
            </w:r>
            <w:r>
              <w:rPr>
                <w:sz w:val="20"/>
              </w:rPr>
              <w:t>approach</w:t>
            </w:r>
            <w:r>
              <w:rPr>
                <w:spacing w:val="40"/>
                <w:sz w:val="20"/>
              </w:rPr>
              <w:t> </w:t>
            </w:r>
            <w:r>
              <w:rPr>
                <w:sz w:val="20"/>
              </w:rPr>
              <w:t>of </w:t>
            </w:r>
            <w:r>
              <w:rPr>
                <w:spacing w:val="-2"/>
                <w:sz w:val="20"/>
              </w:rPr>
              <w:t>continuous </w:t>
            </w:r>
            <w:r>
              <w:rPr>
                <w:sz w:val="20"/>
              </w:rPr>
              <w:t>improvement</w:t>
            </w:r>
            <w:r>
              <w:rPr>
                <w:spacing w:val="80"/>
                <w:sz w:val="20"/>
              </w:rPr>
              <w:t> </w:t>
            </w:r>
            <w:r>
              <w:rPr>
                <w:sz w:val="20"/>
              </w:rPr>
              <w:t>in</w:t>
            </w:r>
            <w:r>
              <w:rPr>
                <w:spacing w:val="80"/>
                <w:sz w:val="20"/>
              </w:rPr>
              <w:t> </w:t>
            </w:r>
            <w:r>
              <w:rPr>
                <w:sz w:val="20"/>
              </w:rPr>
              <w:t>all</w:t>
            </w:r>
          </w:p>
          <w:p>
            <w:pPr>
              <w:pStyle w:val="TableParagraph"/>
              <w:ind w:left="108"/>
              <w:rPr>
                <w:sz w:val="20"/>
              </w:rPr>
            </w:pPr>
            <w:r>
              <w:rPr>
                <w:spacing w:val="-2"/>
                <w:sz w:val="20"/>
              </w:rPr>
              <w:t>quality</w:t>
            </w:r>
          </w:p>
        </w:tc>
        <w:tc>
          <w:tcPr>
            <w:tcW w:w="1514" w:type="dxa"/>
            <w:shd w:val="clear" w:color="auto" w:fill="D5DCE4"/>
          </w:tcPr>
          <w:p>
            <w:pPr>
              <w:pStyle w:val="TableParagraph"/>
              <w:spacing w:line="226" w:lineRule="exact"/>
              <w:ind w:left="105"/>
              <w:rPr>
                <w:sz w:val="20"/>
              </w:rPr>
            </w:pPr>
            <w:r>
              <w:rPr>
                <w:spacing w:val="-5"/>
                <w:sz w:val="20"/>
              </w:rPr>
              <w:t>184</w:t>
            </w:r>
          </w:p>
        </w:tc>
        <w:tc>
          <w:tcPr>
            <w:tcW w:w="705" w:type="dxa"/>
            <w:shd w:val="clear" w:color="auto" w:fill="D5DCE4"/>
          </w:tcPr>
          <w:p>
            <w:pPr>
              <w:pStyle w:val="TableParagraph"/>
              <w:spacing w:line="226" w:lineRule="exact"/>
              <w:ind w:left="106"/>
              <w:rPr>
                <w:sz w:val="20"/>
              </w:rPr>
            </w:pPr>
            <w:r>
              <w:rPr>
                <w:spacing w:val="-5"/>
                <w:sz w:val="20"/>
              </w:rPr>
              <w:t>68</w:t>
            </w:r>
          </w:p>
        </w:tc>
        <w:tc>
          <w:tcPr>
            <w:tcW w:w="1586" w:type="dxa"/>
            <w:shd w:val="clear" w:color="auto" w:fill="D5DCE4"/>
          </w:tcPr>
          <w:p>
            <w:pPr>
              <w:pStyle w:val="TableParagraph"/>
              <w:spacing w:line="226" w:lineRule="exact"/>
              <w:ind w:left="85"/>
              <w:rPr>
                <w:sz w:val="20"/>
              </w:rPr>
            </w:pPr>
            <w:r>
              <w:rPr>
                <w:spacing w:val="-5"/>
                <w:sz w:val="20"/>
              </w:rPr>
              <w:t>22</w:t>
            </w:r>
          </w:p>
        </w:tc>
        <w:tc>
          <w:tcPr>
            <w:tcW w:w="1466" w:type="dxa"/>
            <w:shd w:val="clear" w:color="auto" w:fill="D5DCE4"/>
          </w:tcPr>
          <w:p>
            <w:pPr>
              <w:pStyle w:val="TableParagraph"/>
              <w:spacing w:line="226" w:lineRule="exact"/>
              <w:ind w:left="531"/>
              <w:rPr>
                <w:sz w:val="20"/>
              </w:rPr>
            </w:pPr>
            <w:r>
              <w:rPr>
                <w:spacing w:val="-5"/>
                <w:sz w:val="20"/>
              </w:rPr>
              <w:t>19</w:t>
            </w:r>
          </w:p>
        </w:tc>
        <w:tc>
          <w:tcPr>
            <w:tcW w:w="894" w:type="dxa"/>
            <w:shd w:val="clear" w:color="auto" w:fill="D5DCE4"/>
          </w:tcPr>
          <w:p>
            <w:pPr>
              <w:pStyle w:val="TableParagraph"/>
              <w:spacing w:line="226" w:lineRule="exact"/>
              <w:ind w:left="186"/>
              <w:rPr>
                <w:sz w:val="20"/>
              </w:rPr>
            </w:pPr>
            <w:r>
              <w:rPr>
                <w:spacing w:val="-5"/>
                <w:sz w:val="20"/>
              </w:rPr>
              <w:t>10</w:t>
            </w:r>
          </w:p>
        </w:tc>
        <w:tc>
          <w:tcPr>
            <w:tcW w:w="869" w:type="dxa"/>
            <w:shd w:val="clear" w:color="auto" w:fill="D5DCE4"/>
          </w:tcPr>
          <w:p>
            <w:pPr>
              <w:pStyle w:val="TableParagraph"/>
              <w:spacing w:line="226" w:lineRule="exact"/>
              <w:ind w:left="6" w:right="33"/>
              <w:jc w:val="center"/>
              <w:rPr>
                <w:sz w:val="20"/>
              </w:rPr>
            </w:pPr>
            <w:r>
              <w:rPr>
                <w:spacing w:val="-2"/>
                <w:sz w:val="20"/>
              </w:rPr>
              <w:t>4.310</w:t>
            </w:r>
          </w:p>
        </w:tc>
        <w:tc>
          <w:tcPr>
            <w:tcW w:w="737" w:type="dxa"/>
            <w:shd w:val="clear" w:color="auto" w:fill="D5DCE4"/>
          </w:tcPr>
          <w:p>
            <w:pPr>
              <w:pStyle w:val="TableParagraph"/>
              <w:spacing w:line="226" w:lineRule="exact"/>
              <w:ind w:right="16"/>
              <w:jc w:val="center"/>
              <w:rPr>
                <w:sz w:val="20"/>
              </w:rPr>
            </w:pPr>
            <w:r>
              <w:rPr>
                <w:spacing w:val="-4"/>
                <w:sz w:val="20"/>
              </w:rPr>
              <w:t>0.79</w:t>
            </w:r>
          </w:p>
        </w:tc>
        <w:tc>
          <w:tcPr>
            <w:tcW w:w="906" w:type="dxa"/>
            <w:shd w:val="clear" w:color="auto" w:fill="D5DCE4"/>
          </w:tcPr>
          <w:p>
            <w:pPr>
              <w:pStyle w:val="TableParagraph"/>
              <w:spacing w:line="226" w:lineRule="exact"/>
              <w:ind w:left="206"/>
              <w:rPr>
                <w:sz w:val="20"/>
              </w:rPr>
            </w:pPr>
            <w:r>
              <w:rPr>
                <w:spacing w:val="-10"/>
                <w:sz w:val="20"/>
              </w:rPr>
              <w:t>1</w:t>
            </w:r>
          </w:p>
        </w:tc>
      </w:tr>
      <w:tr>
        <w:trPr>
          <w:trHeight w:val="2908" w:hRule="atLeast"/>
        </w:trPr>
        <w:tc>
          <w:tcPr>
            <w:tcW w:w="1999" w:type="dxa"/>
          </w:tcPr>
          <w:p>
            <w:pPr>
              <w:pStyle w:val="TableParagraph"/>
              <w:spacing w:line="276" w:lineRule="auto"/>
              <w:ind w:left="108" w:right="78"/>
              <w:rPr>
                <w:sz w:val="20"/>
              </w:rPr>
            </w:pPr>
            <w:r>
              <w:rPr>
                <w:sz w:val="20"/>
              </w:rPr>
              <w:t>It is a quest for excellence, creating the</w:t>
            </w:r>
            <w:r>
              <w:rPr>
                <w:spacing w:val="-13"/>
                <w:sz w:val="20"/>
              </w:rPr>
              <w:t> </w:t>
            </w:r>
            <w:r>
              <w:rPr>
                <w:sz w:val="20"/>
              </w:rPr>
              <w:t>right</w:t>
            </w:r>
            <w:r>
              <w:rPr>
                <w:spacing w:val="-12"/>
                <w:sz w:val="20"/>
              </w:rPr>
              <w:t> </w:t>
            </w:r>
            <w:r>
              <w:rPr>
                <w:sz w:val="20"/>
              </w:rPr>
              <w:t>attitudes</w:t>
            </w:r>
            <w:r>
              <w:rPr>
                <w:spacing w:val="-13"/>
                <w:sz w:val="20"/>
              </w:rPr>
              <w:t> </w:t>
            </w:r>
            <w:r>
              <w:rPr>
                <w:sz w:val="20"/>
              </w:rPr>
              <w:t>and quality control </w:t>
            </w:r>
            <w:r>
              <w:rPr>
                <w:spacing w:val="-2"/>
                <w:sz w:val="20"/>
              </w:rPr>
              <w:t>management </w:t>
            </w:r>
            <w:r>
              <w:rPr>
                <w:sz w:val="20"/>
              </w:rPr>
              <w:t>philosophy that promotes cost effectiveness and sustainable project quality to client</w:t>
            </w:r>
          </w:p>
          <w:p>
            <w:pPr>
              <w:pStyle w:val="TableParagraph"/>
              <w:spacing w:line="229" w:lineRule="exact"/>
              <w:ind w:left="108"/>
              <w:rPr>
                <w:sz w:val="20"/>
              </w:rPr>
            </w:pPr>
            <w:r>
              <w:rPr>
                <w:spacing w:val="-2"/>
                <w:sz w:val="20"/>
              </w:rPr>
              <w:t>satisfaction</w:t>
            </w:r>
          </w:p>
        </w:tc>
        <w:tc>
          <w:tcPr>
            <w:tcW w:w="1514" w:type="dxa"/>
          </w:tcPr>
          <w:p>
            <w:pPr>
              <w:pStyle w:val="TableParagraph"/>
              <w:spacing w:line="226" w:lineRule="exact"/>
              <w:ind w:left="105"/>
              <w:rPr>
                <w:sz w:val="20"/>
              </w:rPr>
            </w:pPr>
            <w:r>
              <w:rPr>
                <w:spacing w:val="-5"/>
                <w:sz w:val="20"/>
              </w:rPr>
              <w:t>63</w:t>
            </w:r>
          </w:p>
        </w:tc>
        <w:tc>
          <w:tcPr>
            <w:tcW w:w="705" w:type="dxa"/>
          </w:tcPr>
          <w:p>
            <w:pPr>
              <w:pStyle w:val="TableParagraph"/>
              <w:spacing w:line="226" w:lineRule="exact"/>
              <w:ind w:left="106"/>
              <w:rPr>
                <w:sz w:val="20"/>
              </w:rPr>
            </w:pPr>
            <w:r>
              <w:rPr>
                <w:spacing w:val="-5"/>
                <w:sz w:val="20"/>
              </w:rPr>
              <w:t>198</w:t>
            </w:r>
          </w:p>
        </w:tc>
        <w:tc>
          <w:tcPr>
            <w:tcW w:w="1586" w:type="dxa"/>
          </w:tcPr>
          <w:p>
            <w:pPr>
              <w:pStyle w:val="TableParagraph"/>
              <w:spacing w:line="226" w:lineRule="exact"/>
              <w:ind w:left="85"/>
              <w:rPr>
                <w:sz w:val="20"/>
              </w:rPr>
            </w:pPr>
            <w:r>
              <w:rPr>
                <w:spacing w:val="-10"/>
                <w:sz w:val="20"/>
              </w:rPr>
              <w:t>2</w:t>
            </w:r>
          </w:p>
        </w:tc>
        <w:tc>
          <w:tcPr>
            <w:tcW w:w="1466" w:type="dxa"/>
          </w:tcPr>
          <w:p>
            <w:pPr>
              <w:pStyle w:val="TableParagraph"/>
              <w:spacing w:line="226" w:lineRule="exact"/>
              <w:ind w:left="531"/>
              <w:rPr>
                <w:sz w:val="20"/>
              </w:rPr>
            </w:pPr>
            <w:r>
              <w:rPr>
                <w:spacing w:val="-5"/>
                <w:sz w:val="20"/>
              </w:rPr>
              <w:t>16</w:t>
            </w:r>
          </w:p>
        </w:tc>
        <w:tc>
          <w:tcPr>
            <w:tcW w:w="894" w:type="dxa"/>
          </w:tcPr>
          <w:p>
            <w:pPr>
              <w:pStyle w:val="TableParagraph"/>
              <w:spacing w:line="226" w:lineRule="exact"/>
              <w:ind w:left="186"/>
              <w:rPr>
                <w:sz w:val="20"/>
              </w:rPr>
            </w:pPr>
            <w:r>
              <w:rPr>
                <w:spacing w:val="-5"/>
                <w:sz w:val="20"/>
              </w:rPr>
              <w:t>24</w:t>
            </w:r>
          </w:p>
        </w:tc>
        <w:tc>
          <w:tcPr>
            <w:tcW w:w="869" w:type="dxa"/>
          </w:tcPr>
          <w:p>
            <w:pPr>
              <w:pStyle w:val="TableParagraph"/>
              <w:spacing w:line="226" w:lineRule="exact"/>
              <w:ind w:left="6" w:right="33"/>
              <w:jc w:val="center"/>
              <w:rPr>
                <w:sz w:val="20"/>
              </w:rPr>
            </w:pPr>
            <w:r>
              <w:rPr>
                <w:spacing w:val="-2"/>
                <w:sz w:val="20"/>
              </w:rPr>
              <w:t>3.864</w:t>
            </w:r>
          </w:p>
        </w:tc>
        <w:tc>
          <w:tcPr>
            <w:tcW w:w="737" w:type="dxa"/>
          </w:tcPr>
          <w:p>
            <w:pPr>
              <w:pStyle w:val="TableParagraph"/>
              <w:spacing w:line="226" w:lineRule="exact"/>
              <w:ind w:right="16"/>
              <w:jc w:val="center"/>
              <w:rPr>
                <w:sz w:val="20"/>
              </w:rPr>
            </w:pPr>
            <w:r>
              <w:rPr>
                <w:spacing w:val="-4"/>
                <w:sz w:val="20"/>
              </w:rPr>
              <w:t>0.51</w:t>
            </w:r>
          </w:p>
        </w:tc>
        <w:tc>
          <w:tcPr>
            <w:tcW w:w="906" w:type="dxa"/>
          </w:tcPr>
          <w:p>
            <w:pPr>
              <w:pStyle w:val="TableParagraph"/>
              <w:spacing w:line="226" w:lineRule="exact"/>
              <w:ind w:left="206"/>
              <w:rPr>
                <w:sz w:val="20"/>
              </w:rPr>
            </w:pPr>
            <w:r>
              <w:rPr>
                <w:spacing w:val="-10"/>
                <w:sz w:val="20"/>
              </w:rPr>
              <w:t>5</w:t>
            </w:r>
          </w:p>
        </w:tc>
      </w:tr>
      <w:tr>
        <w:trPr>
          <w:trHeight w:val="2380" w:hRule="atLeast"/>
        </w:trPr>
        <w:tc>
          <w:tcPr>
            <w:tcW w:w="1999" w:type="dxa"/>
            <w:shd w:val="clear" w:color="auto" w:fill="D5DCE4"/>
          </w:tcPr>
          <w:p>
            <w:pPr>
              <w:pStyle w:val="TableParagraph"/>
              <w:spacing w:line="276" w:lineRule="auto"/>
              <w:ind w:left="108" w:right="172"/>
              <w:rPr>
                <w:sz w:val="20"/>
              </w:rPr>
            </w:pPr>
            <w:r>
              <w:rPr>
                <w:sz w:val="20"/>
              </w:rPr>
              <w:t>Is a management practice through the organization geared to ensure the </w:t>
            </w:r>
            <w:r>
              <w:rPr>
                <w:spacing w:val="-2"/>
                <w:sz w:val="20"/>
              </w:rPr>
              <w:t>organization </w:t>
            </w:r>
            <w:r>
              <w:rPr>
                <w:sz w:val="20"/>
              </w:rPr>
              <w:t>consistently</w:t>
            </w:r>
            <w:r>
              <w:rPr>
                <w:spacing w:val="-13"/>
                <w:sz w:val="20"/>
              </w:rPr>
              <w:t> </w:t>
            </w:r>
            <w:r>
              <w:rPr>
                <w:sz w:val="20"/>
              </w:rPr>
              <w:t>meets</w:t>
            </w:r>
            <w:r>
              <w:rPr>
                <w:spacing w:val="-12"/>
                <w:sz w:val="20"/>
              </w:rPr>
              <w:t> </w:t>
            </w:r>
            <w:r>
              <w:rPr>
                <w:sz w:val="20"/>
              </w:rPr>
              <w:t>or exceeds customer </w:t>
            </w:r>
            <w:r>
              <w:rPr>
                <w:spacing w:val="-2"/>
                <w:sz w:val="20"/>
              </w:rPr>
              <w:t>requirements</w:t>
            </w:r>
          </w:p>
          <w:p>
            <w:pPr>
              <w:pStyle w:val="TableParagraph"/>
              <w:ind w:left="108"/>
              <w:rPr>
                <w:sz w:val="20"/>
              </w:rPr>
            </w:pPr>
            <w:r>
              <w:rPr>
                <w:sz w:val="20"/>
              </w:rPr>
              <w:t>Grand</w:t>
            </w:r>
            <w:r>
              <w:rPr>
                <w:spacing w:val="-4"/>
                <w:sz w:val="20"/>
              </w:rPr>
              <w:t> mean</w:t>
            </w:r>
          </w:p>
        </w:tc>
        <w:tc>
          <w:tcPr>
            <w:tcW w:w="1514" w:type="dxa"/>
            <w:shd w:val="clear" w:color="auto" w:fill="D5DCE4"/>
          </w:tcPr>
          <w:p>
            <w:pPr>
              <w:pStyle w:val="TableParagraph"/>
              <w:spacing w:line="226" w:lineRule="exact"/>
              <w:ind w:left="105"/>
              <w:rPr>
                <w:sz w:val="20"/>
              </w:rPr>
            </w:pPr>
            <w:r>
              <w:rPr>
                <w:spacing w:val="-5"/>
                <w:sz w:val="20"/>
              </w:rPr>
              <w:t>173</w:t>
            </w:r>
          </w:p>
        </w:tc>
        <w:tc>
          <w:tcPr>
            <w:tcW w:w="705" w:type="dxa"/>
            <w:shd w:val="clear" w:color="auto" w:fill="D5DCE4"/>
          </w:tcPr>
          <w:p>
            <w:pPr>
              <w:pStyle w:val="TableParagraph"/>
              <w:spacing w:line="226" w:lineRule="exact"/>
              <w:ind w:left="106"/>
              <w:rPr>
                <w:sz w:val="20"/>
              </w:rPr>
            </w:pPr>
            <w:r>
              <w:rPr>
                <w:spacing w:val="-5"/>
                <w:sz w:val="20"/>
              </w:rPr>
              <w:t>73</w:t>
            </w:r>
          </w:p>
        </w:tc>
        <w:tc>
          <w:tcPr>
            <w:tcW w:w="1586" w:type="dxa"/>
            <w:shd w:val="clear" w:color="auto" w:fill="D5DCE4"/>
          </w:tcPr>
          <w:p>
            <w:pPr>
              <w:pStyle w:val="TableParagraph"/>
              <w:spacing w:line="226" w:lineRule="exact"/>
              <w:ind w:left="85"/>
              <w:rPr>
                <w:sz w:val="20"/>
              </w:rPr>
            </w:pPr>
            <w:r>
              <w:rPr>
                <w:spacing w:val="-5"/>
                <w:sz w:val="20"/>
              </w:rPr>
              <w:t>33</w:t>
            </w:r>
          </w:p>
        </w:tc>
        <w:tc>
          <w:tcPr>
            <w:tcW w:w="1466" w:type="dxa"/>
            <w:shd w:val="clear" w:color="auto" w:fill="D5DCE4"/>
          </w:tcPr>
          <w:p>
            <w:pPr>
              <w:pStyle w:val="TableParagraph"/>
              <w:spacing w:line="226" w:lineRule="exact"/>
              <w:ind w:left="531"/>
              <w:rPr>
                <w:sz w:val="20"/>
              </w:rPr>
            </w:pPr>
            <w:r>
              <w:rPr>
                <w:spacing w:val="-5"/>
                <w:sz w:val="20"/>
              </w:rPr>
              <w:t>13</w:t>
            </w:r>
          </w:p>
        </w:tc>
        <w:tc>
          <w:tcPr>
            <w:tcW w:w="894" w:type="dxa"/>
            <w:shd w:val="clear" w:color="auto" w:fill="D5DCE4"/>
          </w:tcPr>
          <w:p>
            <w:pPr>
              <w:pStyle w:val="TableParagraph"/>
              <w:spacing w:line="226" w:lineRule="exact"/>
              <w:ind w:left="186"/>
              <w:rPr>
                <w:sz w:val="20"/>
              </w:rPr>
            </w:pPr>
            <w:r>
              <w:rPr>
                <w:spacing w:val="-5"/>
                <w:sz w:val="20"/>
              </w:rPr>
              <w:t>11</w:t>
            </w:r>
          </w:p>
        </w:tc>
        <w:tc>
          <w:tcPr>
            <w:tcW w:w="869" w:type="dxa"/>
            <w:shd w:val="clear" w:color="auto" w:fill="D5DCE4"/>
          </w:tcPr>
          <w:p>
            <w:pPr>
              <w:pStyle w:val="TableParagraph"/>
              <w:spacing w:line="226" w:lineRule="exact"/>
              <w:ind w:left="192"/>
              <w:rPr>
                <w:sz w:val="20"/>
              </w:rPr>
            </w:pPr>
            <w:r>
              <w:rPr>
                <w:spacing w:val="-2"/>
                <w:sz w:val="20"/>
              </w:rPr>
              <w:t>4.267</w:t>
            </w:r>
          </w:p>
          <w:p>
            <w:pPr>
              <w:pStyle w:val="TableParagraph"/>
              <w:rPr>
                <w:b/>
                <w:sz w:val="20"/>
              </w:rPr>
            </w:pPr>
          </w:p>
          <w:p>
            <w:pPr>
              <w:pStyle w:val="TableParagraph"/>
              <w:rPr>
                <w:b/>
                <w:sz w:val="20"/>
              </w:rPr>
            </w:pPr>
          </w:p>
          <w:p>
            <w:pPr>
              <w:pStyle w:val="TableParagraph"/>
              <w:spacing w:before="138"/>
              <w:rPr>
                <w:b/>
                <w:sz w:val="20"/>
              </w:rPr>
            </w:pPr>
          </w:p>
          <w:p>
            <w:pPr>
              <w:pStyle w:val="TableParagraph"/>
              <w:ind w:left="192"/>
              <w:rPr>
                <w:sz w:val="20"/>
              </w:rPr>
            </w:pPr>
            <w:r>
              <w:rPr>
                <w:spacing w:val="-4"/>
                <w:sz w:val="20"/>
              </w:rPr>
              <w:t>4.16</w:t>
            </w:r>
          </w:p>
        </w:tc>
        <w:tc>
          <w:tcPr>
            <w:tcW w:w="737" w:type="dxa"/>
            <w:shd w:val="clear" w:color="auto" w:fill="D5DCE4"/>
          </w:tcPr>
          <w:p>
            <w:pPr>
              <w:pStyle w:val="TableParagraph"/>
              <w:spacing w:line="226" w:lineRule="exact"/>
              <w:ind w:left="182"/>
              <w:rPr>
                <w:sz w:val="20"/>
              </w:rPr>
            </w:pPr>
            <w:r>
              <w:rPr>
                <w:spacing w:val="-4"/>
                <w:sz w:val="20"/>
              </w:rPr>
              <w:t>0.62</w:t>
            </w:r>
          </w:p>
          <w:p>
            <w:pPr>
              <w:pStyle w:val="TableParagraph"/>
              <w:rPr>
                <w:b/>
                <w:sz w:val="20"/>
              </w:rPr>
            </w:pPr>
          </w:p>
          <w:p>
            <w:pPr>
              <w:pStyle w:val="TableParagraph"/>
              <w:rPr>
                <w:b/>
                <w:sz w:val="20"/>
              </w:rPr>
            </w:pPr>
          </w:p>
          <w:p>
            <w:pPr>
              <w:pStyle w:val="TableParagraph"/>
              <w:spacing w:before="138"/>
              <w:rPr>
                <w:b/>
                <w:sz w:val="20"/>
              </w:rPr>
            </w:pPr>
          </w:p>
          <w:p>
            <w:pPr>
              <w:pStyle w:val="TableParagraph"/>
              <w:ind w:left="182"/>
              <w:rPr>
                <w:sz w:val="20"/>
              </w:rPr>
            </w:pPr>
            <w:r>
              <w:rPr>
                <w:spacing w:val="-4"/>
                <w:sz w:val="20"/>
              </w:rPr>
              <w:t>0.68</w:t>
            </w:r>
          </w:p>
        </w:tc>
        <w:tc>
          <w:tcPr>
            <w:tcW w:w="906" w:type="dxa"/>
            <w:shd w:val="clear" w:color="auto" w:fill="D5DCE4"/>
          </w:tcPr>
          <w:p>
            <w:pPr>
              <w:pStyle w:val="TableParagraph"/>
              <w:spacing w:line="226" w:lineRule="exact"/>
              <w:ind w:left="206"/>
              <w:rPr>
                <w:sz w:val="20"/>
              </w:rPr>
            </w:pPr>
            <w:r>
              <w:rPr>
                <w:spacing w:val="-10"/>
                <w:sz w:val="20"/>
              </w:rPr>
              <w:t>2</w:t>
            </w:r>
          </w:p>
        </w:tc>
      </w:tr>
    </w:tbl>
    <w:p>
      <w:pPr>
        <w:spacing w:before="0"/>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2"/>
          <w:sz w:val="24"/>
        </w:rPr>
        <w:t> </w:t>
      </w:r>
      <w:r>
        <w:rPr>
          <w:b/>
          <w:sz w:val="24"/>
        </w:rPr>
        <w:t>survey</w:t>
      </w:r>
      <w:r>
        <w:rPr>
          <w:b/>
          <w:spacing w:val="-2"/>
          <w:sz w:val="24"/>
        </w:rPr>
        <w:t> (2018)</w:t>
      </w:r>
    </w:p>
    <w:p>
      <w:pPr>
        <w:spacing w:after="0"/>
        <w:jc w:val="left"/>
        <w:rPr>
          <w:sz w:val="24"/>
        </w:rPr>
        <w:sectPr>
          <w:pgSz w:w="12240" w:h="15840"/>
          <w:pgMar w:header="0" w:footer="1017" w:top="1360" w:bottom="1200" w:left="1040" w:right="120"/>
        </w:sectPr>
      </w:pPr>
    </w:p>
    <w:p>
      <w:pPr>
        <w:pStyle w:val="ListParagraph"/>
        <w:numPr>
          <w:ilvl w:val="2"/>
          <w:numId w:val="40"/>
        </w:numPr>
        <w:tabs>
          <w:tab w:pos="1120" w:val="left" w:leader="none"/>
        </w:tabs>
        <w:spacing w:line="240" w:lineRule="auto" w:before="76" w:after="0"/>
        <w:ind w:left="1120" w:right="0" w:hanging="720"/>
        <w:jc w:val="both"/>
        <w:rPr>
          <w:b/>
          <w:sz w:val="24"/>
        </w:rPr>
      </w:pPr>
      <w:r>
        <w:rPr>
          <w:b/>
          <w:sz w:val="24"/>
        </w:rPr>
        <w:t>Analysis</w:t>
      </w:r>
      <w:r>
        <w:rPr>
          <w:b/>
          <w:spacing w:val="-2"/>
          <w:sz w:val="24"/>
        </w:rPr>
        <w:t> </w:t>
      </w:r>
      <w:r>
        <w:rPr>
          <w:b/>
          <w:sz w:val="24"/>
        </w:rPr>
        <w:t>of</w:t>
      </w:r>
      <w:r>
        <w:rPr>
          <w:b/>
          <w:spacing w:val="-1"/>
          <w:sz w:val="24"/>
        </w:rPr>
        <w:t> </w:t>
      </w:r>
      <w:r>
        <w:rPr>
          <w:b/>
          <w:sz w:val="24"/>
        </w:rPr>
        <w:t>advantages</w:t>
      </w:r>
      <w:r>
        <w:rPr>
          <w:b/>
          <w:spacing w:val="-4"/>
          <w:sz w:val="24"/>
        </w:rPr>
        <w:t> </w:t>
      </w:r>
      <w:r>
        <w:rPr>
          <w:b/>
          <w:sz w:val="24"/>
        </w:rPr>
        <w:t>of </w:t>
      </w:r>
      <w:r>
        <w:rPr>
          <w:b/>
          <w:spacing w:val="-5"/>
          <w:sz w:val="24"/>
        </w:rPr>
        <w:t>TQM</w:t>
      </w:r>
    </w:p>
    <w:p>
      <w:pPr>
        <w:pStyle w:val="BodyText"/>
        <w:spacing w:line="480" w:lineRule="auto" w:before="272"/>
        <w:ind w:left="399" w:right="1316"/>
        <w:jc w:val="both"/>
      </w:pPr>
      <w:r>
        <w:rPr/>
        <w:t>To rank the advantages of TQM, the respondents were asked to rate it on a 5-point Likert scale (5= Strongly agree to 1= Don’t know), after which the mean scores to be used for the ranking was calculated. Participants’ responses were equally analyzed using descriptive statistics specifically</w:t>
      </w:r>
      <w:r>
        <w:rPr>
          <w:spacing w:val="-5"/>
        </w:rPr>
        <w:t> </w:t>
      </w:r>
      <w:r>
        <w:rPr/>
        <w:t>mean and standard deviation with aid of</w:t>
      </w:r>
      <w:r>
        <w:rPr>
          <w:spacing w:val="-1"/>
        </w:rPr>
        <w:t> </w:t>
      </w:r>
      <w:r>
        <w:rPr/>
        <w:t>the</w:t>
      </w:r>
      <w:r>
        <w:rPr>
          <w:spacing w:val="-1"/>
        </w:rPr>
        <w:t> </w:t>
      </w:r>
      <w:r>
        <w:rPr/>
        <w:t>statistical package for</w:t>
      </w:r>
      <w:r>
        <w:rPr>
          <w:spacing w:val="-1"/>
        </w:rPr>
        <w:t> </w:t>
      </w:r>
      <w:r>
        <w:rPr/>
        <w:t>social sciences. In this case, the mean ranged between 1 and 5 with means closer to 1 suggesting that the majority</w:t>
      </w:r>
      <w:r>
        <w:rPr>
          <w:spacing w:val="80"/>
        </w:rPr>
        <w:t> </w:t>
      </w:r>
      <w:r>
        <w:rPr/>
        <w:t>of the participants disagreed with the statement and means closer to 5 suggesting that the</w:t>
      </w:r>
      <w:r>
        <w:rPr>
          <w:spacing w:val="40"/>
        </w:rPr>
        <w:t> </w:t>
      </w:r>
      <w:r>
        <w:rPr/>
        <w:t>majority of participants agreed with the statement. Results are presented in Table 5.4:</w:t>
      </w:r>
    </w:p>
    <w:p>
      <w:pPr>
        <w:pStyle w:val="BodyText"/>
        <w:spacing w:before="21"/>
      </w:pPr>
    </w:p>
    <w:p>
      <w:pPr>
        <w:pStyle w:val="BodyText"/>
        <w:spacing w:line="480" w:lineRule="auto" w:before="1"/>
        <w:ind w:left="400" w:right="1317"/>
        <w:jc w:val="both"/>
      </w:pPr>
      <w:r>
        <w:rPr/>
        <w:t>As the Table illustrates, the statement that TQM ensures Clients Satisfaction had the highest mean score (</w:t>
      </w:r>
      <w:r>
        <w:rPr>
          <w:i/>
        </w:rPr>
        <w:t>M= </w:t>
      </w:r>
      <w:r>
        <w:rPr/>
        <w:t>4.79, </w:t>
      </w:r>
      <w:r>
        <w:rPr>
          <w:i/>
        </w:rPr>
        <w:t>S.D. =</w:t>
      </w:r>
      <w:r>
        <w:rPr/>
        <w:t>.518). This result is consistent with the study by Hellsten and Klefsjö (2000), where it was established that TQM is Client Focus. All the management commitment is to give the customer satisfaction. The statement with the second highest mean score is it ensures continuous improvement (M= 4.67, S.D. =.618). No wonder Hill (2008) considered TQM as an approach of continuous improvement in all quality aspects of the whole processes, goods, services and employees within the firm. The next is it improves material and service</w:t>
      </w:r>
      <w:r>
        <w:rPr>
          <w:spacing w:val="31"/>
        </w:rPr>
        <w:t> </w:t>
      </w:r>
      <w:r>
        <w:rPr/>
        <w:t>input</w:t>
      </w:r>
      <w:r>
        <w:rPr>
          <w:spacing w:val="35"/>
        </w:rPr>
        <w:t> </w:t>
      </w:r>
      <w:r>
        <w:rPr/>
        <w:t>(M=</w:t>
      </w:r>
      <w:r>
        <w:rPr>
          <w:spacing w:val="34"/>
        </w:rPr>
        <w:t> </w:t>
      </w:r>
      <w:r>
        <w:rPr/>
        <w:t>4.41,</w:t>
      </w:r>
      <w:r>
        <w:rPr>
          <w:spacing w:val="35"/>
        </w:rPr>
        <w:t> </w:t>
      </w:r>
      <w:r>
        <w:rPr/>
        <w:t>S.D.</w:t>
      </w:r>
      <w:r>
        <w:rPr>
          <w:spacing w:val="35"/>
        </w:rPr>
        <w:t> </w:t>
      </w:r>
      <w:r>
        <w:rPr/>
        <w:t>=.871),</w:t>
      </w:r>
      <w:r>
        <w:rPr>
          <w:spacing w:val="35"/>
        </w:rPr>
        <w:t> </w:t>
      </w:r>
      <w:r>
        <w:rPr/>
        <w:t>followed</w:t>
      </w:r>
      <w:r>
        <w:rPr>
          <w:spacing w:val="31"/>
        </w:rPr>
        <w:t> </w:t>
      </w:r>
      <w:r>
        <w:rPr/>
        <w:t>by</w:t>
      </w:r>
      <w:r>
        <w:rPr>
          <w:spacing w:val="30"/>
        </w:rPr>
        <w:t> </w:t>
      </w:r>
      <w:r>
        <w:rPr/>
        <w:t>it</w:t>
      </w:r>
      <w:r>
        <w:rPr>
          <w:spacing w:val="35"/>
        </w:rPr>
        <w:t> </w:t>
      </w:r>
      <w:r>
        <w:rPr/>
        <w:t>enhances</w:t>
      </w:r>
      <w:r>
        <w:rPr>
          <w:spacing w:val="35"/>
        </w:rPr>
        <w:t> </w:t>
      </w:r>
      <w:r>
        <w:rPr/>
        <w:t>efficiency</w:t>
      </w:r>
      <w:r>
        <w:rPr>
          <w:spacing w:val="32"/>
        </w:rPr>
        <w:t> </w:t>
      </w:r>
      <w:r>
        <w:rPr/>
        <w:t>with</w:t>
      </w:r>
      <w:r>
        <w:rPr>
          <w:spacing w:val="35"/>
        </w:rPr>
        <w:t> </w:t>
      </w:r>
      <w:r>
        <w:rPr/>
        <w:t>(M=</w:t>
      </w:r>
      <w:r>
        <w:rPr>
          <w:spacing w:val="34"/>
        </w:rPr>
        <w:t> </w:t>
      </w:r>
      <w:r>
        <w:rPr/>
        <w:t>4.19,</w:t>
      </w:r>
      <w:r>
        <w:rPr>
          <w:spacing w:val="35"/>
        </w:rPr>
        <w:t> </w:t>
      </w:r>
      <w:r>
        <w:rPr>
          <w:spacing w:val="-4"/>
        </w:rPr>
        <w:t>S.D.</w:t>
      </w:r>
    </w:p>
    <w:p>
      <w:pPr>
        <w:pStyle w:val="BodyText"/>
        <w:spacing w:line="480" w:lineRule="auto"/>
        <w:ind w:left="400" w:right="1321"/>
        <w:jc w:val="both"/>
      </w:pPr>
      <w:r>
        <w:rPr/>
        <w:t>=.777) and the last two include it promotes effectiveness (M= 4.14, S.D. =.818) and it enhances flexibility (M= 4.04, S.D. =.637)</w:t>
      </w:r>
    </w:p>
    <w:p>
      <w:pPr>
        <w:spacing w:after="0" w:line="480" w:lineRule="auto"/>
        <w:jc w:val="both"/>
        <w:sectPr>
          <w:pgSz w:w="12240" w:h="15840"/>
          <w:pgMar w:header="0" w:footer="1017" w:top="1360" w:bottom="1200" w:left="1040" w:right="120"/>
        </w:sectPr>
      </w:pPr>
    </w:p>
    <w:p>
      <w:pPr>
        <w:spacing w:before="76"/>
        <w:ind w:left="400" w:right="0" w:firstLine="0"/>
        <w:jc w:val="left"/>
        <w:rPr>
          <w:b/>
          <w:sz w:val="24"/>
        </w:rPr>
      </w:pPr>
      <w:r>
        <w:rPr>
          <w:b/>
          <w:sz w:val="24"/>
        </w:rPr>
        <w:t>Table</w:t>
      </w:r>
      <w:r>
        <w:rPr>
          <w:b/>
          <w:spacing w:val="-5"/>
          <w:sz w:val="24"/>
        </w:rPr>
        <w:t> </w:t>
      </w:r>
      <w:r>
        <w:rPr>
          <w:b/>
          <w:sz w:val="24"/>
        </w:rPr>
        <w:t>5.4</w:t>
      </w:r>
      <w:r>
        <w:rPr>
          <w:b/>
          <w:spacing w:val="-1"/>
          <w:sz w:val="24"/>
        </w:rPr>
        <w:t> </w:t>
      </w:r>
      <w:r>
        <w:rPr>
          <w:b/>
          <w:sz w:val="24"/>
        </w:rPr>
        <w:t>Agreement</w:t>
      </w:r>
      <w:r>
        <w:rPr>
          <w:b/>
          <w:spacing w:val="-2"/>
          <w:sz w:val="24"/>
        </w:rPr>
        <w:t> </w:t>
      </w:r>
      <w:r>
        <w:rPr>
          <w:b/>
          <w:sz w:val="24"/>
        </w:rPr>
        <w:t>to statement</w:t>
      </w:r>
      <w:r>
        <w:rPr>
          <w:b/>
          <w:spacing w:val="-2"/>
          <w:sz w:val="24"/>
        </w:rPr>
        <w:t> </w:t>
      </w:r>
      <w:r>
        <w:rPr>
          <w:b/>
          <w:sz w:val="24"/>
        </w:rPr>
        <w:t>relating</w:t>
      </w:r>
      <w:r>
        <w:rPr>
          <w:b/>
          <w:spacing w:val="-1"/>
          <w:sz w:val="24"/>
        </w:rPr>
        <w:t> </w:t>
      </w:r>
      <w:r>
        <w:rPr>
          <w:b/>
          <w:sz w:val="24"/>
        </w:rPr>
        <w:t>to</w:t>
      </w:r>
      <w:r>
        <w:rPr>
          <w:b/>
          <w:spacing w:val="-2"/>
          <w:sz w:val="24"/>
        </w:rPr>
        <w:t> </w:t>
      </w:r>
      <w:r>
        <w:rPr>
          <w:b/>
          <w:sz w:val="24"/>
        </w:rPr>
        <w:t>advantages</w:t>
      </w:r>
      <w:r>
        <w:rPr>
          <w:b/>
          <w:spacing w:val="-1"/>
          <w:sz w:val="24"/>
        </w:rPr>
        <w:t> </w:t>
      </w:r>
      <w:r>
        <w:rPr>
          <w:b/>
          <w:sz w:val="24"/>
        </w:rPr>
        <w:t>of </w:t>
      </w:r>
      <w:r>
        <w:rPr>
          <w:b/>
          <w:spacing w:val="-5"/>
          <w:sz w:val="24"/>
        </w:rPr>
        <w:t>TQM</w:t>
      </w:r>
    </w:p>
    <w:p>
      <w:pPr>
        <w:pStyle w:val="BodyText"/>
        <w:spacing w:before="50"/>
        <w:rPr>
          <w:b/>
          <w:sz w:val="20"/>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4"/>
        <w:gridCol w:w="1796"/>
        <w:gridCol w:w="870"/>
        <w:gridCol w:w="1184"/>
      </w:tblGrid>
      <w:tr>
        <w:trPr>
          <w:trHeight w:val="551" w:hRule="atLeast"/>
        </w:trPr>
        <w:tc>
          <w:tcPr>
            <w:tcW w:w="4454" w:type="dxa"/>
            <w:tcBorders>
              <w:top w:val="single" w:sz="4" w:space="0" w:color="000000"/>
            </w:tcBorders>
          </w:tcPr>
          <w:p>
            <w:pPr>
              <w:pStyle w:val="TableParagraph"/>
              <w:spacing w:line="273" w:lineRule="exact"/>
              <w:ind w:left="108"/>
              <w:rPr>
                <w:b/>
                <w:sz w:val="24"/>
              </w:rPr>
            </w:pPr>
            <w:r>
              <w:rPr>
                <w:b/>
                <w:sz w:val="24"/>
              </w:rPr>
              <w:t>Issues</w:t>
            </w:r>
            <w:r>
              <w:rPr>
                <w:b/>
                <w:spacing w:val="-2"/>
                <w:sz w:val="24"/>
              </w:rPr>
              <w:t> </w:t>
            </w:r>
            <w:r>
              <w:rPr>
                <w:b/>
                <w:sz w:val="24"/>
              </w:rPr>
              <w:t>Raised</w:t>
            </w:r>
            <w:r>
              <w:rPr>
                <w:b/>
                <w:spacing w:val="-2"/>
                <w:sz w:val="24"/>
              </w:rPr>
              <w:t> </w:t>
            </w:r>
            <w:r>
              <w:rPr>
                <w:b/>
                <w:sz w:val="24"/>
              </w:rPr>
              <w:t>(SA=5,</w:t>
            </w:r>
            <w:r>
              <w:rPr>
                <w:b/>
                <w:spacing w:val="-1"/>
                <w:sz w:val="24"/>
              </w:rPr>
              <w:t> </w:t>
            </w:r>
            <w:r>
              <w:rPr>
                <w:b/>
                <w:spacing w:val="-2"/>
                <w:sz w:val="24"/>
              </w:rPr>
              <w:t>A=4,..</w:t>
            </w:r>
          </w:p>
        </w:tc>
        <w:tc>
          <w:tcPr>
            <w:tcW w:w="1796" w:type="dxa"/>
            <w:tcBorders>
              <w:top w:val="single" w:sz="4" w:space="0" w:color="000000"/>
            </w:tcBorders>
          </w:tcPr>
          <w:p>
            <w:pPr>
              <w:pStyle w:val="TableParagraph"/>
              <w:spacing w:line="273" w:lineRule="exact"/>
              <w:ind w:left="895"/>
              <w:rPr>
                <w:b/>
                <w:sz w:val="24"/>
              </w:rPr>
            </w:pPr>
            <w:r>
              <w:rPr>
                <w:b/>
                <w:spacing w:val="-4"/>
                <w:sz w:val="24"/>
              </w:rPr>
              <w:t>Mean</w:t>
            </w:r>
          </w:p>
        </w:tc>
        <w:tc>
          <w:tcPr>
            <w:tcW w:w="870" w:type="dxa"/>
            <w:tcBorders>
              <w:top w:val="single" w:sz="4" w:space="0" w:color="000000"/>
            </w:tcBorders>
          </w:tcPr>
          <w:p>
            <w:pPr>
              <w:pStyle w:val="TableParagraph"/>
              <w:spacing w:line="273" w:lineRule="exact"/>
              <w:ind w:left="-1"/>
              <w:rPr>
                <w:b/>
                <w:sz w:val="24"/>
              </w:rPr>
            </w:pPr>
            <w:r>
              <w:rPr>
                <w:b/>
                <w:spacing w:val="-4"/>
                <w:sz w:val="24"/>
              </w:rPr>
              <w:t>SDev</w:t>
            </w:r>
          </w:p>
        </w:tc>
        <w:tc>
          <w:tcPr>
            <w:tcW w:w="1184" w:type="dxa"/>
            <w:tcBorders>
              <w:top w:val="single" w:sz="4" w:space="0" w:color="000000"/>
            </w:tcBorders>
          </w:tcPr>
          <w:p>
            <w:pPr>
              <w:pStyle w:val="TableParagraph"/>
              <w:spacing w:line="273" w:lineRule="exact"/>
              <w:ind w:left="209"/>
              <w:rPr>
                <w:b/>
                <w:sz w:val="24"/>
              </w:rPr>
            </w:pPr>
            <w:r>
              <w:rPr>
                <w:b/>
                <w:spacing w:val="-2"/>
                <w:sz w:val="24"/>
              </w:rPr>
              <w:t>Remark</w:t>
            </w:r>
          </w:p>
        </w:tc>
      </w:tr>
      <w:tr>
        <w:trPr>
          <w:trHeight w:val="712" w:hRule="atLeast"/>
        </w:trPr>
        <w:tc>
          <w:tcPr>
            <w:tcW w:w="4454" w:type="dxa"/>
            <w:shd w:val="clear" w:color="auto" w:fill="D5DCE4"/>
          </w:tcPr>
          <w:p>
            <w:pPr>
              <w:pStyle w:val="TableParagraph"/>
              <w:spacing w:line="268" w:lineRule="exact"/>
              <w:ind w:left="108"/>
              <w:rPr>
                <w:sz w:val="24"/>
              </w:rPr>
            </w:pPr>
            <w:r>
              <w:rPr>
                <w:sz w:val="24"/>
              </w:rPr>
              <w:t>It</w:t>
            </w:r>
            <w:r>
              <w:rPr>
                <w:spacing w:val="-2"/>
                <w:sz w:val="24"/>
              </w:rPr>
              <w:t> </w:t>
            </w:r>
            <w:r>
              <w:rPr>
                <w:sz w:val="24"/>
              </w:rPr>
              <w:t>enhances</w:t>
            </w:r>
            <w:r>
              <w:rPr>
                <w:spacing w:val="-2"/>
                <w:sz w:val="24"/>
              </w:rPr>
              <w:t> flexibility</w:t>
            </w:r>
          </w:p>
        </w:tc>
        <w:tc>
          <w:tcPr>
            <w:tcW w:w="1796" w:type="dxa"/>
            <w:shd w:val="clear" w:color="auto" w:fill="D5DCE4"/>
          </w:tcPr>
          <w:p>
            <w:pPr>
              <w:pStyle w:val="TableParagraph"/>
              <w:spacing w:line="268" w:lineRule="exact"/>
              <w:ind w:left="895"/>
              <w:rPr>
                <w:sz w:val="24"/>
              </w:rPr>
            </w:pPr>
            <w:r>
              <w:rPr>
                <w:spacing w:val="-2"/>
                <w:sz w:val="24"/>
              </w:rPr>
              <w:t>4.0429</w:t>
            </w:r>
          </w:p>
        </w:tc>
        <w:tc>
          <w:tcPr>
            <w:tcW w:w="870" w:type="dxa"/>
            <w:shd w:val="clear" w:color="auto" w:fill="D5DCE4"/>
          </w:tcPr>
          <w:p>
            <w:pPr>
              <w:pStyle w:val="TableParagraph"/>
              <w:spacing w:line="268" w:lineRule="exact"/>
              <w:ind w:left="-1"/>
              <w:rPr>
                <w:sz w:val="24"/>
              </w:rPr>
            </w:pPr>
            <w:r>
              <w:rPr>
                <w:spacing w:val="-2"/>
                <w:sz w:val="24"/>
              </w:rPr>
              <w:t>.63674</w:t>
            </w:r>
          </w:p>
        </w:tc>
        <w:tc>
          <w:tcPr>
            <w:tcW w:w="1184" w:type="dxa"/>
            <w:shd w:val="clear" w:color="auto" w:fill="D5DCE4"/>
          </w:tcPr>
          <w:p>
            <w:pPr>
              <w:pStyle w:val="TableParagraph"/>
              <w:spacing w:line="268" w:lineRule="exact"/>
              <w:ind w:left="209"/>
              <w:rPr>
                <w:sz w:val="24"/>
              </w:rPr>
            </w:pPr>
            <w:r>
              <w:rPr>
                <w:spacing w:val="-2"/>
                <w:sz w:val="24"/>
              </w:rPr>
              <w:t>Agree</w:t>
            </w:r>
          </w:p>
        </w:tc>
      </w:tr>
      <w:tr>
        <w:trPr>
          <w:trHeight w:val="710" w:hRule="atLeast"/>
        </w:trPr>
        <w:tc>
          <w:tcPr>
            <w:tcW w:w="4454" w:type="dxa"/>
          </w:tcPr>
          <w:p>
            <w:pPr>
              <w:pStyle w:val="TableParagraph"/>
              <w:spacing w:line="268" w:lineRule="exact"/>
              <w:ind w:left="108"/>
              <w:rPr>
                <w:sz w:val="24"/>
              </w:rPr>
            </w:pPr>
            <w:r>
              <w:rPr>
                <w:sz w:val="24"/>
              </w:rPr>
              <w:t>It</w:t>
            </w:r>
            <w:r>
              <w:rPr>
                <w:spacing w:val="-3"/>
                <w:sz w:val="24"/>
              </w:rPr>
              <w:t> </w:t>
            </w:r>
            <w:r>
              <w:rPr>
                <w:sz w:val="24"/>
              </w:rPr>
              <w:t>promotes</w:t>
            </w:r>
            <w:r>
              <w:rPr>
                <w:spacing w:val="-1"/>
                <w:sz w:val="24"/>
              </w:rPr>
              <w:t> </w:t>
            </w:r>
            <w:r>
              <w:rPr>
                <w:spacing w:val="-2"/>
                <w:sz w:val="24"/>
              </w:rPr>
              <w:t>effectiveness</w:t>
            </w:r>
          </w:p>
        </w:tc>
        <w:tc>
          <w:tcPr>
            <w:tcW w:w="1796" w:type="dxa"/>
          </w:tcPr>
          <w:p>
            <w:pPr>
              <w:pStyle w:val="TableParagraph"/>
              <w:spacing w:line="268" w:lineRule="exact"/>
              <w:ind w:left="895"/>
              <w:rPr>
                <w:sz w:val="24"/>
              </w:rPr>
            </w:pPr>
            <w:r>
              <w:rPr>
                <w:spacing w:val="-2"/>
                <w:sz w:val="24"/>
              </w:rPr>
              <w:t>4.1386</w:t>
            </w:r>
          </w:p>
        </w:tc>
        <w:tc>
          <w:tcPr>
            <w:tcW w:w="870" w:type="dxa"/>
          </w:tcPr>
          <w:p>
            <w:pPr>
              <w:pStyle w:val="TableParagraph"/>
              <w:spacing w:line="268" w:lineRule="exact"/>
              <w:ind w:left="-1"/>
              <w:rPr>
                <w:sz w:val="24"/>
              </w:rPr>
            </w:pPr>
            <w:r>
              <w:rPr>
                <w:spacing w:val="-2"/>
                <w:sz w:val="24"/>
              </w:rPr>
              <w:t>.81821</w:t>
            </w:r>
          </w:p>
        </w:tc>
        <w:tc>
          <w:tcPr>
            <w:tcW w:w="1184" w:type="dxa"/>
          </w:tcPr>
          <w:p>
            <w:pPr>
              <w:pStyle w:val="TableParagraph"/>
              <w:spacing w:line="268" w:lineRule="exact"/>
              <w:ind w:left="209"/>
              <w:rPr>
                <w:sz w:val="24"/>
              </w:rPr>
            </w:pPr>
            <w:r>
              <w:rPr>
                <w:spacing w:val="-2"/>
                <w:sz w:val="24"/>
              </w:rPr>
              <w:t>Agree</w:t>
            </w:r>
          </w:p>
        </w:tc>
      </w:tr>
      <w:tr>
        <w:trPr>
          <w:trHeight w:val="712" w:hRule="atLeast"/>
        </w:trPr>
        <w:tc>
          <w:tcPr>
            <w:tcW w:w="4454" w:type="dxa"/>
            <w:shd w:val="clear" w:color="auto" w:fill="D5DCE4"/>
          </w:tcPr>
          <w:p>
            <w:pPr>
              <w:pStyle w:val="TableParagraph"/>
              <w:spacing w:line="268" w:lineRule="exact"/>
              <w:ind w:left="108"/>
              <w:rPr>
                <w:sz w:val="24"/>
              </w:rPr>
            </w:pPr>
            <w:r>
              <w:rPr>
                <w:sz w:val="24"/>
              </w:rPr>
              <w:t>Ensures</w:t>
            </w:r>
            <w:r>
              <w:rPr>
                <w:spacing w:val="-2"/>
                <w:sz w:val="24"/>
              </w:rPr>
              <w:t> </w:t>
            </w:r>
            <w:r>
              <w:rPr>
                <w:sz w:val="24"/>
              </w:rPr>
              <w:t>continuous</w:t>
            </w:r>
            <w:r>
              <w:rPr>
                <w:spacing w:val="-2"/>
                <w:sz w:val="24"/>
              </w:rPr>
              <w:t> improvement</w:t>
            </w:r>
          </w:p>
        </w:tc>
        <w:tc>
          <w:tcPr>
            <w:tcW w:w="1796" w:type="dxa"/>
            <w:shd w:val="clear" w:color="auto" w:fill="D5DCE4"/>
          </w:tcPr>
          <w:p>
            <w:pPr>
              <w:pStyle w:val="TableParagraph"/>
              <w:spacing w:line="268" w:lineRule="exact"/>
              <w:ind w:left="895"/>
              <w:rPr>
                <w:sz w:val="24"/>
              </w:rPr>
            </w:pPr>
            <w:r>
              <w:rPr>
                <w:spacing w:val="-2"/>
                <w:sz w:val="24"/>
              </w:rPr>
              <w:t>4.6667</w:t>
            </w:r>
          </w:p>
        </w:tc>
        <w:tc>
          <w:tcPr>
            <w:tcW w:w="870" w:type="dxa"/>
            <w:shd w:val="clear" w:color="auto" w:fill="D5DCE4"/>
          </w:tcPr>
          <w:p>
            <w:pPr>
              <w:pStyle w:val="TableParagraph"/>
              <w:spacing w:line="268" w:lineRule="exact"/>
              <w:ind w:left="-1"/>
              <w:rPr>
                <w:sz w:val="24"/>
              </w:rPr>
            </w:pPr>
            <w:r>
              <w:rPr>
                <w:spacing w:val="-2"/>
                <w:sz w:val="24"/>
              </w:rPr>
              <w:t>.61798</w:t>
            </w:r>
          </w:p>
        </w:tc>
        <w:tc>
          <w:tcPr>
            <w:tcW w:w="1184" w:type="dxa"/>
            <w:shd w:val="clear" w:color="auto" w:fill="D5DCE4"/>
          </w:tcPr>
          <w:p>
            <w:pPr>
              <w:pStyle w:val="TableParagraph"/>
              <w:spacing w:line="268" w:lineRule="exact"/>
              <w:ind w:left="209"/>
              <w:rPr>
                <w:sz w:val="24"/>
              </w:rPr>
            </w:pPr>
            <w:r>
              <w:rPr>
                <w:spacing w:val="-2"/>
                <w:sz w:val="24"/>
              </w:rPr>
              <w:t>Agree</w:t>
            </w:r>
          </w:p>
        </w:tc>
      </w:tr>
      <w:tr>
        <w:trPr>
          <w:trHeight w:val="712" w:hRule="atLeast"/>
        </w:trPr>
        <w:tc>
          <w:tcPr>
            <w:tcW w:w="4454" w:type="dxa"/>
          </w:tcPr>
          <w:p>
            <w:pPr>
              <w:pStyle w:val="TableParagraph"/>
              <w:spacing w:line="268" w:lineRule="exact"/>
              <w:ind w:left="108"/>
              <w:rPr>
                <w:sz w:val="24"/>
              </w:rPr>
            </w:pPr>
            <w:r>
              <w:rPr>
                <w:sz w:val="24"/>
              </w:rPr>
              <w:t>Improves</w:t>
            </w:r>
            <w:r>
              <w:rPr>
                <w:spacing w:val="-4"/>
                <w:sz w:val="24"/>
              </w:rPr>
              <w:t> </w:t>
            </w:r>
            <w:r>
              <w:rPr>
                <w:sz w:val="24"/>
              </w:rPr>
              <w:t>material</w:t>
            </w:r>
            <w:r>
              <w:rPr>
                <w:spacing w:val="-3"/>
                <w:sz w:val="24"/>
              </w:rPr>
              <w:t> </w:t>
            </w:r>
            <w:r>
              <w:rPr>
                <w:sz w:val="24"/>
              </w:rPr>
              <w:t>and</w:t>
            </w:r>
            <w:r>
              <w:rPr>
                <w:spacing w:val="-2"/>
                <w:sz w:val="24"/>
              </w:rPr>
              <w:t> </w:t>
            </w:r>
            <w:r>
              <w:rPr>
                <w:sz w:val="24"/>
              </w:rPr>
              <w:t>service</w:t>
            </w:r>
            <w:r>
              <w:rPr>
                <w:spacing w:val="-2"/>
                <w:sz w:val="24"/>
              </w:rPr>
              <w:t> input</w:t>
            </w:r>
          </w:p>
        </w:tc>
        <w:tc>
          <w:tcPr>
            <w:tcW w:w="1796" w:type="dxa"/>
          </w:tcPr>
          <w:p>
            <w:pPr>
              <w:pStyle w:val="TableParagraph"/>
              <w:spacing w:line="268" w:lineRule="exact"/>
              <w:ind w:left="895"/>
              <w:rPr>
                <w:sz w:val="24"/>
              </w:rPr>
            </w:pPr>
            <w:r>
              <w:rPr>
                <w:spacing w:val="-2"/>
                <w:sz w:val="24"/>
              </w:rPr>
              <w:t>4.4092</w:t>
            </w:r>
          </w:p>
        </w:tc>
        <w:tc>
          <w:tcPr>
            <w:tcW w:w="870" w:type="dxa"/>
          </w:tcPr>
          <w:p>
            <w:pPr>
              <w:pStyle w:val="TableParagraph"/>
              <w:spacing w:line="268" w:lineRule="exact"/>
              <w:ind w:left="-1"/>
              <w:rPr>
                <w:sz w:val="24"/>
              </w:rPr>
            </w:pPr>
            <w:r>
              <w:rPr>
                <w:spacing w:val="-2"/>
                <w:sz w:val="24"/>
              </w:rPr>
              <w:t>.87127</w:t>
            </w:r>
          </w:p>
        </w:tc>
        <w:tc>
          <w:tcPr>
            <w:tcW w:w="1184" w:type="dxa"/>
          </w:tcPr>
          <w:p>
            <w:pPr>
              <w:pStyle w:val="TableParagraph"/>
              <w:spacing w:line="268" w:lineRule="exact"/>
              <w:ind w:left="209"/>
              <w:rPr>
                <w:sz w:val="24"/>
              </w:rPr>
            </w:pPr>
            <w:r>
              <w:rPr>
                <w:spacing w:val="-2"/>
                <w:sz w:val="24"/>
              </w:rPr>
              <w:t>Agree</w:t>
            </w:r>
          </w:p>
        </w:tc>
      </w:tr>
      <w:tr>
        <w:trPr>
          <w:trHeight w:val="710" w:hRule="atLeast"/>
        </w:trPr>
        <w:tc>
          <w:tcPr>
            <w:tcW w:w="4454" w:type="dxa"/>
            <w:shd w:val="clear" w:color="auto" w:fill="D5DCE4"/>
          </w:tcPr>
          <w:p>
            <w:pPr>
              <w:pStyle w:val="TableParagraph"/>
              <w:spacing w:line="268" w:lineRule="exact"/>
              <w:ind w:left="108"/>
              <w:rPr>
                <w:sz w:val="24"/>
              </w:rPr>
            </w:pPr>
            <w:r>
              <w:rPr>
                <w:sz w:val="24"/>
              </w:rPr>
              <w:t>Clients</w:t>
            </w:r>
            <w:r>
              <w:rPr>
                <w:spacing w:val="-1"/>
                <w:sz w:val="24"/>
              </w:rPr>
              <w:t> </w:t>
            </w:r>
            <w:r>
              <w:rPr>
                <w:spacing w:val="-2"/>
                <w:sz w:val="24"/>
              </w:rPr>
              <w:t>satisfaction</w:t>
            </w:r>
          </w:p>
        </w:tc>
        <w:tc>
          <w:tcPr>
            <w:tcW w:w="1796" w:type="dxa"/>
            <w:shd w:val="clear" w:color="auto" w:fill="D5DCE4"/>
          </w:tcPr>
          <w:p>
            <w:pPr>
              <w:pStyle w:val="TableParagraph"/>
              <w:spacing w:line="268" w:lineRule="exact"/>
              <w:ind w:left="895"/>
              <w:rPr>
                <w:sz w:val="24"/>
              </w:rPr>
            </w:pPr>
            <w:r>
              <w:rPr>
                <w:spacing w:val="-2"/>
                <w:sz w:val="24"/>
              </w:rPr>
              <w:t>4.7855</w:t>
            </w:r>
          </w:p>
        </w:tc>
        <w:tc>
          <w:tcPr>
            <w:tcW w:w="870" w:type="dxa"/>
            <w:shd w:val="clear" w:color="auto" w:fill="D5DCE4"/>
          </w:tcPr>
          <w:p>
            <w:pPr>
              <w:pStyle w:val="TableParagraph"/>
              <w:spacing w:line="268" w:lineRule="exact"/>
              <w:ind w:left="-1"/>
              <w:rPr>
                <w:sz w:val="24"/>
              </w:rPr>
            </w:pPr>
            <w:r>
              <w:rPr>
                <w:spacing w:val="-2"/>
                <w:sz w:val="24"/>
              </w:rPr>
              <w:t>.51807</w:t>
            </w:r>
          </w:p>
        </w:tc>
        <w:tc>
          <w:tcPr>
            <w:tcW w:w="1184" w:type="dxa"/>
            <w:shd w:val="clear" w:color="auto" w:fill="D5DCE4"/>
          </w:tcPr>
          <w:p>
            <w:pPr>
              <w:pStyle w:val="TableParagraph"/>
              <w:spacing w:line="268" w:lineRule="exact"/>
              <w:ind w:left="209"/>
              <w:rPr>
                <w:sz w:val="24"/>
              </w:rPr>
            </w:pPr>
            <w:r>
              <w:rPr>
                <w:spacing w:val="-2"/>
                <w:sz w:val="24"/>
              </w:rPr>
              <w:t>Agree</w:t>
            </w:r>
          </w:p>
        </w:tc>
      </w:tr>
      <w:tr>
        <w:trPr>
          <w:trHeight w:val="712" w:hRule="atLeast"/>
        </w:trPr>
        <w:tc>
          <w:tcPr>
            <w:tcW w:w="4454" w:type="dxa"/>
          </w:tcPr>
          <w:p>
            <w:pPr>
              <w:pStyle w:val="TableParagraph"/>
              <w:spacing w:line="268" w:lineRule="exact"/>
              <w:ind w:left="108"/>
              <w:rPr>
                <w:sz w:val="24"/>
              </w:rPr>
            </w:pPr>
            <w:r>
              <w:rPr>
                <w:sz w:val="24"/>
              </w:rPr>
              <w:t>Enhances</w:t>
            </w:r>
            <w:r>
              <w:rPr>
                <w:spacing w:val="-2"/>
                <w:sz w:val="24"/>
              </w:rPr>
              <w:t> efficiency</w:t>
            </w:r>
          </w:p>
        </w:tc>
        <w:tc>
          <w:tcPr>
            <w:tcW w:w="1796" w:type="dxa"/>
          </w:tcPr>
          <w:p>
            <w:pPr>
              <w:pStyle w:val="TableParagraph"/>
              <w:spacing w:line="268" w:lineRule="exact"/>
              <w:ind w:left="895"/>
              <w:rPr>
                <w:sz w:val="24"/>
              </w:rPr>
            </w:pPr>
            <w:r>
              <w:rPr>
                <w:spacing w:val="-2"/>
                <w:sz w:val="24"/>
              </w:rPr>
              <w:t>4.1881</w:t>
            </w:r>
          </w:p>
        </w:tc>
        <w:tc>
          <w:tcPr>
            <w:tcW w:w="870" w:type="dxa"/>
          </w:tcPr>
          <w:p>
            <w:pPr>
              <w:pStyle w:val="TableParagraph"/>
              <w:spacing w:line="268" w:lineRule="exact"/>
              <w:ind w:left="-1"/>
              <w:rPr>
                <w:sz w:val="24"/>
              </w:rPr>
            </w:pPr>
            <w:r>
              <w:rPr>
                <w:spacing w:val="-2"/>
                <w:sz w:val="24"/>
              </w:rPr>
              <w:t>.77690</w:t>
            </w:r>
          </w:p>
        </w:tc>
        <w:tc>
          <w:tcPr>
            <w:tcW w:w="1184" w:type="dxa"/>
          </w:tcPr>
          <w:p>
            <w:pPr>
              <w:pStyle w:val="TableParagraph"/>
              <w:spacing w:line="268" w:lineRule="exact"/>
              <w:ind w:left="209"/>
              <w:rPr>
                <w:sz w:val="24"/>
              </w:rPr>
            </w:pPr>
            <w:r>
              <w:rPr>
                <w:spacing w:val="-2"/>
                <w:sz w:val="24"/>
              </w:rPr>
              <w:t>Agree</w:t>
            </w:r>
          </w:p>
        </w:tc>
      </w:tr>
      <w:tr>
        <w:trPr>
          <w:trHeight w:val="712" w:hRule="atLeast"/>
        </w:trPr>
        <w:tc>
          <w:tcPr>
            <w:tcW w:w="4454" w:type="dxa"/>
            <w:tcBorders>
              <w:bottom w:val="single" w:sz="4" w:space="0" w:color="000000"/>
            </w:tcBorders>
            <w:shd w:val="clear" w:color="auto" w:fill="D5DCE4"/>
          </w:tcPr>
          <w:p>
            <w:pPr>
              <w:pStyle w:val="TableParagraph"/>
              <w:spacing w:line="273" w:lineRule="exact"/>
              <w:ind w:left="108"/>
              <w:rPr>
                <w:b/>
                <w:sz w:val="24"/>
              </w:rPr>
            </w:pPr>
            <w:r>
              <w:rPr>
                <w:b/>
                <w:sz w:val="24"/>
              </w:rPr>
              <w:t>Overall</w:t>
            </w:r>
            <w:r>
              <w:rPr>
                <w:b/>
                <w:spacing w:val="-2"/>
                <w:sz w:val="24"/>
              </w:rPr>
              <w:t> </w:t>
            </w:r>
            <w:r>
              <w:rPr>
                <w:b/>
                <w:spacing w:val="-4"/>
                <w:sz w:val="24"/>
              </w:rPr>
              <w:t>mean</w:t>
            </w:r>
          </w:p>
        </w:tc>
        <w:tc>
          <w:tcPr>
            <w:tcW w:w="1796" w:type="dxa"/>
            <w:tcBorders>
              <w:bottom w:val="single" w:sz="4" w:space="0" w:color="000000"/>
            </w:tcBorders>
            <w:shd w:val="clear" w:color="auto" w:fill="D5DCE4"/>
          </w:tcPr>
          <w:p>
            <w:pPr>
              <w:pStyle w:val="TableParagraph"/>
              <w:spacing w:line="273" w:lineRule="exact"/>
              <w:ind w:left="895"/>
              <w:rPr>
                <w:b/>
                <w:sz w:val="24"/>
              </w:rPr>
            </w:pPr>
            <w:r>
              <w:rPr>
                <w:b/>
                <w:spacing w:val="-2"/>
                <w:sz w:val="24"/>
              </w:rPr>
              <w:t>4.371833</w:t>
            </w:r>
          </w:p>
        </w:tc>
        <w:tc>
          <w:tcPr>
            <w:tcW w:w="870" w:type="dxa"/>
            <w:tcBorders>
              <w:bottom w:val="single" w:sz="4" w:space="0" w:color="000000"/>
            </w:tcBorders>
            <w:shd w:val="clear" w:color="auto" w:fill="D5DCE4"/>
          </w:tcPr>
          <w:p>
            <w:pPr>
              <w:pStyle w:val="TableParagraph"/>
              <w:rPr>
                <w:sz w:val="24"/>
              </w:rPr>
            </w:pPr>
          </w:p>
        </w:tc>
        <w:tc>
          <w:tcPr>
            <w:tcW w:w="1184" w:type="dxa"/>
            <w:tcBorders>
              <w:bottom w:val="single" w:sz="4" w:space="0" w:color="000000"/>
            </w:tcBorders>
            <w:shd w:val="clear" w:color="auto" w:fill="D5DCE4"/>
          </w:tcPr>
          <w:p>
            <w:pPr>
              <w:pStyle w:val="TableParagraph"/>
              <w:spacing w:line="273" w:lineRule="exact"/>
              <w:ind w:left="209"/>
              <w:rPr>
                <w:b/>
                <w:sz w:val="24"/>
              </w:rPr>
            </w:pPr>
            <w:r>
              <w:rPr>
                <w:b/>
                <w:spacing w:val="-2"/>
                <w:sz w:val="24"/>
              </w:rPr>
              <w:t>Agree</w:t>
            </w:r>
          </w:p>
        </w:tc>
      </w:tr>
    </w:tbl>
    <w:p>
      <w:pPr>
        <w:spacing w:before="1"/>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2"/>
          <w:sz w:val="24"/>
        </w:rPr>
        <w:t> </w:t>
      </w:r>
      <w:r>
        <w:rPr>
          <w:b/>
          <w:sz w:val="24"/>
        </w:rPr>
        <w:t>survey</w:t>
      </w:r>
      <w:r>
        <w:rPr>
          <w:b/>
          <w:spacing w:val="-2"/>
          <w:sz w:val="24"/>
        </w:rPr>
        <w:t> (2018)</w:t>
      </w:r>
    </w:p>
    <w:p>
      <w:pPr>
        <w:pStyle w:val="BodyText"/>
        <w:rPr>
          <w:b/>
        </w:rPr>
      </w:pPr>
    </w:p>
    <w:p>
      <w:pPr>
        <w:pStyle w:val="ListParagraph"/>
        <w:numPr>
          <w:ilvl w:val="2"/>
          <w:numId w:val="40"/>
        </w:numPr>
        <w:tabs>
          <w:tab w:pos="1120" w:val="left" w:leader="none"/>
        </w:tabs>
        <w:spacing w:line="240" w:lineRule="auto" w:before="0" w:after="0"/>
        <w:ind w:left="1120" w:right="0" w:hanging="720"/>
        <w:jc w:val="both"/>
        <w:rPr>
          <w:b/>
          <w:sz w:val="24"/>
        </w:rPr>
      </w:pPr>
      <w:r>
        <w:rPr>
          <w:b/>
          <w:sz w:val="24"/>
        </w:rPr>
        <w:t>Quality</w:t>
      </w:r>
      <w:r>
        <w:rPr>
          <w:b/>
          <w:spacing w:val="-6"/>
          <w:sz w:val="24"/>
        </w:rPr>
        <w:t> </w:t>
      </w:r>
      <w:r>
        <w:rPr>
          <w:b/>
          <w:sz w:val="24"/>
        </w:rPr>
        <w:t>improvement</w:t>
      </w:r>
      <w:r>
        <w:rPr>
          <w:b/>
          <w:spacing w:val="-5"/>
          <w:sz w:val="24"/>
        </w:rPr>
        <w:t> </w:t>
      </w:r>
      <w:r>
        <w:rPr>
          <w:b/>
          <w:spacing w:val="-2"/>
          <w:sz w:val="24"/>
        </w:rPr>
        <w:t>program</w:t>
      </w:r>
    </w:p>
    <w:p>
      <w:pPr>
        <w:pStyle w:val="BodyText"/>
        <w:spacing w:line="480" w:lineRule="auto" w:before="272"/>
        <w:ind w:left="400" w:right="1319"/>
        <w:jc w:val="both"/>
      </w:pPr>
      <w:r>
        <w:rPr/>
        <w:t>The following explains the respondents’ opinions on the application of quality improvement program in their various firms as shown in Table 5.5 below:</w:t>
      </w:r>
    </w:p>
    <w:p>
      <w:pPr>
        <w:pStyle w:val="ListParagraph"/>
        <w:numPr>
          <w:ilvl w:val="0"/>
          <w:numId w:val="41"/>
        </w:numPr>
        <w:tabs>
          <w:tab w:pos="642" w:val="left" w:leader="none"/>
        </w:tabs>
        <w:spacing w:line="480" w:lineRule="auto" w:before="0" w:after="0"/>
        <w:ind w:left="400" w:right="1316" w:firstLine="0"/>
        <w:jc w:val="both"/>
        <w:rPr>
          <w:sz w:val="24"/>
        </w:rPr>
      </w:pPr>
      <w:r>
        <w:rPr>
          <w:b/>
          <w:sz w:val="24"/>
        </w:rPr>
        <w:t>Provision of Quality</w:t>
      </w:r>
      <w:r>
        <w:rPr>
          <w:b/>
          <w:spacing w:val="-1"/>
          <w:sz w:val="24"/>
        </w:rPr>
        <w:t> </w:t>
      </w:r>
      <w:r>
        <w:rPr>
          <w:b/>
          <w:sz w:val="24"/>
        </w:rPr>
        <w:t>improvement</w:t>
      </w:r>
      <w:r>
        <w:rPr>
          <w:b/>
          <w:spacing w:val="-2"/>
          <w:sz w:val="24"/>
        </w:rPr>
        <w:t> </w:t>
      </w:r>
      <w:r>
        <w:rPr>
          <w:b/>
          <w:sz w:val="24"/>
        </w:rPr>
        <w:t>programme:</w:t>
      </w:r>
      <w:r>
        <w:rPr>
          <w:b/>
          <w:spacing w:val="-2"/>
          <w:sz w:val="24"/>
        </w:rPr>
        <w:t> </w:t>
      </w:r>
      <w:r>
        <w:rPr>
          <w:sz w:val="24"/>
        </w:rPr>
        <w:t>Table</w:t>
      </w:r>
      <w:r>
        <w:rPr>
          <w:spacing w:val="-2"/>
          <w:sz w:val="24"/>
        </w:rPr>
        <w:t> </w:t>
      </w:r>
      <w:r>
        <w:rPr>
          <w:sz w:val="24"/>
        </w:rPr>
        <w:t>5.5</w:t>
      </w:r>
      <w:r>
        <w:rPr>
          <w:spacing w:val="-1"/>
          <w:sz w:val="24"/>
        </w:rPr>
        <w:t> </w:t>
      </w:r>
      <w:r>
        <w:rPr>
          <w:sz w:val="24"/>
        </w:rPr>
        <w:t>enquired</w:t>
      </w:r>
      <w:r>
        <w:rPr>
          <w:spacing w:val="-1"/>
          <w:sz w:val="24"/>
        </w:rPr>
        <w:t> </w:t>
      </w:r>
      <w:r>
        <w:rPr>
          <w:sz w:val="24"/>
        </w:rPr>
        <w:t>from</w:t>
      </w:r>
      <w:r>
        <w:rPr>
          <w:spacing w:val="-1"/>
          <w:sz w:val="24"/>
        </w:rPr>
        <w:t> </w:t>
      </w:r>
      <w:r>
        <w:rPr>
          <w:sz w:val="24"/>
        </w:rPr>
        <w:t>the</w:t>
      </w:r>
      <w:r>
        <w:rPr>
          <w:spacing w:val="-2"/>
          <w:sz w:val="24"/>
        </w:rPr>
        <w:t> </w:t>
      </w:r>
      <w:r>
        <w:rPr>
          <w:sz w:val="24"/>
        </w:rPr>
        <w:t>respondents’</w:t>
      </w:r>
      <w:r>
        <w:rPr>
          <w:spacing w:val="-2"/>
          <w:sz w:val="24"/>
        </w:rPr>
        <w:t> </w:t>
      </w:r>
      <w:r>
        <w:rPr>
          <w:sz w:val="24"/>
        </w:rPr>
        <w:t>if they have quality improvement programme. The result shows that majority of 276 (91%) respondents have quality improvement programme while only 27 (9%) do not have it.</w:t>
      </w:r>
      <w:r>
        <w:rPr>
          <w:spacing w:val="40"/>
          <w:sz w:val="24"/>
        </w:rPr>
        <w:t> </w:t>
      </w:r>
      <w:r>
        <w:rPr>
          <w:sz w:val="24"/>
        </w:rPr>
        <w:t>This shows that quality improvement programme is very important for any construction firm to </w:t>
      </w:r>
      <w:r>
        <w:rPr>
          <w:spacing w:val="-2"/>
          <w:sz w:val="24"/>
        </w:rPr>
        <w:t>survive</w:t>
      </w:r>
    </w:p>
    <w:p>
      <w:pPr>
        <w:pStyle w:val="ListParagraph"/>
        <w:numPr>
          <w:ilvl w:val="0"/>
          <w:numId w:val="41"/>
        </w:numPr>
        <w:tabs>
          <w:tab w:pos="751" w:val="left" w:leader="none"/>
        </w:tabs>
        <w:spacing w:line="480" w:lineRule="auto" w:before="0" w:after="0"/>
        <w:ind w:left="400" w:right="1314" w:firstLine="0"/>
        <w:jc w:val="both"/>
        <w:rPr>
          <w:sz w:val="24"/>
        </w:rPr>
      </w:pPr>
      <w:r>
        <w:rPr>
          <w:b/>
          <w:sz w:val="24"/>
        </w:rPr>
        <w:t>Available Quality improvement programme: </w:t>
      </w:r>
      <w:r>
        <w:rPr>
          <w:sz w:val="24"/>
        </w:rPr>
        <w:t>On the issue of the type of quality improvement programme available. 194(64.03%) respondents said Quality control/quality assurance, 64(21.12%) said TQM while 4.5(14.85%) of them said ISO 9000.</w:t>
      </w:r>
    </w:p>
    <w:p>
      <w:pPr>
        <w:spacing w:after="0" w:line="480" w:lineRule="auto"/>
        <w:jc w:val="both"/>
        <w:rPr>
          <w:sz w:val="24"/>
        </w:rPr>
        <w:sectPr>
          <w:pgSz w:w="12240" w:h="15840"/>
          <w:pgMar w:header="0" w:footer="1017" w:top="1360" w:bottom="1200" w:left="1040" w:right="120"/>
        </w:sectPr>
      </w:pPr>
    </w:p>
    <w:p>
      <w:pPr>
        <w:pStyle w:val="ListParagraph"/>
        <w:numPr>
          <w:ilvl w:val="0"/>
          <w:numId w:val="41"/>
        </w:numPr>
        <w:tabs>
          <w:tab w:pos="725" w:val="left" w:leader="none"/>
        </w:tabs>
        <w:spacing w:line="480" w:lineRule="auto" w:before="72" w:after="0"/>
        <w:ind w:left="400" w:right="1317" w:firstLine="0"/>
        <w:jc w:val="both"/>
        <w:rPr>
          <w:sz w:val="24"/>
        </w:rPr>
      </w:pPr>
      <w:r>
        <w:rPr>
          <w:b/>
          <w:sz w:val="24"/>
        </w:rPr>
        <w:t>Regular application of quality measures: </w:t>
      </w:r>
      <w:r>
        <w:rPr>
          <w:sz w:val="24"/>
        </w:rPr>
        <w:t>As indicated in Table 5.5, 164(54.13%) respondents agreed that quality improvement measure is applied regularly in their firms. 135 (44.55%) maintained that it is implemented very regularly</w:t>
      </w:r>
      <w:r>
        <w:rPr>
          <w:spacing w:val="-2"/>
          <w:sz w:val="24"/>
        </w:rPr>
        <w:t> </w:t>
      </w:r>
      <w:r>
        <w:rPr>
          <w:sz w:val="24"/>
        </w:rPr>
        <w:t>while 4(1.32%) of them agree that the application is fairly regular.</w:t>
      </w:r>
    </w:p>
    <w:p>
      <w:pPr>
        <w:pStyle w:val="ListParagraph"/>
        <w:numPr>
          <w:ilvl w:val="0"/>
          <w:numId w:val="41"/>
        </w:numPr>
        <w:tabs>
          <w:tab w:pos="722" w:val="left" w:leader="none"/>
        </w:tabs>
        <w:spacing w:line="480" w:lineRule="auto" w:before="0" w:after="0"/>
        <w:ind w:left="400" w:right="1317" w:firstLine="0"/>
        <w:jc w:val="both"/>
        <w:rPr>
          <w:sz w:val="24"/>
        </w:rPr>
      </w:pPr>
      <w:r>
        <w:rPr>
          <w:b/>
          <w:sz w:val="24"/>
        </w:rPr>
        <w:t>Alternative measures for controlling quality of work: </w:t>
      </w:r>
      <w:r>
        <w:rPr>
          <w:sz w:val="24"/>
        </w:rPr>
        <w:t>Table 5.5 also enquired from respondents that does not have quality measures how they have been controlling quality in their firms. Majority of the respondents 23(85.19%) stated that they test their materials in approved organisations while the remaining respondents 4(14.81) always execute to standard. The responses indicated that everyone in the construction industry understands that there is need for quality in all construction project.</w:t>
      </w:r>
    </w:p>
    <w:p>
      <w:pPr>
        <w:spacing w:after="0" w:line="480" w:lineRule="auto"/>
        <w:jc w:val="both"/>
        <w:rPr>
          <w:sz w:val="24"/>
        </w:rPr>
        <w:sectPr>
          <w:pgSz w:w="12240" w:h="15840"/>
          <w:pgMar w:header="0" w:footer="1017" w:top="1360" w:bottom="1200" w:left="1040" w:right="120"/>
        </w:sectPr>
      </w:pPr>
    </w:p>
    <w:p>
      <w:pPr>
        <w:spacing w:line="360" w:lineRule="auto" w:before="79" w:after="11"/>
        <w:ind w:left="400" w:right="1315" w:firstLine="0"/>
        <w:jc w:val="left"/>
        <w:rPr>
          <w:b/>
          <w:sz w:val="24"/>
        </w:rPr>
      </w:pPr>
      <w:r>
        <w:rPr>
          <w:b/>
          <w:sz w:val="24"/>
        </w:rPr>
        <w:t>Table 5.5. Opinion of Respondents on the application of Quality improvement program in their various firms</w:t>
      </w:r>
    </w:p>
    <w:tbl>
      <w:tblPr>
        <w:tblW w:w="0" w:type="auto"/>
        <w:jc w:val="left"/>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0"/>
        <w:gridCol w:w="3312"/>
        <w:gridCol w:w="1593"/>
        <w:gridCol w:w="1441"/>
      </w:tblGrid>
      <w:tr>
        <w:trPr>
          <w:trHeight w:val="875" w:hRule="atLeast"/>
        </w:trPr>
        <w:tc>
          <w:tcPr>
            <w:tcW w:w="2940" w:type="dxa"/>
            <w:tcBorders>
              <w:top w:val="single" w:sz="8" w:space="0" w:color="000000"/>
              <w:bottom w:val="single" w:sz="8" w:space="0" w:color="000000"/>
            </w:tcBorders>
          </w:tcPr>
          <w:p>
            <w:pPr>
              <w:pStyle w:val="TableParagraph"/>
              <w:spacing w:before="118"/>
              <w:ind w:left="122"/>
              <w:rPr>
                <w:b/>
                <w:sz w:val="24"/>
              </w:rPr>
            </w:pPr>
            <w:r>
              <w:rPr>
                <w:b/>
                <w:sz w:val="24"/>
              </w:rPr>
              <w:t>Questionnaire</w:t>
            </w:r>
            <w:r>
              <w:rPr>
                <w:b/>
                <w:spacing w:val="-6"/>
                <w:sz w:val="24"/>
              </w:rPr>
              <w:t> </w:t>
            </w:r>
            <w:r>
              <w:rPr>
                <w:b/>
                <w:spacing w:val="-4"/>
                <w:sz w:val="24"/>
              </w:rPr>
              <w:t>Item</w:t>
            </w:r>
          </w:p>
        </w:tc>
        <w:tc>
          <w:tcPr>
            <w:tcW w:w="3312" w:type="dxa"/>
            <w:tcBorders>
              <w:top w:val="single" w:sz="8" w:space="0" w:color="000000"/>
              <w:bottom w:val="single" w:sz="8" w:space="0" w:color="000000"/>
            </w:tcBorders>
          </w:tcPr>
          <w:p>
            <w:pPr>
              <w:pStyle w:val="TableParagraph"/>
              <w:spacing w:before="118"/>
              <w:ind w:left="153"/>
              <w:rPr>
                <w:b/>
                <w:sz w:val="24"/>
              </w:rPr>
            </w:pPr>
            <w:r>
              <w:rPr>
                <w:b/>
                <w:spacing w:val="-2"/>
                <w:sz w:val="24"/>
              </w:rPr>
              <w:t>Variables</w:t>
            </w:r>
          </w:p>
        </w:tc>
        <w:tc>
          <w:tcPr>
            <w:tcW w:w="1593" w:type="dxa"/>
            <w:tcBorders>
              <w:top w:val="single" w:sz="8" w:space="0" w:color="000000"/>
              <w:bottom w:val="single" w:sz="8" w:space="0" w:color="000000"/>
            </w:tcBorders>
          </w:tcPr>
          <w:p>
            <w:pPr>
              <w:pStyle w:val="TableParagraph"/>
              <w:tabs>
                <w:tab w:pos="1283" w:val="left" w:leader="none"/>
              </w:tabs>
              <w:spacing w:before="118"/>
              <w:ind w:left="107"/>
              <w:rPr>
                <w:b/>
                <w:sz w:val="24"/>
              </w:rPr>
            </w:pPr>
            <w:r>
              <w:rPr>
                <w:b/>
                <w:spacing w:val="-5"/>
                <w:sz w:val="24"/>
              </w:rPr>
              <w:t>No</w:t>
            </w:r>
            <w:r>
              <w:rPr>
                <w:b/>
                <w:sz w:val="24"/>
              </w:rPr>
              <w:tab/>
            </w:r>
            <w:r>
              <w:rPr>
                <w:b/>
                <w:spacing w:val="-5"/>
                <w:sz w:val="24"/>
              </w:rPr>
              <w:t>of</w:t>
            </w:r>
          </w:p>
          <w:p>
            <w:pPr>
              <w:pStyle w:val="TableParagraph"/>
              <w:spacing w:before="44"/>
              <w:ind w:left="107"/>
              <w:rPr>
                <w:b/>
                <w:sz w:val="24"/>
              </w:rPr>
            </w:pPr>
            <w:r>
              <w:rPr>
                <w:b/>
                <w:spacing w:val="-2"/>
                <w:sz w:val="24"/>
              </w:rPr>
              <w:t>Responses</w:t>
            </w:r>
          </w:p>
        </w:tc>
        <w:tc>
          <w:tcPr>
            <w:tcW w:w="1441" w:type="dxa"/>
            <w:tcBorders>
              <w:top w:val="single" w:sz="8" w:space="0" w:color="000000"/>
              <w:bottom w:val="single" w:sz="8" w:space="0" w:color="000000"/>
            </w:tcBorders>
          </w:tcPr>
          <w:p>
            <w:pPr>
              <w:pStyle w:val="TableParagraph"/>
              <w:spacing w:line="278" w:lineRule="auto" w:before="118"/>
              <w:ind w:left="108" w:right="146"/>
              <w:rPr>
                <w:b/>
                <w:sz w:val="24"/>
              </w:rPr>
            </w:pPr>
            <w:r>
              <w:rPr>
                <w:b/>
                <w:spacing w:val="-2"/>
                <w:sz w:val="24"/>
              </w:rPr>
              <w:t>Percentage </w:t>
            </w:r>
            <w:r>
              <w:rPr>
                <w:b/>
                <w:sz w:val="24"/>
              </w:rPr>
              <w:t>s (%)</w:t>
            </w:r>
          </w:p>
        </w:tc>
      </w:tr>
      <w:tr>
        <w:trPr>
          <w:trHeight w:val="952" w:hRule="atLeast"/>
        </w:trPr>
        <w:tc>
          <w:tcPr>
            <w:tcW w:w="2940" w:type="dxa"/>
            <w:tcBorders>
              <w:top w:val="single" w:sz="8" w:space="0" w:color="000000"/>
            </w:tcBorders>
            <w:shd w:val="clear" w:color="auto" w:fill="C1C1C1"/>
          </w:tcPr>
          <w:p>
            <w:pPr>
              <w:pStyle w:val="TableParagraph"/>
              <w:spacing w:line="276" w:lineRule="auto"/>
              <w:ind w:left="122"/>
              <w:rPr>
                <w:b/>
                <w:sz w:val="24"/>
              </w:rPr>
            </w:pPr>
            <w:r>
              <w:rPr>
                <w:b/>
                <w:sz w:val="24"/>
              </w:rPr>
              <w:t>Do your firm have quality improvement program?</w:t>
            </w:r>
          </w:p>
        </w:tc>
        <w:tc>
          <w:tcPr>
            <w:tcW w:w="3312" w:type="dxa"/>
            <w:tcBorders>
              <w:top w:val="single" w:sz="8" w:space="0" w:color="000000"/>
            </w:tcBorders>
            <w:shd w:val="clear" w:color="auto" w:fill="C1C1C1"/>
          </w:tcPr>
          <w:p>
            <w:pPr>
              <w:pStyle w:val="TableParagraph"/>
              <w:numPr>
                <w:ilvl w:val="0"/>
                <w:numId w:val="42"/>
              </w:numPr>
              <w:tabs>
                <w:tab w:pos="476" w:val="left" w:leader="none"/>
              </w:tabs>
              <w:spacing w:line="270" w:lineRule="exact" w:before="0" w:after="0"/>
              <w:ind w:left="476" w:right="0" w:hanging="323"/>
              <w:jc w:val="left"/>
              <w:rPr>
                <w:sz w:val="24"/>
              </w:rPr>
            </w:pPr>
            <w:r>
              <w:rPr>
                <w:spacing w:val="-5"/>
                <w:sz w:val="24"/>
              </w:rPr>
              <w:t>Yes</w:t>
            </w:r>
          </w:p>
          <w:p>
            <w:pPr>
              <w:pStyle w:val="TableParagraph"/>
              <w:numPr>
                <w:ilvl w:val="0"/>
                <w:numId w:val="42"/>
              </w:numPr>
              <w:tabs>
                <w:tab w:pos="490" w:val="left" w:leader="none"/>
              </w:tabs>
              <w:spacing w:line="240" w:lineRule="auto" w:before="41" w:after="0"/>
              <w:ind w:left="490" w:right="0" w:hanging="337"/>
              <w:jc w:val="left"/>
              <w:rPr>
                <w:sz w:val="24"/>
              </w:rPr>
            </w:pPr>
            <w:r>
              <w:rPr>
                <w:spacing w:val="-5"/>
                <w:sz w:val="24"/>
              </w:rPr>
              <w:t>No</w:t>
            </w:r>
          </w:p>
        </w:tc>
        <w:tc>
          <w:tcPr>
            <w:tcW w:w="1593" w:type="dxa"/>
            <w:tcBorders>
              <w:top w:val="single" w:sz="8" w:space="0" w:color="000000"/>
            </w:tcBorders>
            <w:shd w:val="clear" w:color="auto" w:fill="C1C1C1"/>
          </w:tcPr>
          <w:p>
            <w:pPr>
              <w:pStyle w:val="TableParagraph"/>
              <w:spacing w:line="270" w:lineRule="exact"/>
              <w:ind w:left="107"/>
              <w:rPr>
                <w:sz w:val="24"/>
              </w:rPr>
            </w:pPr>
            <w:r>
              <w:rPr>
                <w:spacing w:val="-5"/>
                <w:sz w:val="24"/>
              </w:rPr>
              <w:t>276</w:t>
            </w:r>
          </w:p>
          <w:p>
            <w:pPr>
              <w:pStyle w:val="TableParagraph"/>
              <w:spacing w:before="41"/>
              <w:ind w:left="228"/>
              <w:rPr>
                <w:sz w:val="24"/>
              </w:rPr>
            </w:pPr>
            <w:r>
              <w:rPr>
                <w:spacing w:val="-5"/>
                <w:sz w:val="24"/>
              </w:rPr>
              <w:t>27</w:t>
            </w:r>
          </w:p>
        </w:tc>
        <w:tc>
          <w:tcPr>
            <w:tcW w:w="1441" w:type="dxa"/>
            <w:tcBorders>
              <w:top w:val="single" w:sz="8" w:space="0" w:color="000000"/>
            </w:tcBorders>
            <w:shd w:val="clear" w:color="auto" w:fill="C1C1C1"/>
          </w:tcPr>
          <w:p>
            <w:pPr>
              <w:pStyle w:val="TableParagraph"/>
              <w:spacing w:line="270" w:lineRule="exact"/>
              <w:ind w:left="228"/>
              <w:rPr>
                <w:sz w:val="24"/>
              </w:rPr>
            </w:pPr>
            <w:r>
              <w:rPr>
                <w:spacing w:val="-2"/>
                <w:sz w:val="24"/>
              </w:rPr>
              <w:t>91.09</w:t>
            </w:r>
          </w:p>
          <w:p>
            <w:pPr>
              <w:pStyle w:val="TableParagraph"/>
              <w:spacing w:before="41"/>
              <w:ind w:left="228"/>
              <w:rPr>
                <w:sz w:val="24"/>
              </w:rPr>
            </w:pPr>
            <w:r>
              <w:rPr>
                <w:spacing w:val="-4"/>
                <w:sz w:val="24"/>
              </w:rPr>
              <w:t>8.91</w:t>
            </w:r>
          </w:p>
        </w:tc>
      </w:tr>
      <w:tr>
        <w:trPr>
          <w:trHeight w:val="316" w:hRule="atLeast"/>
        </w:trPr>
        <w:tc>
          <w:tcPr>
            <w:tcW w:w="2940" w:type="dxa"/>
          </w:tcPr>
          <w:p>
            <w:pPr>
              <w:pStyle w:val="TableParagraph"/>
              <w:spacing w:line="275" w:lineRule="exact"/>
              <w:ind w:left="122"/>
              <w:rPr>
                <w:b/>
                <w:sz w:val="24"/>
              </w:rPr>
            </w:pPr>
            <w:r>
              <w:rPr>
                <w:b/>
                <w:spacing w:val="-2"/>
                <w:sz w:val="24"/>
              </w:rPr>
              <w:t>Total</w:t>
            </w:r>
          </w:p>
        </w:tc>
        <w:tc>
          <w:tcPr>
            <w:tcW w:w="3312" w:type="dxa"/>
          </w:tcPr>
          <w:p>
            <w:pPr>
              <w:pStyle w:val="TableParagraph"/>
              <w:rPr>
                <w:sz w:val="24"/>
              </w:rPr>
            </w:pPr>
          </w:p>
        </w:tc>
        <w:tc>
          <w:tcPr>
            <w:tcW w:w="1593" w:type="dxa"/>
          </w:tcPr>
          <w:p>
            <w:pPr>
              <w:pStyle w:val="TableParagraph"/>
              <w:spacing w:line="270" w:lineRule="exact"/>
              <w:ind w:left="107"/>
              <w:rPr>
                <w:sz w:val="24"/>
              </w:rPr>
            </w:pPr>
            <w:r>
              <w:rPr>
                <w:spacing w:val="-5"/>
                <w:sz w:val="24"/>
              </w:rPr>
              <w:t>303</w:t>
            </w:r>
          </w:p>
        </w:tc>
        <w:tc>
          <w:tcPr>
            <w:tcW w:w="1441" w:type="dxa"/>
          </w:tcPr>
          <w:p>
            <w:pPr>
              <w:pStyle w:val="TableParagraph"/>
              <w:spacing w:line="270" w:lineRule="exact"/>
              <w:ind w:left="108"/>
              <w:rPr>
                <w:sz w:val="24"/>
              </w:rPr>
            </w:pPr>
            <w:r>
              <w:rPr>
                <w:spacing w:val="-4"/>
                <w:sz w:val="24"/>
              </w:rPr>
              <w:t>100%</w:t>
            </w:r>
          </w:p>
        </w:tc>
      </w:tr>
      <w:tr>
        <w:trPr>
          <w:trHeight w:val="316" w:hRule="atLeast"/>
        </w:trPr>
        <w:tc>
          <w:tcPr>
            <w:tcW w:w="2940" w:type="dxa"/>
            <w:shd w:val="clear" w:color="auto" w:fill="C1C1C1"/>
          </w:tcPr>
          <w:p>
            <w:pPr>
              <w:pStyle w:val="TableParagraph"/>
              <w:rPr>
                <w:sz w:val="24"/>
              </w:rPr>
            </w:pPr>
          </w:p>
        </w:tc>
        <w:tc>
          <w:tcPr>
            <w:tcW w:w="3312" w:type="dxa"/>
            <w:shd w:val="clear" w:color="auto" w:fill="C1C1C1"/>
          </w:tcPr>
          <w:p>
            <w:pPr>
              <w:pStyle w:val="TableParagraph"/>
              <w:rPr>
                <w:sz w:val="24"/>
              </w:rPr>
            </w:pPr>
          </w:p>
        </w:tc>
        <w:tc>
          <w:tcPr>
            <w:tcW w:w="1593" w:type="dxa"/>
            <w:shd w:val="clear" w:color="auto" w:fill="C1C1C1"/>
          </w:tcPr>
          <w:p>
            <w:pPr>
              <w:pStyle w:val="TableParagraph"/>
              <w:rPr>
                <w:sz w:val="24"/>
              </w:rPr>
            </w:pPr>
          </w:p>
        </w:tc>
        <w:tc>
          <w:tcPr>
            <w:tcW w:w="1441" w:type="dxa"/>
            <w:shd w:val="clear" w:color="auto" w:fill="C1C1C1"/>
          </w:tcPr>
          <w:p>
            <w:pPr>
              <w:pStyle w:val="TableParagraph"/>
              <w:rPr>
                <w:sz w:val="24"/>
              </w:rPr>
            </w:pPr>
          </w:p>
        </w:tc>
      </w:tr>
      <w:tr>
        <w:trPr>
          <w:trHeight w:val="299" w:hRule="atLeast"/>
        </w:trPr>
        <w:tc>
          <w:tcPr>
            <w:tcW w:w="2940" w:type="dxa"/>
          </w:tcPr>
          <w:p>
            <w:pPr>
              <w:pStyle w:val="TableParagraph"/>
              <w:spacing w:line="275" w:lineRule="exact"/>
              <w:ind w:left="122"/>
              <w:rPr>
                <w:b/>
                <w:sz w:val="24"/>
              </w:rPr>
            </w:pPr>
            <w:r>
              <w:rPr>
                <w:b/>
                <w:sz w:val="24"/>
              </w:rPr>
              <w:t>What</w:t>
            </w:r>
            <w:r>
              <w:rPr>
                <w:b/>
                <w:spacing w:val="-2"/>
                <w:sz w:val="24"/>
              </w:rPr>
              <w:t> </w:t>
            </w:r>
            <w:r>
              <w:rPr>
                <w:b/>
                <w:sz w:val="24"/>
              </w:rPr>
              <w:t>type</w:t>
            </w:r>
            <w:r>
              <w:rPr>
                <w:b/>
                <w:spacing w:val="-1"/>
                <w:sz w:val="24"/>
              </w:rPr>
              <w:t> </w:t>
            </w:r>
            <w:r>
              <w:rPr>
                <w:b/>
                <w:sz w:val="24"/>
              </w:rPr>
              <w:t>of</w:t>
            </w:r>
            <w:r>
              <w:rPr>
                <w:b/>
                <w:spacing w:val="1"/>
                <w:sz w:val="24"/>
              </w:rPr>
              <w:t> </w:t>
            </w:r>
            <w:r>
              <w:rPr>
                <w:b/>
                <w:spacing w:val="-2"/>
                <w:sz w:val="24"/>
              </w:rPr>
              <w:t>Quality</w:t>
            </w:r>
          </w:p>
        </w:tc>
        <w:tc>
          <w:tcPr>
            <w:tcW w:w="3312" w:type="dxa"/>
            <w:vMerge w:val="restart"/>
          </w:tcPr>
          <w:p>
            <w:pPr>
              <w:pStyle w:val="TableParagraph"/>
              <w:numPr>
                <w:ilvl w:val="0"/>
                <w:numId w:val="43"/>
              </w:numPr>
              <w:tabs>
                <w:tab w:pos="445" w:val="left" w:leader="none"/>
              </w:tabs>
              <w:spacing w:line="270" w:lineRule="exact" w:before="0" w:after="0"/>
              <w:ind w:left="445" w:right="0" w:hanging="323"/>
              <w:jc w:val="left"/>
              <w:rPr>
                <w:sz w:val="24"/>
              </w:rPr>
            </w:pPr>
            <w:r>
              <w:rPr>
                <w:spacing w:val="-5"/>
                <w:sz w:val="24"/>
              </w:rPr>
              <w:t>TQM</w:t>
            </w:r>
          </w:p>
          <w:p>
            <w:pPr>
              <w:pStyle w:val="TableParagraph"/>
              <w:numPr>
                <w:ilvl w:val="0"/>
                <w:numId w:val="43"/>
              </w:numPr>
              <w:tabs>
                <w:tab w:pos="461" w:val="left" w:leader="none"/>
              </w:tabs>
              <w:spacing w:line="240" w:lineRule="auto" w:before="43" w:after="0"/>
              <w:ind w:left="461" w:right="0" w:hanging="339"/>
              <w:jc w:val="left"/>
              <w:rPr>
                <w:sz w:val="24"/>
              </w:rPr>
            </w:pPr>
            <w:r>
              <w:rPr>
                <w:sz w:val="24"/>
              </w:rPr>
              <w:t>ISO</w:t>
            </w:r>
            <w:r>
              <w:rPr>
                <w:spacing w:val="-5"/>
                <w:sz w:val="24"/>
              </w:rPr>
              <w:t> </w:t>
            </w:r>
            <w:r>
              <w:rPr>
                <w:spacing w:val="-4"/>
                <w:sz w:val="24"/>
              </w:rPr>
              <w:t>9000</w:t>
            </w:r>
          </w:p>
          <w:p>
            <w:pPr>
              <w:pStyle w:val="TableParagraph"/>
              <w:numPr>
                <w:ilvl w:val="0"/>
                <w:numId w:val="43"/>
              </w:numPr>
              <w:tabs>
                <w:tab w:pos="445" w:val="left" w:leader="none"/>
              </w:tabs>
              <w:spacing w:line="276" w:lineRule="auto" w:before="41" w:after="0"/>
              <w:ind w:left="62" w:right="557" w:firstLine="60"/>
              <w:jc w:val="left"/>
              <w:rPr>
                <w:sz w:val="24"/>
              </w:rPr>
            </w:pPr>
            <w:r>
              <w:rPr>
                <w:sz w:val="24"/>
              </w:rPr>
              <w:t>Quality</w:t>
            </w:r>
            <w:r>
              <w:rPr>
                <w:spacing w:val="-15"/>
                <w:sz w:val="24"/>
              </w:rPr>
              <w:t> </w:t>
            </w:r>
            <w:r>
              <w:rPr>
                <w:sz w:val="24"/>
              </w:rPr>
              <w:t>Control/Quality </w:t>
            </w:r>
            <w:r>
              <w:rPr>
                <w:spacing w:val="-2"/>
                <w:sz w:val="24"/>
              </w:rPr>
              <w:t>Assurance</w:t>
            </w:r>
          </w:p>
          <w:p>
            <w:pPr>
              <w:pStyle w:val="TableParagraph"/>
              <w:numPr>
                <w:ilvl w:val="0"/>
                <w:numId w:val="43"/>
              </w:numPr>
              <w:tabs>
                <w:tab w:pos="459" w:val="left" w:leader="none"/>
              </w:tabs>
              <w:spacing w:line="275" w:lineRule="exact" w:before="0" w:after="0"/>
              <w:ind w:left="459" w:right="0" w:hanging="337"/>
              <w:jc w:val="left"/>
              <w:rPr>
                <w:sz w:val="24"/>
              </w:rPr>
            </w:pPr>
            <w:r>
              <w:rPr>
                <w:spacing w:val="-2"/>
                <w:sz w:val="24"/>
              </w:rPr>
              <w:t>Others</w:t>
            </w:r>
          </w:p>
        </w:tc>
        <w:tc>
          <w:tcPr>
            <w:tcW w:w="1593" w:type="dxa"/>
          </w:tcPr>
          <w:p>
            <w:pPr>
              <w:pStyle w:val="TableParagraph"/>
              <w:spacing w:line="270" w:lineRule="exact"/>
              <w:ind w:left="107"/>
              <w:rPr>
                <w:sz w:val="24"/>
              </w:rPr>
            </w:pPr>
            <w:r>
              <w:rPr>
                <w:spacing w:val="-5"/>
                <w:sz w:val="24"/>
              </w:rPr>
              <w:t>64</w:t>
            </w:r>
          </w:p>
        </w:tc>
        <w:tc>
          <w:tcPr>
            <w:tcW w:w="1441" w:type="dxa"/>
          </w:tcPr>
          <w:p>
            <w:pPr>
              <w:pStyle w:val="TableParagraph"/>
              <w:spacing w:line="270" w:lineRule="exact"/>
              <w:ind w:left="108"/>
              <w:rPr>
                <w:sz w:val="24"/>
              </w:rPr>
            </w:pPr>
            <w:r>
              <w:rPr>
                <w:spacing w:val="-2"/>
                <w:sz w:val="24"/>
              </w:rPr>
              <w:t>21.12</w:t>
            </w:r>
          </w:p>
        </w:tc>
      </w:tr>
      <w:tr>
        <w:trPr>
          <w:trHeight w:val="320" w:hRule="atLeast"/>
        </w:trPr>
        <w:tc>
          <w:tcPr>
            <w:tcW w:w="2940" w:type="dxa"/>
          </w:tcPr>
          <w:p>
            <w:pPr>
              <w:pStyle w:val="TableParagraph"/>
              <w:spacing w:before="19"/>
              <w:ind w:left="122"/>
              <w:rPr>
                <w:b/>
                <w:sz w:val="24"/>
              </w:rPr>
            </w:pPr>
            <w:r>
              <w:rPr>
                <w:b/>
                <w:sz w:val="24"/>
              </w:rPr>
              <w:t>improvement</w:t>
            </w:r>
            <w:r>
              <w:rPr>
                <w:b/>
                <w:spacing w:val="-3"/>
                <w:sz w:val="24"/>
              </w:rPr>
              <w:t> </w:t>
            </w:r>
            <w:r>
              <w:rPr>
                <w:b/>
                <w:sz w:val="24"/>
              </w:rPr>
              <w:t>program</w:t>
            </w:r>
            <w:r>
              <w:rPr>
                <w:b/>
                <w:spacing w:val="-3"/>
                <w:sz w:val="24"/>
              </w:rPr>
              <w:t> </w:t>
            </w:r>
            <w:r>
              <w:rPr>
                <w:b/>
                <w:spacing w:val="-5"/>
                <w:sz w:val="24"/>
              </w:rPr>
              <w:t>do</w:t>
            </w:r>
          </w:p>
        </w:tc>
        <w:tc>
          <w:tcPr>
            <w:tcW w:w="3312" w:type="dxa"/>
            <w:vMerge/>
            <w:tcBorders>
              <w:top w:val="nil"/>
            </w:tcBorders>
          </w:tcPr>
          <w:p>
            <w:pPr>
              <w:rPr>
                <w:sz w:val="2"/>
                <w:szCs w:val="2"/>
              </w:rPr>
            </w:pPr>
          </w:p>
        </w:tc>
        <w:tc>
          <w:tcPr>
            <w:tcW w:w="1593" w:type="dxa"/>
          </w:tcPr>
          <w:p>
            <w:pPr>
              <w:pStyle w:val="TableParagraph"/>
              <w:spacing w:before="14"/>
              <w:ind w:left="107"/>
              <w:rPr>
                <w:sz w:val="24"/>
              </w:rPr>
            </w:pPr>
            <w:r>
              <w:rPr>
                <w:spacing w:val="-5"/>
                <w:sz w:val="24"/>
              </w:rPr>
              <w:t>45</w:t>
            </w:r>
          </w:p>
        </w:tc>
        <w:tc>
          <w:tcPr>
            <w:tcW w:w="1441" w:type="dxa"/>
          </w:tcPr>
          <w:p>
            <w:pPr>
              <w:pStyle w:val="TableParagraph"/>
              <w:spacing w:before="14"/>
              <w:ind w:left="108"/>
              <w:rPr>
                <w:sz w:val="24"/>
              </w:rPr>
            </w:pPr>
            <w:r>
              <w:rPr>
                <w:spacing w:val="-2"/>
                <w:sz w:val="24"/>
              </w:rPr>
              <w:t>14.85</w:t>
            </w:r>
          </w:p>
        </w:tc>
      </w:tr>
      <w:tr>
        <w:trPr>
          <w:trHeight w:val="314" w:hRule="atLeast"/>
        </w:trPr>
        <w:tc>
          <w:tcPr>
            <w:tcW w:w="2940" w:type="dxa"/>
          </w:tcPr>
          <w:p>
            <w:pPr>
              <w:pStyle w:val="TableParagraph"/>
              <w:spacing w:before="15"/>
              <w:ind w:left="122"/>
              <w:rPr>
                <w:b/>
                <w:sz w:val="24"/>
              </w:rPr>
            </w:pPr>
            <w:r>
              <w:rPr>
                <w:b/>
                <w:sz w:val="24"/>
              </w:rPr>
              <w:t>you </w:t>
            </w:r>
            <w:r>
              <w:rPr>
                <w:b/>
                <w:spacing w:val="-2"/>
                <w:sz w:val="24"/>
              </w:rPr>
              <w:t>have?</w:t>
            </w:r>
          </w:p>
        </w:tc>
        <w:tc>
          <w:tcPr>
            <w:tcW w:w="3312" w:type="dxa"/>
            <w:vMerge/>
            <w:tcBorders>
              <w:top w:val="nil"/>
            </w:tcBorders>
          </w:tcPr>
          <w:p>
            <w:pPr>
              <w:rPr>
                <w:sz w:val="2"/>
                <w:szCs w:val="2"/>
              </w:rPr>
            </w:pPr>
          </w:p>
        </w:tc>
        <w:tc>
          <w:tcPr>
            <w:tcW w:w="1593" w:type="dxa"/>
          </w:tcPr>
          <w:p>
            <w:pPr>
              <w:pStyle w:val="TableParagraph"/>
              <w:rPr>
                <w:sz w:val="22"/>
              </w:rPr>
            </w:pPr>
          </w:p>
        </w:tc>
        <w:tc>
          <w:tcPr>
            <w:tcW w:w="1441" w:type="dxa"/>
          </w:tcPr>
          <w:p>
            <w:pPr>
              <w:pStyle w:val="TableParagraph"/>
              <w:rPr>
                <w:sz w:val="22"/>
              </w:rPr>
            </w:pPr>
          </w:p>
        </w:tc>
      </w:tr>
      <w:tr>
        <w:trPr>
          <w:trHeight w:val="314" w:hRule="atLeast"/>
        </w:trPr>
        <w:tc>
          <w:tcPr>
            <w:tcW w:w="2940" w:type="dxa"/>
          </w:tcPr>
          <w:p>
            <w:pPr>
              <w:pStyle w:val="TableParagraph"/>
              <w:rPr>
                <w:sz w:val="22"/>
              </w:rPr>
            </w:pPr>
          </w:p>
        </w:tc>
        <w:tc>
          <w:tcPr>
            <w:tcW w:w="3312" w:type="dxa"/>
            <w:vMerge/>
            <w:tcBorders>
              <w:top w:val="nil"/>
            </w:tcBorders>
          </w:tcPr>
          <w:p>
            <w:pPr>
              <w:rPr>
                <w:sz w:val="2"/>
                <w:szCs w:val="2"/>
              </w:rPr>
            </w:pPr>
          </w:p>
        </w:tc>
        <w:tc>
          <w:tcPr>
            <w:tcW w:w="1593" w:type="dxa"/>
          </w:tcPr>
          <w:p>
            <w:pPr>
              <w:pStyle w:val="TableParagraph"/>
              <w:spacing w:before="13"/>
              <w:ind w:left="107"/>
              <w:rPr>
                <w:sz w:val="24"/>
              </w:rPr>
            </w:pPr>
            <w:r>
              <w:rPr>
                <w:spacing w:val="-5"/>
                <w:sz w:val="24"/>
              </w:rPr>
              <w:t>194</w:t>
            </w:r>
          </w:p>
        </w:tc>
        <w:tc>
          <w:tcPr>
            <w:tcW w:w="1441" w:type="dxa"/>
          </w:tcPr>
          <w:p>
            <w:pPr>
              <w:pStyle w:val="TableParagraph"/>
              <w:spacing w:before="13"/>
              <w:ind w:left="108"/>
              <w:rPr>
                <w:sz w:val="24"/>
              </w:rPr>
            </w:pPr>
            <w:r>
              <w:rPr>
                <w:spacing w:val="-2"/>
                <w:sz w:val="24"/>
              </w:rPr>
              <w:t>64.03</w:t>
            </w:r>
          </w:p>
        </w:tc>
      </w:tr>
      <w:tr>
        <w:trPr>
          <w:trHeight w:val="340" w:hRule="atLeast"/>
        </w:trPr>
        <w:tc>
          <w:tcPr>
            <w:tcW w:w="2940" w:type="dxa"/>
          </w:tcPr>
          <w:p>
            <w:pPr>
              <w:pStyle w:val="TableParagraph"/>
              <w:rPr>
                <w:sz w:val="24"/>
              </w:rPr>
            </w:pPr>
          </w:p>
        </w:tc>
        <w:tc>
          <w:tcPr>
            <w:tcW w:w="3312" w:type="dxa"/>
            <w:vMerge/>
            <w:tcBorders>
              <w:top w:val="nil"/>
            </w:tcBorders>
          </w:tcPr>
          <w:p>
            <w:pPr>
              <w:rPr>
                <w:sz w:val="2"/>
                <w:szCs w:val="2"/>
              </w:rPr>
            </w:pPr>
          </w:p>
        </w:tc>
        <w:tc>
          <w:tcPr>
            <w:tcW w:w="1593" w:type="dxa"/>
          </w:tcPr>
          <w:p>
            <w:pPr>
              <w:pStyle w:val="TableParagraph"/>
              <w:spacing w:before="15"/>
              <w:ind w:left="107"/>
              <w:rPr>
                <w:sz w:val="24"/>
              </w:rPr>
            </w:pPr>
            <w:r>
              <w:rPr>
                <w:spacing w:val="-10"/>
                <w:sz w:val="24"/>
              </w:rPr>
              <w:t>0</w:t>
            </w:r>
          </w:p>
        </w:tc>
        <w:tc>
          <w:tcPr>
            <w:tcW w:w="1441" w:type="dxa"/>
          </w:tcPr>
          <w:p>
            <w:pPr>
              <w:pStyle w:val="TableParagraph"/>
              <w:spacing w:before="15"/>
              <w:ind w:left="108"/>
              <w:rPr>
                <w:sz w:val="24"/>
              </w:rPr>
            </w:pPr>
            <w:r>
              <w:rPr>
                <w:spacing w:val="-2"/>
                <w:sz w:val="24"/>
              </w:rPr>
              <w:t>00.00</w:t>
            </w:r>
          </w:p>
        </w:tc>
      </w:tr>
      <w:tr>
        <w:trPr>
          <w:trHeight w:val="547" w:hRule="atLeast"/>
        </w:trPr>
        <w:tc>
          <w:tcPr>
            <w:tcW w:w="2940" w:type="dxa"/>
            <w:shd w:val="clear" w:color="auto" w:fill="C1C1C1"/>
          </w:tcPr>
          <w:p>
            <w:pPr>
              <w:pStyle w:val="TableParagraph"/>
              <w:spacing w:line="275" w:lineRule="exact"/>
              <w:ind w:left="122"/>
              <w:rPr>
                <w:b/>
                <w:sz w:val="24"/>
              </w:rPr>
            </w:pPr>
            <w:r>
              <w:rPr>
                <w:b/>
                <w:spacing w:val="-2"/>
                <w:sz w:val="24"/>
              </w:rPr>
              <w:t>Total</w:t>
            </w:r>
          </w:p>
        </w:tc>
        <w:tc>
          <w:tcPr>
            <w:tcW w:w="3312" w:type="dxa"/>
            <w:shd w:val="clear" w:color="auto" w:fill="C1C1C1"/>
          </w:tcPr>
          <w:p>
            <w:pPr>
              <w:pStyle w:val="TableParagraph"/>
              <w:rPr>
                <w:sz w:val="24"/>
              </w:rPr>
            </w:pPr>
          </w:p>
        </w:tc>
        <w:tc>
          <w:tcPr>
            <w:tcW w:w="1593" w:type="dxa"/>
            <w:shd w:val="clear" w:color="auto" w:fill="C1C1C1"/>
          </w:tcPr>
          <w:p>
            <w:pPr>
              <w:pStyle w:val="TableParagraph"/>
              <w:spacing w:line="270" w:lineRule="exact"/>
              <w:ind w:left="107"/>
              <w:rPr>
                <w:sz w:val="24"/>
              </w:rPr>
            </w:pPr>
            <w:r>
              <w:rPr>
                <w:spacing w:val="-5"/>
                <w:sz w:val="24"/>
              </w:rPr>
              <w:t>303</w:t>
            </w:r>
          </w:p>
        </w:tc>
        <w:tc>
          <w:tcPr>
            <w:tcW w:w="1441" w:type="dxa"/>
            <w:shd w:val="clear" w:color="auto" w:fill="C1C1C1"/>
          </w:tcPr>
          <w:p>
            <w:pPr>
              <w:pStyle w:val="TableParagraph"/>
              <w:spacing w:line="270" w:lineRule="exact"/>
              <w:ind w:left="108"/>
              <w:rPr>
                <w:sz w:val="24"/>
              </w:rPr>
            </w:pPr>
            <w:r>
              <w:rPr>
                <w:spacing w:val="-4"/>
                <w:sz w:val="24"/>
              </w:rPr>
              <w:t>100%</w:t>
            </w:r>
          </w:p>
        </w:tc>
      </w:tr>
      <w:tr>
        <w:trPr>
          <w:trHeight w:val="1586" w:hRule="atLeast"/>
        </w:trPr>
        <w:tc>
          <w:tcPr>
            <w:tcW w:w="2940" w:type="dxa"/>
          </w:tcPr>
          <w:p>
            <w:pPr>
              <w:pStyle w:val="TableParagraph"/>
              <w:spacing w:line="276" w:lineRule="auto"/>
              <w:ind w:left="122" w:right="217"/>
              <w:rPr>
                <w:b/>
                <w:sz w:val="24"/>
              </w:rPr>
            </w:pPr>
            <w:r>
              <w:rPr>
                <w:b/>
                <w:sz w:val="24"/>
              </w:rPr>
              <w:t>How regular do you apply</w:t>
            </w:r>
            <w:r>
              <w:rPr>
                <w:b/>
                <w:spacing w:val="-12"/>
                <w:sz w:val="24"/>
              </w:rPr>
              <w:t> </w:t>
            </w:r>
            <w:r>
              <w:rPr>
                <w:b/>
                <w:sz w:val="24"/>
              </w:rPr>
              <w:t>quality</w:t>
            </w:r>
            <w:r>
              <w:rPr>
                <w:b/>
                <w:spacing w:val="-12"/>
                <w:sz w:val="24"/>
              </w:rPr>
              <w:t> </w:t>
            </w:r>
            <w:r>
              <w:rPr>
                <w:b/>
                <w:sz w:val="24"/>
              </w:rPr>
              <w:t>measure</w:t>
            </w:r>
            <w:r>
              <w:rPr>
                <w:b/>
                <w:spacing w:val="-13"/>
                <w:sz w:val="24"/>
              </w:rPr>
              <w:t> </w:t>
            </w:r>
            <w:r>
              <w:rPr>
                <w:b/>
                <w:sz w:val="24"/>
              </w:rPr>
              <w:t>in your firm?</w:t>
            </w:r>
          </w:p>
        </w:tc>
        <w:tc>
          <w:tcPr>
            <w:tcW w:w="3312" w:type="dxa"/>
          </w:tcPr>
          <w:p>
            <w:pPr>
              <w:pStyle w:val="TableParagraph"/>
              <w:numPr>
                <w:ilvl w:val="0"/>
                <w:numId w:val="44"/>
              </w:numPr>
              <w:tabs>
                <w:tab w:pos="512" w:val="left" w:leader="none"/>
              </w:tabs>
              <w:spacing w:line="270" w:lineRule="exact" w:before="0" w:after="0"/>
              <w:ind w:left="512" w:right="0" w:hanging="359"/>
              <w:jc w:val="left"/>
              <w:rPr>
                <w:sz w:val="24"/>
              </w:rPr>
            </w:pPr>
            <w:r>
              <w:rPr>
                <w:sz w:val="24"/>
              </w:rPr>
              <w:t>Very</w:t>
            </w:r>
            <w:r>
              <w:rPr>
                <w:spacing w:val="-5"/>
                <w:sz w:val="24"/>
              </w:rPr>
              <w:t> </w:t>
            </w:r>
            <w:r>
              <w:rPr>
                <w:spacing w:val="-2"/>
                <w:sz w:val="24"/>
              </w:rPr>
              <w:t>Regular</w:t>
            </w:r>
          </w:p>
          <w:p>
            <w:pPr>
              <w:pStyle w:val="TableParagraph"/>
              <w:numPr>
                <w:ilvl w:val="0"/>
                <w:numId w:val="44"/>
              </w:numPr>
              <w:tabs>
                <w:tab w:pos="492" w:val="left" w:leader="none"/>
              </w:tabs>
              <w:spacing w:line="240" w:lineRule="auto" w:before="41" w:after="0"/>
              <w:ind w:left="492" w:right="0" w:hanging="358"/>
              <w:jc w:val="left"/>
              <w:rPr>
                <w:sz w:val="24"/>
              </w:rPr>
            </w:pPr>
            <w:r>
              <w:rPr>
                <w:spacing w:val="-2"/>
                <w:sz w:val="24"/>
              </w:rPr>
              <w:t>Regular</w:t>
            </w:r>
          </w:p>
          <w:p>
            <w:pPr>
              <w:pStyle w:val="TableParagraph"/>
              <w:numPr>
                <w:ilvl w:val="0"/>
                <w:numId w:val="44"/>
              </w:numPr>
              <w:tabs>
                <w:tab w:pos="493" w:val="left" w:leader="none"/>
              </w:tabs>
              <w:spacing w:line="240" w:lineRule="auto" w:before="40" w:after="0"/>
              <w:ind w:left="493" w:right="0" w:hanging="359"/>
              <w:jc w:val="left"/>
              <w:rPr>
                <w:sz w:val="24"/>
              </w:rPr>
            </w:pPr>
            <w:r>
              <w:rPr>
                <w:sz w:val="24"/>
              </w:rPr>
              <w:t>Fairly</w:t>
            </w:r>
            <w:r>
              <w:rPr>
                <w:spacing w:val="-6"/>
                <w:sz w:val="24"/>
              </w:rPr>
              <w:t> </w:t>
            </w:r>
            <w:r>
              <w:rPr>
                <w:spacing w:val="-2"/>
                <w:sz w:val="24"/>
              </w:rPr>
              <w:t>Regular</w:t>
            </w:r>
          </w:p>
          <w:p>
            <w:pPr>
              <w:pStyle w:val="TableParagraph"/>
              <w:numPr>
                <w:ilvl w:val="0"/>
                <w:numId w:val="44"/>
              </w:numPr>
              <w:tabs>
                <w:tab w:pos="492" w:val="left" w:leader="none"/>
              </w:tabs>
              <w:spacing w:line="240" w:lineRule="auto" w:before="44" w:after="0"/>
              <w:ind w:left="492" w:right="0" w:hanging="358"/>
              <w:jc w:val="left"/>
              <w:rPr>
                <w:sz w:val="24"/>
              </w:rPr>
            </w:pPr>
            <w:r>
              <w:rPr>
                <w:sz w:val="24"/>
              </w:rPr>
              <w:t>Not</w:t>
            </w:r>
            <w:r>
              <w:rPr>
                <w:spacing w:val="-1"/>
                <w:sz w:val="24"/>
              </w:rPr>
              <w:t> </w:t>
            </w:r>
            <w:r>
              <w:rPr>
                <w:spacing w:val="-2"/>
                <w:sz w:val="24"/>
              </w:rPr>
              <w:t>Regular</w:t>
            </w:r>
          </w:p>
        </w:tc>
        <w:tc>
          <w:tcPr>
            <w:tcW w:w="1593" w:type="dxa"/>
          </w:tcPr>
          <w:p>
            <w:pPr>
              <w:pStyle w:val="TableParagraph"/>
              <w:spacing w:line="270" w:lineRule="exact"/>
              <w:ind w:left="107"/>
              <w:rPr>
                <w:sz w:val="24"/>
              </w:rPr>
            </w:pPr>
            <w:r>
              <w:rPr>
                <w:spacing w:val="-5"/>
                <w:sz w:val="24"/>
              </w:rPr>
              <w:t>135</w:t>
            </w:r>
          </w:p>
          <w:p>
            <w:pPr>
              <w:pStyle w:val="TableParagraph"/>
              <w:spacing w:before="41"/>
              <w:ind w:left="107"/>
              <w:rPr>
                <w:sz w:val="24"/>
              </w:rPr>
            </w:pPr>
            <w:r>
              <w:rPr>
                <w:spacing w:val="-5"/>
                <w:sz w:val="24"/>
              </w:rPr>
              <w:t>164</w:t>
            </w:r>
          </w:p>
          <w:p>
            <w:pPr>
              <w:pStyle w:val="TableParagraph"/>
              <w:spacing w:before="40"/>
              <w:ind w:left="107"/>
              <w:rPr>
                <w:sz w:val="24"/>
              </w:rPr>
            </w:pPr>
            <w:r>
              <w:rPr>
                <w:spacing w:val="-10"/>
                <w:sz w:val="24"/>
              </w:rPr>
              <w:t>4</w:t>
            </w:r>
          </w:p>
          <w:p>
            <w:pPr>
              <w:pStyle w:val="TableParagraph"/>
              <w:spacing w:before="44"/>
              <w:ind w:left="107"/>
              <w:rPr>
                <w:sz w:val="24"/>
              </w:rPr>
            </w:pPr>
            <w:r>
              <w:rPr>
                <w:spacing w:val="-10"/>
                <w:sz w:val="24"/>
              </w:rPr>
              <w:t>0</w:t>
            </w:r>
          </w:p>
        </w:tc>
        <w:tc>
          <w:tcPr>
            <w:tcW w:w="1441" w:type="dxa"/>
          </w:tcPr>
          <w:p>
            <w:pPr>
              <w:pStyle w:val="TableParagraph"/>
              <w:spacing w:line="270" w:lineRule="exact"/>
              <w:ind w:left="108"/>
              <w:rPr>
                <w:sz w:val="24"/>
              </w:rPr>
            </w:pPr>
            <w:r>
              <w:rPr>
                <w:spacing w:val="-2"/>
                <w:sz w:val="24"/>
              </w:rPr>
              <w:t>44.55</w:t>
            </w:r>
          </w:p>
          <w:p>
            <w:pPr>
              <w:pStyle w:val="TableParagraph"/>
              <w:spacing w:before="41"/>
              <w:ind w:left="108"/>
              <w:rPr>
                <w:sz w:val="24"/>
              </w:rPr>
            </w:pPr>
            <w:r>
              <w:rPr>
                <w:spacing w:val="-2"/>
                <w:sz w:val="24"/>
              </w:rPr>
              <w:t>54.13</w:t>
            </w:r>
          </w:p>
          <w:p>
            <w:pPr>
              <w:pStyle w:val="TableParagraph"/>
              <w:spacing w:before="40"/>
              <w:ind w:left="228"/>
              <w:rPr>
                <w:sz w:val="24"/>
              </w:rPr>
            </w:pPr>
            <w:r>
              <w:rPr>
                <w:spacing w:val="-4"/>
                <w:sz w:val="24"/>
              </w:rPr>
              <w:t>1.32</w:t>
            </w:r>
          </w:p>
          <w:p>
            <w:pPr>
              <w:pStyle w:val="TableParagraph"/>
              <w:spacing w:before="44"/>
              <w:ind w:left="228"/>
              <w:rPr>
                <w:sz w:val="24"/>
              </w:rPr>
            </w:pPr>
            <w:r>
              <w:rPr>
                <w:spacing w:val="-4"/>
                <w:sz w:val="24"/>
              </w:rPr>
              <w:t>0.00</w:t>
            </w:r>
          </w:p>
        </w:tc>
      </w:tr>
      <w:tr>
        <w:trPr>
          <w:trHeight w:val="547" w:hRule="atLeast"/>
        </w:trPr>
        <w:tc>
          <w:tcPr>
            <w:tcW w:w="2940" w:type="dxa"/>
            <w:shd w:val="clear" w:color="auto" w:fill="C1C1C1"/>
          </w:tcPr>
          <w:p>
            <w:pPr>
              <w:pStyle w:val="TableParagraph"/>
              <w:spacing w:line="275" w:lineRule="exact"/>
              <w:ind w:left="122"/>
              <w:rPr>
                <w:b/>
                <w:sz w:val="24"/>
              </w:rPr>
            </w:pPr>
            <w:r>
              <w:rPr>
                <w:b/>
                <w:spacing w:val="-2"/>
                <w:sz w:val="24"/>
              </w:rPr>
              <w:t>Total</w:t>
            </w:r>
          </w:p>
        </w:tc>
        <w:tc>
          <w:tcPr>
            <w:tcW w:w="3312" w:type="dxa"/>
            <w:shd w:val="clear" w:color="auto" w:fill="C1C1C1"/>
          </w:tcPr>
          <w:p>
            <w:pPr>
              <w:pStyle w:val="TableParagraph"/>
              <w:rPr>
                <w:sz w:val="24"/>
              </w:rPr>
            </w:pPr>
          </w:p>
        </w:tc>
        <w:tc>
          <w:tcPr>
            <w:tcW w:w="1593" w:type="dxa"/>
            <w:shd w:val="clear" w:color="auto" w:fill="C1C1C1"/>
          </w:tcPr>
          <w:p>
            <w:pPr>
              <w:pStyle w:val="TableParagraph"/>
              <w:spacing w:line="270" w:lineRule="exact"/>
              <w:ind w:left="107"/>
              <w:rPr>
                <w:sz w:val="24"/>
              </w:rPr>
            </w:pPr>
            <w:r>
              <w:rPr>
                <w:spacing w:val="-5"/>
                <w:sz w:val="24"/>
              </w:rPr>
              <w:t>303</w:t>
            </w:r>
          </w:p>
        </w:tc>
        <w:tc>
          <w:tcPr>
            <w:tcW w:w="1441" w:type="dxa"/>
            <w:shd w:val="clear" w:color="auto" w:fill="C1C1C1"/>
          </w:tcPr>
          <w:p>
            <w:pPr>
              <w:pStyle w:val="TableParagraph"/>
              <w:spacing w:line="270" w:lineRule="exact"/>
              <w:ind w:left="108"/>
              <w:rPr>
                <w:sz w:val="24"/>
              </w:rPr>
            </w:pPr>
            <w:r>
              <w:rPr>
                <w:spacing w:val="-4"/>
                <w:sz w:val="24"/>
              </w:rPr>
              <w:t>100%</w:t>
            </w:r>
          </w:p>
        </w:tc>
      </w:tr>
      <w:tr>
        <w:trPr>
          <w:trHeight w:val="1905" w:hRule="atLeast"/>
        </w:trPr>
        <w:tc>
          <w:tcPr>
            <w:tcW w:w="2940" w:type="dxa"/>
          </w:tcPr>
          <w:p>
            <w:pPr>
              <w:pStyle w:val="TableParagraph"/>
              <w:spacing w:line="276" w:lineRule="auto"/>
              <w:ind w:left="122" w:right="174"/>
              <w:rPr>
                <w:b/>
                <w:sz w:val="24"/>
              </w:rPr>
            </w:pPr>
            <w:r>
              <w:rPr>
                <w:b/>
                <w:sz w:val="24"/>
              </w:rPr>
              <w:t>For</w:t>
            </w:r>
            <w:r>
              <w:rPr>
                <w:b/>
                <w:spacing w:val="-6"/>
                <w:sz w:val="24"/>
              </w:rPr>
              <w:t> </w:t>
            </w:r>
            <w:r>
              <w:rPr>
                <w:b/>
                <w:sz w:val="24"/>
              </w:rPr>
              <w:t>the</w:t>
            </w:r>
            <w:r>
              <w:rPr>
                <w:b/>
                <w:spacing w:val="-8"/>
                <w:sz w:val="24"/>
              </w:rPr>
              <w:t> </w:t>
            </w:r>
            <w:r>
              <w:rPr>
                <w:b/>
                <w:sz w:val="24"/>
              </w:rPr>
              <w:t>firm</w:t>
            </w:r>
            <w:r>
              <w:rPr>
                <w:b/>
                <w:spacing w:val="-11"/>
                <w:sz w:val="24"/>
              </w:rPr>
              <w:t> </w:t>
            </w:r>
            <w:r>
              <w:rPr>
                <w:b/>
                <w:sz w:val="24"/>
              </w:rPr>
              <w:t>that</w:t>
            </w:r>
            <w:r>
              <w:rPr>
                <w:b/>
                <w:spacing w:val="-8"/>
                <w:sz w:val="24"/>
              </w:rPr>
              <w:t> </w:t>
            </w:r>
            <w:r>
              <w:rPr>
                <w:b/>
                <w:sz w:val="24"/>
              </w:rPr>
              <w:t>does</w:t>
            </w:r>
            <w:r>
              <w:rPr>
                <w:b/>
                <w:spacing w:val="-7"/>
                <w:sz w:val="24"/>
              </w:rPr>
              <w:t> </w:t>
            </w:r>
            <w:r>
              <w:rPr>
                <w:b/>
                <w:sz w:val="24"/>
              </w:rPr>
              <w:t>not have Quality </w:t>
            </w:r>
            <w:r>
              <w:rPr>
                <w:b/>
                <w:spacing w:val="-2"/>
                <w:sz w:val="24"/>
              </w:rPr>
              <w:t>improvement</w:t>
            </w:r>
            <w:r>
              <w:rPr>
                <w:b/>
                <w:spacing w:val="40"/>
                <w:sz w:val="24"/>
              </w:rPr>
              <w:t> </w:t>
            </w:r>
            <w:r>
              <w:rPr>
                <w:b/>
                <w:sz w:val="24"/>
              </w:rPr>
              <w:t>programme, how have you been controlling the</w:t>
            </w:r>
          </w:p>
          <w:p>
            <w:pPr>
              <w:pStyle w:val="TableParagraph"/>
              <w:spacing w:before="1"/>
              <w:ind w:left="122"/>
              <w:rPr>
                <w:b/>
                <w:sz w:val="24"/>
              </w:rPr>
            </w:pPr>
            <w:r>
              <w:rPr>
                <w:b/>
                <w:sz w:val="24"/>
              </w:rPr>
              <w:t>quality</w:t>
            </w:r>
            <w:r>
              <w:rPr>
                <w:b/>
                <w:spacing w:val="-4"/>
                <w:sz w:val="24"/>
              </w:rPr>
              <w:t> </w:t>
            </w:r>
            <w:r>
              <w:rPr>
                <w:b/>
                <w:sz w:val="24"/>
              </w:rPr>
              <w:t>of your</w:t>
            </w:r>
            <w:r>
              <w:rPr>
                <w:b/>
                <w:spacing w:val="-2"/>
                <w:sz w:val="24"/>
              </w:rPr>
              <w:t> </w:t>
            </w:r>
            <w:r>
              <w:rPr>
                <w:b/>
                <w:spacing w:val="-4"/>
                <w:sz w:val="24"/>
              </w:rPr>
              <w:t>work?</w:t>
            </w:r>
          </w:p>
        </w:tc>
        <w:tc>
          <w:tcPr>
            <w:tcW w:w="3312" w:type="dxa"/>
          </w:tcPr>
          <w:p>
            <w:pPr>
              <w:pStyle w:val="TableParagraph"/>
              <w:numPr>
                <w:ilvl w:val="0"/>
                <w:numId w:val="45"/>
              </w:numPr>
              <w:tabs>
                <w:tab w:pos="512" w:val="left" w:leader="none"/>
              </w:tabs>
              <w:spacing w:line="270" w:lineRule="exact" w:before="0" w:after="0"/>
              <w:ind w:left="512" w:right="0" w:hanging="359"/>
              <w:jc w:val="left"/>
              <w:rPr>
                <w:sz w:val="24"/>
              </w:rPr>
            </w:pPr>
            <w:r>
              <w:rPr>
                <w:sz w:val="24"/>
              </w:rPr>
              <w:t>Always</w:t>
            </w:r>
            <w:r>
              <w:rPr>
                <w:spacing w:val="-2"/>
                <w:sz w:val="24"/>
              </w:rPr>
              <w:t> </w:t>
            </w:r>
            <w:r>
              <w:rPr>
                <w:sz w:val="24"/>
              </w:rPr>
              <w:t>execute</w:t>
            </w:r>
            <w:r>
              <w:rPr>
                <w:spacing w:val="-3"/>
                <w:sz w:val="24"/>
              </w:rPr>
              <w:t> </w:t>
            </w:r>
            <w:r>
              <w:rPr>
                <w:sz w:val="24"/>
              </w:rPr>
              <w:t>to</w:t>
            </w:r>
            <w:r>
              <w:rPr>
                <w:spacing w:val="-1"/>
                <w:sz w:val="24"/>
              </w:rPr>
              <w:t> </w:t>
            </w:r>
            <w:r>
              <w:rPr>
                <w:spacing w:val="-2"/>
                <w:sz w:val="24"/>
              </w:rPr>
              <w:t>standard</w:t>
            </w:r>
          </w:p>
          <w:p>
            <w:pPr>
              <w:pStyle w:val="TableParagraph"/>
              <w:numPr>
                <w:ilvl w:val="0"/>
                <w:numId w:val="45"/>
              </w:numPr>
              <w:tabs>
                <w:tab w:pos="492" w:val="left" w:leader="none"/>
                <w:tab w:pos="494" w:val="left" w:leader="none"/>
              </w:tabs>
              <w:spacing w:line="276" w:lineRule="auto" w:before="43" w:after="0"/>
              <w:ind w:left="494" w:right="105" w:hanging="360"/>
              <w:jc w:val="left"/>
              <w:rPr>
                <w:sz w:val="24"/>
              </w:rPr>
            </w:pPr>
            <w:r>
              <w:rPr>
                <w:sz w:val="24"/>
              </w:rPr>
              <w:t>Always</w:t>
            </w:r>
            <w:r>
              <w:rPr>
                <w:spacing w:val="-5"/>
                <w:sz w:val="24"/>
              </w:rPr>
              <w:t> </w:t>
            </w:r>
            <w:r>
              <w:rPr>
                <w:sz w:val="24"/>
              </w:rPr>
              <w:t>test</w:t>
            </w:r>
            <w:r>
              <w:rPr>
                <w:spacing w:val="-5"/>
                <w:sz w:val="24"/>
              </w:rPr>
              <w:t> </w:t>
            </w:r>
            <w:r>
              <w:rPr>
                <w:sz w:val="24"/>
              </w:rPr>
              <w:t>our</w:t>
            </w:r>
            <w:r>
              <w:rPr>
                <w:spacing w:val="-6"/>
                <w:sz w:val="24"/>
              </w:rPr>
              <w:t> </w:t>
            </w:r>
            <w:r>
              <w:rPr>
                <w:sz w:val="24"/>
              </w:rPr>
              <w:t>materials</w:t>
            </w:r>
            <w:r>
              <w:rPr>
                <w:spacing w:val="-5"/>
                <w:sz w:val="24"/>
              </w:rPr>
              <w:t> </w:t>
            </w:r>
            <w:r>
              <w:rPr>
                <w:sz w:val="24"/>
              </w:rPr>
              <w:t>in approved Organisations</w:t>
            </w:r>
          </w:p>
          <w:p>
            <w:pPr>
              <w:pStyle w:val="TableParagraph"/>
              <w:numPr>
                <w:ilvl w:val="0"/>
                <w:numId w:val="45"/>
              </w:numPr>
              <w:tabs>
                <w:tab w:pos="493" w:val="left" w:leader="none"/>
              </w:tabs>
              <w:spacing w:line="275" w:lineRule="exact" w:before="0" w:after="0"/>
              <w:ind w:left="493" w:right="0" w:hanging="359"/>
              <w:jc w:val="left"/>
              <w:rPr>
                <w:sz w:val="24"/>
              </w:rPr>
            </w:pPr>
            <w:r>
              <w:rPr>
                <w:spacing w:val="-2"/>
                <w:sz w:val="24"/>
              </w:rPr>
              <w:t>Others</w:t>
            </w:r>
          </w:p>
        </w:tc>
        <w:tc>
          <w:tcPr>
            <w:tcW w:w="1593" w:type="dxa"/>
          </w:tcPr>
          <w:p>
            <w:pPr>
              <w:pStyle w:val="TableParagraph"/>
              <w:spacing w:line="270" w:lineRule="exact"/>
              <w:ind w:left="107"/>
              <w:rPr>
                <w:sz w:val="24"/>
              </w:rPr>
            </w:pPr>
            <w:r>
              <w:rPr>
                <w:spacing w:val="-10"/>
                <w:sz w:val="24"/>
              </w:rPr>
              <w:t>4</w:t>
            </w:r>
          </w:p>
          <w:p>
            <w:pPr>
              <w:pStyle w:val="TableParagraph"/>
              <w:spacing w:before="43"/>
              <w:ind w:left="107"/>
              <w:rPr>
                <w:sz w:val="24"/>
              </w:rPr>
            </w:pPr>
            <w:r>
              <w:rPr>
                <w:spacing w:val="-5"/>
                <w:sz w:val="24"/>
              </w:rPr>
              <w:t>23</w:t>
            </w:r>
          </w:p>
          <w:p>
            <w:pPr>
              <w:pStyle w:val="TableParagraph"/>
              <w:spacing w:before="81"/>
              <w:rPr>
                <w:b/>
                <w:sz w:val="24"/>
              </w:rPr>
            </w:pPr>
          </w:p>
          <w:p>
            <w:pPr>
              <w:pStyle w:val="TableParagraph"/>
              <w:spacing w:before="1"/>
              <w:ind w:left="107"/>
              <w:rPr>
                <w:sz w:val="24"/>
              </w:rPr>
            </w:pPr>
            <w:r>
              <w:rPr>
                <w:spacing w:val="-10"/>
                <w:sz w:val="24"/>
              </w:rPr>
              <w:t>0</w:t>
            </w:r>
          </w:p>
        </w:tc>
        <w:tc>
          <w:tcPr>
            <w:tcW w:w="1441" w:type="dxa"/>
          </w:tcPr>
          <w:p>
            <w:pPr>
              <w:pStyle w:val="TableParagraph"/>
              <w:spacing w:line="270" w:lineRule="exact"/>
              <w:ind w:left="108"/>
              <w:rPr>
                <w:sz w:val="24"/>
              </w:rPr>
            </w:pPr>
            <w:r>
              <w:rPr>
                <w:spacing w:val="-2"/>
                <w:sz w:val="24"/>
              </w:rPr>
              <w:t>14.81</w:t>
            </w:r>
          </w:p>
          <w:p>
            <w:pPr>
              <w:pStyle w:val="TableParagraph"/>
              <w:spacing w:before="43"/>
              <w:ind w:left="108"/>
              <w:rPr>
                <w:sz w:val="24"/>
              </w:rPr>
            </w:pPr>
            <w:r>
              <w:rPr>
                <w:spacing w:val="-2"/>
                <w:sz w:val="24"/>
              </w:rPr>
              <w:t>85.19</w:t>
            </w:r>
          </w:p>
          <w:p>
            <w:pPr>
              <w:pStyle w:val="TableParagraph"/>
              <w:spacing w:before="81"/>
              <w:rPr>
                <w:b/>
                <w:sz w:val="24"/>
              </w:rPr>
            </w:pPr>
          </w:p>
          <w:p>
            <w:pPr>
              <w:pStyle w:val="TableParagraph"/>
              <w:spacing w:before="1"/>
              <w:ind w:left="228"/>
              <w:rPr>
                <w:sz w:val="24"/>
              </w:rPr>
            </w:pPr>
            <w:r>
              <w:rPr>
                <w:spacing w:val="-4"/>
                <w:sz w:val="24"/>
              </w:rPr>
              <w:t>0.00</w:t>
            </w:r>
          </w:p>
        </w:tc>
      </w:tr>
      <w:tr>
        <w:trPr>
          <w:trHeight w:val="635" w:hRule="atLeast"/>
        </w:trPr>
        <w:tc>
          <w:tcPr>
            <w:tcW w:w="2940" w:type="dxa"/>
            <w:tcBorders>
              <w:bottom w:val="single" w:sz="8" w:space="0" w:color="000000"/>
            </w:tcBorders>
            <w:shd w:val="clear" w:color="auto" w:fill="C1C1C1"/>
          </w:tcPr>
          <w:p>
            <w:pPr>
              <w:pStyle w:val="TableParagraph"/>
              <w:spacing w:line="275" w:lineRule="exact"/>
              <w:ind w:left="122"/>
              <w:rPr>
                <w:b/>
                <w:sz w:val="24"/>
              </w:rPr>
            </w:pPr>
            <w:r>
              <w:rPr>
                <w:b/>
                <w:spacing w:val="-2"/>
                <w:sz w:val="24"/>
              </w:rPr>
              <w:t>Total</w:t>
            </w:r>
          </w:p>
        </w:tc>
        <w:tc>
          <w:tcPr>
            <w:tcW w:w="3312" w:type="dxa"/>
            <w:tcBorders>
              <w:bottom w:val="single" w:sz="8" w:space="0" w:color="000000"/>
            </w:tcBorders>
            <w:shd w:val="clear" w:color="auto" w:fill="C1C1C1"/>
          </w:tcPr>
          <w:p>
            <w:pPr>
              <w:pStyle w:val="TableParagraph"/>
              <w:rPr>
                <w:sz w:val="24"/>
              </w:rPr>
            </w:pPr>
          </w:p>
        </w:tc>
        <w:tc>
          <w:tcPr>
            <w:tcW w:w="1593" w:type="dxa"/>
            <w:tcBorders>
              <w:bottom w:val="single" w:sz="8" w:space="0" w:color="000000"/>
            </w:tcBorders>
            <w:shd w:val="clear" w:color="auto" w:fill="C1C1C1"/>
          </w:tcPr>
          <w:p>
            <w:pPr>
              <w:pStyle w:val="TableParagraph"/>
              <w:spacing w:line="270" w:lineRule="exact"/>
              <w:ind w:left="107"/>
              <w:rPr>
                <w:sz w:val="24"/>
              </w:rPr>
            </w:pPr>
            <w:r>
              <w:rPr>
                <w:spacing w:val="-5"/>
                <w:sz w:val="24"/>
              </w:rPr>
              <w:t>27</w:t>
            </w:r>
          </w:p>
        </w:tc>
        <w:tc>
          <w:tcPr>
            <w:tcW w:w="1441" w:type="dxa"/>
            <w:tcBorders>
              <w:bottom w:val="single" w:sz="8" w:space="0" w:color="000000"/>
            </w:tcBorders>
            <w:shd w:val="clear" w:color="auto" w:fill="C1C1C1"/>
          </w:tcPr>
          <w:p>
            <w:pPr>
              <w:pStyle w:val="TableParagraph"/>
              <w:spacing w:line="270" w:lineRule="exact"/>
              <w:ind w:left="108"/>
              <w:rPr>
                <w:sz w:val="24"/>
              </w:rPr>
            </w:pPr>
            <w:r>
              <w:rPr>
                <w:spacing w:val="-4"/>
                <w:sz w:val="24"/>
              </w:rPr>
              <w:t>100%</w:t>
            </w:r>
          </w:p>
        </w:tc>
      </w:tr>
    </w:tbl>
    <w:p>
      <w:pPr>
        <w:spacing w:before="0"/>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3"/>
          <w:sz w:val="24"/>
        </w:rPr>
        <w:t> </w:t>
      </w:r>
      <w:r>
        <w:rPr>
          <w:b/>
          <w:sz w:val="24"/>
        </w:rPr>
        <w:t>survey</w:t>
      </w:r>
      <w:r>
        <w:rPr>
          <w:b/>
          <w:spacing w:val="-2"/>
          <w:sz w:val="24"/>
        </w:rPr>
        <w:t> (2018)</w:t>
      </w:r>
    </w:p>
    <w:p>
      <w:pPr>
        <w:pStyle w:val="BodyText"/>
        <w:spacing w:before="244"/>
        <w:rPr>
          <w:b/>
        </w:rPr>
      </w:pPr>
    </w:p>
    <w:p>
      <w:pPr>
        <w:pStyle w:val="ListParagraph"/>
        <w:numPr>
          <w:ilvl w:val="1"/>
          <w:numId w:val="46"/>
        </w:numPr>
        <w:tabs>
          <w:tab w:pos="1119" w:val="left" w:leader="none"/>
        </w:tabs>
        <w:spacing w:line="480" w:lineRule="auto" w:before="0" w:after="0"/>
        <w:ind w:left="400" w:right="1317" w:firstLine="0"/>
        <w:jc w:val="left"/>
        <w:rPr>
          <w:b/>
          <w:sz w:val="24"/>
        </w:rPr>
      </w:pPr>
      <w:r>
        <w:rPr>
          <w:b/>
          <w:sz w:val="24"/>
        </w:rPr>
        <w:t>Level</w:t>
      </w:r>
      <w:r>
        <w:rPr>
          <w:b/>
          <w:spacing w:val="40"/>
          <w:sz w:val="24"/>
        </w:rPr>
        <w:t> </w:t>
      </w:r>
      <w:r>
        <w:rPr>
          <w:b/>
          <w:sz w:val="24"/>
        </w:rPr>
        <w:t>of</w:t>
      </w:r>
      <w:r>
        <w:rPr>
          <w:b/>
          <w:spacing w:val="40"/>
          <w:sz w:val="24"/>
        </w:rPr>
        <w:t> </w:t>
      </w:r>
      <w:r>
        <w:rPr>
          <w:b/>
          <w:sz w:val="24"/>
        </w:rPr>
        <w:t>Implementation</w:t>
      </w:r>
      <w:r>
        <w:rPr>
          <w:b/>
          <w:spacing w:val="40"/>
          <w:sz w:val="24"/>
        </w:rPr>
        <w:t> </w:t>
      </w:r>
      <w:r>
        <w:rPr>
          <w:b/>
          <w:sz w:val="24"/>
        </w:rPr>
        <w:t>of</w:t>
      </w:r>
      <w:r>
        <w:rPr>
          <w:b/>
          <w:spacing w:val="40"/>
          <w:sz w:val="24"/>
        </w:rPr>
        <w:t> </w:t>
      </w:r>
      <w:r>
        <w:rPr>
          <w:b/>
          <w:sz w:val="24"/>
        </w:rPr>
        <w:t>Total</w:t>
      </w:r>
      <w:r>
        <w:rPr>
          <w:b/>
          <w:spacing w:val="40"/>
          <w:sz w:val="24"/>
        </w:rPr>
        <w:t> </w:t>
      </w:r>
      <w:r>
        <w:rPr>
          <w:b/>
          <w:sz w:val="24"/>
        </w:rPr>
        <w:t>Quality</w:t>
      </w:r>
      <w:r>
        <w:rPr>
          <w:b/>
          <w:spacing w:val="40"/>
          <w:sz w:val="24"/>
        </w:rPr>
        <w:t> </w:t>
      </w:r>
      <w:r>
        <w:rPr>
          <w:b/>
          <w:sz w:val="24"/>
        </w:rPr>
        <w:t>Management</w:t>
      </w:r>
      <w:r>
        <w:rPr>
          <w:b/>
          <w:spacing w:val="40"/>
          <w:sz w:val="24"/>
        </w:rPr>
        <w:t> </w:t>
      </w:r>
      <w:r>
        <w:rPr>
          <w:b/>
          <w:sz w:val="24"/>
        </w:rPr>
        <w:t>by</w:t>
      </w:r>
      <w:r>
        <w:rPr>
          <w:b/>
          <w:spacing w:val="40"/>
          <w:sz w:val="24"/>
        </w:rPr>
        <w:t> </w:t>
      </w:r>
      <w:r>
        <w:rPr>
          <w:b/>
          <w:sz w:val="24"/>
        </w:rPr>
        <w:t>Small</w:t>
      </w:r>
      <w:r>
        <w:rPr>
          <w:b/>
          <w:spacing w:val="40"/>
          <w:sz w:val="24"/>
        </w:rPr>
        <w:t> </w:t>
      </w:r>
      <w:r>
        <w:rPr>
          <w:b/>
          <w:sz w:val="24"/>
        </w:rPr>
        <w:t>and</w:t>
      </w:r>
      <w:r>
        <w:rPr>
          <w:b/>
          <w:spacing w:val="40"/>
          <w:sz w:val="24"/>
        </w:rPr>
        <w:t> </w:t>
      </w:r>
      <w:r>
        <w:rPr>
          <w:b/>
          <w:sz w:val="24"/>
        </w:rPr>
        <w:t>Medium</w:t>
      </w:r>
      <w:r>
        <w:rPr>
          <w:b/>
          <w:spacing w:val="40"/>
          <w:sz w:val="24"/>
        </w:rPr>
        <w:t> </w:t>
      </w:r>
      <w:r>
        <w:rPr>
          <w:b/>
          <w:sz w:val="24"/>
        </w:rPr>
        <w:t>Construction Firms.</w:t>
      </w:r>
    </w:p>
    <w:p>
      <w:pPr>
        <w:pStyle w:val="BodyText"/>
        <w:spacing w:line="480" w:lineRule="auto"/>
        <w:ind w:left="400" w:right="1315"/>
      </w:pPr>
      <w:r>
        <w:rPr/>
        <w:t>Another objective of the study</w:t>
      </w:r>
      <w:r>
        <w:rPr>
          <w:spacing w:val="-2"/>
        </w:rPr>
        <w:t> </w:t>
      </w:r>
      <w:r>
        <w:rPr/>
        <w:t>was to examine the level of implementation of TQM in small and medium</w:t>
      </w:r>
      <w:r>
        <w:rPr>
          <w:spacing w:val="25"/>
        </w:rPr>
        <w:t> </w:t>
      </w:r>
      <w:r>
        <w:rPr/>
        <w:t>construction</w:t>
      </w:r>
      <w:r>
        <w:rPr>
          <w:spacing w:val="26"/>
        </w:rPr>
        <w:t> </w:t>
      </w:r>
      <w:r>
        <w:rPr/>
        <w:t>firms</w:t>
      </w:r>
      <w:r>
        <w:rPr>
          <w:spacing w:val="27"/>
        </w:rPr>
        <w:t> </w:t>
      </w:r>
      <w:r>
        <w:rPr/>
        <w:t>in</w:t>
      </w:r>
      <w:r>
        <w:rPr>
          <w:spacing w:val="24"/>
        </w:rPr>
        <w:t> </w:t>
      </w:r>
      <w:r>
        <w:rPr/>
        <w:t>South-</w:t>
      </w:r>
      <w:r>
        <w:rPr>
          <w:spacing w:val="26"/>
        </w:rPr>
        <w:t> </w:t>
      </w:r>
      <w:r>
        <w:rPr/>
        <w:t>East</w:t>
      </w:r>
      <w:r>
        <w:rPr>
          <w:spacing w:val="27"/>
        </w:rPr>
        <w:t> </w:t>
      </w:r>
      <w:r>
        <w:rPr/>
        <w:t>Nigeria.</w:t>
      </w:r>
      <w:r>
        <w:rPr>
          <w:spacing w:val="26"/>
        </w:rPr>
        <w:t> </w:t>
      </w:r>
      <w:r>
        <w:rPr/>
        <w:t>To</w:t>
      </w:r>
      <w:r>
        <w:rPr>
          <w:spacing w:val="26"/>
        </w:rPr>
        <w:t> </w:t>
      </w:r>
      <w:r>
        <w:rPr/>
        <w:t>realize</w:t>
      </w:r>
      <w:r>
        <w:rPr>
          <w:spacing w:val="25"/>
        </w:rPr>
        <w:t> </w:t>
      </w:r>
      <w:r>
        <w:rPr/>
        <w:t>this</w:t>
      </w:r>
      <w:r>
        <w:rPr>
          <w:spacing w:val="27"/>
        </w:rPr>
        <w:t> </w:t>
      </w:r>
      <w:r>
        <w:rPr/>
        <w:t>objective,</w:t>
      </w:r>
      <w:r>
        <w:rPr>
          <w:spacing w:val="26"/>
        </w:rPr>
        <w:t> </w:t>
      </w:r>
      <w:r>
        <w:rPr/>
        <w:t>respondents</w:t>
      </w:r>
      <w:r>
        <w:rPr>
          <w:spacing w:val="28"/>
        </w:rPr>
        <w:t> </w:t>
      </w:r>
      <w:r>
        <w:rPr>
          <w:spacing w:val="-4"/>
        </w:rPr>
        <w:t>were</w:t>
      </w:r>
    </w:p>
    <w:p>
      <w:pPr>
        <w:spacing w:after="0" w:line="480" w:lineRule="auto"/>
        <w:sectPr>
          <w:pgSz w:w="12240" w:h="15840"/>
          <w:pgMar w:header="0" w:footer="1017" w:top="1360" w:bottom="1200" w:left="1040" w:right="120"/>
        </w:sectPr>
      </w:pPr>
    </w:p>
    <w:p>
      <w:pPr>
        <w:pStyle w:val="BodyText"/>
        <w:spacing w:line="480" w:lineRule="auto" w:before="72"/>
        <w:ind w:left="400" w:right="1317"/>
        <w:jc w:val="both"/>
      </w:pPr>
      <w:r>
        <w:rPr/>
        <w:t>presented with a series of statements relating to factors of TQM and asked to indicate the extent to which they implement it on a five point Likert-type scale (1=very low, 2= Low, 3=Neutral, 4=High, and 5= Very High).</w:t>
      </w:r>
      <w:r>
        <w:rPr>
          <w:spacing w:val="40"/>
        </w:rPr>
        <w:t> </w:t>
      </w:r>
      <w:r>
        <w:rPr/>
        <w:t>Participants’ responses were analyzed using descriptive statistics specifically mean and standard deviation with aid of the statistical package for social sciences. Results are presented in Table 5.6:</w:t>
      </w:r>
    </w:p>
    <w:p>
      <w:pPr>
        <w:pStyle w:val="BodyText"/>
        <w:spacing w:before="141"/>
      </w:pPr>
    </w:p>
    <w:p>
      <w:pPr>
        <w:spacing w:before="0"/>
        <w:ind w:left="400" w:right="0" w:firstLine="0"/>
        <w:jc w:val="both"/>
        <w:rPr>
          <w:b/>
          <w:sz w:val="24"/>
        </w:rPr>
      </w:pPr>
      <w:r>
        <w:rPr>
          <w:b/>
          <w:sz w:val="24"/>
        </w:rPr>
        <w:t>Table</w:t>
      </w:r>
      <w:r>
        <w:rPr>
          <w:b/>
          <w:spacing w:val="-3"/>
          <w:sz w:val="24"/>
        </w:rPr>
        <w:t> </w:t>
      </w:r>
      <w:r>
        <w:rPr>
          <w:b/>
          <w:sz w:val="24"/>
        </w:rPr>
        <w:t>5.6</w:t>
      </w:r>
      <w:r>
        <w:rPr>
          <w:b/>
          <w:spacing w:val="-2"/>
          <w:sz w:val="24"/>
        </w:rPr>
        <w:t> </w:t>
      </w:r>
      <w:r>
        <w:rPr>
          <w:b/>
          <w:sz w:val="24"/>
        </w:rPr>
        <w:t>Questions</w:t>
      </w:r>
      <w:r>
        <w:rPr>
          <w:b/>
          <w:spacing w:val="-1"/>
          <w:sz w:val="24"/>
        </w:rPr>
        <w:t> </w:t>
      </w:r>
      <w:r>
        <w:rPr>
          <w:b/>
          <w:sz w:val="24"/>
        </w:rPr>
        <w:t>related</w:t>
      </w:r>
      <w:r>
        <w:rPr>
          <w:b/>
          <w:spacing w:val="-2"/>
          <w:sz w:val="24"/>
        </w:rPr>
        <w:t> </w:t>
      </w:r>
      <w:r>
        <w:rPr>
          <w:b/>
          <w:sz w:val="24"/>
        </w:rPr>
        <w:t>to</w:t>
      </w:r>
      <w:r>
        <w:rPr>
          <w:b/>
          <w:spacing w:val="-1"/>
          <w:sz w:val="24"/>
        </w:rPr>
        <w:t> </w:t>
      </w:r>
      <w:r>
        <w:rPr>
          <w:b/>
          <w:sz w:val="24"/>
        </w:rPr>
        <w:t>level</w:t>
      </w:r>
      <w:r>
        <w:rPr>
          <w:b/>
          <w:spacing w:val="-2"/>
          <w:sz w:val="24"/>
        </w:rPr>
        <w:t> </w:t>
      </w:r>
      <w:r>
        <w:rPr>
          <w:b/>
          <w:sz w:val="24"/>
        </w:rPr>
        <w:t>of </w:t>
      </w:r>
      <w:r>
        <w:rPr>
          <w:b/>
          <w:spacing w:val="-2"/>
          <w:sz w:val="24"/>
        </w:rPr>
        <w:t>implementation</w:t>
      </w:r>
    </w:p>
    <w:p>
      <w:pPr>
        <w:pStyle w:val="BodyText"/>
        <w:spacing w:before="50"/>
        <w:rPr>
          <w:b/>
          <w:sz w:val="20"/>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1"/>
        <w:gridCol w:w="6993"/>
        <w:gridCol w:w="1080"/>
      </w:tblGrid>
      <w:tr>
        <w:trPr>
          <w:trHeight w:val="412" w:hRule="atLeast"/>
        </w:trPr>
        <w:tc>
          <w:tcPr>
            <w:tcW w:w="591" w:type="dxa"/>
            <w:shd w:val="clear" w:color="auto" w:fill="EEECE1"/>
          </w:tcPr>
          <w:p>
            <w:pPr>
              <w:pStyle w:val="TableParagraph"/>
              <w:spacing w:line="275" w:lineRule="exact"/>
              <w:ind w:left="108"/>
              <w:rPr>
                <w:b/>
                <w:sz w:val="24"/>
              </w:rPr>
            </w:pPr>
            <w:r>
              <w:rPr>
                <w:b/>
                <w:spacing w:val="-5"/>
                <w:sz w:val="24"/>
              </w:rPr>
              <w:t>S/N</w:t>
            </w:r>
          </w:p>
        </w:tc>
        <w:tc>
          <w:tcPr>
            <w:tcW w:w="6993" w:type="dxa"/>
            <w:shd w:val="clear" w:color="auto" w:fill="EEECE1"/>
          </w:tcPr>
          <w:p>
            <w:pPr>
              <w:pStyle w:val="TableParagraph"/>
              <w:spacing w:line="275" w:lineRule="exact"/>
              <w:ind w:left="107"/>
              <w:rPr>
                <w:b/>
                <w:sz w:val="24"/>
              </w:rPr>
            </w:pPr>
            <w:r>
              <w:rPr>
                <w:b/>
                <w:sz w:val="24"/>
                <w:u w:val="single"/>
              </w:rPr>
              <w:t>Leadership</w:t>
            </w:r>
            <w:r>
              <w:rPr>
                <w:b/>
                <w:spacing w:val="-3"/>
                <w:sz w:val="24"/>
                <w:u w:val="single"/>
              </w:rPr>
              <w:t> </w:t>
            </w:r>
            <w:r>
              <w:rPr>
                <w:b/>
                <w:sz w:val="24"/>
                <w:u w:val="single"/>
              </w:rPr>
              <w:t>and</w:t>
            </w:r>
            <w:r>
              <w:rPr>
                <w:b/>
                <w:spacing w:val="-3"/>
                <w:sz w:val="24"/>
                <w:u w:val="single"/>
              </w:rPr>
              <w:t> </w:t>
            </w:r>
            <w:r>
              <w:rPr>
                <w:b/>
                <w:sz w:val="24"/>
                <w:u w:val="single"/>
              </w:rPr>
              <w:t>top</w:t>
            </w:r>
            <w:r>
              <w:rPr>
                <w:b/>
                <w:spacing w:val="-3"/>
                <w:sz w:val="24"/>
                <w:u w:val="single"/>
              </w:rPr>
              <w:t> </w:t>
            </w:r>
            <w:r>
              <w:rPr>
                <w:b/>
                <w:sz w:val="24"/>
                <w:u w:val="single"/>
              </w:rPr>
              <w:t>management</w:t>
            </w:r>
            <w:r>
              <w:rPr>
                <w:b/>
                <w:spacing w:val="-4"/>
                <w:sz w:val="24"/>
                <w:u w:val="single"/>
              </w:rPr>
              <w:t> </w:t>
            </w:r>
            <w:r>
              <w:rPr>
                <w:b/>
                <w:sz w:val="24"/>
                <w:u w:val="single"/>
              </w:rPr>
              <w:t>commitment</w:t>
            </w:r>
            <w:r>
              <w:rPr>
                <w:b/>
                <w:spacing w:val="-2"/>
                <w:sz w:val="24"/>
                <w:u w:val="single"/>
              </w:rPr>
              <w:t> </w:t>
            </w:r>
            <w:r>
              <w:rPr>
                <w:b/>
                <w:sz w:val="24"/>
                <w:u w:val="single"/>
              </w:rPr>
              <w:t>and</w:t>
            </w:r>
            <w:r>
              <w:rPr>
                <w:b/>
                <w:spacing w:val="-2"/>
                <w:sz w:val="24"/>
                <w:u w:val="single"/>
              </w:rPr>
              <w:t> leadership</w:t>
            </w:r>
          </w:p>
        </w:tc>
        <w:tc>
          <w:tcPr>
            <w:tcW w:w="1080" w:type="dxa"/>
            <w:shd w:val="clear" w:color="auto" w:fill="EEECE1"/>
          </w:tcPr>
          <w:p>
            <w:pPr>
              <w:pStyle w:val="TableParagraph"/>
              <w:spacing w:line="275" w:lineRule="exact"/>
              <w:ind w:left="105"/>
              <w:rPr>
                <w:b/>
                <w:sz w:val="24"/>
              </w:rPr>
            </w:pPr>
            <w:r>
              <w:rPr>
                <w:b/>
                <w:spacing w:val="-4"/>
                <w:sz w:val="24"/>
              </w:rPr>
              <w:t>Mean</w:t>
            </w:r>
          </w:p>
        </w:tc>
      </w:tr>
      <w:tr>
        <w:trPr>
          <w:trHeight w:val="828" w:hRule="atLeast"/>
        </w:trPr>
        <w:tc>
          <w:tcPr>
            <w:tcW w:w="591" w:type="dxa"/>
          </w:tcPr>
          <w:p>
            <w:pPr>
              <w:pStyle w:val="TableParagraph"/>
              <w:spacing w:line="270" w:lineRule="exact"/>
              <w:ind w:left="108"/>
              <w:rPr>
                <w:sz w:val="24"/>
              </w:rPr>
            </w:pPr>
            <w:r>
              <w:rPr>
                <w:spacing w:val="-10"/>
                <w:sz w:val="24"/>
              </w:rPr>
              <w:t>1</w:t>
            </w:r>
          </w:p>
        </w:tc>
        <w:tc>
          <w:tcPr>
            <w:tcW w:w="6993" w:type="dxa"/>
          </w:tcPr>
          <w:p>
            <w:pPr>
              <w:pStyle w:val="TableParagraph"/>
              <w:spacing w:line="270" w:lineRule="exact"/>
              <w:ind w:left="107"/>
              <w:rPr>
                <w:sz w:val="24"/>
              </w:rPr>
            </w:pPr>
            <w:r>
              <w:rPr>
                <w:sz w:val="24"/>
              </w:rPr>
              <w:t>Top</w:t>
            </w:r>
            <w:r>
              <w:rPr>
                <w:spacing w:val="-4"/>
                <w:sz w:val="24"/>
              </w:rPr>
              <w:t> </w:t>
            </w:r>
            <w:r>
              <w:rPr>
                <w:sz w:val="24"/>
              </w:rPr>
              <w:t>management</w:t>
            </w:r>
            <w:r>
              <w:rPr>
                <w:spacing w:val="-1"/>
                <w:sz w:val="24"/>
              </w:rPr>
              <w:t> </w:t>
            </w:r>
            <w:r>
              <w:rPr>
                <w:sz w:val="24"/>
              </w:rPr>
              <w:t>actively</w:t>
            </w:r>
            <w:r>
              <w:rPr>
                <w:spacing w:val="-4"/>
                <w:sz w:val="24"/>
              </w:rPr>
              <w:t> </w:t>
            </w:r>
            <w:r>
              <w:rPr>
                <w:sz w:val="24"/>
              </w:rPr>
              <w:t>participates</w:t>
            </w:r>
            <w:r>
              <w:rPr>
                <w:spacing w:val="-1"/>
                <w:sz w:val="24"/>
              </w:rPr>
              <w:t> </w:t>
            </w:r>
            <w:r>
              <w:rPr>
                <w:sz w:val="24"/>
              </w:rPr>
              <w:t>in</w:t>
            </w:r>
            <w:r>
              <w:rPr>
                <w:spacing w:val="-1"/>
                <w:sz w:val="24"/>
              </w:rPr>
              <w:t> </w:t>
            </w:r>
            <w:r>
              <w:rPr>
                <w:sz w:val="24"/>
              </w:rPr>
              <w:t>quality</w:t>
            </w:r>
            <w:r>
              <w:rPr>
                <w:spacing w:val="-4"/>
                <w:sz w:val="24"/>
              </w:rPr>
              <w:t> </w:t>
            </w:r>
            <w:r>
              <w:rPr>
                <w:spacing w:val="-2"/>
                <w:sz w:val="24"/>
              </w:rPr>
              <w:t>management</w:t>
            </w:r>
          </w:p>
          <w:p>
            <w:pPr>
              <w:pStyle w:val="TableParagraph"/>
              <w:spacing w:before="139"/>
              <w:ind w:left="107"/>
              <w:rPr>
                <w:sz w:val="24"/>
              </w:rPr>
            </w:pPr>
            <w:r>
              <w:rPr>
                <w:spacing w:val="-2"/>
                <w:sz w:val="24"/>
              </w:rPr>
              <w:t>activities</w:t>
            </w:r>
          </w:p>
        </w:tc>
        <w:tc>
          <w:tcPr>
            <w:tcW w:w="1080" w:type="dxa"/>
          </w:tcPr>
          <w:p>
            <w:pPr>
              <w:pStyle w:val="TableParagraph"/>
              <w:spacing w:line="270" w:lineRule="exact"/>
              <w:ind w:left="105"/>
              <w:rPr>
                <w:sz w:val="24"/>
              </w:rPr>
            </w:pPr>
            <w:r>
              <w:rPr>
                <w:spacing w:val="-2"/>
                <w:sz w:val="24"/>
              </w:rPr>
              <w:t>2.6898</w:t>
            </w:r>
          </w:p>
        </w:tc>
      </w:tr>
      <w:tr>
        <w:trPr>
          <w:trHeight w:val="412" w:hRule="atLeast"/>
        </w:trPr>
        <w:tc>
          <w:tcPr>
            <w:tcW w:w="591" w:type="dxa"/>
            <w:shd w:val="clear" w:color="auto" w:fill="EEECE1"/>
          </w:tcPr>
          <w:p>
            <w:pPr>
              <w:pStyle w:val="TableParagraph"/>
              <w:spacing w:line="270" w:lineRule="exact"/>
              <w:ind w:left="108"/>
              <w:rPr>
                <w:sz w:val="24"/>
              </w:rPr>
            </w:pPr>
            <w:r>
              <w:rPr>
                <w:spacing w:val="-10"/>
                <w:sz w:val="24"/>
              </w:rPr>
              <w:t>2</w:t>
            </w:r>
          </w:p>
        </w:tc>
        <w:tc>
          <w:tcPr>
            <w:tcW w:w="6993" w:type="dxa"/>
            <w:shd w:val="clear" w:color="auto" w:fill="EEECE1"/>
          </w:tcPr>
          <w:p>
            <w:pPr>
              <w:pStyle w:val="TableParagraph"/>
              <w:spacing w:line="270" w:lineRule="exact"/>
              <w:ind w:left="107"/>
              <w:rPr>
                <w:sz w:val="24"/>
              </w:rPr>
            </w:pPr>
            <w:r>
              <w:rPr>
                <w:sz w:val="24"/>
              </w:rPr>
              <w:t>Top</w:t>
            </w:r>
            <w:r>
              <w:rPr>
                <w:spacing w:val="-4"/>
                <w:sz w:val="24"/>
              </w:rPr>
              <w:t> </w:t>
            </w:r>
            <w:r>
              <w:rPr>
                <w:sz w:val="24"/>
              </w:rPr>
              <w:t>management</w:t>
            </w:r>
            <w:r>
              <w:rPr>
                <w:spacing w:val="-2"/>
                <w:sz w:val="24"/>
              </w:rPr>
              <w:t> </w:t>
            </w:r>
            <w:r>
              <w:rPr>
                <w:sz w:val="24"/>
              </w:rPr>
              <w:t>learn</w:t>
            </w:r>
            <w:r>
              <w:rPr>
                <w:spacing w:val="-2"/>
                <w:sz w:val="24"/>
              </w:rPr>
              <w:t> </w:t>
            </w:r>
            <w:r>
              <w:rPr>
                <w:sz w:val="24"/>
              </w:rPr>
              <w:t>quality-related</w:t>
            </w:r>
            <w:r>
              <w:rPr>
                <w:spacing w:val="-2"/>
                <w:sz w:val="24"/>
              </w:rPr>
              <w:t> </w:t>
            </w:r>
            <w:r>
              <w:rPr>
                <w:sz w:val="24"/>
              </w:rPr>
              <w:t>concepts</w:t>
            </w:r>
            <w:r>
              <w:rPr>
                <w:spacing w:val="-2"/>
                <w:sz w:val="24"/>
              </w:rPr>
              <w:t> </w:t>
            </w:r>
            <w:r>
              <w:rPr>
                <w:sz w:val="24"/>
              </w:rPr>
              <w:t>and</w:t>
            </w:r>
            <w:r>
              <w:rPr>
                <w:spacing w:val="-2"/>
                <w:sz w:val="24"/>
              </w:rPr>
              <w:t> skills</w:t>
            </w:r>
          </w:p>
        </w:tc>
        <w:tc>
          <w:tcPr>
            <w:tcW w:w="1080" w:type="dxa"/>
            <w:shd w:val="clear" w:color="auto" w:fill="EEECE1"/>
          </w:tcPr>
          <w:p>
            <w:pPr>
              <w:pStyle w:val="TableParagraph"/>
              <w:spacing w:line="270" w:lineRule="exact"/>
              <w:ind w:left="105"/>
              <w:rPr>
                <w:sz w:val="24"/>
              </w:rPr>
            </w:pPr>
            <w:r>
              <w:rPr>
                <w:spacing w:val="-2"/>
                <w:sz w:val="24"/>
              </w:rPr>
              <w:t>2.6799</w:t>
            </w:r>
          </w:p>
        </w:tc>
      </w:tr>
      <w:tr>
        <w:trPr>
          <w:trHeight w:val="827" w:hRule="atLeast"/>
        </w:trPr>
        <w:tc>
          <w:tcPr>
            <w:tcW w:w="591" w:type="dxa"/>
          </w:tcPr>
          <w:p>
            <w:pPr>
              <w:pStyle w:val="TableParagraph"/>
              <w:spacing w:line="270" w:lineRule="exact"/>
              <w:ind w:left="108"/>
              <w:rPr>
                <w:sz w:val="24"/>
              </w:rPr>
            </w:pPr>
            <w:r>
              <w:rPr>
                <w:spacing w:val="-10"/>
                <w:sz w:val="24"/>
              </w:rPr>
              <w:t>3</w:t>
            </w:r>
          </w:p>
        </w:tc>
        <w:tc>
          <w:tcPr>
            <w:tcW w:w="6993" w:type="dxa"/>
          </w:tcPr>
          <w:p>
            <w:pPr>
              <w:pStyle w:val="TableParagraph"/>
              <w:spacing w:line="270" w:lineRule="exact"/>
              <w:ind w:left="107"/>
              <w:rPr>
                <w:sz w:val="24"/>
              </w:rPr>
            </w:pPr>
            <w:r>
              <w:rPr>
                <w:sz w:val="24"/>
              </w:rPr>
              <w:t>Top</w:t>
            </w:r>
            <w:r>
              <w:rPr>
                <w:spacing w:val="-2"/>
                <w:sz w:val="24"/>
              </w:rPr>
              <w:t> </w:t>
            </w:r>
            <w:r>
              <w:rPr>
                <w:sz w:val="24"/>
              </w:rPr>
              <w:t>management</w:t>
            </w:r>
            <w:r>
              <w:rPr>
                <w:spacing w:val="-2"/>
                <w:sz w:val="24"/>
              </w:rPr>
              <w:t> </w:t>
            </w:r>
            <w:r>
              <w:rPr>
                <w:sz w:val="24"/>
              </w:rPr>
              <w:t>discusses</w:t>
            </w:r>
            <w:r>
              <w:rPr>
                <w:spacing w:val="-1"/>
                <w:sz w:val="24"/>
              </w:rPr>
              <w:t> </w:t>
            </w:r>
            <w:r>
              <w:rPr>
                <w:sz w:val="24"/>
              </w:rPr>
              <w:t>many</w:t>
            </w:r>
            <w:r>
              <w:rPr>
                <w:spacing w:val="-5"/>
                <w:sz w:val="24"/>
              </w:rPr>
              <w:t> </w:t>
            </w:r>
            <w:r>
              <w:rPr>
                <w:sz w:val="24"/>
              </w:rPr>
              <w:t>quality-related</w:t>
            </w:r>
            <w:r>
              <w:rPr>
                <w:spacing w:val="-1"/>
                <w:sz w:val="24"/>
              </w:rPr>
              <w:t> </w:t>
            </w:r>
            <w:r>
              <w:rPr>
                <w:sz w:val="24"/>
              </w:rPr>
              <w:t>issues</w:t>
            </w:r>
            <w:r>
              <w:rPr>
                <w:spacing w:val="-2"/>
                <w:sz w:val="24"/>
              </w:rPr>
              <w:t> </w:t>
            </w:r>
            <w:r>
              <w:rPr>
                <w:sz w:val="24"/>
              </w:rPr>
              <w:t>in</w:t>
            </w:r>
            <w:r>
              <w:rPr>
                <w:spacing w:val="-1"/>
                <w:sz w:val="24"/>
              </w:rPr>
              <w:t> </w:t>
            </w:r>
            <w:r>
              <w:rPr>
                <w:spacing w:val="-5"/>
                <w:sz w:val="24"/>
              </w:rPr>
              <w:t>top</w:t>
            </w:r>
          </w:p>
          <w:p>
            <w:pPr>
              <w:pStyle w:val="TableParagraph"/>
              <w:spacing w:before="139"/>
              <w:ind w:left="107"/>
              <w:rPr>
                <w:sz w:val="24"/>
              </w:rPr>
            </w:pPr>
            <w:r>
              <w:rPr>
                <w:sz w:val="24"/>
              </w:rPr>
              <w:t>management</w:t>
            </w:r>
            <w:r>
              <w:rPr>
                <w:spacing w:val="-5"/>
                <w:sz w:val="24"/>
              </w:rPr>
              <w:t> </w:t>
            </w:r>
            <w:r>
              <w:rPr>
                <w:spacing w:val="-2"/>
                <w:sz w:val="24"/>
              </w:rPr>
              <w:t>meetings</w:t>
            </w:r>
          </w:p>
        </w:tc>
        <w:tc>
          <w:tcPr>
            <w:tcW w:w="1080" w:type="dxa"/>
          </w:tcPr>
          <w:p>
            <w:pPr>
              <w:pStyle w:val="TableParagraph"/>
              <w:spacing w:line="270" w:lineRule="exact"/>
              <w:ind w:left="105"/>
              <w:rPr>
                <w:sz w:val="24"/>
              </w:rPr>
            </w:pPr>
            <w:r>
              <w:rPr>
                <w:spacing w:val="-2"/>
                <w:sz w:val="24"/>
              </w:rPr>
              <w:t>2.7822</w:t>
            </w:r>
          </w:p>
        </w:tc>
      </w:tr>
      <w:tr>
        <w:trPr>
          <w:trHeight w:val="415" w:hRule="atLeast"/>
        </w:trPr>
        <w:tc>
          <w:tcPr>
            <w:tcW w:w="591" w:type="dxa"/>
            <w:shd w:val="clear" w:color="auto" w:fill="EEECE1"/>
          </w:tcPr>
          <w:p>
            <w:pPr>
              <w:pStyle w:val="TableParagraph"/>
              <w:spacing w:line="270" w:lineRule="exact"/>
              <w:ind w:left="108"/>
              <w:rPr>
                <w:sz w:val="24"/>
              </w:rPr>
            </w:pPr>
            <w:r>
              <w:rPr>
                <w:spacing w:val="-10"/>
                <w:sz w:val="24"/>
              </w:rPr>
              <w:t>4</w:t>
            </w:r>
          </w:p>
        </w:tc>
        <w:tc>
          <w:tcPr>
            <w:tcW w:w="6993" w:type="dxa"/>
            <w:shd w:val="clear" w:color="auto" w:fill="EEECE1"/>
          </w:tcPr>
          <w:p>
            <w:pPr>
              <w:pStyle w:val="TableParagraph"/>
              <w:spacing w:line="270" w:lineRule="exact"/>
              <w:ind w:left="107"/>
              <w:rPr>
                <w:sz w:val="24"/>
              </w:rPr>
            </w:pPr>
            <w:r>
              <w:rPr>
                <w:sz w:val="24"/>
              </w:rPr>
              <w:t>Top</w:t>
            </w:r>
            <w:r>
              <w:rPr>
                <w:spacing w:val="-4"/>
                <w:sz w:val="24"/>
              </w:rPr>
              <w:t> </w:t>
            </w:r>
            <w:r>
              <w:rPr>
                <w:sz w:val="24"/>
              </w:rPr>
              <w:t>management</w:t>
            </w:r>
            <w:r>
              <w:rPr>
                <w:spacing w:val="-1"/>
                <w:sz w:val="24"/>
              </w:rPr>
              <w:t> </w:t>
            </w:r>
            <w:r>
              <w:rPr>
                <w:sz w:val="24"/>
              </w:rPr>
              <w:t>focuses on</w:t>
            </w:r>
            <w:r>
              <w:rPr>
                <w:spacing w:val="-2"/>
                <w:sz w:val="24"/>
              </w:rPr>
              <w:t> </w:t>
            </w:r>
            <w:r>
              <w:rPr>
                <w:sz w:val="24"/>
              </w:rPr>
              <w:t>product</w:t>
            </w:r>
            <w:r>
              <w:rPr>
                <w:spacing w:val="-1"/>
                <w:sz w:val="24"/>
              </w:rPr>
              <w:t> </w:t>
            </w:r>
            <w:r>
              <w:rPr>
                <w:sz w:val="24"/>
              </w:rPr>
              <w:t>quality</w:t>
            </w:r>
            <w:r>
              <w:rPr>
                <w:spacing w:val="-4"/>
                <w:sz w:val="24"/>
              </w:rPr>
              <w:t> </w:t>
            </w:r>
            <w:r>
              <w:rPr>
                <w:sz w:val="24"/>
              </w:rPr>
              <w:t>rather</w:t>
            </w:r>
            <w:r>
              <w:rPr>
                <w:spacing w:val="-1"/>
                <w:sz w:val="24"/>
              </w:rPr>
              <w:t> </w:t>
            </w:r>
            <w:r>
              <w:rPr>
                <w:sz w:val="24"/>
              </w:rPr>
              <w:t>than</w:t>
            </w:r>
            <w:r>
              <w:rPr>
                <w:spacing w:val="1"/>
                <w:sz w:val="24"/>
              </w:rPr>
              <w:t> </w:t>
            </w:r>
            <w:r>
              <w:rPr>
                <w:spacing w:val="-2"/>
                <w:sz w:val="24"/>
              </w:rPr>
              <w:t>yields</w:t>
            </w:r>
          </w:p>
        </w:tc>
        <w:tc>
          <w:tcPr>
            <w:tcW w:w="1080" w:type="dxa"/>
            <w:shd w:val="clear" w:color="auto" w:fill="EEECE1"/>
          </w:tcPr>
          <w:p>
            <w:pPr>
              <w:pStyle w:val="TableParagraph"/>
              <w:spacing w:line="270" w:lineRule="exact"/>
              <w:ind w:left="105"/>
              <w:rPr>
                <w:sz w:val="24"/>
              </w:rPr>
            </w:pPr>
            <w:r>
              <w:rPr>
                <w:spacing w:val="-2"/>
                <w:sz w:val="24"/>
              </w:rPr>
              <w:t>2.6370</w:t>
            </w:r>
          </w:p>
        </w:tc>
      </w:tr>
      <w:tr>
        <w:trPr>
          <w:trHeight w:val="412" w:hRule="atLeast"/>
        </w:trPr>
        <w:tc>
          <w:tcPr>
            <w:tcW w:w="591" w:type="dxa"/>
          </w:tcPr>
          <w:p>
            <w:pPr>
              <w:pStyle w:val="TableParagraph"/>
              <w:rPr>
                <w:sz w:val="24"/>
              </w:rPr>
            </w:pPr>
          </w:p>
        </w:tc>
        <w:tc>
          <w:tcPr>
            <w:tcW w:w="6993" w:type="dxa"/>
          </w:tcPr>
          <w:p>
            <w:pPr>
              <w:pStyle w:val="TableParagraph"/>
              <w:spacing w:line="275" w:lineRule="exact"/>
              <w:ind w:left="107"/>
              <w:rPr>
                <w:b/>
                <w:sz w:val="24"/>
              </w:rPr>
            </w:pPr>
            <w:r>
              <w:rPr>
                <w:b/>
                <w:sz w:val="24"/>
                <w:u w:val="single"/>
              </w:rPr>
              <w:t>Customer</w:t>
            </w:r>
            <w:r>
              <w:rPr>
                <w:b/>
                <w:spacing w:val="-5"/>
                <w:sz w:val="24"/>
                <w:u w:val="single"/>
              </w:rPr>
              <w:t> </w:t>
            </w:r>
            <w:r>
              <w:rPr>
                <w:b/>
                <w:spacing w:val="-2"/>
                <w:sz w:val="24"/>
                <w:u w:val="single"/>
              </w:rPr>
              <w:t>Focus</w:t>
            </w:r>
          </w:p>
        </w:tc>
        <w:tc>
          <w:tcPr>
            <w:tcW w:w="1080" w:type="dxa"/>
          </w:tcPr>
          <w:p>
            <w:pPr>
              <w:pStyle w:val="TableParagraph"/>
              <w:rPr>
                <w:sz w:val="24"/>
              </w:rPr>
            </w:pPr>
          </w:p>
        </w:tc>
      </w:tr>
      <w:tr>
        <w:trPr>
          <w:trHeight w:val="827" w:hRule="atLeast"/>
        </w:trPr>
        <w:tc>
          <w:tcPr>
            <w:tcW w:w="591" w:type="dxa"/>
            <w:shd w:val="clear" w:color="auto" w:fill="EEECE1"/>
          </w:tcPr>
          <w:p>
            <w:pPr>
              <w:pStyle w:val="TableParagraph"/>
              <w:spacing w:line="270" w:lineRule="exact"/>
              <w:ind w:left="108"/>
              <w:rPr>
                <w:sz w:val="24"/>
              </w:rPr>
            </w:pPr>
            <w:r>
              <w:rPr>
                <w:spacing w:val="-10"/>
                <w:sz w:val="24"/>
              </w:rPr>
              <w:t>5</w:t>
            </w:r>
          </w:p>
        </w:tc>
        <w:tc>
          <w:tcPr>
            <w:tcW w:w="6993" w:type="dxa"/>
            <w:shd w:val="clear" w:color="auto" w:fill="EEECE1"/>
          </w:tcPr>
          <w:p>
            <w:pPr>
              <w:pStyle w:val="TableParagraph"/>
              <w:spacing w:line="270" w:lineRule="exact"/>
              <w:ind w:left="107"/>
              <w:rPr>
                <w:sz w:val="24"/>
              </w:rPr>
            </w:pPr>
            <w:r>
              <w:rPr>
                <w:sz w:val="24"/>
              </w:rPr>
              <w:t>We</w:t>
            </w:r>
            <w:r>
              <w:rPr>
                <w:spacing w:val="-2"/>
                <w:sz w:val="24"/>
              </w:rPr>
              <w:t> </w:t>
            </w:r>
            <w:r>
              <w:rPr>
                <w:sz w:val="24"/>
              </w:rPr>
              <w:t>actively</w:t>
            </w:r>
            <w:r>
              <w:rPr>
                <w:spacing w:val="-3"/>
                <w:sz w:val="24"/>
              </w:rPr>
              <w:t> </w:t>
            </w:r>
            <w:r>
              <w:rPr>
                <w:sz w:val="24"/>
              </w:rPr>
              <w:t>and</w:t>
            </w:r>
            <w:r>
              <w:rPr>
                <w:spacing w:val="-1"/>
                <w:sz w:val="24"/>
              </w:rPr>
              <w:t> </w:t>
            </w:r>
            <w:r>
              <w:rPr>
                <w:sz w:val="24"/>
              </w:rPr>
              <w:t>regularly</w:t>
            </w:r>
            <w:r>
              <w:rPr>
                <w:spacing w:val="-3"/>
                <w:sz w:val="24"/>
              </w:rPr>
              <w:t> </w:t>
            </w:r>
            <w:r>
              <w:rPr>
                <w:sz w:val="24"/>
              </w:rPr>
              <w:t>seek</w:t>
            </w:r>
            <w:r>
              <w:rPr>
                <w:spacing w:val="-1"/>
                <w:sz w:val="24"/>
              </w:rPr>
              <w:t> </w:t>
            </w:r>
            <w:r>
              <w:rPr>
                <w:sz w:val="24"/>
              </w:rPr>
              <w:t>customers input</w:t>
            </w:r>
            <w:r>
              <w:rPr>
                <w:spacing w:val="-1"/>
                <w:sz w:val="24"/>
              </w:rPr>
              <w:t> </w:t>
            </w:r>
            <w:r>
              <w:rPr>
                <w:sz w:val="24"/>
              </w:rPr>
              <w:t>to</w:t>
            </w:r>
            <w:r>
              <w:rPr>
                <w:spacing w:val="61"/>
                <w:sz w:val="24"/>
              </w:rPr>
              <w:t> </w:t>
            </w:r>
            <w:r>
              <w:rPr>
                <w:sz w:val="24"/>
              </w:rPr>
              <w:t>identify</w:t>
            </w:r>
            <w:r>
              <w:rPr>
                <w:spacing w:val="-5"/>
                <w:sz w:val="24"/>
              </w:rPr>
              <w:t> </w:t>
            </w:r>
            <w:r>
              <w:rPr>
                <w:spacing w:val="-2"/>
                <w:sz w:val="24"/>
              </w:rPr>
              <w:t>their</w:t>
            </w:r>
          </w:p>
          <w:p>
            <w:pPr>
              <w:pStyle w:val="TableParagraph"/>
              <w:spacing w:before="139"/>
              <w:ind w:left="107"/>
              <w:rPr>
                <w:sz w:val="24"/>
              </w:rPr>
            </w:pPr>
            <w:r>
              <w:rPr>
                <w:sz w:val="24"/>
              </w:rPr>
              <w:t>needs</w:t>
            </w:r>
            <w:r>
              <w:rPr>
                <w:spacing w:val="-2"/>
                <w:sz w:val="24"/>
              </w:rPr>
              <w:t> </w:t>
            </w:r>
            <w:r>
              <w:rPr>
                <w:sz w:val="24"/>
              </w:rPr>
              <w:t>and</w:t>
            </w:r>
            <w:r>
              <w:rPr>
                <w:spacing w:val="-1"/>
                <w:sz w:val="24"/>
              </w:rPr>
              <w:t> </w:t>
            </w:r>
            <w:r>
              <w:rPr>
                <w:spacing w:val="-2"/>
                <w:sz w:val="24"/>
              </w:rPr>
              <w:t>expectations</w:t>
            </w:r>
          </w:p>
        </w:tc>
        <w:tc>
          <w:tcPr>
            <w:tcW w:w="1080" w:type="dxa"/>
            <w:shd w:val="clear" w:color="auto" w:fill="EEECE1"/>
          </w:tcPr>
          <w:p>
            <w:pPr>
              <w:pStyle w:val="TableParagraph"/>
              <w:spacing w:line="270" w:lineRule="exact"/>
              <w:ind w:left="105"/>
              <w:rPr>
                <w:sz w:val="24"/>
              </w:rPr>
            </w:pPr>
            <w:r>
              <w:rPr>
                <w:spacing w:val="-2"/>
                <w:sz w:val="24"/>
              </w:rPr>
              <w:t>2.9043</w:t>
            </w:r>
          </w:p>
        </w:tc>
      </w:tr>
      <w:tr>
        <w:trPr>
          <w:trHeight w:val="827" w:hRule="atLeast"/>
        </w:trPr>
        <w:tc>
          <w:tcPr>
            <w:tcW w:w="591" w:type="dxa"/>
          </w:tcPr>
          <w:p>
            <w:pPr>
              <w:pStyle w:val="TableParagraph"/>
              <w:spacing w:line="270" w:lineRule="exact"/>
              <w:ind w:left="108"/>
              <w:rPr>
                <w:sz w:val="24"/>
              </w:rPr>
            </w:pPr>
            <w:r>
              <w:rPr>
                <w:spacing w:val="-10"/>
                <w:sz w:val="24"/>
              </w:rPr>
              <w:t>6</w:t>
            </w:r>
          </w:p>
        </w:tc>
        <w:tc>
          <w:tcPr>
            <w:tcW w:w="6993" w:type="dxa"/>
          </w:tcPr>
          <w:p>
            <w:pPr>
              <w:pStyle w:val="TableParagraph"/>
              <w:spacing w:line="270" w:lineRule="exact"/>
              <w:ind w:left="107"/>
              <w:rPr>
                <w:sz w:val="24"/>
              </w:rPr>
            </w:pPr>
            <w:r>
              <w:rPr>
                <w:sz w:val="24"/>
              </w:rPr>
              <w:t>Customer</w:t>
            </w:r>
            <w:r>
              <w:rPr>
                <w:spacing w:val="-5"/>
                <w:sz w:val="24"/>
              </w:rPr>
              <w:t> </w:t>
            </w:r>
            <w:r>
              <w:rPr>
                <w:sz w:val="24"/>
              </w:rPr>
              <w:t>needs</w:t>
            </w:r>
            <w:r>
              <w:rPr>
                <w:spacing w:val="-1"/>
                <w:sz w:val="24"/>
              </w:rPr>
              <w:t> </w:t>
            </w:r>
            <w:r>
              <w:rPr>
                <w:sz w:val="24"/>
              </w:rPr>
              <w:t>and</w:t>
            </w:r>
            <w:r>
              <w:rPr>
                <w:spacing w:val="-1"/>
                <w:sz w:val="24"/>
              </w:rPr>
              <w:t> </w:t>
            </w:r>
            <w:r>
              <w:rPr>
                <w:sz w:val="24"/>
              </w:rPr>
              <w:t>expectations</w:t>
            </w:r>
            <w:r>
              <w:rPr>
                <w:spacing w:val="-2"/>
                <w:sz w:val="24"/>
              </w:rPr>
              <w:t> </w:t>
            </w:r>
            <w:r>
              <w:rPr>
                <w:sz w:val="24"/>
              </w:rPr>
              <w:t>are</w:t>
            </w:r>
            <w:r>
              <w:rPr>
                <w:spacing w:val="-2"/>
                <w:sz w:val="24"/>
              </w:rPr>
              <w:t> </w:t>
            </w:r>
            <w:r>
              <w:rPr>
                <w:sz w:val="24"/>
              </w:rPr>
              <w:t>effectively</w:t>
            </w:r>
            <w:r>
              <w:rPr>
                <w:spacing w:val="-4"/>
                <w:sz w:val="24"/>
              </w:rPr>
              <w:t> </w:t>
            </w:r>
            <w:r>
              <w:rPr>
                <w:sz w:val="24"/>
              </w:rPr>
              <w:t>disseminated</w:t>
            </w:r>
            <w:r>
              <w:rPr>
                <w:spacing w:val="-1"/>
                <w:sz w:val="24"/>
              </w:rPr>
              <w:t> </w:t>
            </w:r>
            <w:r>
              <w:rPr>
                <w:spacing w:val="-5"/>
                <w:sz w:val="24"/>
              </w:rPr>
              <w:t>and</w:t>
            </w:r>
          </w:p>
          <w:p>
            <w:pPr>
              <w:pStyle w:val="TableParagraph"/>
              <w:spacing w:before="139"/>
              <w:ind w:left="107"/>
              <w:rPr>
                <w:sz w:val="24"/>
              </w:rPr>
            </w:pPr>
            <w:r>
              <w:rPr>
                <w:sz w:val="24"/>
              </w:rPr>
              <w:t>understood</w:t>
            </w:r>
            <w:r>
              <w:rPr>
                <w:spacing w:val="-2"/>
                <w:sz w:val="24"/>
              </w:rPr>
              <w:t> </w:t>
            </w:r>
            <w:r>
              <w:rPr>
                <w:sz w:val="24"/>
              </w:rPr>
              <w:t>throughout</w:t>
            </w:r>
            <w:r>
              <w:rPr>
                <w:spacing w:val="-1"/>
                <w:sz w:val="24"/>
              </w:rPr>
              <w:t> </w:t>
            </w:r>
            <w:r>
              <w:rPr>
                <w:sz w:val="24"/>
              </w:rPr>
              <w:t>the</w:t>
            </w:r>
            <w:r>
              <w:rPr>
                <w:spacing w:val="-2"/>
                <w:sz w:val="24"/>
              </w:rPr>
              <w:t> workforce</w:t>
            </w:r>
          </w:p>
        </w:tc>
        <w:tc>
          <w:tcPr>
            <w:tcW w:w="1080" w:type="dxa"/>
          </w:tcPr>
          <w:p>
            <w:pPr>
              <w:pStyle w:val="TableParagraph"/>
              <w:spacing w:line="270" w:lineRule="exact"/>
              <w:ind w:left="105"/>
              <w:rPr>
                <w:sz w:val="24"/>
              </w:rPr>
            </w:pPr>
            <w:r>
              <w:rPr>
                <w:spacing w:val="-2"/>
                <w:sz w:val="24"/>
              </w:rPr>
              <w:t>2..6007</w:t>
            </w:r>
          </w:p>
        </w:tc>
      </w:tr>
      <w:tr>
        <w:trPr>
          <w:trHeight w:val="415" w:hRule="atLeast"/>
        </w:trPr>
        <w:tc>
          <w:tcPr>
            <w:tcW w:w="591" w:type="dxa"/>
            <w:shd w:val="clear" w:color="auto" w:fill="EEECE1"/>
          </w:tcPr>
          <w:p>
            <w:pPr>
              <w:pStyle w:val="TableParagraph"/>
              <w:spacing w:line="270" w:lineRule="exact"/>
              <w:ind w:left="108"/>
              <w:rPr>
                <w:sz w:val="24"/>
              </w:rPr>
            </w:pPr>
            <w:r>
              <w:rPr>
                <w:spacing w:val="-10"/>
                <w:sz w:val="24"/>
              </w:rPr>
              <w:t>7</w:t>
            </w:r>
          </w:p>
        </w:tc>
        <w:tc>
          <w:tcPr>
            <w:tcW w:w="6993" w:type="dxa"/>
            <w:shd w:val="clear" w:color="auto" w:fill="EEECE1"/>
          </w:tcPr>
          <w:p>
            <w:pPr>
              <w:pStyle w:val="TableParagraph"/>
              <w:spacing w:line="270" w:lineRule="exact"/>
              <w:ind w:left="107"/>
              <w:rPr>
                <w:sz w:val="24"/>
              </w:rPr>
            </w:pPr>
            <w:r>
              <w:rPr>
                <w:sz w:val="24"/>
              </w:rPr>
              <w:t>We</w:t>
            </w:r>
            <w:r>
              <w:rPr>
                <w:spacing w:val="-2"/>
                <w:sz w:val="24"/>
              </w:rPr>
              <w:t> </w:t>
            </w:r>
            <w:r>
              <w:rPr>
                <w:sz w:val="24"/>
              </w:rPr>
              <w:t>systematically</w:t>
            </w:r>
            <w:r>
              <w:rPr>
                <w:spacing w:val="-5"/>
                <w:sz w:val="24"/>
              </w:rPr>
              <w:t> </w:t>
            </w:r>
            <w:r>
              <w:rPr>
                <w:sz w:val="24"/>
              </w:rPr>
              <w:t>and</w:t>
            </w:r>
            <w:r>
              <w:rPr>
                <w:spacing w:val="1"/>
                <w:sz w:val="24"/>
              </w:rPr>
              <w:t> </w:t>
            </w:r>
            <w:r>
              <w:rPr>
                <w:sz w:val="24"/>
              </w:rPr>
              <w:t>regularly</w:t>
            </w:r>
            <w:r>
              <w:rPr>
                <w:spacing w:val="-5"/>
                <w:sz w:val="24"/>
              </w:rPr>
              <w:t> </w:t>
            </w:r>
            <w:r>
              <w:rPr>
                <w:sz w:val="24"/>
              </w:rPr>
              <w:t>measure customer</w:t>
            </w:r>
            <w:r>
              <w:rPr>
                <w:spacing w:val="-1"/>
                <w:sz w:val="24"/>
              </w:rPr>
              <w:t> </w:t>
            </w:r>
            <w:r>
              <w:rPr>
                <w:spacing w:val="-2"/>
                <w:sz w:val="24"/>
              </w:rPr>
              <w:t>satisfaction</w:t>
            </w:r>
          </w:p>
        </w:tc>
        <w:tc>
          <w:tcPr>
            <w:tcW w:w="1080" w:type="dxa"/>
            <w:shd w:val="clear" w:color="auto" w:fill="EEECE1"/>
          </w:tcPr>
          <w:p>
            <w:pPr>
              <w:pStyle w:val="TableParagraph"/>
              <w:spacing w:line="270" w:lineRule="exact"/>
              <w:ind w:left="105"/>
              <w:rPr>
                <w:sz w:val="24"/>
              </w:rPr>
            </w:pPr>
            <w:r>
              <w:rPr>
                <w:spacing w:val="-2"/>
                <w:sz w:val="24"/>
              </w:rPr>
              <w:t>2.9076</w:t>
            </w:r>
          </w:p>
        </w:tc>
      </w:tr>
      <w:tr>
        <w:trPr>
          <w:trHeight w:val="412" w:hRule="atLeast"/>
        </w:trPr>
        <w:tc>
          <w:tcPr>
            <w:tcW w:w="591" w:type="dxa"/>
          </w:tcPr>
          <w:p>
            <w:pPr>
              <w:pStyle w:val="TableParagraph"/>
              <w:spacing w:line="270" w:lineRule="exact"/>
              <w:ind w:left="108"/>
              <w:rPr>
                <w:sz w:val="24"/>
              </w:rPr>
            </w:pPr>
            <w:r>
              <w:rPr>
                <w:spacing w:val="-10"/>
                <w:sz w:val="24"/>
              </w:rPr>
              <w:t>8</w:t>
            </w:r>
          </w:p>
        </w:tc>
        <w:tc>
          <w:tcPr>
            <w:tcW w:w="6993" w:type="dxa"/>
          </w:tcPr>
          <w:p>
            <w:pPr>
              <w:pStyle w:val="TableParagraph"/>
              <w:spacing w:line="270" w:lineRule="exact"/>
              <w:ind w:left="107"/>
              <w:rPr>
                <w:sz w:val="24"/>
              </w:rPr>
            </w:pPr>
            <w:r>
              <w:rPr>
                <w:sz w:val="24"/>
              </w:rPr>
              <w:t>Quality-related</w:t>
            </w:r>
            <w:r>
              <w:rPr>
                <w:spacing w:val="-3"/>
                <w:sz w:val="24"/>
              </w:rPr>
              <w:t> </w:t>
            </w:r>
            <w:r>
              <w:rPr>
                <w:sz w:val="24"/>
              </w:rPr>
              <w:t>customer</w:t>
            </w:r>
            <w:r>
              <w:rPr>
                <w:spacing w:val="-1"/>
                <w:sz w:val="24"/>
              </w:rPr>
              <w:t> </w:t>
            </w:r>
            <w:r>
              <w:rPr>
                <w:sz w:val="24"/>
              </w:rPr>
              <w:t>complaints</w:t>
            </w:r>
            <w:r>
              <w:rPr>
                <w:spacing w:val="-2"/>
                <w:sz w:val="24"/>
              </w:rPr>
              <w:t> </w:t>
            </w:r>
            <w:r>
              <w:rPr>
                <w:sz w:val="24"/>
              </w:rPr>
              <w:t>are</w:t>
            </w:r>
            <w:r>
              <w:rPr>
                <w:spacing w:val="-3"/>
                <w:sz w:val="24"/>
              </w:rPr>
              <w:t> </w:t>
            </w:r>
            <w:r>
              <w:rPr>
                <w:sz w:val="24"/>
              </w:rPr>
              <w:t>treated</w:t>
            </w:r>
            <w:r>
              <w:rPr>
                <w:spacing w:val="-2"/>
                <w:sz w:val="24"/>
              </w:rPr>
              <w:t> </w:t>
            </w:r>
            <w:r>
              <w:rPr>
                <w:sz w:val="24"/>
              </w:rPr>
              <w:t>with</w:t>
            </w:r>
            <w:r>
              <w:rPr>
                <w:spacing w:val="-2"/>
                <w:sz w:val="24"/>
              </w:rPr>
              <w:t> </w:t>
            </w:r>
            <w:r>
              <w:rPr>
                <w:sz w:val="24"/>
              </w:rPr>
              <w:t>top</w:t>
            </w:r>
            <w:r>
              <w:rPr>
                <w:spacing w:val="-3"/>
                <w:sz w:val="24"/>
              </w:rPr>
              <w:t> </w:t>
            </w:r>
            <w:r>
              <w:rPr>
                <w:spacing w:val="-2"/>
                <w:sz w:val="24"/>
              </w:rPr>
              <w:t>priority</w:t>
            </w:r>
          </w:p>
        </w:tc>
        <w:tc>
          <w:tcPr>
            <w:tcW w:w="1080" w:type="dxa"/>
          </w:tcPr>
          <w:p>
            <w:pPr>
              <w:pStyle w:val="TableParagraph"/>
              <w:spacing w:line="270" w:lineRule="exact"/>
              <w:ind w:left="105"/>
              <w:rPr>
                <w:sz w:val="24"/>
              </w:rPr>
            </w:pPr>
            <w:r>
              <w:rPr>
                <w:spacing w:val="-2"/>
                <w:sz w:val="24"/>
              </w:rPr>
              <w:t>2.8779</w:t>
            </w:r>
          </w:p>
        </w:tc>
      </w:tr>
      <w:tr>
        <w:trPr>
          <w:trHeight w:val="415" w:hRule="atLeast"/>
        </w:trPr>
        <w:tc>
          <w:tcPr>
            <w:tcW w:w="591" w:type="dxa"/>
            <w:shd w:val="clear" w:color="auto" w:fill="EEECE1"/>
          </w:tcPr>
          <w:p>
            <w:pPr>
              <w:pStyle w:val="TableParagraph"/>
              <w:rPr>
                <w:sz w:val="24"/>
              </w:rPr>
            </w:pPr>
          </w:p>
        </w:tc>
        <w:tc>
          <w:tcPr>
            <w:tcW w:w="6993" w:type="dxa"/>
            <w:shd w:val="clear" w:color="auto" w:fill="EEECE1"/>
          </w:tcPr>
          <w:p>
            <w:pPr>
              <w:pStyle w:val="TableParagraph"/>
              <w:spacing w:line="275" w:lineRule="exact"/>
              <w:ind w:left="107"/>
              <w:rPr>
                <w:b/>
                <w:sz w:val="24"/>
              </w:rPr>
            </w:pPr>
            <w:r>
              <w:rPr>
                <w:b/>
                <w:sz w:val="24"/>
                <w:u w:val="single"/>
              </w:rPr>
              <w:t>Continuous</w:t>
            </w:r>
            <w:r>
              <w:rPr>
                <w:b/>
                <w:spacing w:val="-2"/>
                <w:sz w:val="24"/>
                <w:u w:val="single"/>
              </w:rPr>
              <w:t> Improvement</w:t>
            </w:r>
          </w:p>
        </w:tc>
        <w:tc>
          <w:tcPr>
            <w:tcW w:w="1080" w:type="dxa"/>
          </w:tcPr>
          <w:p>
            <w:pPr>
              <w:pStyle w:val="TableParagraph"/>
              <w:rPr>
                <w:sz w:val="24"/>
              </w:rPr>
            </w:pPr>
          </w:p>
        </w:tc>
      </w:tr>
      <w:tr>
        <w:trPr>
          <w:trHeight w:val="412" w:hRule="atLeast"/>
        </w:trPr>
        <w:tc>
          <w:tcPr>
            <w:tcW w:w="591" w:type="dxa"/>
          </w:tcPr>
          <w:p>
            <w:pPr>
              <w:pStyle w:val="TableParagraph"/>
              <w:spacing w:line="270" w:lineRule="exact"/>
              <w:ind w:left="108"/>
              <w:rPr>
                <w:sz w:val="24"/>
              </w:rPr>
            </w:pPr>
            <w:r>
              <w:rPr>
                <w:spacing w:val="-10"/>
                <w:sz w:val="24"/>
              </w:rPr>
              <w:t>9</w:t>
            </w:r>
          </w:p>
        </w:tc>
        <w:tc>
          <w:tcPr>
            <w:tcW w:w="6993" w:type="dxa"/>
          </w:tcPr>
          <w:p>
            <w:pPr>
              <w:pStyle w:val="TableParagraph"/>
              <w:spacing w:line="270" w:lineRule="exact"/>
              <w:ind w:left="107"/>
              <w:rPr>
                <w:sz w:val="24"/>
              </w:rPr>
            </w:pPr>
            <w:r>
              <w:rPr>
                <w:sz w:val="24"/>
              </w:rPr>
              <w:t>Company</w:t>
            </w:r>
            <w:r>
              <w:rPr>
                <w:spacing w:val="-9"/>
                <w:sz w:val="24"/>
              </w:rPr>
              <w:t> </w:t>
            </w:r>
            <w:r>
              <w:rPr>
                <w:sz w:val="24"/>
              </w:rPr>
              <w:t>emphasizes</w:t>
            </w:r>
            <w:r>
              <w:rPr>
                <w:spacing w:val="-1"/>
                <w:sz w:val="24"/>
              </w:rPr>
              <w:t> </w:t>
            </w:r>
            <w:r>
              <w:rPr>
                <w:sz w:val="24"/>
              </w:rPr>
              <w:t>improvement</w:t>
            </w:r>
            <w:r>
              <w:rPr>
                <w:spacing w:val="-1"/>
                <w:sz w:val="24"/>
              </w:rPr>
              <w:t> </w:t>
            </w:r>
            <w:r>
              <w:rPr>
                <w:sz w:val="24"/>
              </w:rPr>
              <w:t>rather</w:t>
            </w:r>
            <w:r>
              <w:rPr>
                <w:spacing w:val="-2"/>
                <w:sz w:val="24"/>
              </w:rPr>
              <w:t> </w:t>
            </w:r>
            <w:r>
              <w:rPr>
                <w:sz w:val="24"/>
              </w:rPr>
              <w:t>than</w:t>
            </w:r>
            <w:r>
              <w:rPr>
                <w:spacing w:val="-1"/>
                <w:sz w:val="24"/>
              </w:rPr>
              <w:t> </w:t>
            </w:r>
            <w:r>
              <w:rPr>
                <w:spacing w:val="-2"/>
                <w:sz w:val="24"/>
              </w:rPr>
              <w:t>maintenance</w:t>
            </w:r>
          </w:p>
        </w:tc>
        <w:tc>
          <w:tcPr>
            <w:tcW w:w="1080" w:type="dxa"/>
          </w:tcPr>
          <w:p>
            <w:pPr>
              <w:pStyle w:val="TableParagraph"/>
              <w:spacing w:line="270" w:lineRule="exact"/>
              <w:ind w:left="105"/>
              <w:rPr>
                <w:sz w:val="24"/>
              </w:rPr>
            </w:pPr>
            <w:r>
              <w:rPr>
                <w:spacing w:val="-2"/>
                <w:sz w:val="24"/>
              </w:rPr>
              <w:t>2.6601</w:t>
            </w:r>
          </w:p>
        </w:tc>
      </w:tr>
      <w:tr>
        <w:trPr>
          <w:trHeight w:val="827" w:hRule="atLeast"/>
        </w:trPr>
        <w:tc>
          <w:tcPr>
            <w:tcW w:w="591" w:type="dxa"/>
            <w:shd w:val="clear" w:color="auto" w:fill="EEECE1"/>
          </w:tcPr>
          <w:p>
            <w:pPr>
              <w:pStyle w:val="TableParagraph"/>
              <w:spacing w:line="270" w:lineRule="exact"/>
              <w:ind w:left="108"/>
              <w:rPr>
                <w:sz w:val="24"/>
              </w:rPr>
            </w:pPr>
            <w:r>
              <w:rPr>
                <w:spacing w:val="-5"/>
                <w:sz w:val="24"/>
              </w:rPr>
              <w:t>10</w:t>
            </w:r>
          </w:p>
        </w:tc>
        <w:tc>
          <w:tcPr>
            <w:tcW w:w="6993" w:type="dxa"/>
            <w:shd w:val="clear" w:color="auto" w:fill="EEECE1"/>
          </w:tcPr>
          <w:p>
            <w:pPr>
              <w:pStyle w:val="TableParagraph"/>
              <w:spacing w:line="270" w:lineRule="exact"/>
              <w:ind w:left="107"/>
              <w:rPr>
                <w:sz w:val="24"/>
              </w:rPr>
            </w:pPr>
            <w:r>
              <w:rPr>
                <w:sz w:val="24"/>
              </w:rPr>
              <w:t>My</w:t>
            </w:r>
            <w:r>
              <w:rPr>
                <w:spacing w:val="-7"/>
                <w:sz w:val="24"/>
              </w:rPr>
              <w:t> </w:t>
            </w:r>
            <w:r>
              <w:rPr>
                <w:sz w:val="24"/>
              </w:rPr>
              <w:t>company</w:t>
            </w:r>
            <w:r>
              <w:rPr>
                <w:spacing w:val="-5"/>
                <w:sz w:val="24"/>
              </w:rPr>
              <w:t> </w:t>
            </w:r>
            <w:r>
              <w:rPr>
                <w:sz w:val="24"/>
              </w:rPr>
              <w:t>emphasizes the</w:t>
            </w:r>
            <w:r>
              <w:rPr>
                <w:spacing w:val="-1"/>
                <w:sz w:val="24"/>
              </w:rPr>
              <w:t> </w:t>
            </w:r>
            <w:r>
              <w:rPr>
                <w:sz w:val="24"/>
              </w:rPr>
              <w:t>best implementation of</w:t>
            </w:r>
            <w:r>
              <w:rPr>
                <w:spacing w:val="59"/>
                <w:sz w:val="24"/>
              </w:rPr>
              <w:t> </w:t>
            </w:r>
            <w:r>
              <w:rPr>
                <w:spacing w:val="-2"/>
                <w:sz w:val="24"/>
              </w:rPr>
              <w:t>continuous</w:t>
            </w:r>
          </w:p>
          <w:p>
            <w:pPr>
              <w:pStyle w:val="TableParagraph"/>
              <w:spacing w:before="139"/>
              <w:ind w:left="107"/>
              <w:rPr>
                <w:sz w:val="24"/>
              </w:rPr>
            </w:pPr>
            <w:r>
              <w:rPr>
                <w:sz w:val="24"/>
              </w:rPr>
              <w:t>improvement</w:t>
            </w:r>
            <w:r>
              <w:rPr>
                <w:spacing w:val="-2"/>
                <w:sz w:val="24"/>
              </w:rPr>
              <w:t> </w:t>
            </w:r>
            <w:r>
              <w:rPr>
                <w:sz w:val="24"/>
              </w:rPr>
              <w:t>process</w:t>
            </w:r>
            <w:r>
              <w:rPr>
                <w:spacing w:val="-1"/>
                <w:sz w:val="24"/>
              </w:rPr>
              <w:t> </w:t>
            </w:r>
            <w:r>
              <w:rPr>
                <w:sz w:val="24"/>
              </w:rPr>
              <w:t>for all</w:t>
            </w:r>
            <w:r>
              <w:rPr>
                <w:spacing w:val="-2"/>
                <w:sz w:val="24"/>
              </w:rPr>
              <w:t> </w:t>
            </w:r>
            <w:r>
              <w:rPr>
                <w:sz w:val="24"/>
              </w:rPr>
              <w:t>tasks</w:t>
            </w:r>
            <w:r>
              <w:rPr>
                <w:spacing w:val="-1"/>
                <w:sz w:val="24"/>
              </w:rPr>
              <w:t> </w:t>
            </w:r>
            <w:r>
              <w:rPr>
                <w:sz w:val="24"/>
              </w:rPr>
              <w:t>at</w:t>
            </w:r>
            <w:r>
              <w:rPr>
                <w:spacing w:val="-1"/>
                <w:sz w:val="24"/>
              </w:rPr>
              <w:t> </w:t>
            </w:r>
            <w:r>
              <w:rPr>
                <w:sz w:val="24"/>
              </w:rPr>
              <w:t>all</w:t>
            </w:r>
            <w:r>
              <w:rPr>
                <w:spacing w:val="-1"/>
                <w:sz w:val="24"/>
              </w:rPr>
              <w:t> </w:t>
            </w:r>
            <w:r>
              <w:rPr>
                <w:spacing w:val="-2"/>
                <w:sz w:val="24"/>
              </w:rPr>
              <w:t>levels</w:t>
            </w:r>
          </w:p>
        </w:tc>
        <w:tc>
          <w:tcPr>
            <w:tcW w:w="1080" w:type="dxa"/>
            <w:shd w:val="clear" w:color="auto" w:fill="EEECE1"/>
          </w:tcPr>
          <w:p>
            <w:pPr>
              <w:pStyle w:val="TableParagraph"/>
              <w:spacing w:line="270" w:lineRule="exact"/>
              <w:ind w:left="105"/>
              <w:rPr>
                <w:sz w:val="24"/>
              </w:rPr>
            </w:pPr>
            <w:r>
              <w:rPr>
                <w:spacing w:val="-2"/>
                <w:sz w:val="24"/>
              </w:rPr>
              <w:t>2.6766</w:t>
            </w:r>
          </w:p>
        </w:tc>
      </w:tr>
      <w:tr>
        <w:trPr>
          <w:trHeight w:val="828" w:hRule="atLeast"/>
        </w:trPr>
        <w:tc>
          <w:tcPr>
            <w:tcW w:w="591" w:type="dxa"/>
          </w:tcPr>
          <w:p>
            <w:pPr>
              <w:pStyle w:val="TableParagraph"/>
              <w:spacing w:line="270" w:lineRule="exact"/>
              <w:ind w:left="108"/>
              <w:rPr>
                <w:sz w:val="24"/>
              </w:rPr>
            </w:pPr>
            <w:r>
              <w:rPr>
                <w:spacing w:val="-5"/>
                <w:sz w:val="24"/>
              </w:rPr>
              <w:t>11</w:t>
            </w:r>
          </w:p>
        </w:tc>
        <w:tc>
          <w:tcPr>
            <w:tcW w:w="6993" w:type="dxa"/>
          </w:tcPr>
          <w:p>
            <w:pPr>
              <w:pStyle w:val="TableParagraph"/>
              <w:spacing w:line="270" w:lineRule="exact"/>
              <w:ind w:left="107"/>
              <w:rPr>
                <w:sz w:val="24"/>
              </w:rPr>
            </w:pPr>
            <w:r>
              <w:rPr>
                <w:sz w:val="24"/>
              </w:rPr>
              <w:t>The</w:t>
            </w:r>
            <w:r>
              <w:rPr>
                <w:spacing w:val="-4"/>
                <w:sz w:val="24"/>
              </w:rPr>
              <w:t> </w:t>
            </w:r>
            <w:r>
              <w:rPr>
                <w:sz w:val="24"/>
              </w:rPr>
              <w:t>company</w:t>
            </w:r>
            <w:r>
              <w:rPr>
                <w:spacing w:val="-6"/>
                <w:sz w:val="24"/>
              </w:rPr>
              <w:t> </w:t>
            </w:r>
            <w:r>
              <w:rPr>
                <w:sz w:val="24"/>
              </w:rPr>
              <w:t>compare customer</w:t>
            </w:r>
            <w:r>
              <w:rPr>
                <w:spacing w:val="-1"/>
                <w:sz w:val="24"/>
              </w:rPr>
              <w:t> </w:t>
            </w:r>
            <w:r>
              <w:rPr>
                <w:sz w:val="24"/>
              </w:rPr>
              <w:t>satisfaction</w:t>
            </w:r>
            <w:r>
              <w:rPr>
                <w:spacing w:val="-1"/>
                <w:sz w:val="24"/>
              </w:rPr>
              <w:t> </w:t>
            </w:r>
            <w:r>
              <w:rPr>
                <w:sz w:val="24"/>
              </w:rPr>
              <w:t>levels</w:t>
            </w:r>
            <w:r>
              <w:rPr>
                <w:spacing w:val="-1"/>
                <w:sz w:val="24"/>
              </w:rPr>
              <w:t> </w:t>
            </w:r>
            <w:r>
              <w:rPr>
                <w:sz w:val="24"/>
              </w:rPr>
              <w:t>with</w:t>
            </w:r>
            <w:r>
              <w:rPr>
                <w:spacing w:val="-1"/>
                <w:sz w:val="24"/>
              </w:rPr>
              <w:t> </w:t>
            </w:r>
            <w:r>
              <w:rPr>
                <w:sz w:val="24"/>
              </w:rPr>
              <w:t>that </w:t>
            </w:r>
            <w:r>
              <w:rPr>
                <w:spacing w:val="-5"/>
                <w:sz w:val="24"/>
              </w:rPr>
              <w:t>of</w:t>
            </w:r>
          </w:p>
          <w:p>
            <w:pPr>
              <w:pStyle w:val="TableParagraph"/>
              <w:spacing w:before="139"/>
              <w:ind w:left="107"/>
              <w:rPr>
                <w:sz w:val="24"/>
              </w:rPr>
            </w:pPr>
            <w:r>
              <w:rPr>
                <w:spacing w:val="-2"/>
                <w:sz w:val="24"/>
              </w:rPr>
              <w:t>competitors</w:t>
            </w:r>
          </w:p>
        </w:tc>
        <w:tc>
          <w:tcPr>
            <w:tcW w:w="1080" w:type="dxa"/>
          </w:tcPr>
          <w:p>
            <w:pPr>
              <w:pStyle w:val="TableParagraph"/>
              <w:spacing w:line="270" w:lineRule="exact"/>
              <w:ind w:left="105"/>
              <w:rPr>
                <w:sz w:val="24"/>
              </w:rPr>
            </w:pPr>
            <w:r>
              <w:rPr>
                <w:spacing w:val="-2"/>
                <w:sz w:val="24"/>
              </w:rPr>
              <w:t>2.7558</w:t>
            </w:r>
          </w:p>
        </w:tc>
      </w:tr>
      <w:tr>
        <w:trPr>
          <w:trHeight w:val="827" w:hRule="atLeast"/>
        </w:trPr>
        <w:tc>
          <w:tcPr>
            <w:tcW w:w="591" w:type="dxa"/>
            <w:shd w:val="clear" w:color="auto" w:fill="EEECE1"/>
          </w:tcPr>
          <w:p>
            <w:pPr>
              <w:pStyle w:val="TableParagraph"/>
              <w:spacing w:line="270" w:lineRule="exact"/>
              <w:ind w:left="108"/>
              <w:rPr>
                <w:sz w:val="24"/>
              </w:rPr>
            </w:pPr>
            <w:r>
              <w:rPr>
                <w:spacing w:val="-5"/>
                <w:sz w:val="24"/>
              </w:rPr>
              <w:t>12</w:t>
            </w:r>
          </w:p>
        </w:tc>
        <w:tc>
          <w:tcPr>
            <w:tcW w:w="6993" w:type="dxa"/>
            <w:shd w:val="clear" w:color="auto" w:fill="EEECE1"/>
          </w:tcPr>
          <w:p>
            <w:pPr>
              <w:pStyle w:val="TableParagraph"/>
              <w:spacing w:line="270" w:lineRule="exact"/>
              <w:ind w:left="107"/>
              <w:rPr>
                <w:sz w:val="24"/>
              </w:rPr>
            </w:pPr>
            <w:r>
              <w:rPr>
                <w:sz w:val="24"/>
              </w:rPr>
              <w:t>Company</w:t>
            </w:r>
            <w:r>
              <w:rPr>
                <w:spacing w:val="-8"/>
                <w:sz w:val="24"/>
              </w:rPr>
              <w:t> </w:t>
            </w:r>
            <w:r>
              <w:rPr>
                <w:sz w:val="24"/>
              </w:rPr>
              <w:t>records</w:t>
            </w:r>
            <w:r>
              <w:rPr>
                <w:spacing w:val="2"/>
                <w:sz w:val="24"/>
              </w:rPr>
              <w:t> </w:t>
            </w:r>
            <w:r>
              <w:rPr>
                <w:sz w:val="24"/>
              </w:rPr>
              <w:t>are</w:t>
            </w:r>
            <w:r>
              <w:rPr>
                <w:spacing w:val="-2"/>
                <w:sz w:val="24"/>
              </w:rPr>
              <w:t> </w:t>
            </w:r>
            <w:r>
              <w:rPr>
                <w:sz w:val="24"/>
              </w:rPr>
              <w:t>kept for</w:t>
            </w:r>
            <w:r>
              <w:rPr>
                <w:spacing w:val="-1"/>
                <w:sz w:val="24"/>
              </w:rPr>
              <w:t> </w:t>
            </w:r>
            <w:r>
              <w:rPr>
                <w:sz w:val="24"/>
              </w:rPr>
              <w:t>future</w:t>
            </w:r>
            <w:r>
              <w:rPr>
                <w:spacing w:val="-2"/>
                <w:sz w:val="24"/>
              </w:rPr>
              <w:t> </w:t>
            </w:r>
            <w:r>
              <w:rPr>
                <w:sz w:val="24"/>
              </w:rPr>
              <w:t>decision making</w:t>
            </w:r>
            <w:r>
              <w:rPr>
                <w:spacing w:val="-3"/>
                <w:sz w:val="24"/>
              </w:rPr>
              <w:t> </w:t>
            </w:r>
            <w:r>
              <w:rPr>
                <w:sz w:val="24"/>
              </w:rPr>
              <w:t>and</w:t>
            </w:r>
            <w:r>
              <w:rPr>
                <w:spacing w:val="2"/>
                <w:sz w:val="24"/>
              </w:rPr>
              <w:t> </w:t>
            </w:r>
            <w:r>
              <w:rPr>
                <w:sz w:val="24"/>
              </w:rPr>
              <w:t>for</w:t>
            </w:r>
            <w:r>
              <w:rPr>
                <w:spacing w:val="-1"/>
                <w:sz w:val="24"/>
              </w:rPr>
              <w:t> </w:t>
            </w:r>
            <w:r>
              <w:rPr>
                <w:spacing w:val="-5"/>
                <w:sz w:val="24"/>
              </w:rPr>
              <w:t>the</w:t>
            </w:r>
          </w:p>
          <w:p>
            <w:pPr>
              <w:pStyle w:val="TableParagraph"/>
              <w:spacing w:before="139"/>
              <w:ind w:left="107"/>
              <w:rPr>
                <w:sz w:val="24"/>
              </w:rPr>
            </w:pPr>
            <w:r>
              <w:rPr>
                <w:sz w:val="24"/>
              </w:rPr>
              <w:t>purpose</w:t>
            </w:r>
            <w:r>
              <w:rPr>
                <w:spacing w:val="-3"/>
                <w:sz w:val="24"/>
              </w:rPr>
              <w:t> </w:t>
            </w:r>
            <w:r>
              <w:rPr>
                <w:sz w:val="24"/>
              </w:rPr>
              <w:t>of</w:t>
            </w:r>
            <w:r>
              <w:rPr>
                <w:spacing w:val="-2"/>
                <w:sz w:val="24"/>
              </w:rPr>
              <w:t> </w:t>
            </w:r>
            <w:r>
              <w:rPr>
                <w:sz w:val="24"/>
              </w:rPr>
              <w:t>efficiency</w:t>
            </w:r>
            <w:r>
              <w:rPr>
                <w:spacing w:val="-6"/>
                <w:sz w:val="24"/>
              </w:rPr>
              <w:t> </w:t>
            </w:r>
            <w:r>
              <w:rPr>
                <w:sz w:val="24"/>
              </w:rPr>
              <w:t>(learning</w:t>
            </w:r>
            <w:r>
              <w:rPr>
                <w:spacing w:val="-1"/>
                <w:sz w:val="24"/>
              </w:rPr>
              <w:t> </w:t>
            </w:r>
            <w:r>
              <w:rPr>
                <w:sz w:val="24"/>
              </w:rPr>
              <w:t>from</w:t>
            </w:r>
            <w:r>
              <w:rPr>
                <w:spacing w:val="-2"/>
                <w:sz w:val="24"/>
              </w:rPr>
              <w:t> </w:t>
            </w:r>
            <w:r>
              <w:rPr>
                <w:sz w:val="24"/>
              </w:rPr>
              <w:t>mistakes</w:t>
            </w:r>
            <w:r>
              <w:rPr>
                <w:spacing w:val="-1"/>
                <w:sz w:val="24"/>
              </w:rPr>
              <w:t> </w:t>
            </w:r>
            <w:r>
              <w:rPr>
                <w:sz w:val="24"/>
              </w:rPr>
              <w:t>and</w:t>
            </w:r>
            <w:r>
              <w:rPr>
                <w:spacing w:val="1"/>
                <w:sz w:val="24"/>
              </w:rPr>
              <w:t> </w:t>
            </w:r>
            <w:r>
              <w:rPr>
                <w:sz w:val="24"/>
              </w:rPr>
              <w:t>identification</w:t>
            </w:r>
            <w:r>
              <w:rPr>
                <w:spacing w:val="-1"/>
                <w:sz w:val="24"/>
              </w:rPr>
              <w:t> </w:t>
            </w:r>
            <w:r>
              <w:rPr>
                <w:spacing w:val="-5"/>
                <w:sz w:val="24"/>
              </w:rPr>
              <w:t>of</w:t>
            </w:r>
          </w:p>
        </w:tc>
        <w:tc>
          <w:tcPr>
            <w:tcW w:w="1080" w:type="dxa"/>
            <w:shd w:val="clear" w:color="auto" w:fill="EEECE1"/>
          </w:tcPr>
          <w:p>
            <w:pPr>
              <w:pStyle w:val="TableParagraph"/>
              <w:spacing w:line="270" w:lineRule="exact"/>
              <w:ind w:left="105"/>
              <w:rPr>
                <w:sz w:val="24"/>
              </w:rPr>
            </w:pPr>
            <w:r>
              <w:rPr>
                <w:spacing w:val="-2"/>
                <w:sz w:val="24"/>
              </w:rPr>
              <w:t>2.8614</w:t>
            </w:r>
          </w:p>
        </w:tc>
      </w:tr>
    </w:tbl>
    <w:p>
      <w:pPr>
        <w:spacing w:after="0" w:line="270" w:lineRule="exact"/>
        <w:rPr>
          <w:sz w:val="24"/>
        </w:rPr>
        <w:sectPr>
          <w:pgSz w:w="12240" w:h="15840"/>
          <w:pgMar w:header="0" w:footer="1017" w:top="1360" w:bottom="1200" w:left="1040" w:right="120"/>
        </w:sect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
        <w:gridCol w:w="7051"/>
        <w:gridCol w:w="1089"/>
      </w:tblGrid>
      <w:tr>
        <w:trPr>
          <w:trHeight w:val="827" w:hRule="atLeast"/>
        </w:trPr>
        <w:tc>
          <w:tcPr>
            <w:tcW w:w="523" w:type="dxa"/>
          </w:tcPr>
          <w:p>
            <w:pPr>
              <w:pStyle w:val="TableParagraph"/>
              <w:rPr>
                <w:sz w:val="24"/>
              </w:rPr>
            </w:pPr>
          </w:p>
        </w:tc>
        <w:tc>
          <w:tcPr>
            <w:tcW w:w="7051" w:type="dxa"/>
          </w:tcPr>
          <w:p>
            <w:pPr>
              <w:pStyle w:val="TableParagraph"/>
              <w:spacing w:line="270" w:lineRule="exact"/>
              <w:ind w:left="175"/>
              <w:rPr>
                <w:sz w:val="24"/>
              </w:rPr>
            </w:pPr>
            <w:r>
              <w:rPr/>
              <mc:AlternateContent>
                <mc:Choice Requires="wps">
                  <w:drawing>
                    <wp:anchor distT="0" distB="0" distL="0" distR="0" allowOverlap="1" layoutInCell="1" locked="0" behindDoc="1" simplePos="0" relativeHeight="481960960">
                      <wp:simplePos x="0" y="0"/>
                      <wp:positionH relativeFrom="column">
                        <wp:posOffset>-332231</wp:posOffset>
                      </wp:positionH>
                      <wp:positionV relativeFrom="paragraph">
                        <wp:posOffset>0</wp:posOffset>
                      </wp:positionV>
                      <wp:extent cx="5501640" cy="26225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5501640" cy="262255"/>
                                <a:chExt cx="5501640" cy="262255"/>
                              </a:xfrm>
                            </wpg:grpSpPr>
                            <wps:wsp>
                              <wps:cNvPr id="288" name="Graphic 288"/>
                              <wps:cNvSpPr/>
                              <wps:spPr>
                                <a:xfrm>
                                  <a:off x="0" y="0"/>
                                  <a:ext cx="5501640" cy="262255"/>
                                </a:xfrm>
                                <a:custGeom>
                                  <a:avLst/>
                                  <a:gdLst/>
                                  <a:ahLst/>
                                  <a:cxnLst/>
                                  <a:rect l="l" t="t" r="r" b="b"/>
                                  <a:pathLst>
                                    <a:path w="5501640" h="262255">
                                      <a:moveTo>
                                        <a:pt x="5501640" y="0"/>
                                      </a:moveTo>
                                      <a:lnTo>
                                        <a:pt x="4815840" y="0"/>
                                      </a:lnTo>
                                      <a:lnTo>
                                        <a:pt x="374904" y="0"/>
                                      </a:lnTo>
                                      <a:lnTo>
                                        <a:pt x="0" y="0"/>
                                      </a:lnTo>
                                      <a:lnTo>
                                        <a:pt x="0" y="262128"/>
                                      </a:lnTo>
                                      <a:lnTo>
                                        <a:pt x="374904" y="262128"/>
                                      </a:lnTo>
                                      <a:lnTo>
                                        <a:pt x="4815840" y="262128"/>
                                      </a:lnTo>
                                      <a:lnTo>
                                        <a:pt x="5501640" y="262128"/>
                                      </a:lnTo>
                                      <a:lnTo>
                                        <a:pt x="5501640" y="0"/>
                                      </a:lnTo>
                                      <a:close/>
                                    </a:path>
                                  </a:pathLst>
                                </a:custGeom>
                                <a:solidFill>
                                  <a:srgbClr val="EEECE1"/>
                                </a:solidFill>
                              </wps:spPr>
                              <wps:bodyPr wrap="square" lIns="0" tIns="0" rIns="0" bIns="0" rtlCol="0">
                                <a:prstTxWarp prst="textNoShape">
                                  <a:avLst/>
                                </a:prstTxWarp>
                                <a:noAutofit/>
                              </wps:bodyPr>
                            </wps:wsp>
                          </wpg:wgp>
                        </a:graphicData>
                      </a:graphic>
                    </wp:anchor>
                  </w:drawing>
                </mc:Choice>
                <mc:Fallback>
                  <w:pict>
                    <v:group style="position:absolute;margin-left:-26.16pt;margin-top:0pt;width:433.2pt;height:20.65pt;mso-position-horizontal-relative:column;mso-position-vertical-relative:paragraph;z-index:-21355520" id="docshapegroup230" coordorigin="-523,0" coordsize="8664,413">
                      <v:shape style="position:absolute;left:-524;top:0;width:8664;height:413" id="docshape231" coordorigin="-523,0" coordsize="8664,413" path="m8141,0l7061,0,67,0,-523,0,-523,413,67,413,7061,413,8141,413,8141,0xe" filled="true" fillcolor="#eeece1" stroked="false">
                        <v:path arrowok="t"/>
                        <v:fill type="solid"/>
                      </v:shape>
                      <w10:wrap type="none"/>
                    </v:group>
                  </w:pict>
                </mc:Fallback>
              </mc:AlternateContent>
            </w:r>
            <w:r>
              <w:rPr>
                <w:sz w:val="24"/>
              </w:rPr>
              <w:t>successful</w:t>
            </w:r>
            <w:r>
              <w:rPr>
                <w:spacing w:val="-2"/>
                <w:sz w:val="24"/>
              </w:rPr>
              <w:t> </w:t>
            </w:r>
            <w:r>
              <w:rPr>
                <w:sz w:val="24"/>
              </w:rPr>
              <w:t>activities)</w:t>
            </w:r>
            <w:r>
              <w:rPr>
                <w:spacing w:val="-3"/>
                <w:sz w:val="24"/>
              </w:rPr>
              <w:t> </w:t>
            </w:r>
            <w:r>
              <w:rPr>
                <w:sz w:val="24"/>
              </w:rPr>
              <w:t>and </w:t>
            </w:r>
            <w:r>
              <w:rPr>
                <w:spacing w:val="-2"/>
                <w:sz w:val="24"/>
              </w:rPr>
              <w:t>continuity</w:t>
            </w:r>
          </w:p>
          <w:p>
            <w:pPr>
              <w:pStyle w:val="TableParagraph"/>
              <w:spacing w:before="141"/>
              <w:ind w:left="175"/>
              <w:rPr>
                <w:b/>
                <w:sz w:val="24"/>
              </w:rPr>
            </w:pPr>
            <w:r>
              <w:rPr>
                <w:b/>
                <w:sz w:val="24"/>
                <w:u w:val="single"/>
              </w:rPr>
              <w:t>Employee</w:t>
            </w:r>
            <w:r>
              <w:rPr>
                <w:b/>
                <w:spacing w:val="-4"/>
                <w:sz w:val="24"/>
                <w:u w:val="single"/>
              </w:rPr>
              <w:t> </w:t>
            </w:r>
            <w:r>
              <w:rPr>
                <w:b/>
                <w:spacing w:val="-2"/>
                <w:sz w:val="24"/>
                <w:u w:val="single"/>
              </w:rPr>
              <w:t>Participation</w:t>
            </w:r>
          </w:p>
        </w:tc>
        <w:tc>
          <w:tcPr>
            <w:tcW w:w="1089" w:type="dxa"/>
          </w:tcPr>
          <w:p>
            <w:pPr>
              <w:pStyle w:val="TableParagraph"/>
              <w:rPr>
                <w:sz w:val="24"/>
              </w:rPr>
            </w:pPr>
          </w:p>
        </w:tc>
      </w:tr>
      <w:tr>
        <w:trPr>
          <w:trHeight w:val="828" w:hRule="atLeast"/>
        </w:trPr>
        <w:tc>
          <w:tcPr>
            <w:tcW w:w="523" w:type="dxa"/>
            <w:shd w:val="clear" w:color="auto" w:fill="EEECE1"/>
          </w:tcPr>
          <w:p>
            <w:pPr>
              <w:pStyle w:val="TableParagraph"/>
              <w:spacing w:line="270" w:lineRule="exact"/>
              <w:ind w:right="66"/>
              <w:jc w:val="center"/>
              <w:rPr>
                <w:sz w:val="24"/>
              </w:rPr>
            </w:pPr>
            <w:r>
              <w:rPr>
                <w:spacing w:val="-5"/>
                <w:sz w:val="24"/>
              </w:rPr>
              <w:t>13</w:t>
            </w:r>
          </w:p>
        </w:tc>
        <w:tc>
          <w:tcPr>
            <w:tcW w:w="7051" w:type="dxa"/>
            <w:shd w:val="clear" w:color="auto" w:fill="EEECE1"/>
          </w:tcPr>
          <w:p>
            <w:pPr>
              <w:pStyle w:val="TableParagraph"/>
              <w:spacing w:line="270" w:lineRule="exact"/>
              <w:ind w:left="175"/>
              <w:rPr>
                <w:sz w:val="24"/>
              </w:rPr>
            </w:pPr>
            <w:r>
              <w:rPr>
                <w:sz w:val="24"/>
              </w:rPr>
              <w:t>Management</w:t>
            </w:r>
            <w:r>
              <w:rPr>
                <w:spacing w:val="-3"/>
                <w:sz w:val="24"/>
              </w:rPr>
              <w:t> </w:t>
            </w:r>
            <w:r>
              <w:rPr>
                <w:sz w:val="24"/>
              </w:rPr>
              <w:t>meet</w:t>
            </w:r>
            <w:r>
              <w:rPr>
                <w:spacing w:val="-1"/>
                <w:sz w:val="24"/>
              </w:rPr>
              <w:t> </w:t>
            </w:r>
            <w:r>
              <w:rPr>
                <w:sz w:val="24"/>
              </w:rPr>
              <w:t>employee regularly</w:t>
            </w:r>
            <w:r>
              <w:rPr>
                <w:spacing w:val="-6"/>
                <w:sz w:val="24"/>
              </w:rPr>
              <w:t> </w:t>
            </w:r>
            <w:r>
              <w:rPr>
                <w:sz w:val="24"/>
              </w:rPr>
              <w:t>to</w:t>
            </w:r>
            <w:r>
              <w:rPr>
                <w:spacing w:val="-1"/>
                <w:sz w:val="24"/>
              </w:rPr>
              <w:t> </w:t>
            </w:r>
            <w:r>
              <w:rPr>
                <w:sz w:val="24"/>
              </w:rPr>
              <w:t>update</w:t>
            </w:r>
            <w:r>
              <w:rPr>
                <w:spacing w:val="-2"/>
                <w:sz w:val="24"/>
              </w:rPr>
              <w:t> </w:t>
            </w:r>
            <w:r>
              <w:rPr>
                <w:sz w:val="24"/>
              </w:rPr>
              <w:t>them</w:t>
            </w:r>
            <w:r>
              <w:rPr>
                <w:spacing w:val="-1"/>
                <w:sz w:val="24"/>
              </w:rPr>
              <w:t> </w:t>
            </w:r>
            <w:r>
              <w:rPr>
                <w:sz w:val="24"/>
              </w:rPr>
              <w:t>on</w:t>
            </w:r>
            <w:r>
              <w:rPr>
                <w:spacing w:val="-1"/>
                <w:sz w:val="24"/>
              </w:rPr>
              <w:t> </w:t>
            </w:r>
            <w:r>
              <w:rPr>
                <w:sz w:val="24"/>
              </w:rPr>
              <w:t>the</w:t>
            </w:r>
            <w:r>
              <w:rPr>
                <w:spacing w:val="-1"/>
                <w:sz w:val="24"/>
              </w:rPr>
              <w:t> </w:t>
            </w:r>
            <w:r>
              <w:rPr>
                <w:spacing w:val="-2"/>
                <w:sz w:val="24"/>
              </w:rPr>
              <w:t>progress</w:t>
            </w:r>
          </w:p>
          <w:p>
            <w:pPr>
              <w:pStyle w:val="TableParagraph"/>
              <w:spacing w:before="137"/>
              <w:ind w:left="175"/>
              <w:rPr>
                <w:sz w:val="24"/>
              </w:rPr>
            </w:pPr>
            <w:r>
              <w:rPr>
                <w:sz w:val="24"/>
              </w:rPr>
              <w:t>or</w:t>
            </w:r>
            <w:r>
              <w:rPr>
                <w:spacing w:val="-2"/>
                <w:sz w:val="24"/>
              </w:rPr>
              <w:t> </w:t>
            </w:r>
            <w:r>
              <w:rPr>
                <w:sz w:val="24"/>
              </w:rPr>
              <w:t>otherwise</w:t>
            </w:r>
            <w:r>
              <w:rPr>
                <w:spacing w:val="-1"/>
                <w:sz w:val="24"/>
              </w:rPr>
              <w:t> </w:t>
            </w:r>
            <w:r>
              <w:rPr>
                <w:sz w:val="24"/>
              </w:rPr>
              <w:t>of</w:t>
            </w:r>
            <w:r>
              <w:rPr>
                <w:spacing w:val="-1"/>
                <w:sz w:val="24"/>
              </w:rPr>
              <w:t> </w:t>
            </w:r>
            <w:r>
              <w:rPr>
                <w:sz w:val="24"/>
              </w:rPr>
              <w:t>the</w:t>
            </w:r>
            <w:r>
              <w:rPr>
                <w:spacing w:val="-1"/>
                <w:sz w:val="24"/>
              </w:rPr>
              <w:t> </w:t>
            </w:r>
            <w:r>
              <w:rPr>
                <w:spacing w:val="-2"/>
                <w:sz w:val="24"/>
              </w:rPr>
              <w:t>company</w:t>
            </w:r>
          </w:p>
        </w:tc>
        <w:tc>
          <w:tcPr>
            <w:tcW w:w="1089" w:type="dxa"/>
            <w:shd w:val="clear" w:color="auto" w:fill="EEECE1"/>
          </w:tcPr>
          <w:p>
            <w:pPr>
              <w:pStyle w:val="TableParagraph"/>
              <w:spacing w:line="270" w:lineRule="exact"/>
              <w:ind w:left="115"/>
              <w:rPr>
                <w:sz w:val="24"/>
              </w:rPr>
            </w:pPr>
            <w:r>
              <w:rPr>
                <w:spacing w:val="-2"/>
                <w:sz w:val="24"/>
              </w:rPr>
              <w:t>2.6799</w:t>
            </w:r>
          </w:p>
        </w:tc>
      </w:tr>
      <w:tr>
        <w:trPr>
          <w:trHeight w:val="412" w:hRule="atLeast"/>
        </w:trPr>
        <w:tc>
          <w:tcPr>
            <w:tcW w:w="523" w:type="dxa"/>
          </w:tcPr>
          <w:p>
            <w:pPr>
              <w:pStyle w:val="TableParagraph"/>
              <w:spacing w:line="270" w:lineRule="exact"/>
              <w:ind w:right="66"/>
              <w:jc w:val="center"/>
              <w:rPr>
                <w:sz w:val="24"/>
              </w:rPr>
            </w:pPr>
            <w:r>
              <w:rPr>
                <w:spacing w:val="-5"/>
                <w:sz w:val="24"/>
              </w:rPr>
              <w:t>14</w:t>
            </w:r>
          </w:p>
        </w:tc>
        <w:tc>
          <w:tcPr>
            <w:tcW w:w="7051" w:type="dxa"/>
          </w:tcPr>
          <w:p>
            <w:pPr>
              <w:pStyle w:val="TableParagraph"/>
              <w:spacing w:line="270" w:lineRule="exact"/>
              <w:ind w:left="175"/>
              <w:rPr>
                <w:sz w:val="24"/>
              </w:rPr>
            </w:pPr>
            <w:r>
              <w:rPr>
                <w:sz w:val="24"/>
              </w:rPr>
              <w:t>Employees</w:t>
            </w:r>
            <w:r>
              <w:rPr>
                <w:spacing w:val="-2"/>
                <w:sz w:val="24"/>
              </w:rPr>
              <w:t> </w:t>
            </w:r>
            <w:r>
              <w:rPr>
                <w:sz w:val="24"/>
              </w:rPr>
              <w:t>are</w:t>
            </w:r>
            <w:r>
              <w:rPr>
                <w:spacing w:val="-1"/>
                <w:sz w:val="24"/>
              </w:rPr>
              <w:t> </w:t>
            </w:r>
            <w:r>
              <w:rPr>
                <w:sz w:val="24"/>
              </w:rPr>
              <w:t>actively</w:t>
            </w:r>
            <w:r>
              <w:rPr>
                <w:spacing w:val="-6"/>
                <w:sz w:val="24"/>
              </w:rPr>
              <w:t> </w:t>
            </w:r>
            <w:r>
              <w:rPr>
                <w:sz w:val="24"/>
              </w:rPr>
              <w:t>involved</w:t>
            </w:r>
            <w:r>
              <w:rPr>
                <w:spacing w:val="-2"/>
                <w:sz w:val="24"/>
              </w:rPr>
              <w:t> </w:t>
            </w:r>
            <w:r>
              <w:rPr>
                <w:sz w:val="24"/>
              </w:rPr>
              <w:t>in</w:t>
            </w:r>
            <w:r>
              <w:rPr>
                <w:spacing w:val="-2"/>
                <w:sz w:val="24"/>
              </w:rPr>
              <w:t> </w:t>
            </w:r>
            <w:r>
              <w:rPr>
                <w:sz w:val="24"/>
              </w:rPr>
              <w:t>quality-related</w:t>
            </w:r>
            <w:r>
              <w:rPr>
                <w:spacing w:val="-1"/>
                <w:sz w:val="24"/>
              </w:rPr>
              <w:t> </w:t>
            </w:r>
            <w:r>
              <w:rPr>
                <w:spacing w:val="-2"/>
                <w:sz w:val="24"/>
              </w:rPr>
              <w:t>activities</w:t>
            </w:r>
          </w:p>
        </w:tc>
        <w:tc>
          <w:tcPr>
            <w:tcW w:w="1089" w:type="dxa"/>
          </w:tcPr>
          <w:p>
            <w:pPr>
              <w:pStyle w:val="TableParagraph"/>
              <w:spacing w:line="270" w:lineRule="exact"/>
              <w:ind w:left="115"/>
              <w:rPr>
                <w:sz w:val="24"/>
              </w:rPr>
            </w:pPr>
            <w:r>
              <w:rPr>
                <w:spacing w:val="-2"/>
                <w:sz w:val="24"/>
              </w:rPr>
              <w:t>2.5941</w:t>
            </w:r>
          </w:p>
        </w:tc>
      </w:tr>
      <w:tr>
        <w:trPr>
          <w:trHeight w:val="828" w:hRule="atLeast"/>
        </w:trPr>
        <w:tc>
          <w:tcPr>
            <w:tcW w:w="523" w:type="dxa"/>
            <w:shd w:val="clear" w:color="auto" w:fill="EEECE1"/>
          </w:tcPr>
          <w:p>
            <w:pPr>
              <w:pStyle w:val="TableParagraph"/>
              <w:spacing w:line="270" w:lineRule="exact"/>
              <w:ind w:right="66"/>
              <w:jc w:val="center"/>
              <w:rPr>
                <w:sz w:val="24"/>
              </w:rPr>
            </w:pPr>
            <w:r>
              <w:rPr>
                <w:spacing w:val="-5"/>
                <w:sz w:val="24"/>
              </w:rPr>
              <w:t>15</w:t>
            </w:r>
          </w:p>
        </w:tc>
        <w:tc>
          <w:tcPr>
            <w:tcW w:w="7051" w:type="dxa"/>
            <w:shd w:val="clear" w:color="auto" w:fill="EEECE1"/>
          </w:tcPr>
          <w:p>
            <w:pPr>
              <w:pStyle w:val="TableParagraph"/>
              <w:spacing w:line="270" w:lineRule="exact"/>
              <w:ind w:left="175"/>
              <w:rPr>
                <w:sz w:val="24"/>
              </w:rPr>
            </w:pPr>
            <w:r>
              <w:rPr>
                <w:sz w:val="24"/>
              </w:rPr>
              <w:t>There</w:t>
            </w:r>
            <w:r>
              <w:rPr>
                <w:spacing w:val="-4"/>
                <w:sz w:val="24"/>
              </w:rPr>
              <w:t> </w:t>
            </w:r>
            <w:r>
              <w:rPr>
                <w:sz w:val="24"/>
              </w:rPr>
              <w:t>is</w:t>
            </w:r>
            <w:r>
              <w:rPr>
                <w:spacing w:val="-1"/>
                <w:sz w:val="24"/>
              </w:rPr>
              <w:t> </w:t>
            </w:r>
            <w:r>
              <w:rPr>
                <w:sz w:val="24"/>
              </w:rPr>
              <w:t>a</w:t>
            </w:r>
            <w:r>
              <w:rPr>
                <w:spacing w:val="1"/>
                <w:sz w:val="24"/>
              </w:rPr>
              <w:t> </w:t>
            </w:r>
            <w:r>
              <w:rPr>
                <w:sz w:val="24"/>
              </w:rPr>
              <w:t>conscious</w:t>
            </w:r>
            <w:r>
              <w:rPr>
                <w:spacing w:val="-1"/>
                <w:sz w:val="24"/>
              </w:rPr>
              <w:t> </w:t>
            </w:r>
            <w:r>
              <w:rPr>
                <w:sz w:val="24"/>
              </w:rPr>
              <w:t>policy</w:t>
            </w:r>
            <w:r>
              <w:rPr>
                <w:spacing w:val="-5"/>
                <w:sz w:val="24"/>
              </w:rPr>
              <w:t> </w:t>
            </w:r>
            <w:r>
              <w:rPr>
                <w:sz w:val="24"/>
              </w:rPr>
              <w:t>by</w:t>
            </w:r>
            <w:r>
              <w:rPr>
                <w:spacing w:val="-6"/>
                <w:sz w:val="24"/>
              </w:rPr>
              <w:t> </w:t>
            </w:r>
            <w:r>
              <w:rPr>
                <w:sz w:val="24"/>
              </w:rPr>
              <w:t>management</w:t>
            </w:r>
            <w:r>
              <w:rPr>
                <w:spacing w:val="-1"/>
                <w:sz w:val="24"/>
              </w:rPr>
              <w:t> </w:t>
            </w:r>
            <w:r>
              <w:rPr>
                <w:sz w:val="24"/>
              </w:rPr>
              <w:t>to ensure good </w:t>
            </w:r>
            <w:r>
              <w:rPr>
                <w:spacing w:val="-2"/>
                <w:sz w:val="24"/>
              </w:rPr>
              <w:t>working</w:t>
            </w:r>
          </w:p>
          <w:p>
            <w:pPr>
              <w:pStyle w:val="TableParagraph"/>
              <w:spacing w:before="139"/>
              <w:ind w:left="175"/>
              <w:rPr>
                <w:sz w:val="24"/>
              </w:rPr>
            </w:pPr>
            <w:r>
              <w:rPr>
                <w:sz w:val="24"/>
              </w:rPr>
              <w:t>condition</w:t>
            </w:r>
            <w:r>
              <w:rPr>
                <w:spacing w:val="-1"/>
                <w:sz w:val="24"/>
              </w:rPr>
              <w:t> </w:t>
            </w:r>
            <w:r>
              <w:rPr>
                <w:sz w:val="24"/>
              </w:rPr>
              <w:t>for</w:t>
            </w:r>
            <w:r>
              <w:rPr>
                <w:spacing w:val="-2"/>
                <w:sz w:val="24"/>
              </w:rPr>
              <w:t> employees</w:t>
            </w:r>
          </w:p>
        </w:tc>
        <w:tc>
          <w:tcPr>
            <w:tcW w:w="1089" w:type="dxa"/>
            <w:shd w:val="clear" w:color="auto" w:fill="EEECE1"/>
          </w:tcPr>
          <w:p>
            <w:pPr>
              <w:pStyle w:val="TableParagraph"/>
              <w:spacing w:line="270" w:lineRule="exact"/>
              <w:ind w:left="115"/>
              <w:rPr>
                <w:sz w:val="24"/>
              </w:rPr>
            </w:pPr>
            <w:r>
              <w:rPr>
                <w:spacing w:val="-2"/>
                <w:sz w:val="24"/>
              </w:rPr>
              <w:t>2.1815</w:t>
            </w:r>
          </w:p>
        </w:tc>
      </w:tr>
      <w:tr>
        <w:trPr>
          <w:trHeight w:val="415" w:hRule="atLeast"/>
        </w:trPr>
        <w:tc>
          <w:tcPr>
            <w:tcW w:w="523" w:type="dxa"/>
          </w:tcPr>
          <w:p>
            <w:pPr>
              <w:pStyle w:val="TableParagraph"/>
              <w:spacing w:line="270" w:lineRule="exact"/>
              <w:ind w:right="66"/>
              <w:jc w:val="center"/>
              <w:rPr>
                <w:sz w:val="24"/>
              </w:rPr>
            </w:pPr>
            <w:r>
              <w:rPr>
                <w:spacing w:val="-5"/>
                <w:sz w:val="24"/>
              </w:rPr>
              <w:t>16</w:t>
            </w:r>
          </w:p>
        </w:tc>
        <w:tc>
          <w:tcPr>
            <w:tcW w:w="7051" w:type="dxa"/>
          </w:tcPr>
          <w:p>
            <w:pPr>
              <w:pStyle w:val="TableParagraph"/>
              <w:spacing w:line="270" w:lineRule="exact"/>
              <w:ind w:left="175"/>
              <w:rPr>
                <w:sz w:val="24"/>
              </w:rPr>
            </w:pPr>
            <w:r>
              <w:rPr>
                <w:sz w:val="24"/>
              </w:rPr>
              <w:t>Most</w:t>
            </w:r>
            <w:r>
              <w:rPr>
                <w:spacing w:val="-4"/>
                <w:sz w:val="24"/>
              </w:rPr>
              <w:t> </w:t>
            </w:r>
            <w:r>
              <w:rPr>
                <w:sz w:val="24"/>
              </w:rPr>
              <w:t>employees</w:t>
            </w:r>
            <w:r>
              <w:rPr>
                <w:spacing w:val="-2"/>
                <w:sz w:val="24"/>
              </w:rPr>
              <w:t> </w:t>
            </w:r>
            <w:r>
              <w:rPr>
                <w:sz w:val="24"/>
              </w:rPr>
              <w:t>suggestions</w:t>
            </w:r>
            <w:r>
              <w:rPr>
                <w:spacing w:val="-2"/>
                <w:sz w:val="24"/>
              </w:rPr>
              <w:t> </w:t>
            </w:r>
            <w:r>
              <w:rPr>
                <w:sz w:val="24"/>
              </w:rPr>
              <w:t>are</w:t>
            </w:r>
            <w:r>
              <w:rPr>
                <w:spacing w:val="-2"/>
                <w:sz w:val="24"/>
              </w:rPr>
              <w:t> </w:t>
            </w:r>
            <w:r>
              <w:rPr>
                <w:sz w:val="24"/>
              </w:rPr>
              <w:t>implemented after</w:t>
            </w:r>
            <w:r>
              <w:rPr>
                <w:spacing w:val="-3"/>
                <w:sz w:val="24"/>
              </w:rPr>
              <w:t> </w:t>
            </w:r>
            <w:r>
              <w:rPr>
                <w:sz w:val="24"/>
              </w:rPr>
              <w:t>an</w:t>
            </w:r>
            <w:r>
              <w:rPr>
                <w:spacing w:val="-1"/>
                <w:sz w:val="24"/>
              </w:rPr>
              <w:t> </w:t>
            </w:r>
            <w:r>
              <w:rPr>
                <w:spacing w:val="-2"/>
                <w:sz w:val="24"/>
              </w:rPr>
              <w:t>evaluation</w:t>
            </w:r>
          </w:p>
        </w:tc>
        <w:tc>
          <w:tcPr>
            <w:tcW w:w="1089" w:type="dxa"/>
          </w:tcPr>
          <w:p>
            <w:pPr>
              <w:pStyle w:val="TableParagraph"/>
              <w:spacing w:line="270" w:lineRule="exact"/>
              <w:ind w:left="115"/>
              <w:rPr>
                <w:sz w:val="24"/>
              </w:rPr>
            </w:pPr>
            <w:r>
              <w:rPr>
                <w:spacing w:val="-2"/>
                <w:sz w:val="24"/>
              </w:rPr>
              <w:t>2.5545</w:t>
            </w:r>
          </w:p>
        </w:tc>
      </w:tr>
      <w:tr>
        <w:trPr>
          <w:trHeight w:val="412" w:hRule="atLeast"/>
        </w:trPr>
        <w:tc>
          <w:tcPr>
            <w:tcW w:w="523" w:type="dxa"/>
            <w:shd w:val="clear" w:color="auto" w:fill="EEECE1"/>
          </w:tcPr>
          <w:p>
            <w:pPr>
              <w:pStyle w:val="TableParagraph"/>
              <w:rPr>
                <w:sz w:val="24"/>
              </w:rPr>
            </w:pPr>
          </w:p>
        </w:tc>
        <w:tc>
          <w:tcPr>
            <w:tcW w:w="7051" w:type="dxa"/>
            <w:shd w:val="clear" w:color="auto" w:fill="EEECE1"/>
          </w:tcPr>
          <w:p>
            <w:pPr>
              <w:pStyle w:val="TableParagraph"/>
              <w:spacing w:line="275" w:lineRule="exact"/>
              <w:ind w:left="175"/>
              <w:rPr>
                <w:b/>
                <w:sz w:val="24"/>
              </w:rPr>
            </w:pPr>
            <w:r>
              <w:rPr>
                <w:b/>
                <w:sz w:val="24"/>
                <w:u w:val="single"/>
              </w:rPr>
              <w:t>Recognition</w:t>
            </w:r>
            <w:r>
              <w:rPr>
                <w:b/>
                <w:spacing w:val="-2"/>
                <w:sz w:val="24"/>
                <w:u w:val="single"/>
              </w:rPr>
              <w:t> </w:t>
            </w:r>
            <w:r>
              <w:rPr>
                <w:b/>
                <w:sz w:val="24"/>
                <w:u w:val="single"/>
              </w:rPr>
              <w:t>and</w:t>
            </w:r>
            <w:r>
              <w:rPr>
                <w:b/>
                <w:spacing w:val="-2"/>
                <w:sz w:val="24"/>
                <w:u w:val="single"/>
              </w:rPr>
              <w:t> Reward</w:t>
            </w:r>
          </w:p>
        </w:tc>
        <w:tc>
          <w:tcPr>
            <w:tcW w:w="1089" w:type="dxa"/>
            <w:shd w:val="clear" w:color="auto" w:fill="EEECE1"/>
          </w:tcPr>
          <w:p>
            <w:pPr>
              <w:pStyle w:val="TableParagraph"/>
              <w:rPr>
                <w:sz w:val="24"/>
              </w:rPr>
            </w:pPr>
          </w:p>
        </w:tc>
      </w:tr>
      <w:tr>
        <w:trPr>
          <w:trHeight w:val="828" w:hRule="atLeast"/>
        </w:trPr>
        <w:tc>
          <w:tcPr>
            <w:tcW w:w="523" w:type="dxa"/>
          </w:tcPr>
          <w:p>
            <w:pPr>
              <w:pStyle w:val="TableParagraph"/>
              <w:spacing w:line="270" w:lineRule="exact"/>
              <w:ind w:right="66"/>
              <w:jc w:val="center"/>
              <w:rPr>
                <w:sz w:val="24"/>
              </w:rPr>
            </w:pPr>
            <w:r>
              <w:rPr>
                <w:spacing w:val="-5"/>
                <w:sz w:val="24"/>
              </w:rPr>
              <w:t>17</w:t>
            </w:r>
          </w:p>
        </w:tc>
        <w:tc>
          <w:tcPr>
            <w:tcW w:w="7051" w:type="dxa"/>
          </w:tcPr>
          <w:p>
            <w:pPr>
              <w:pStyle w:val="TableParagraph"/>
              <w:spacing w:line="270" w:lineRule="exact"/>
              <w:ind w:left="175"/>
              <w:rPr>
                <w:sz w:val="24"/>
              </w:rPr>
            </w:pPr>
            <w:r>
              <w:rPr>
                <w:sz w:val="24"/>
              </w:rPr>
              <w:t>Our</w:t>
            </w:r>
            <w:r>
              <w:rPr>
                <w:spacing w:val="-5"/>
                <w:sz w:val="24"/>
              </w:rPr>
              <w:t> </w:t>
            </w:r>
            <w:r>
              <w:rPr>
                <w:sz w:val="24"/>
              </w:rPr>
              <w:t>firm</w:t>
            </w:r>
            <w:r>
              <w:rPr>
                <w:spacing w:val="-1"/>
                <w:sz w:val="24"/>
              </w:rPr>
              <w:t> </w:t>
            </w:r>
            <w:r>
              <w:rPr>
                <w:sz w:val="24"/>
              </w:rPr>
              <w:t>improves</w:t>
            </w:r>
            <w:r>
              <w:rPr>
                <w:spacing w:val="-1"/>
                <w:sz w:val="24"/>
              </w:rPr>
              <w:t> </w:t>
            </w:r>
            <w:r>
              <w:rPr>
                <w:sz w:val="24"/>
              </w:rPr>
              <w:t>working</w:t>
            </w:r>
            <w:r>
              <w:rPr>
                <w:spacing w:val="-4"/>
                <w:sz w:val="24"/>
              </w:rPr>
              <w:t> </w:t>
            </w:r>
            <w:r>
              <w:rPr>
                <w:sz w:val="24"/>
              </w:rPr>
              <w:t>conditions</w:t>
            </w:r>
            <w:r>
              <w:rPr>
                <w:spacing w:val="-2"/>
                <w:sz w:val="24"/>
              </w:rPr>
              <w:t> </w:t>
            </w:r>
            <w:r>
              <w:rPr>
                <w:sz w:val="24"/>
              </w:rPr>
              <w:t>in</w:t>
            </w:r>
            <w:r>
              <w:rPr>
                <w:spacing w:val="-1"/>
                <w:sz w:val="24"/>
              </w:rPr>
              <w:t> </w:t>
            </w:r>
            <w:r>
              <w:rPr>
                <w:sz w:val="24"/>
              </w:rPr>
              <w:t>order</w:t>
            </w:r>
            <w:r>
              <w:rPr>
                <w:spacing w:val="-2"/>
                <w:sz w:val="24"/>
              </w:rPr>
              <w:t> </w:t>
            </w:r>
            <w:r>
              <w:rPr>
                <w:sz w:val="24"/>
              </w:rPr>
              <w:t>to</w:t>
            </w:r>
            <w:r>
              <w:rPr>
                <w:spacing w:val="1"/>
                <w:sz w:val="24"/>
              </w:rPr>
              <w:t> </w:t>
            </w:r>
            <w:r>
              <w:rPr>
                <w:sz w:val="24"/>
              </w:rPr>
              <w:t>recognize</w:t>
            </w:r>
            <w:r>
              <w:rPr>
                <w:spacing w:val="-2"/>
                <w:sz w:val="24"/>
              </w:rPr>
              <w:t> employee</w:t>
            </w:r>
          </w:p>
          <w:p>
            <w:pPr>
              <w:pStyle w:val="TableParagraph"/>
              <w:spacing w:before="139"/>
              <w:ind w:left="175"/>
              <w:rPr>
                <w:sz w:val="24"/>
              </w:rPr>
            </w:pPr>
            <w:r>
              <w:rPr>
                <w:sz w:val="24"/>
              </w:rPr>
              <w:t>quality</w:t>
            </w:r>
            <w:r>
              <w:rPr>
                <w:spacing w:val="-6"/>
                <w:sz w:val="24"/>
              </w:rPr>
              <w:t> </w:t>
            </w:r>
            <w:r>
              <w:rPr>
                <w:sz w:val="24"/>
              </w:rPr>
              <w:t>management </w:t>
            </w:r>
            <w:r>
              <w:rPr>
                <w:spacing w:val="-2"/>
                <w:sz w:val="24"/>
              </w:rPr>
              <w:t>efforts</w:t>
            </w:r>
          </w:p>
        </w:tc>
        <w:tc>
          <w:tcPr>
            <w:tcW w:w="1089" w:type="dxa"/>
          </w:tcPr>
          <w:p>
            <w:pPr>
              <w:pStyle w:val="TableParagraph"/>
              <w:spacing w:line="270" w:lineRule="exact"/>
              <w:ind w:left="115"/>
              <w:rPr>
                <w:sz w:val="24"/>
              </w:rPr>
            </w:pPr>
            <w:r>
              <w:rPr>
                <w:spacing w:val="-2"/>
                <w:sz w:val="24"/>
              </w:rPr>
              <w:t>2.7228</w:t>
            </w:r>
          </w:p>
        </w:tc>
      </w:tr>
      <w:tr>
        <w:trPr>
          <w:trHeight w:val="827" w:hRule="atLeast"/>
        </w:trPr>
        <w:tc>
          <w:tcPr>
            <w:tcW w:w="523" w:type="dxa"/>
            <w:shd w:val="clear" w:color="auto" w:fill="EEECE1"/>
          </w:tcPr>
          <w:p>
            <w:pPr>
              <w:pStyle w:val="TableParagraph"/>
              <w:spacing w:line="270" w:lineRule="exact"/>
              <w:ind w:right="66"/>
              <w:jc w:val="center"/>
              <w:rPr>
                <w:sz w:val="24"/>
              </w:rPr>
            </w:pPr>
            <w:r>
              <w:rPr>
                <w:spacing w:val="-5"/>
                <w:sz w:val="24"/>
              </w:rPr>
              <w:t>18</w:t>
            </w:r>
          </w:p>
        </w:tc>
        <w:tc>
          <w:tcPr>
            <w:tcW w:w="7051" w:type="dxa"/>
            <w:shd w:val="clear" w:color="auto" w:fill="EEECE1"/>
          </w:tcPr>
          <w:p>
            <w:pPr>
              <w:pStyle w:val="TableParagraph"/>
              <w:spacing w:line="270" w:lineRule="exact"/>
              <w:ind w:left="175"/>
              <w:rPr>
                <w:sz w:val="24"/>
              </w:rPr>
            </w:pPr>
            <w:r>
              <w:rPr>
                <w:sz w:val="24"/>
              </w:rPr>
              <w:t>Our</w:t>
            </w:r>
            <w:r>
              <w:rPr>
                <w:spacing w:val="-4"/>
                <w:sz w:val="24"/>
              </w:rPr>
              <w:t> </w:t>
            </w:r>
            <w:r>
              <w:rPr>
                <w:sz w:val="24"/>
              </w:rPr>
              <w:t>firm has</w:t>
            </w:r>
            <w:r>
              <w:rPr>
                <w:spacing w:val="-1"/>
                <w:sz w:val="24"/>
              </w:rPr>
              <w:t> </w:t>
            </w:r>
            <w:r>
              <w:rPr>
                <w:sz w:val="24"/>
              </w:rPr>
              <w:t>salary</w:t>
            </w:r>
            <w:r>
              <w:rPr>
                <w:spacing w:val="-5"/>
                <w:sz w:val="24"/>
              </w:rPr>
              <w:t> </w:t>
            </w:r>
            <w:r>
              <w:rPr>
                <w:sz w:val="24"/>
              </w:rPr>
              <w:t>promotion</w:t>
            </w:r>
            <w:r>
              <w:rPr>
                <w:spacing w:val="-1"/>
                <w:sz w:val="24"/>
              </w:rPr>
              <w:t> </w:t>
            </w:r>
            <w:r>
              <w:rPr>
                <w:sz w:val="24"/>
              </w:rPr>
              <w:t>scheme</w:t>
            </w:r>
            <w:r>
              <w:rPr>
                <w:spacing w:val="-1"/>
                <w:sz w:val="24"/>
              </w:rPr>
              <w:t> </w:t>
            </w:r>
            <w:r>
              <w:rPr>
                <w:sz w:val="24"/>
              </w:rPr>
              <w:t>to</w:t>
            </w:r>
            <w:r>
              <w:rPr>
                <w:spacing w:val="59"/>
                <w:sz w:val="24"/>
              </w:rPr>
              <w:t> </w:t>
            </w:r>
            <w:r>
              <w:rPr>
                <w:sz w:val="24"/>
              </w:rPr>
              <w:t>encourage</w:t>
            </w:r>
            <w:r>
              <w:rPr>
                <w:spacing w:val="1"/>
                <w:sz w:val="24"/>
              </w:rPr>
              <w:t> </w:t>
            </w:r>
            <w:r>
              <w:rPr>
                <w:spacing w:val="-2"/>
                <w:sz w:val="24"/>
              </w:rPr>
              <w:t>employee</w:t>
            </w:r>
          </w:p>
          <w:p>
            <w:pPr>
              <w:pStyle w:val="TableParagraph"/>
              <w:spacing w:before="139"/>
              <w:ind w:left="175"/>
              <w:rPr>
                <w:sz w:val="24"/>
              </w:rPr>
            </w:pPr>
            <w:r>
              <w:rPr>
                <w:sz w:val="24"/>
              </w:rPr>
              <w:t>participation</w:t>
            </w:r>
            <w:r>
              <w:rPr>
                <w:spacing w:val="-2"/>
                <w:sz w:val="24"/>
              </w:rPr>
              <w:t> </w:t>
            </w:r>
            <w:r>
              <w:rPr>
                <w:sz w:val="24"/>
              </w:rPr>
              <w:t>in</w:t>
            </w:r>
            <w:r>
              <w:rPr>
                <w:spacing w:val="-1"/>
                <w:sz w:val="24"/>
              </w:rPr>
              <w:t> </w:t>
            </w:r>
            <w:r>
              <w:rPr>
                <w:sz w:val="24"/>
              </w:rPr>
              <w:t>quality</w:t>
            </w:r>
            <w:r>
              <w:rPr>
                <w:spacing w:val="-5"/>
                <w:sz w:val="24"/>
              </w:rPr>
              <w:t> </w:t>
            </w:r>
            <w:r>
              <w:rPr>
                <w:spacing w:val="-2"/>
                <w:sz w:val="24"/>
              </w:rPr>
              <w:t>management</w:t>
            </w:r>
          </w:p>
        </w:tc>
        <w:tc>
          <w:tcPr>
            <w:tcW w:w="1089" w:type="dxa"/>
            <w:shd w:val="clear" w:color="auto" w:fill="EEECE1"/>
          </w:tcPr>
          <w:p>
            <w:pPr>
              <w:pStyle w:val="TableParagraph"/>
              <w:spacing w:line="270" w:lineRule="exact"/>
              <w:ind w:left="115"/>
              <w:rPr>
                <w:sz w:val="24"/>
              </w:rPr>
            </w:pPr>
            <w:r>
              <w:rPr>
                <w:spacing w:val="-2"/>
                <w:sz w:val="24"/>
              </w:rPr>
              <w:t>2.4356</w:t>
            </w:r>
          </w:p>
        </w:tc>
      </w:tr>
      <w:tr>
        <w:trPr>
          <w:trHeight w:val="415" w:hRule="atLeast"/>
        </w:trPr>
        <w:tc>
          <w:tcPr>
            <w:tcW w:w="523" w:type="dxa"/>
          </w:tcPr>
          <w:p>
            <w:pPr>
              <w:pStyle w:val="TableParagraph"/>
              <w:spacing w:line="270" w:lineRule="exact"/>
              <w:ind w:right="66"/>
              <w:jc w:val="center"/>
              <w:rPr>
                <w:sz w:val="24"/>
              </w:rPr>
            </w:pPr>
            <w:r>
              <w:rPr>
                <w:spacing w:val="-5"/>
                <w:sz w:val="24"/>
              </w:rPr>
              <w:t>19</w:t>
            </w:r>
          </w:p>
        </w:tc>
        <w:tc>
          <w:tcPr>
            <w:tcW w:w="7051" w:type="dxa"/>
          </w:tcPr>
          <w:p>
            <w:pPr>
              <w:pStyle w:val="TableParagraph"/>
              <w:spacing w:line="270" w:lineRule="exact"/>
              <w:ind w:left="175"/>
              <w:rPr>
                <w:sz w:val="24"/>
              </w:rPr>
            </w:pPr>
            <w:r>
              <w:rPr>
                <w:sz w:val="24"/>
              </w:rPr>
              <w:t>Position</w:t>
            </w:r>
            <w:r>
              <w:rPr>
                <w:spacing w:val="-3"/>
                <w:sz w:val="24"/>
              </w:rPr>
              <w:t> </w:t>
            </w:r>
            <w:r>
              <w:rPr>
                <w:sz w:val="24"/>
              </w:rPr>
              <w:t>promotions are</w:t>
            </w:r>
            <w:r>
              <w:rPr>
                <w:spacing w:val="-1"/>
                <w:sz w:val="24"/>
              </w:rPr>
              <w:t> </w:t>
            </w:r>
            <w:r>
              <w:rPr>
                <w:sz w:val="24"/>
              </w:rPr>
              <w:t>based on working</w:t>
            </w:r>
            <w:r>
              <w:rPr>
                <w:spacing w:val="-3"/>
                <w:sz w:val="24"/>
              </w:rPr>
              <w:t> </w:t>
            </w:r>
            <w:r>
              <w:rPr>
                <w:sz w:val="24"/>
              </w:rPr>
              <w:t>quality</w:t>
            </w:r>
            <w:r>
              <w:rPr>
                <w:spacing w:val="-3"/>
                <w:sz w:val="24"/>
              </w:rPr>
              <w:t> </w:t>
            </w:r>
            <w:r>
              <w:rPr>
                <w:sz w:val="24"/>
              </w:rPr>
              <w:t>in our</w:t>
            </w:r>
            <w:r>
              <w:rPr>
                <w:spacing w:val="-1"/>
                <w:sz w:val="24"/>
              </w:rPr>
              <w:t> </w:t>
            </w:r>
            <w:r>
              <w:rPr>
                <w:spacing w:val="-4"/>
                <w:sz w:val="24"/>
              </w:rPr>
              <w:t>firm</w:t>
            </w:r>
          </w:p>
        </w:tc>
        <w:tc>
          <w:tcPr>
            <w:tcW w:w="1089" w:type="dxa"/>
          </w:tcPr>
          <w:p>
            <w:pPr>
              <w:pStyle w:val="TableParagraph"/>
              <w:spacing w:line="270" w:lineRule="exact"/>
              <w:ind w:left="115"/>
              <w:rPr>
                <w:sz w:val="24"/>
              </w:rPr>
            </w:pPr>
            <w:r>
              <w:rPr>
                <w:spacing w:val="-2"/>
                <w:sz w:val="24"/>
              </w:rPr>
              <w:t>2.4455</w:t>
            </w:r>
          </w:p>
        </w:tc>
      </w:tr>
      <w:tr>
        <w:trPr>
          <w:trHeight w:val="412" w:hRule="atLeast"/>
        </w:trPr>
        <w:tc>
          <w:tcPr>
            <w:tcW w:w="523" w:type="dxa"/>
            <w:shd w:val="clear" w:color="auto" w:fill="EEECE1"/>
          </w:tcPr>
          <w:p>
            <w:pPr>
              <w:pStyle w:val="TableParagraph"/>
              <w:spacing w:line="270" w:lineRule="exact"/>
              <w:ind w:right="66"/>
              <w:jc w:val="center"/>
              <w:rPr>
                <w:sz w:val="24"/>
              </w:rPr>
            </w:pPr>
            <w:r>
              <w:rPr>
                <w:spacing w:val="-5"/>
                <w:sz w:val="24"/>
              </w:rPr>
              <w:t>20</w:t>
            </w:r>
          </w:p>
        </w:tc>
        <w:tc>
          <w:tcPr>
            <w:tcW w:w="7051" w:type="dxa"/>
            <w:shd w:val="clear" w:color="auto" w:fill="EEECE1"/>
          </w:tcPr>
          <w:p>
            <w:pPr>
              <w:pStyle w:val="TableParagraph"/>
              <w:spacing w:line="270" w:lineRule="exact"/>
              <w:ind w:left="175"/>
              <w:rPr>
                <w:sz w:val="24"/>
              </w:rPr>
            </w:pPr>
            <w:r>
              <w:rPr>
                <w:sz w:val="24"/>
              </w:rPr>
              <w:t>Excellent</w:t>
            </w:r>
            <w:r>
              <w:rPr>
                <w:spacing w:val="-3"/>
                <w:sz w:val="24"/>
              </w:rPr>
              <w:t> </w:t>
            </w:r>
            <w:r>
              <w:rPr>
                <w:sz w:val="24"/>
              </w:rPr>
              <w:t>suggestions</w:t>
            </w:r>
            <w:r>
              <w:rPr>
                <w:spacing w:val="-2"/>
                <w:sz w:val="24"/>
              </w:rPr>
              <w:t> </w:t>
            </w:r>
            <w:r>
              <w:rPr>
                <w:sz w:val="24"/>
              </w:rPr>
              <w:t>are</w:t>
            </w:r>
            <w:r>
              <w:rPr>
                <w:spacing w:val="-1"/>
                <w:sz w:val="24"/>
              </w:rPr>
              <w:t> </w:t>
            </w:r>
            <w:r>
              <w:rPr>
                <w:sz w:val="24"/>
              </w:rPr>
              <w:t>financially</w:t>
            </w:r>
            <w:r>
              <w:rPr>
                <w:spacing w:val="-6"/>
                <w:sz w:val="24"/>
              </w:rPr>
              <w:t> </w:t>
            </w:r>
            <w:r>
              <w:rPr>
                <w:spacing w:val="-2"/>
                <w:sz w:val="24"/>
              </w:rPr>
              <w:t>rewarded</w:t>
            </w:r>
          </w:p>
        </w:tc>
        <w:tc>
          <w:tcPr>
            <w:tcW w:w="1089" w:type="dxa"/>
            <w:shd w:val="clear" w:color="auto" w:fill="EEECE1"/>
          </w:tcPr>
          <w:p>
            <w:pPr>
              <w:pStyle w:val="TableParagraph"/>
              <w:spacing w:line="270" w:lineRule="exact"/>
              <w:ind w:left="115"/>
              <w:rPr>
                <w:sz w:val="24"/>
              </w:rPr>
            </w:pPr>
            <w:r>
              <w:rPr>
                <w:spacing w:val="-2"/>
                <w:sz w:val="24"/>
              </w:rPr>
              <w:t>2.1914</w:t>
            </w:r>
          </w:p>
        </w:tc>
      </w:tr>
      <w:tr>
        <w:trPr>
          <w:trHeight w:val="415" w:hRule="atLeast"/>
        </w:trPr>
        <w:tc>
          <w:tcPr>
            <w:tcW w:w="523" w:type="dxa"/>
          </w:tcPr>
          <w:p>
            <w:pPr>
              <w:pStyle w:val="TableParagraph"/>
              <w:rPr>
                <w:sz w:val="24"/>
              </w:rPr>
            </w:pPr>
          </w:p>
        </w:tc>
        <w:tc>
          <w:tcPr>
            <w:tcW w:w="7051" w:type="dxa"/>
          </w:tcPr>
          <w:p>
            <w:pPr>
              <w:pStyle w:val="TableParagraph"/>
              <w:spacing w:line="275" w:lineRule="exact"/>
              <w:ind w:left="175"/>
              <w:rPr>
                <w:b/>
                <w:sz w:val="24"/>
              </w:rPr>
            </w:pPr>
            <w:r>
              <w:rPr>
                <w:b/>
                <w:spacing w:val="-2"/>
                <w:sz w:val="24"/>
                <w:u w:val="single"/>
              </w:rPr>
              <w:t>Training</w:t>
            </w:r>
          </w:p>
        </w:tc>
        <w:tc>
          <w:tcPr>
            <w:tcW w:w="1089" w:type="dxa"/>
          </w:tcPr>
          <w:p>
            <w:pPr>
              <w:pStyle w:val="TableParagraph"/>
              <w:rPr>
                <w:sz w:val="24"/>
              </w:rPr>
            </w:pPr>
          </w:p>
        </w:tc>
      </w:tr>
      <w:tr>
        <w:trPr>
          <w:trHeight w:val="412" w:hRule="atLeast"/>
        </w:trPr>
        <w:tc>
          <w:tcPr>
            <w:tcW w:w="523" w:type="dxa"/>
            <w:shd w:val="clear" w:color="auto" w:fill="EEECE1"/>
          </w:tcPr>
          <w:p>
            <w:pPr>
              <w:pStyle w:val="TableParagraph"/>
              <w:spacing w:line="270" w:lineRule="exact"/>
              <w:ind w:right="66"/>
              <w:jc w:val="center"/>
              <w:rPr>
                <w:sz w:val="24"/>
              </w:rPr>
            </w:pPr>
            <w:r>
              <w:rPr>
                <w:spacing w:val="-5"/>
                <w:sz w:val="24"/>
              </w:rPr>
              <w:t>21</w:t>
            </w:r>
          </w:p>
        </w:tc>
        <w:tc>
          <w:tcPr>
            <w:tcW w:w="7051" w:type="dxa"/>
            <w:shd w:val="clear" w:color="auto" w:fill="EEECE1"/>
          </w:tcPr>
          <w:p>
            <w:pPr>
              <w:pStyle w:val="TableParagraph"/>
              <w:spacing w:line="270" w:lineRule="exact"/>
              <w:ind w:left="175"/>
              <w:rPr>
                <w:sz w:val="24"/>
              </w:rPr>
            </w:pPr>
            <w:r>
              <w:rPr>
                <w:sz w:val="24"/>
              </w:rPr>
              <w:t>Employees</w:t>
            </w:r>
            <w:r>
              <w:rPr>
                <w:spacing w:val="-1"/>
                <w:sz w:val="24"/>
              </w:rPr>
              <w:t> </w:t>
            </w:r>
            <w:r>
              <w:rPr>
                <w:sz w:val="24"/>
              </w:rPr>
              <w:t>get</w:t>
            </w:r>
            <w:r>
              <w:rPr>
                <w:spacing w:val="-1"/>
                <w:sz w:val="24"/>
              </w:rPr>
              <w:t> </w:t>
            </w:r>
            <w:r>
              <w:rPr>
                <w:sz w:val="24"/>
              </w:rPr>
              <w:t>training</w:t>
            </w:r>
            <w:r>
              <w:rPr>
                <w:spacing w:val="-3"/>
                <w:sz w:val="24"/>
              </w:rPr>
              <w:t> </w:t>
            </w:r>
            <w:r>
              <w:rPr>
                <w:sz w:val="24"/>
              </w:rPr>
              <w:t>regularly</w:t>
            </w:r>
            <w:r>
              <w:rPr>
                <w:spacing w:val="-6"/>
                <w:sz w:val="24"/>
              </w:rPr>
              <w:t> </w:t>
            </w:r>
            <w:r>
              <w:rPr>
                <w:sz w:val="24"/>
              </w:rPr>
              <w:t>to improve</w:t>
            </w:r>
            <w:r>
              <w:rPr>
                <w:spacing w:val="-2"/>
                <w:sz w:val="24"/>
              </w:rPr>
              <w:t> </w:t>
            </w:r>
            <w:r>
              <w:rPr>
                <w:sz w:val="24"/>
              </w:rPr>
              <w:t>company</w:t>
            </w:r>
            <w:r>
              <w:rPr>
                <w:spacing w:val="-5"/>
                <w:sz w:val="24"/>
              </w:rPr>
              <w:t> </w:t>
            </w:r>
            <w:r>
              <w:rPr>
                <w:spacing w:val="-2"/>
                <w:sz w:val="24"/>
              </w:rPr>
              <w:t>outputs</w:t>
            </w:r>
          </w:p>
        </w:tc>
        <w:tc>
          <w:tcPr>
            <w:tcW w:w="1089" w:type="dxa"/>
            <w:shd w:val="clear" w:color="auto" w:fill="EEECE1"/>
          </w:tcPr>
          <w:p>
            <w:pPr>
              <w:pStyle w:val="TableParagraph"/>
              <w:spacing w:line="270" w:lineRule="exact"/>
              <w:ind w:left="115"/>
              <w:rPr>
                <w:sz w:val="24"/>
              </w:rPr>
            </w:pPr>
            <w:r>
              <w:rPr>
                <w:spacing w:val="-2"/>
                <w:sz w:val="24"/>
              </w:rPr>
              <w:t>2.5182</w:t>
            </w:r>
          </w:p>
        </w:tc>
      </w:tr>
      <w:tr>
        <w:trPr>
          <w:trHeight w:val="415" w:hRule="atLeast"/>
        </w:trPr>
        <w:tc>
          <w:tcPr>
            <w:tcW w:w="523" w:type="dxa"/>
          </w:tcPr>
          <w:p>
            <w:pPr>
              <w:pStyle w:val="TableParagraph"/>
              <w:spacing w:line="270" w:lineRule="exact"/>
              <w:ind w:right="66"/>
              <w:jc w:val="center"/>
              <w:rPr>
                <w:sz w:val="24"/>
              </w:rPr>
            </w:pPr>
            <w:r>
              <w:rPr>
                <w:spacing w:val="-5"/>
                <w:sz w:val="24"/>
              </w:rPr>
              <w:t>22</w:t>
            </w:r>
          </w:p>
        </w:tc>
        <w:tc>
          <w:tcPr>
            <w:tcW w:w="7051" w:type="dxa"/>
          </w:tcPr>
          <w:p>
            <w:pPr>
              <w:pStyle w:val="TableParagraph"/>
              <w:spacing w:line="270" w:lineRule="exact"/>
              <w:ind w:left="175"/>
              <w:rPr>
                <w:sz w:val="24"/>
              </w:rPr>
            </w:pPr>
            <w:r>
              <w:rPr>
                <w:sz w:val="24"/>
              </w:rPr>
              <w:t>Adequate</w:t>
            </w:r>
            <w:r>
              <w:rPr>
                <w:spacing w:val="-5"/>
                <w:sz w:val="24"/>
              </w:rPr>
              <w:t> </w:t>
            </w:r>
            <w:r>
              <w:rPr>
                <w:sz w:val="24"/>
              </w:rPr>
              <w:t>resources</w:t>
            </w:r>
            <w:r>
              <w:rPr>
                <w:spacing w:val="-1"/>
                <w:sz w:val="24"/>
              </w:rPr>
              <w:t> </w:t>
            </w:r>
            <w:r>
              <w:rPr>
                <w:sz w:val="24"/>
              </w:rPr>
              <w:t>are</w:t>
            </w:r>
            <w:r>
              <w:rPr>
                <w:spacing w:val="-3"/>
                <w:sz w:val="24"/>
              </w:rPr>
              <w:t> </w:t>
            </w:r>
            <w:r>
              <w:rPr>
                <w:sz w:val="24"/>
              </w:rPr>
              <w:t>arranged for</w:t>
            </w:r>
            <w:r>
              <w:rPr>
                <w:spacing w:val="-2"/>
                <w:sz w:val="24"/>
              </w:rPr>
              <w:t> </w:t>
            </w:r>
            <w:r>
              <w:rPr>
                <w:sz w:val="24"/>
              </w:rPr>
              <w:t>employee</w:t>
            </w:r>
            <w:r>
              <w:rPr>
                <w:spacing w:val="-2"/>
                <w:sz w:val="24"/>
              </w:rPr>
              <w:t> </w:t>
            </w:r>
            <w:r>
              <w:rPr>
                <w:sz w:val="24"/>
              </w:rPr>
              <w:t>education</w:t>
            </w:r>
            <w:r>
              <w:rPr>
                <w:spacing w:val="-2"/>
                <w:sz w:val="24"/>
              </w:rPr>
              <w:t> </w:t>
            </w:r>
            <w:r>
              <w:rPr>
                <w:sz w:val="24"/>
              </w:rPr>
              <w:t>and</w:t>
            </w:r>
            <w:r>
              <w:rPr>
                <w:spacing w:val="-1"/>
                <w:sz w:val="24"/>
              </w:rPr>
              <w:t> </w:t>
            </w:r>
            <w:r>
              <w:rPr>
                <w:spacing w:val="-2"/>
                <w:sz w:val="24"/>
              </w:rPr>
              <w:t>training</w:t>
            </w:r>
          </w:p>
        </w:tc>
        <w:tc>
          <w:tcPr>
            <w:tcW w:w="1089" w:type="dxa"/>
          </w:tcPr>
          <w:p>
            <w:pPr>
              <w:pStyle w:val="TableParagraph"/>
              <w:spacing w:line="270" w:lineRule="exact"/>
              <w:ind w:left="115"/>
              <w:rPr>
                <w:sz w:val="24"/>
              </w:rPr>
            </w:pPr>
            <w:r>
              <w:rPr>
                <w:spacing w:val="-2"/>
                <w:sz w:val="24"/>
              </w:rPr>
              <w:t>2.4719</w:t>
            </w:r>
          </w:p>
        </w:tc>
      </w:tr>
      <w:tr>
        <w:trPr>
          <w:trHeight w:val="412" w:hRule="atLeast"/>
        </w:trPr>
        <w:tc>
          <w:tcPr>
            <w:tcW w:w="523" w:type="dxa"/>
            <w:shd w:val="clear" w:color="auto" w:fill="EEECE1"/>
          </w:tcPr>
          <w:p>
            <w:pPr>
              <w:pStyle w:val="TableParagraph"/>
              <w:spacing w:line="270" w:lineRule="exact"/>
              <w:ind w:right="66"/>
              <w:jc w:val="center"/>
              <w:rPr>
                <w:sz w:val="24"/>
              </w:rPr>
            </w:pPr>
            <w:r>
              <w:rPr>
                <w:spacing w:val="-5"/>
                <w:sz w:val="24"/>
              </w:rPr>
              <w:t>23</w:t>
            </w:r>
          </w:p>
        </w:tc>
        <w:tc>
          <w:tcPr>
            <w:tcW w:w="7051" w:type="dxa"/>
            <w:shd w:val="clear" w:color="auto" w:fill="EEECE1"/>
          </w:tcPr>
          <w:p>
            <w:pPr>
              <w:pStyle w:val="TableParagraph"/>
              <w:spacing w:line="270" w:lineRule="exact"/>
              <w:ind w:left="175"/>
              <w:rPr>
                <w:sz w:val="24"/>
              </w:rPr>
            </w:pPr>
            <w:r>
              <w:rPr>
                <w:sz w:val="24"/>
              </w:rPr>
              <w:t>The</w:t>
            </w:r>
            <w:r>
              <w:rPr>
                <w:spacing w:val="-2"/>
                <w:sz w:val="24"/>
              </w:rPr>
              <w:t> </w:t>
            </w:r>
            <w:r>
              <w:rPr>
                <w:sz w:val="24"/>
              </w:rPr>
              <w:t>company</w:t>
            </w:r>
            <w:r>
              <w:rPr>
                <w:spacing w:val="-6"/>
                <w:sz w:val="24"/>
              </w:rPr>
              <w:t> </w:t>
            </w:r>
            <w:r>
              <w:rPr>
                <w:sz w:val="24"/>
              </w:rPr>
              <w:t>has scheduled</w:t>
            </w:r>
            <w:r>
              <w:rPr>
                <w:spacing w:val="-1"/>
                <w:sz w:val="24"/>
              </w:rPr>
              <w:t> </w:t>
            </w:r>
            <w:r>
              <w:rPr>
                <w:sz w:val="24"/>
              </w:rPr>
              <w:t>employee</w:t>
            </w:r>
            <w:r>
              <w:rPr>
                <w:spacing w:val="-1"/>
                <w:sz w:val="24"/>
              </w:rPr>
              <w:t> </w:t>
            </w:r>
            <w:r>
              <w:rPr>
                <w:spacing w:val="-2"/>
                <w:sz w:val="24"/>
              </w:rPr>
              <w:t>training</w:t>
            </w:r>
          </w:p>
        </w:tc>
        <w:tc>
          <w:tcPr>
            <w:tcW w:w="1089" w:type="dxa"/>
            <w:shd w:val="clear" w:color="auto" w:fill="EEECE1"/>
          </w:tcPr>
          <w:p>
            <w:pPr>
              <w:pStyle w:val="TableParagraph"/>
              <w:spacing w:line="270" w:lineRule="exact"/>
              <w:ind w:left="115"/>
              <w:rPr>
                <w:sz w:val="24"/>
              </w:rPr>
            </w:pPr>
            <w:r>
              <w:rPr>
                <w:spacing w:val="-2"/>
                <w:sz w:val="24"/>
              </w:rPr>
              <w:t>2.4026</w:t>
            </w:r>
          </w:p>
        </w:tc>
      </w:tr>
      <w:tr>
        <w:trPr>
          <w:trHeight w:val="827" w:hRule="atLeast"/>
        </w:trPr>
        <w:tc>
          <w:tcPr>
            <w:tcW w:w="523" w:type="dxa"/>
          </w:tcPr>
          <w:p>
            <w:pPr>
              <w:pStyle w:val="TableParagraph"/>
              <w:spacing w:line="270" w:lineRule="exact"/>
              <w:ind w:right="66"/>
              <w:jc w:val="center"/>
              <w:rPr>
                <w:sz w:val="24"/>
              </w:rPr>
            </w:pPr>
            <w:r>
              <w:rPr>
                <w:spacing w:val="-5"/>
                <w:sz w:val="24"/>
              </w:rPr>
              <w:t>24</w:t>
            </w:r>
          </w:p>
        </w:tc>
        <w:tc>
          <w:tcPr>
            <w:tcW w:w="7051" w:type="dxa"/>
          </w:tcPr>
          <w:p>
            <w:pPr>
              <w:pStyle w:val="TableParagraph"/>
              <w:spacing w:line="270" w:lineRule="exact"/>
              <w:ind w:left="175"/>
              <w:rPr>
                <w:sz w:val="24"/>
              </w:rPr>
            </w:pPr>
            <w:r>
              <w:rPr>
                <w:sz w:val="24"/>
              </w:rPr>
              <w:t>There</w:t>
            </w:r>
            <w:r>
              <w:rPr>
                <w:spacing w:val="-4"/>
                <w:sz w:val="24"/>
              </w:rPr>
              <w:t> </w:t>
            </w:r>
            <w:r>
              <w:rPr>
                <w:sz w:val="24"/>
              </w:rPr>
              <w:t>is</w:t>
            </w:r>
            <w:r>
              <w:rPr>
                <w:spacing w:val="-1"/>
                <w:sz w:val="24"/>
              </w:rPr>
              <w:t> </w:t>
            </w:r>
            <w:r>
              <w:rPr>
                <w:sz w:val="24"/>
              </w:rPr>
              <w:t>scheduled training</w:t>
            </w:r>
            <w:r>
              <w:rPr>
                <w:spacing w:val="-4"/>
                <w:sz w:val="24"/>
              </w:rPr>
              <w:t> </w:t>
            </w:r>
            <w:r>
              <w:rPr>
                <w:sz w:val="24"/>
              </w:rPr>
              <w:t>for</w:t>
            </w:r>
            <w:r>
              <w:rPr>
                <w:spacing w:val="-2"/>
                <w:sz w:val="24"/>
              </w:rPr>
              <w:t> </w:t>
            </w:r>
            <w:r>
              <w:rPr>
                <w:sz w:val="24"/>
              </w:rPr>
              <w:t>the</w:t>
            </w:r>
            <w:r>
              <w:rPr>
                <w:spacing w:val="-1"/>
                <w:sz w:val="24"/>
              </w:rPr>
              <w:t> </w:t>
            </w:r>
            <w:r>
              <w:rPr>
                <w:sz w:val="24"/>
              </w:rPr>
              <w:t>further</w:t>
            </w:r>
            <w:r>
              <w:rPr>
                <w:spacing w:val="-2"/>
                <w:sz w:val="24"/>
              </w:rPr>
              <w:t> </w:t>
            </w:r>
            <w:r>
              <w:rPr>
                <w:sz w:val="24"/>
              </w:rPr>
              <w:t>development </w:t>
            </w:r>
            <w:r>
              <w:rPr>
                <w:spacing w:val="-5"/>
                <w:sz w:val="24"/>
              </w:rPr>
              <w:t>of</w:t>
            </w:r>
          </w:p>
          <w:p>
            <w:pPr>
              <w:pStyle w:val="TableParagraph"/>
              <w:spacing w:before="139"/>
              <w:ind w:left="175"/>
              <w:rPr>
                <w:sz w:val="24"/>
              </w:rPr>
            </w:pPr>
            <w:r>
              <w:rPr>
                <w:spacing w:val="-2"/>
                <w:sz w:val="24"/>
              </w:rPr>
              <w:t>management</w:t>
            </w:r>
          </w:p>
        </w:tc>
        <w:tc>
          <w:tcPr>
            <w:tcW w:w="1089" w:type="dxa"/>
          </w:tcPr>
          <w:p>
            <w:pPr>
              <w:pStyle w:val="TableParagraph"/>
              <w:spacing w:line="270" w:lineRule="exact"/>
              <w:ind w:left="115"/>
              <w:rPr>
                <w:sz w:val="24"/>
              </w:rPr>
            </w:pPr>
            <w:r>
              <w:rPr>
                <w:spacing w:val="-2"/>
                <w:sz w:val="24"/>
              </w:rPr>
              <w:t>2.6931</w:t>
            </w:r>
          </w:p>
        </w:tc>
      </w:tr>
      <w:tr>
        <w:trPr>
          <w:trHeight w:val="415" w:hRule="atLeast"/>
        </w:trPr>
        <w:tc>
          <w:tcPr>
            <w:tcW w:w="523" w:type="dxa"/>
            <w:shd w:val="clear" w:color="auto" w:fill="EEECE1"/>
          </w:tcPr>
          <w:p>
            <w:pPr>
              <w:pStyle w:val="TableParagraph"/>
              <w:rPr>
                <w:sz w:val="24"/>
              </w:rPr>
            </w:pPr>
          </w:p>
        </w:tc>
        <w:tc>
          <w:tcPr>
            <w:tcW w:w="7051" w:type="dxa"/>
            <w:shd w:val="clear" w:color="auto" w:fill="EEECE1"/>
          </w:tcPr>
          <w:p>
            <w:pPr>
              <w:pStyle w:val="TableParagraph"/>
              <w:spacing w:line="275" w:lineRule="exact"/>
              <w:ind w:left="175"/>
              <w:rPr>
                <w:b/>
                <w:sz w:val="24"/>
              </w:rPr>
            </w:pPr>
            <w:r>
              <w:rPr>
                <w:b/>
                <w:sz w:val="24"/>
                <w:u w:val="single"/>
              </w:rPr>
              <w:t>Quality</w:t>
            </w:r>
            <w:r>
              <w:rPr>
                <w:b/>
                <w:spacing w:val="-1"/>
                <w:sz w:val="24"/>
                <w:u w:val="single"/>
              </w:rPr>
              <w:t> </w:t>
            </w:r>
            <w:r>
              <w:rPr>
                <w:b/>
                <w:spacing w:val="-2"/>
                <w:sz w:val="24"/>
                <w:u w:val="single"/>
              </w:rPr>
              <w:t>Culture</w:t>
            </w:r>
          </w:p>
        </w:tc>
        <w:tc>
          <w:tcPr>
            <w:tcW w:w="1089" w:type="dxa"/>
            <w:shd w:val="clear" w:color="auto" w:fill="EEECE1"/>
          </w:tcPr>
          <w:p>
            <w:pPr>
              <w:pStyle w:val="TableParagraph"/>
              <w:rPr>
                <w:sz w:val="24"/>
              </w:rPr>
            </w:pPr>
          </w:p>
        </w:tc>
      </w:tr>
      <w:tr>
        <w:trPr>
          <w:trHeight w:val="828" w:hRule="atLeast"/>
        </w:trPr>
        <w:tc>
          <w:tcPr>
            <w:tcW w:w="523" w:type="dxa"/>
          </w:tcPr>
          <w:p>
            <w:pPr>
              <w:pStyle w:val="TableParagraph"/>
              <w:spacing w:line="270" w:lineRule="exact"/>
              <w:ind w:right="66"/>
              <w:jc w:val="center"/>
              <w:rPr>
                <w:sz w:val="24"/>
              </w:rPr>
            </w:pPr>
            <w:r>
              <w:rPr>
                <w:spacing w:val="-5"/>
                <w:sz w:val="24"/>
              </w:rPr>
              <w:t>25</w:t>
            </w:r>
          </w:p>
        </w:tc>
        <w:tc>
          <w:tcPr>
            <w:tcW w:w="7051" w:type="dxa"/>
          </w:tcPr>
          <w:p>
            <w:pPr>
              <w:pStyle w:val="TableParagraph"/>
              <w:spacing w:line="270" w:lineRule="exact"/>
              <w:ind w:left="175"/>
              <w:rPr>
                <w:sz w:val="24"/>
              </w:rPr>
            </w:pPr>
            <w:r>
              <w:rPr>
                <w:sz w:val="24"/>
              </w:rPr>
              <w:t>Our</w:t>
            </w:r>
            <w:r>
              <w:rPr>
                <w:spacing w:val="-4"/>
                <w:sz w:val="24"/>
              </w:rPr>
              <w:t> </w:t>
            </w:r>
            <w:r>
              <w:rPr>
                <w:sz w:val="24"/>
              </w:rPr>
              <w:t>firm</w:t>
            </w:r>
            <w:r>
              <w:rPr>
                <w:spacing w:val="-1"/>
                <w:sz w:val="24"/>
              </w:rPr>
              <w:t> </w:t>
            </w:r>
            <w:r>
              <w:rPr>
                <w:sz w:val="24"/>
              </w:rPr>
              <w:t>constantly</w:t>
            </w:r>
            <w:r>
              <w:rPr>
                <w:spacing w:val="-6"/>
                <w:sz w:val="24"/>
              </w:rPr>
              <w:t> </w:t>
            </w:r>
            <w:r>
              <w:rPr>
                <w:sz w:val="24"/>
              </w:rPr>
              <w:t>adapt</w:t>
            </w:r>
            <w:r>
              <w:rPr>
                <w:spacing w:val="-1"/>
                <w:sz w:val="24"/>
              </w:rPr>
              <w:t> </w:t>
            </w:r>
            <w:r>
              <w:rPr>
                <w:sz w:val="24"/>
              </w:rPr>
              <w:t>to</w:t>
            </w:r>
            <w:r>
              <w:rPr>
                <w:spacing w:val="-1"/>
                <w:sz w:val="24"/>
              </w:rPr>
              <w:t> </w:t>
            </w:r>
            <w:r>
              <w:rPr>
                <w:sz w:val="24"/>
              </w:rPr>
              <w:t>cultural change</w:t>
            </w:r>
            <w:r>
              <w:rPr>
                <w:spacing w:val="-2"/>
                <w:sz w:val="24"/>
              </w:rPr>
              <w:t> </w:t>
            </w:r>
            <w:r>
              <w:rPr>
                <w:sz w:val="24"/>
              </w:rPr>
              <w:t>to</w:t>
            </w:r>
            <w:r>
              <w:rPr>
                <w:spacing w:val="-1"/>
                <w:sz w:val="24"/>
              </w:rPr>
              <w:t> </w:t>
            </w:r>
            <w:r>
              <w:rPr>
                <w:sz w:val="24"/>
              </w:rPr>
              <w:t>fit</w:t>
            </w:r>
            <w:r>
              <w:rPr>
                <w:spacing w:val="1"/>
                <w:sz w:val="24"/>
              </w:rPr>
              <w:t> </w:t>
            </w:r>
            <w:r>
              <w:rPr>
                <w:sz w:val="24"/>
              </w:rPr>
              <w:t>with</w:t>
            </w:r>
            <w:r>
              <w:rPr>
                <w:spacing w:val="-1"/>
                <w:sz w:val="24"/>
              </w:rPr>
              <w:t> </w:t>
            </w:r>
            <w:r>
              <w:rPr>
                <w:sz w:val="24"/>
              </w:rPr>
              <w:t>the</w:t>
            </w:r>
            <w:r>
              <w:rPr>
                <w:spacing w:val="-2"/>
                <w:sz w:val="24"/>
              </w:rPr>
              <w:t> </w:t>
            </w:r>
            <w:r>
              <w:rPr>
                <w:sz w:val="24"/>
              </w:rPr>
              <w:t>changes </w:t>
            </w:r>
            <w:r>
              <w:rPr>
                <w:spacing w:val="-5"/>
                <w:sz w:val="24"/>
              </w:rPr>
              <w:t>in</w:t>
            </w:r>
          </w:p>
          <w:p>
            <w:pPr>
              <w:pStyle w:val="TableParagraph"/>
              <w:spacing w:before="137"/>
              <w:ind w:left="175"/>
              <w:rPr>
                <w:sz w:val="24"/>
              </w:rPr>
            </w:pPr>
            <w:r>
              <w:rPr>
                <w:sz w:val="24"/>
              </w:rPr>
              <w:t>the</w:t>
            </w:r>
            <w:r>
              <w:rPr>
                <w:spacing w:val="-2"/>
                <w:sz w:val="24"/>
              </w:rPr>
              <w:t> </w:t>
            </w:r>
            <w:r>
              <w:rPr>
                <w:sz w:val="24"/>
              </w:rPr>
              <w:t>business </w:t>
            </w:r>
            <w:r>
              <w:rPr>
                <w:spacing w:val="-2"/>
                <w:sz w:val="24"/>
              </w:rPr>
              <w:t>environment</w:t>
            </w:r>
          </w:p>
        </w:tc>
        <w:tc>
          <w:tcPr>
            <w:tcW w:w="1089" w:type="dxa"/>
          </w:tcPr>
          <w:p>
            <w:pPr>
              <w:pStyle w:val="TableParagraph"/>
              <w:spacing w:line="270" w:lineRule="exact"/>
              <w:ind w:left="115"/>
              <w:rPr>
                <w:sz w:val="24"/>
              </w:rPr>
            </w:pPr>
            <w:r>
              <w:rPr>
                <w:spacing w:val="-2"/>
                <w:sz w:val="24"/>
              </w:rPr>
              <w:t>2.7129</w:t>
            </w:r>
          </w:p>
        </w:tc>
      </w:tr>
      <w:tr>
        <w:trPr>
          <w:trHeight w:val="412" w:hRule="atLeast"/>
        </w:trPr>
        <w:tc>
          <w:tcPr>
            <w:tcW w:w="523" w:type="dxa"/>
            <w:shd w:val="clear" w:color="auto" w:fill="EEECE1"/>
          </w:tcPr>
          <w:p>
            <w:pPr>
              <w:pStyle w:val="TableParagraph"/>
              <w:spacing w:line="270" w:lineRule="exact"/>
              <w:ind w:right="66"/>
              <w:jc w:val="center"/>
              <w:rPr>
                <w:sz w:val="24"/>
              </w:rPr>
            </w:pPr>
            <w:r>
              <w:rPr>
                <w:spacing w:val="-5"/>
                <w:sz w:val="24"/>
              </w:rPr>
              <w:t>26</w:t>
            </w:r>
          </w:p>
        </w:tc>
        <w:tc>
          <w:tcPr>
            <w:tcW w:w="7051" w:type="dxa"/>
            <w:shd w:val="clear" w:color="auto" w:fill="EEECE1"/>
          </w:tcPr>
          <w:p>
            <w:pPr>
              <w:pStyle w:val="TableParagraph"/>
              <w:spacing w:line="270" w:lineRule="exact"/>
              <w:ind w:left="175"/>
              <w:rPr>
                <w:sz w:val="24"/>
              </w:rPr>
            </w:pPr>
            <w:r>
              <w:rPr>
                <w:sz w:val="24"/>
              </w:rPr>
              <w:t>There</w:t>
            </w:r>
            <w:r>
              <w:rPr>
                <w:spacing w:val="-4"/>
                <w:sz w:val="24"/>
              </w:rPr>
              <w:t> </w:t>
            </w:r>
            <w:r>
              <w:rPr>
                <w:sz w:val="24"/>
              </w:rPr>
              <w:t>is</w:t>
            </w:r>
            <w:r>
              <w:rPr>
                <w:spacing w:val="-1"/>
                <w:sz w:val="24"/>
              </w:rPr>
              <w:t> </w:t>
            </w:r>
            <w:r>
              <w:rPr>
                <w:sz w:val="24"/>
              </w:rPr>
              <w:t>an ongoing</w:t>
            </w:r>
            <w:r>
              <w:rPr>
                <w:spacing w:val="-4"/>
                <w:sz w:val="24"/>
              </w:rPr>
              <w:t> </w:t>
            </w:r>
            <w:r>
              <w:rPr>
                <w:sz w:val="24"/>
              </w:rPr>
              <w:t>creation of</w:t>
            </w:r>
            <w:r>
              <w:rPr>
                <w:spacing w:val="-2"/>
                <w:sz w:val="24"/>
              </w:rPr>
              <w:t> </w:t>
            </w:r>
            <w:r>
              <w:rPr>
                <w:sz w:val="24"/>
              </w:rPr>
              <w:t>quality</w:t>
            </w:r>
            <w:r>
              <w:rPr>
                <w:spacing w:val="-5"/>
                <w:sz w:val="24"/>
              </w:rPr>
              <w:t> </w:t>
            </w:r>
            <w:r>
              <w:rPr>
                <w:sz w:val="24"/>
              </w:rPr>
              <w:t>awareness</w:t>
            </w:r>
            <w:r>
              <w:rPr>
                <w:spacing w:val="1"/>
                <w:sz w:val="24"/>
              </w:rPr>
              <w:t> </w:t>
            </w:r>
            <w:r>
              <w:rPr>
                <w:sz w:val="24"/>
              </w:rPr>
              <w:t>among </w:t>
            </w:r>
            <w:r>
              <w:rPr>
                <w:spacing w:val="-2"/>
                <w:sz w:val="24"/>
              </w:rPr>
              <w:t>employees</w:t>
            </w:r>
          </w:p>
        </w:tc>
        <w:tc>
          <w:tcPr>
            <w:tcW w:w="1089" w:type="dxa"/>
            <w:shd w:val="clear" w:color="auto" w:fill="EEECE1"/>
          </w:tcPr>
          <w:p>
            <w:pPr>
              <w:pStyle w:val="TableParagraph"/>
              <w:spacing w:line="270" w:lineRule="exact"/>
              <w:ind w:left="115"/>
              <w:rPr>
                <w:sz w:val="24"/>
              </w:rPr>
            </w:pPr>
            <w:r>
              <w:rPr>
                <w:spacing w:val="-2"/>
                <w:sz w:val="24"/>
              </w:rPr>
              <w:t>2.5809</w:t>
            </w:r>
          </w:p>
        </w:tc>
      </w:tr>
      <w:tr>
        <w:trPr>
          <w:trHeight w:val="415" w:hRule="atLeast"/>
        </w:trPr>
        <w:tc>
          <w:tcPr>
            <w:tcW w:w="523" w:type="dxa"/>
          </w:tcPr>
          <w:p>
            <w:pPr>
              <w:pStyle w:val="TableParagraph"/>
              <w:rPr>
                <w:sz w:val="24"/>
              </w:rPr>
            </w:pPr>
          </w:p>
        </w:tc>
        <w:tc>
          <w:tcPr>
            <w:tcW w:w="7051" w:type="dxa"/>
          </w:tcPr>
          <w:p>
            <w:pPr>
              <w:pStyle w:val="TableParagraph"/>
              <w:spacing w:line="275" w:lineRule="exact"/>
              <w:ind w:left="175"/>
              <w:rPr>
                <w:b/>
                <w:sz w:val="24"/>
              </w:rPr>
            </w:pPr>
            <w:r>
              <w:rPr>
                <w:b/>
                <w:spacing w:val="-2"/>
                <w:sz w:val="24"/>
                <w:u w:val="single"/>
              </w:rPr>
              <w:t>Communication</w:t>
            </w:r>
          </w:p>
        </w:tc>
        <w:tc>
          <w:tcPr>
            <w:tcW w:w="1089" w:type="dxa"/>
          </w:tcPr>
          <w:p>
            <w:pPr>
              <w:pStyle w:val="TableParagraph"/>
              <w:rPr>
                <w:sz w:val="24"/>
              </w:rPr>
            </w:pPr>
          </w:p>
        </w:tc>
      </w:tr>
      <w:tr>
        <w:trPr>
          <w:trHeight w:val="412" w:hRule="atLeast"/>
        </w:trPr>
        <w:tc>
          <w:tcPr>
            <w:tcW w:w="523" w:type="dxa"/>
            <w:shd w:val="clear" w:color="auto" w:fill="EEECE1"/>
          </w:tcPr>
          <w:p>
            <w:pPr>
              <w:pStyle w:val="TableParagraph"/>
              <w:spacing w:line="270" w:lineRule="exact"/>
              <w:ind w:right="66"/>
              <w:jc w:val="center"/>
              <w:rPr>
                <w:sz w:val="24"/>
              </w:rPr>
            </w:pPr>
            <w:r>
              <w:rPr>
                <w:spacing w:val="-5"/>
                <w:sz w:val="24"/>
              </w:rPr>
              <w:t>27</w:t>
            </w:r>
          </w:p>
        </w:tc>
        <w:tc>
          <w:tcPr>
            <w:tcW w:w="7051" w:type="dxa"/>
            <w:shd w:val="clear" w:color="auto" w:fill="EEECE1"/>
          </w:tcPr>
          <w:p>
            <w:pPr>
              <w:pStyle w:val="TableParagraph"/>
              <w:spacing w:line="270" w:lineRule="exact"/>
              <w:ind w:left="175"/>
              <w:rPr>
                <w:sz w:val="24"/>
              </w:rPr>
            </w:pPr>
            <w:r>
              <w:rPr>
                <w:sz w:val="24"/>
              </w:rPr>
              <w:t>Our</w:t>
            </w:r>
            <w:r>
              <w:rPr>
                <w:spacing w:val="-2"/>
                <w:sz w:val="24"/>
              </w:rPr>
              <w:t> </w:t>
            </w:r>
            <w:r>
              <w:rPr>
                <w:sz w:val="24"/>
              </w:rPr>
              <w:t>company</w:t>
            </w:r>
            <w:r>
              <w:rPr>
                <w:spacing w:val="-3"/>
                <w:sz w:val="24"/>
              </w:rPr>
              <w:t> </w:t>
            </w:r>
            <w:r>
              <w:rPr>
                <w:sz w:val="24"/>
              </w:rPr>
              <w:t>continually</w:t>
            </w:r>
            <w:r>
              <w:rPr>
                <w:spacing w:val="-3"/>
                <w:sz w:val="24"/>
              </w:rPr>
              <w:t> </w:t>
            </w:r>
            <w:r>
              <w:rPr>
                <w:sz w:val="24"/>
              </w:rPr>
              <w:t>tries</w:t>
            </w:r>
            <w:r>
              <w:rPr>
                <w:spacing w:val="-1"/>
                <w:sz w:val="24"/>
              </w:rPr>
              <w:t> </w:t>
            </w:r>
            <w:r>
              <w:rPr>
                <w:sz w:val="24"/>
              </w:rPr>
              <w:t>to improve</w:t>
            </w:r>
            <w:r>
              <w:rPr>
                <w:spacing w:val="-1"/>
                <w:sz w:val="24"/>
              </w:rPr>
              <w:t> </w:t>
            </w:r>
            <w:r>
              <w:rPr>
                <w:spacing w:val="-2"/>
                <w:sz w:val="24"/>
              </w:rPr>
              <w:t>communication</w:t>
            </w:r>
          </w:p>
        </w:tc>
        <w:tc>
          <w:tcPr>
            <w:tcW w:w="1089" w:type="dxa"/>
            <w:shd w:val="clear" w:color="auto" w:fill="EEECE1"/>
          </w:tcPr>
          <w:p>
            <w:pPr>
              <w:pStyle w:val="TableParagraph"/>
              <w:spacing w:line="270" w:lineRule="exact"/>
              <w:ind w:left="115"/>
              <w:rPr>
                <w:sz w:val="24"/>
              </w:rPr>
            </w:pPr>
            <w:r>
              <w:rPr>
                <w:spacing w:val="-2"/>
                <w:sz w:val="24"/>
              </w:rPr>
              <w:t>3.0693</w:t>
            </w:r>
          </w:p>
        </w:tc>
      </w:tr>
      <w:tr>
        <w:trPr>
          <w:trHeight w:val="828" w:hRule="atLeast"/>
        </w:trPr>
        <w:tc>
          <w:tcPr>
            <w:tcW w:w="523" w:type="dxa"/>
          </w:tcPr>
          <w:p>
            <w:pPr>
              <w:pStyle w:val="TableParagraph"/>
              <w:spacing w:line="270" w:lineRule="exact"/>
              <w:ind w:right="66"/>
              <w:jc w:val="center"/>
              <w:rPr>
                <w:sz w:val="24"/>
              </w:rPr>
            </w:pPr>
            <w:r>
              <w:rPr>
                <w:spacing w:val="-5"/>
                <w:sz w:val="24"/>
              </w:rPr>
              <w:t>28</w:t>
            </w:r>
          </w:p>
        </w:tc>
        <w:tc>
          <w:tcPr>
            <w:tcW w:w="7051" w:type="dxa"/>
          </w:tcPr>
          <w:p>
            <w:pPr>
              <w:pStyle w:val="TableParagraph"/>
              <w:spacing w:line="270" w:lineRule="exact"/>
              <w:ind w:left="175"/>
              <w:rPr>
                <w:sz w:val="24"/>
              </w:rPr>
            </w:pPr>
            <w:r>
              <w:rPr>
                <w:sz w:val="24"/>
              </w:rPr>
              <w:t>Our</w:t>
            </w:r>
            <w:r>
              <w:rPr>
                <w:spacing w:val="-3"/>
                <w:sz w:val="24"/>
              </w:rPr>
              <w:t> </w:t>
            </w:r>
            <w:r>
              <w:rPr>
                <w:sz w:val="24"/>
              </w:rPr>
              <w:t>company</w:t>
            </w:r>
            <w:r>
              <w:rPr>
                <w:spacing w:val="-4"/>
                <w:sz w:val="24"/>
              </w:rPr>
              <w:t> </w:t>
            </w:r>
            <w:r>
              <w:rPr>
                <w:sz w:val="24"/>
              </w:rPr>
              <w:t>clearly</w:t>
            </w:r>
            <w:r>
              <w:rPr>
                <w:spacing w:val="-4"/>
                <w:sz w:val="24"/>
              </w:rPr>
              <w:t> </w:t>
            </w:r>
            <w:r>
              <w:rPr>
                <w:sz w:val="24"/>
              </w:rPr>
              <w:t>communicates</w:t>
            </w:r>
            <w:r>
              <w:rPr>
                <w:spacing w:val="-1"/>
                <w:sz w:val="24"/>
              </w:rPr>
              <w:t> </w:t>
            </w:r>
            <w:r>
              <w:rPr>
                <w:sz w:val="24"/>
              </w:rPr>
              <w:t>its</w:t>
            </w:r>
            <w:r>
              <w:rPr>
                <w:spacing w:val="-2"/>
                <w:sz w:val="24"/>
              </w:rPr>
              <w:t> </w:t>
            </w:r>
            <w:r>
              <w:rPr>
                <w:sz w:val="24"/>
              </w:rPr>
              <w:t>strategies</w:t>
            </w:r>
            <w:r>
              <w:rPr>
                <w:spacing w:val="1"/>
                <w:sz w:val="24"/>
              </w:rPr>
              <w:t> </w:t>
            </w:r>
            <w:r>
              <w:rPr>
                <w:sz w:val="24"/>
              </w:rPr>
              <w:t>and</w:t>
            </w:r>
            <w:r>
              <w:rPr>
                <w:spacing w:val="-1"/>
                <w:sz w:val="24"/>
              </w:rPr>
              <w:t> </w:t>
            </w:r>
            <w:r>
              <w:rPr>
                <w:sz w:val="24"/>
              </w:rPr>
              <w:t>goals</w:t>
            </w:r>
            <w:r>
              <w:rPr>
                <w:spacing w:val="-1"/>
                <w:sz w:val="24"/>
              </w:rPr>
              <w:t> </w:t>
            </w:r>
            <w:r>
              <w:rPr>
                <w:spacing w:val="-4"/>
                <w:sz w:val="24"/>
              </w:rPr>
              <w:t>with</w:t>
            </w:r>
          </w:p>
          <w:p>
            <w:pPr>
              <w:pStyle w:val="TableParagraph"/>
              <w:spacing w:before="139"/>
              <w:ind w:left="175"/>
              <w:rPr>
                <w:sz w:val="24"/>
              </w:rPr>
            </w:pPr>
            <w:r>
              <w:rPr>
                <w:spacing w:val="-2"/>
                <w:sz w:val="24"/>
              </w:rPr>
              <w:t>employees</w:t>
            </w:r>
          </w:p>
        </w:tc>
        <w:tc>
          <w:tcPr>
            <w:tcW w:w="1089" w:type="dxa"/>
          </w:tcPr>
          <w:p>
            <w:pPr>
              <w:pStyle w:val="TableParagraph"/>
              <w:spacing w:line="270" w:lineRule="exact"/>
              <w:ind w:left="115"/>
              <w:rPr>
                <w:sz w:val="24"/>
              </w:rPr>
            </w:pPr>
            <w:r>
              <w:rPr>
                <w:spacing w:val="-2"/>
                <w:sz w:val="24"/>
              </w:rPr>
              <w:t>2.8515</w:t>
            </w:r>
          </w:p>
        </w:tc>
      </w:tr>
      <w:tr>
        <w:trPr>
          <w:trHeight w:val="827" w:hRule="atLeast"/>
        </w:trPr>
        <w:tc>
          <w:tcPr>
            <w:tcW w:w="523" w:type="dxa"/>
            <w:shd w:val="clear" w:color="auto" w:fill="EEECE1"/>
          </w:tcPr>
          <w:p>
            <w:pPr>
              <w:pStyle w:val="TableParagraph"/>
              <w:spacing w:line="270" w:lineRule="exact"/>
              <w:ind w:right="66"/>
              <w:jc w:val="center"/>
              <w:rPr>
                <w:sz w:val="24"/>
              </w:rPr>
            </w:pPr>
            <w:r>
              <w:rPr>
                <w:spacing w:val="-5"/>
                <w:sz w:val="24"/>
              </w:rPr>
              <w:t>29</w:t>
            </w:r>
          </w:p>
        </w:tc>
        <w:tc>
          <w:tcPr>
            <w:tcW w:w="7051" w:type="dxa"/>
            <w:shd w:val="clear" w:color="auto" w:fill="EEECE1"/>
          </w:tcPr>
          <w:p>
            <w:pPr>
              <w:pStyle w:val="TableParagraph"/>
              <w:spacing w:line="270" w:lineRule="exact"/>
              <w:ind w:left="175"/>
              <w:rPr>
                <w:sz w:val="24"/>
              </w:rPr>
            </w:pPr>
            <w:r>
              <w:rPr>
                <w:sz w:val="24"/>
              </w:rPr>
              <w:t>Employees receive</w:t>
            </w:r>
            <w:r>
              <w:rPr>
                <w:spacing w:val="-3"/>
                <w:sz w:val="24"/>
              </w:rPr>
              <w:t> </w:t>
            </w:r>
            <w:r>
              <w:rPr>
                <w:sz w:val="24"/>
              </w:rPr>
              <w:t>regular</w:t>
            </w:r>
            <w:r>
              <w:rPr>
                <w:spacing w:val="-3"/>
                <w:sz w:val="24"/>
              </w:rPr>
              <w:t> </w:t>
            </w:r>
            <w:r>
              <w:rPr>
                <w:sz w:val="24"/>
              </w:rPr>
              <w:t>feedback</w:t>
            </w:r>
            <w:r>
              <w:rPr>
                <w:spacing w:val="-1"/>
                <w:sz w:val="24"/>
              </w:rPr>
              <w:t> </w:t>
            </w:r>
            <w:r>
              <w:rPr>
                <w:sz w:val="24"/>
              </w:rPr>
              <w:t>to</w:t>
            </w:r>
            <w:r>
              <w:rPr>
                <w:spacing w:val="-2"/>
                <w:sz w:val="24"/>
              </w:rPr>
              <w:t> </w:t>
            </w:r>
            <w:r>
              <w:rPr>
                <w:sz w:val="24"/>
              </w:rPr>
              <w:t>make</w:t>
            </w:r>
            <w:r>
              <w:rPr>
                <w:spacing w:val="-2"/>
                <w:sz w:val="24"/>
              </w:rPr>
              <w:t> performance</w:t>
            </w:r>
          </w:p>
          <w:p>
            <w:pPr>
              <w:pStyle w:val="TableParagraph"/>
              <w:spacing w:before="139"/>
              <w:ind w:left="175"/>
              <w:rPr>
                <w:sz w:val="24"/>
              </w:rPr>
            </w:pPr>
            <w:r>
              <w:rPr>
                <w:spacing w:val="-2"/>
                <w:sz w:val="24"/>
              </w:rPr>
              <w:t>developments</w:t>
            </w:r>
          </w:p>
        </w:tc>
        <w:tc>
          <w:tcPr>
            <w:tcW w:w="1089" w:type="dxa"/>
            <w:shd w:val="clear" w:color="auto" w:fill="EEECE1"/>
          </w:tcPr>
          <w:p>
            <w:pPr>
              <w:pStyle w:val="TableParagraph"/>
              <w:spacing w:line="270" w:lineRule="exact"/>
              <w:ind w:left="115"/>
              <w:rPr>
                <w:sz w:val="24"/>
              </w:rPr>
            </w:pPr>
            <w:r>
              <w:rPr>
                <w:spacing w:val="-2"/>
                <w:sz w:val="24"/>
              </w:rPr>
              <w:t>2.5347</w:t>
            </w:r>
          </w:p>
        </w:tc>
      </w:tr>
    </w:tbl>
    <w:p>
      <w:pPr>
        <w:spacing w:after="0" w:line="270" w:lineRule="exact"/>
        <w:rPr>
          <w:sz w:val="24"/>
        </w:rPr>
        <w:sectPr>
          <w:type w:val="continuous"/>
          <w:pgSz w:w="12240" w:h="15840"/>
          <w:pgMar w:header="0" w:footer="1017" w:top="1420" w:bottom="1200" w:left="1040" w:right="120"/>
        </w:sectPr>
      </w:pPr>
    </w:p>
    <w:p>
      <w:pPr>
        <w:pStyle w:val="BodyText"/>
        <w:spacing w:before="6"/>
        <w:rPr>
          <w:b/>
          <w:sz w:val="2"/>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
        <w:gridCol w:w="6999"/>
        <w:gridCol w:w="1141"/>
      </w:tblGrid>
      <w:tr>
        <w:trPr>
          <w:trHeight w:val="403" w:hRule="atLeast"/>
        </w:trPr>
        <w:tc>
          <w:tcPr>
            <w:tcW w:w="523" w:type="dxa"/>
          </w:tcPr>
          <w:p>
            <w:pPr>
              <w:pStyle w:val="TableParagraph"/>
              <w:rPr>
                <w:sz w:val="24"/>
              </w:rPr>
            </w:pPr>
          </w:p>
        </w:tc>
        <w:tc>
          <w:tcPr>
            <w:tcW w:w="6999" w:type="dxa"/>
          </w:tcPr>
          <w:p>
            <w:pPr>
              <w:pStyle w:val="TableParagraph"/>
              <w:spacing w:line="266" w:lineRule="exact"/>
              <w:ind w:left="175"/>
              <w:rPr>
                <w:b/>
                <w:sz w:val="24"/>
              </w:rPr>
            </w:pPr>
            <w:r>
              <w:rPr>
                <w:b/>
                <w:sz w:val="24"/>
                <w:u w:val="single"/>
              </w:rPr>
              <w:t>Performance</w:t>
            </w:r>
            <w:r>
              <w:rPr>
                <w:b/>
                <w:spacing w:val="-5"/>
                <w:sz w:val="24"/>
                <w:u w:val="single"/>
              </w:rPr>
              <w:t> </w:t>
            </w:r>
            <w:r>
              <w:rPr>
                <w:b/>
                <w:spacing w:val="-2"/>
                <w:sz w:val="24"/>
                <w:u w:val="single"/>
              </w:rPr>
              <w:t>Measurement</w:t>
            </w:r>
          </w:p>
        </w:tc>
        <w:tc>
          <w:tcPr>
            <w:tcW w:w="1141" w:type="dxa"/>
          </w:tcPr>
          <w:p>
            <w:pPr>
              <w:pStyle w:val="TableParagraph"/>
              <w:rPr>
                <w:sz w:val="24"/>
              </w:rPr>
            </w:pPr>
          </w:p>
        </w:tc>
      </w:tr>
      <w:tr>
        <w:trPr>
          <w:trHeight w:val="828" w:hRule="atLeast"/>
        </w:trPr>
        <w:tc>
          <w:tcPr>
            <w:tcW w:w="523" w:type="dxa"/>
            <w:shd w:val="clear" w:color="auto" w:fill="EEECE1"/>
          </w:tcPr>
          <w:p>
            <w:pPr>
              <w:pStyle w:val="TableParagraph"/>
              <w:spacing w:line="270" w:lineRule="exact"/>
              <w:ind w:right="66"/>
              <w:jc w:val="center"/>
              <w:rPr>
                <w:sz w:val="24"/>
              </w:rPr>
            </w:pPr>
            <w:r>
              <w:rPr>
                <w:spacing w:val="-5"/>
                <w:sz w:val="24"/>
              </w:rPr>
              <w:t>30</w:t>
            </w:r>
          </w:p>
        </w:tc>
        <w:tc>
          <w:tcPr>
            <w:tcW w:w="6999" w:type="dxa"/>
            <w:shd w:val="clear" w:color="auto" w:fill="EEECE1"/>
          </w:tcPr>
          <w:p>
            <w:pPr>
              <w:pStyle w:val="TableParagraph"/>
              <w:spacing w:line="270" w:lineRule="exact"/>
              <w:ind w:left="175"/>
              <w:rPr>
                <w:sz w:val="24"/>
              </w:rPr>
            </w:pPr>
            <w:r>
              <w:rPr>
                <w:sz w:val="24"/>
              </w:rPr>
              <w:t>My</w:t>
            </w:r>
            <w:r>
              <w:rPr>
                <w:spacing w:val="-5"/>
                <w:sz w:val="24"/>
              </w:rPr>
              <w:t> </w:t>
            </w:r>
            <w:r>
              <w:rPr>
                <w:sz w:val="24"/>
              </w:rPr>
              <w:t>company</w:t>
            </w:r>
            <w:r>
              <w:rPr>
                <w:spacing w:val="-5"/>
                <w:sz w:val="24"/>
              </w:rPr>
              <w:t> </w:t>
            </w:r>
            <w:r>
              <w:rPr>
                <w:sz w:val="24"/>
              </w:rPr>
              <w:t>adopts a</w:t>
            </w:r>
            <w:r>
              <w:rPr>
                <w:spacing w:val="-1"/>
                <w:sz w:val="24"/>
              </w:rPr>
              <w:t> </w:t>
            </w:r>
            <w:r>
              <w:rPr>
                <w:sz w:val="24"/>
              </w:rPr>
              <w:t>self-assessment system to </w:t>
            </w:r>
            <w:r>
              <w:rPr>
                <w:spacing w:val="-2"/>
                <w:sz w:val="24"/>
              </w:rPr>
              <w:t>improve</w:t>
            </w:r>
          </w:p>
          <w:p>
            <w:pPr>
              <w:pStyle w:val="TableParagraph"/>
              <w:spacing w:before="139"/>
              <w:ind w:left="175"/>
              <w:rPr>
                <w:sz w:val="24"/>
              </w:rPr>
            </w:pPr>
            <w:r>
              <w:rPr>
                <w:spacing w:val="-2"/>
                <w:sz w:val="24"/>
              </w:rPr>
              <w:t>performance</w:t>
            </w:r>
          </w:p>
        </w:tc>
        <w:tc>
          <w:tcPr>
            <w:tcW w:w="1141" w:type="dxa"/>
            <w:shd w:val="clear" w:color="auto" w:fill="EEECE1"/>
          </w:tcPr>
          <w:p>
            <w:pPr>
              <w:pStyle w:val="TableParagraph"/>
              <w:rPr>
                <w:sz w:val="24"/>
              </w:rPr>
            </w:pPr>
          </w:p>
        </w:tc>
      </w:tr>
      <w:tr>
        <w:trPr>
          <w:trHeight w:val="415" w:hRule="atLeast"/>
        </w:trPr>
        <w:tc>
          <w:tcPr>
            <w:tcW w:w="523" w:type="dxa"/>
          </w:tcPr>
          <w:p>
            <w:pPr>
              <w:pStyle w:val="TableParagraph"/>
              <w:spacing w:line="270" w:lineRule="exact"/>
              <w:ind w:right="66"/>
              <w:jc w:val="center"/>
              <w:rPr>
                <w:sz w:val="24"/>
              </w:rPr>
            </w:pPr>
            <w:r>
              <w:rPr>
                <w:spacing w:val="-5"/>
                <w:sz w:val="24"/>
              </w:rPr>
              <w:t>31</w:t>
            </w:r>
          </w:p>
        </w:tc>
        <w:tc>
          <w:tcPr>
            <w:tcW w:w="6999" w:type="dxa"/>
          </w:tcPr>
          <w:p>
            <w:pPr>
              <w:pStyle w:val="TableParagraph"/>
              <w:spacing w:line="270" w:lineRule="exact"/>
              <w:ind w:left="175"/>
              <w:rPr>
                <w:sz w:val="24"/>
              </w:rPr>
            </w:pPr>
            <w:r>
              <w:rPr>
                <w:sz w:val="24"/>
              </w:rPr>
              <w:t>Competitive</w:t>
            </w:r>
            <w:r>
              <w:rPr>
                <w:spacing w:val="-5"/>
                <w:sz w:val="24"/>
              </w:rPr>
              <w:t> </w:t>
            </w:r>
            <w:r>
              <w:rPr>
                <w:sz w:val="24"/>
              </w:rPr>
              <w:t>benchmarking</w:t>
            </w:r>
            <w:r>
              <w:rPr>
                <w:spacing w:val="-4"/>
                <w:sz w:val="24"/>
              </w:rPr>
              <w:t> </w:t>
            </w:r>
            <w:r>
              <w:rPr>
                <w:sz w:val="24"/>
              </w:rPr>
              <w:t>is</w:t>
            </w:r>
            <w:r>
              <w:rPr>
                <w:spacing w:val="-1"/>
                <w:sz w:val="24"/>
              </w:rPr>
              <w:t> </w:t>
            </w:r>
            <w:r>
              <w:rPr>
                <w:sz w:val="24"/>
              </w:rPr>
              <w:t>made</w:t>
            </w:r>
            <w:r>
              <w:rPr>
                <w:spacing w:val="-1"/>
                <w:sz w:val="24"/>
              </w:rPr>
              <w:t> </w:t>
            </w:r>
            <w:r>
              <w:rPr>
                <w:sz w:val="24"/>
              </w:rPr>
              <w:t>against</w:t>
            </w:r>
            <w:r>
              <w:rPr>
                <w:spacing w:val="-1"/>
                <w:sz w:val="24"/>
              </w:rPr>
              <w:t> </w:t>
            </w:r>
            <w:r>
              <w:rPr>
                <w:sz w:val="24"/>
              </w:rPr>
              <w:t>primary</w:t>
            </w:r>
            <w:r>
              <w:rPr>
                <w:spacing w:val="-4"/>
                <w:sz w:val="24"/>
              </w:rPr>
              <w:t> </w:t>
            </w:r>
            <w:r>
              <w:rPr>
                <w:spacing w:val="-2"/>
                <w:sz w:val="24"/>
              </w:rPr>
              <w:t>competitors</w:t>
            </w:r>
          </w:p>
        </w:tc>
        <w:tc>
          <w:tcPr>
            <w:tcW w:w="1141" w:type="dxa"/>
          </w:tcPr>
          <w:p>
            <w:pPr>
              <w:pStyle w:val="TableParagraph"/>
              <w:spacing w:line="270" w:lineRule="exact"/>
              <w:ind w:left="167"/>
              <w:rPr>
                <w:sz w:val="24"/>
              </w:rPr>
            </w:pPr>
            <w:r>
              <w:rPr>
                <w:spacing w:val="-2"/>
                <w:sz w:val="24"/>
              </w:rPr>
              <w:t>2.7426</w:t>
            </w:r>
          </w:p>
        </w:tc>
      </w:tr>
      <w:tr>
        <w:trPr>
          <w:trHeight w:val="828" w:hRule="atLeast"/>
        </w:trPr>
        <w:tc>
          <w:tcPr>
            <w:tcW w:w="523" w:type="dxa"/>
            <w:shd w:val="clear" w:color="auto" w:fill="EEECE1"/>
          </w:tcPr>
          <w:p>
            <w:pPr>
              <w:pStyle w:val="TableParagraph"/>
              <w:spacing w:line="270" w:lineRule="exact"/>
              <w:ind w:right="66"/>
              <w:jc w:val="center"/>
              <w:rPr>
                <w:sz w:val="24"/>
              </w:rPr>
            </w:pPr>
            <w:r>
              <w:rPr>
                <w:spacing w:val="-5"/>
                <w:sz w:val="24"/>
              </w:rPr>
              <w:t>32</w:t>
            </w:r>
          </w:p>
        </w:tc>
        <w:tc>
          <w:tcPr>
            <w:tcW w:w="6999" w:type="dxa"/>
            <w:shd w:val="clear" w:color="auto" w:fill="EEECE1"/>
          </w:tcPr>
          <w:p>
            <w:pPr>
              <w:pStyle w:val="TableParagraph"/>
              <w:spacing w:line="270" w:lineRule="exact"/>
              <w:ind w:left="175"/>
              <w:rPr>
                <w:sz w:val="24"/>
              </w:rPr>
            </w:pPr>
            <w:r>
              <w:rPr>
                <w:sz w:val="24"/>
              </w:rPr>
              <w:t>My</w:t>
            </w:r>
            <w:r>
              <w:rPr>
                <w:spacing w:val="-7"/>
                <w:sz w:val="24"/>
              </w:rPr>
              <w:t> </w:t>
            </w:r>
            <w:r>
              <w:rPr>
                <w:sz w:val="24"/>
              </w:rPr>
              <w:t>company</w:t>
            </w:r>
            <w:r>
              <w:rPr>
                <w:spacing w:val="-5"/>
                <w:sz w:val="24"/>
              </w:rPr>
              <w:t> </w:t>
            </w:r>
            <w:r>
              <w:rPr>
                <w:sz w:val="24"/>
              </w:rPr>
              <w:t>is</w:t>
            </w:r>
            <w:r>
              <w:rPr>
                <w:spacing w:val="61"/>
                <w:sz w:val="24"/>
              </w:rPr>
              <w:t> </w:t>
            </w:r>
            <w:r>
              <w:rPr>
                <w:sz w:val="24"/>
              </w:rPr>
              <w:t>tracking quality</w:t>
            </w:r>
            <w:r>
              <w:rPr>
                <w:spacing w:val="-5"/>
                <w:sz w:val="24"/>
              </w:rPr>
              <w:t> </w:t>
            </w:r>
            <w:r>
              <w:rPr>
                <w:sz w:val="24"/>
              </w:rPr>
              <w:t>cost</w:t>
            </w:r>
            <w:r>
              <w:rPr>
                <w:spacing w:val="1"/>
                <w:sz w:val="24"/>
              </w:rPr>
              <w:t> </w:t>
            </w:r>
            <w:r>
              <w:rPr>
                <w:sz w:val="24"/>
              </w:rPr>
              <w:t>to reduce</w:t>
            </w:r>
            <w:r>
              <w:rPr>
                <w:spacing w:val="-1"/>
                <w:sz w:val="24"/>
              </w:rPr>
              <w:t> </w:t>
            </w:r>
            <w:r>
              <w:rPr>
                <w:sz w:val="24"/>
              </w:rPr>
              <w:t>the cost of </w:t>
            </w:r>
            <w:r>
              <w:rPr>
                <w:spacing w:val="-2"/>
                <w:sz w:val="24"/>
              </w:rPr>
              <w:t>waste,</w:t>
            </w:r>
          </w:p>
          <w:p>
            <w:pPr>
              <w:pStyle w:val="TableParagraph"/>
              <w:spacing w:before="137"/>
              <w:ind w:left="175"/>
              <w:rPr>
                <w:sz w:val="24"/>
              </w:rPr>
            </w:pPr>
            <w:r>
              <w:rPr>
                <w:sz w:val="24"/>
              </w:rPr>
              <w:t>rework</w:t>
            </w:r>
            <w:r>
              <w:rPr>
                <w:spacing w:val="-1"/>
                <w:sz w:val="24"/>
              </w:rPr>
              <w:t> </w:t>
            </w:r>
            <w:r>
              <w:rPr>
                <w:sz w:val="24"/>
              </w:rPr>
              <w:t>and</w:t>
            </w:r>
            <w:r>
              <w:rPr>
                <w:spacing w:val="-2"/>
                <w:sz w:val="24"/>
              </w:rPr>
              <w:t> rejection</w:t>
            </w:r>
          </w:p>
        </w:tc>
        <w:tc>
          <w:tcPr>
            <w:tcW w:w="1141" w:type="dxa"/>
            <w:shd w:val="clear" w:color="auto" w:fill="EEECE1"/>
          </w:tcPr>
          <w:p>
            <w:pPr>
              <w:pStyle w:val="TableParagraph"/>
              <w:spacing w:line="270" w:lineRule="exact"/>
              <w:ind w:left="167"/>
              <w:rPr>
                <w:sz w:val="24"/>
              </w:rPr>
            </w:pPr>
            <w:r>
              <w:rPr>
                <w:spacing w:val="-2"/>
                <w:sz w:val="24"/>
              </w:rPr>
              <w:t>2.7393</w:t>
            </w:r>
          </w:p>
        </w:tc>
      </w:tr>
      <w:tr>
        <w:trPr>
          <w:trHeight w:val="412" w:hRule="atLeast"/>
        </w:trPr>
        <w:tc>
          <w:tcPr>
            <w:tcW w:w="523" w:type="dxa"/>
          </w:tcPr>
          <w:p>
            <w:pPr>
              <w:pStyle w:val="TableParagraph"/>
              <w:rPr>
                <w:sz w:val="24"/>
              </w:rPr>
            </w:pPr>
          </w:p>
        </w:tc>
        <w:tc>
          <w:tcPr>
            <w:tcW w:w="6999" w:type="dxa"/>
          </w:tcPr>
          <w:p>
            <w:pPr>
              <w:pStyle w:val="TableParagraph"/>
              <w:spacing w:line="275" w:lineRule="exact"/>
              <w:ind w:left="175"/>
              <w:rPr>
                <w:b/>
                <w:sz w:val="24"/>
              </w:rPr>
            </w:pPr>
            <w:r>
              <w:rPr>
                <w:b/>
                <w:sz w:val="24"/>
                <w:u w:val="single"/>
              </w:rPr>
              <w:t>Strategic</w:t>
            </w:r>
            <w:r>
              <w:rPr>
                <w:b/>
                <w:spacing w:val="-5"/>
                <w:sz w:val="24"/>
                <w:u w:val="single"/>
              </w:rPr>
              <w:t> </w:t>
            </w:r>
            <w:r>
              <w:rPr>
                <w:b/>
                <w:spacing w:val="-2"/>
                <w:sz w:val="24"/>
                <w:u w:val="single"/>
              </w:rPr>
              <w:t>Planning</w:t>
            </w:r>
          </w:p>
        </w:tc>
        <w:tc>
          <w:tcPr>
            <w:tcW w:w="1141" w:type="dxa"/>
          </w:tcPr>
          <w:p>
            <w:pPr>
              <w:pStyle w:val="TableParagraph"/>
              <w:rPr>
                <w:sz w:val="24"/>
              </w:rPr>
            </w:pPr>
          </w:p>
        </w:tc>
      </w:tr>
      <w:tr>
        <w:trPr>
          <w:trHeight w:val="415" w:hRule="atLeast"/>
        </w:trPr>
        <w:tc>
          <w:tcPr>
            <w:tcW w:w="523" w:type="dxa"/>
            <w:shd w:val="clear" w:color="auto" w:fill="EEECE1"/>
          </w:tcPr>
          <w:p>
            <w:pPr>
              <w:pStyle w:val="TableParagraph"/>
              <w:spacing w:line="270" w:lineRule="exact"/>
              <w:ind w:right="66"/>
              <w:jc w:val="center"/>
              <w:rPr>
                <w:sz w:val="24"/>
              </w:rPr>
            </w:pPr>
            <w:r>
              <w:rPr>
                <w:spacing w:val="-5"/>
                <w:sz w:val="24"/>
              </w:rPr>
              <w:t>33</w:t>
            </w:r>
          </w:p>
        </w:tc>
        <w:tc>
          <w:tcPr>
            <w:tcW w:w="6999" w:type="dxa"/>
            <w:shd w:val="clear" w:color="auto" w:fill="EEECE1"/>
          </w:tcPr>
          <w:p>
            <w:pPr>
              <w:pStyle w:val="TableParagraph"/>
              <w:spacing w:line="270" w:lineRule="exact"/>
              <w:ind w:left="175"/>
              <w:rPr>
                <w:sz w:val="24"/>
              </w:rPr>
            </w:pPr>
            <w:r>
              <w:rPr>
                <w:sz w:val="24"/>
              </w:rPr>
              <w:t>We</w:t>
            </w:r>
            <w:r>
              <w:rPr>
                <w:spacing w:val="-1"/>
                <w:sz w:val="24"/>
              </w:rPr>
              <w:t> </w:t>
            </w:r>
            <w:r>
              <w:rPr>
                <w:sz w:val="24"/>
              </w:rPr>
              <w:t>know our company</w:t>
            </w:r>
            <w:r>
              <w:rPr>
                <w:spacing w:val="-2"/>
                <w:sz w:val="24"/>
              </w:rPr>
              <w:t> mission</w:t>
            </w:r>
          </w:p>
        </w:tc>
        <w:tc>
          <w:tcPr>
            <w:tcW w:w="1141" w:type="dxa"/>
            <w:shd w:val="clear" w:color="auto" w:fill="EEECE1"/>
          </w:tcPr>
          <w:p>
            <w:pPr>
              <w:pStyle w:val="TableParagraph"/>
              <w:spacing w:line="270" w:lineRule="exact"/>
              <w:ind w:left="167"/>
              <w:rPr>
                <w:sz w:val="24"/>
              </w:rPr>
            </w:pPr>
            <w:r>
              <w:rPr>
                <w:spacing w:val="-2"/>
                <w:sz w:val="24"/>
              </w:rPr>
              <w:t>2.4323</w:t>
            </w:r>
          </w:p>
        </w:tc>
      </w:tr>
      <w:tr>
        <w:trPr>
          <w:trHeight w:val="827" w:hRule="atLeast"/>
        </w:trPr>
        <w:tc>
          <w:tcPr>
            <w:tcW w:w="523" w:type="dxa"/>
          </w:tcPr>
          <w:p>
            <w:pPr>
              <w:pStyle w:val="TableParagraph"/>
              <w:spacing w:line="270" w:lineRule="exact"/>
              <w:ind w:right="66"/>
              <w:jc w:val="center"/>
              <w:rPr>
                <w:sz w:val="24"/>
              </w:rPr>
            </w:pPr>
            <w:r>
              <w:rPr>
                <w:spacing w:val="-5"/>
                <w:sz w:val="24"/>
              </w:rPr>
              <w:t>34</w:t>
            </w:r>
          </w:p>
        </w:tc>
        <w:tc>
          <w:tcPr>
            <w:tcW w:w="6999" w:type="dxa"/>
          </w:tcPr>
          <w:p>
            <w:pPr>
              <w:pStyle w:val="TableParagraph"/>
              <w:spacing w:line="270" w:lineRule="exact"/>
              <w:ind w:left="175"/>
              <w:rPr>
                <w:sz w:val="24"/>
              </w:rPr>
            </w:pPr>
            <w:r>
              <w:rPr>
                <w:sz w:val="24"/>
              </w:rPr>
              <w:t>Our</w:t>
            </w:r>
            <w:r>
              <w:rPr>
                <w:spacing w:val="-4"/>
                <w:sz w:val="24"/>
              </w:rPr>
              <w:t> </w:t>
            </w:r>
            <w:r>
              <w:rPr>
                <w:sz w:val="24"/>
              </w:rPr>
              <w:t>firm</w:t>
            </w:r>
            <w:r>
              <w:rPr>
                <w:spacing w:val="-1"/>
                <w:sz w:val="24"/>
              </w:rPr>
              <w:t> </w:t>
            </w:r>
            <w:r>
              <w:rPr>
                <w:sz w:val="24"/>
              </w:rPr>
              <w:t>has</w:t>
            </w:r>
            <w:r>
              <w:rPr>
                <w:spacing w:val="-1"/>
                <w:sz w:val="24"/>
              </w:rPr>
              <w:t> </w:t>
            </w:r>
            <w:r>
              <w:rPr>
                <w:sz w:val="24"/>
              </w:rPr>
              <w:t>a comprehensive</w:t>
            </w:r>
            <w:r>
              <w:rPr>
                <w:spacing w:val="-1"/>
                <w:sz w:val="24"/>
              </w:rPr>
              <w:t> </w:t>
            </w:r>
            <w:r>
              <w:rPr>
                <w:sz w:val="24"/>
              </w:rPr>
              <w:t>and</w:t>
            </w:r>
            <w:r>
              <w:rPr>
                <w:spacing w:val="-1"/>
                <w:sz w:val="24"/>
              </w:rPr>
              <w:t> </w:t>
            </w:r>
            <w:r>
              <w:rPr>
                <w:sz w:val="24"/>
              </w:rPr>
              <w:t>structured</w:t>
            </w:r>
            <w:r>
              <w:rPr>
                <w:spacing w:val="-1"/>
                <w:sz w:val="24"/>
              </w:rPr>
              <w:t> </w:t>
            </w:r>
            <w:r>
              <w:rPr>
                <w:sz w:val="24"/>
              </w:rPr>
              <w:t>planning</w:t>
            </w:r>
            <w:r>
              <w:rPr>
                <w:spacing w:val="-4"/>
                <w:sz w:val="24"/>
              </w:rPr>
              <w:t> </w:t>
            </w:r>
            <w:r>
              <w:rPr>
                <w:sz w:val="24"/>
              </w:rPr>
              <w:t>process </w:t>
            </w:r>
            <w:r>
              <w:rPr>
                <w:spacing w:val="-2"/>
                <w:sz w:val="24"/>
              </w:rPr>
              <w:t>which</w:t>
            </w:r>
          </w:p>
          <w:p>
            <w:pPr>
              <w:pStyle w:val="TableParagraph"/>
              <w:spacing w:before="137"/>
              <w:ind w:left="175"/>
              <w:rPr>
                <w:sz w:val="24"/>
              </w:rPr>
            </w:pPr>
            <w:r>
              <w:rPr>
                <w:sz w:val="24"/>
              </w:rPr>
              <w:t>regularly</w:t>
            </w:r>
            <w:r>
              <w:rPr>
                <w:spacing w:val="-9"/>
                <w:sz w:val="24"/>
              </w:rPr>
              <w:t> </w:t>
            </w:r>
            <w:r>
              <w:rPr>
                <w:sz w:val="24"/>
              </w:rPr>
              <w:t>sets</w:t>
            </w:r>
            <w:r>
              <w:rPr>
                <w:spacing w:val="-1"/>
                <w:sz w:val="24"/>
              </w:rPr>
              <w:t> </w:t>
            </w:r>
            <w:r>
              <w:rPr>
                <w:sz w:val="24"/>
              </w:rPr>
              <w:t>and reviews</w:t>
            </w:r>
            <w:r>
              <w:rPr>
                <w:spacing w:val="-1"/>
                <w:sz w:val="24"/>
              </w:rPr>
              <w:t> </w:t>
            </w:r>
            <w:r>
              <w:rPr>
                <w:sz w:val="24"/>
              </w:rPr>
              <w:t>short</w:t>
            </w:r>
            <w:r>
              <w:rPr>
                <w:spacing w:val="-2"/>
                <w:sz w:val="24"/>
              </w:rPr>
              <w:t> </w:t>
            </w:r>
            <w:r>
              <w:rPr>
                <w:sz w:val="24"/>
              </w:rPr>
              <w:t>and</w:t>
            </w:r>
            <w:r>
              <w:rPr>
                <w:spacing w:val="-1"/>
                <w:sz w:val="24"/>
              </w:rPr>
              <w:t> </w:t>
            </w:r>
            <w:r>
              <w:rPr>
                <w:sz w:val="24"/>
              </w:rPr>
              <w:t>long-term</w:t>
            </w:r>
            <w:r>
              <w:rPr>
                <w:spacing w:val="1"/>
                <w:sz w:val="24"/>
              </w:rPr>
              <w:t> </w:t>
            </w:r>
            <w:r>
              <w:rPr>
                <w:spacing w:val="-4"/>
                <w:sz w:val="24"/>
              </w:rPr>
              <w:t>goals</w:t>
            </w:r>
          </w:p>
        </w:tc>
        <w:tc>
          <w:tcPr>
            <w:tcW w:w="1141" w:type="dxa"/>
          </w:tcPr>
          <w:p>
            <w:pPr>
              <w:pStyle w:val="TableParagraph"/>
              <w:spacing w:line="270" w:lineRule="exact"/>
              <w:ind w:left="167"/>
              <w:rPr>
                <w:sz w:val="24"/>
              </w:rPr>
            </w:pPr>
            <w:r>
              <w:rPr>
                <w:spacing w:val="-2"/>
                <w:sz w:val="24"/>
              </w:rPr>
              <w:t>2.9505</w:t>
            </w:r>
          </w:p>
        </w:tc>
      </w:tr>
      <w:tr>
        <w:trPr>
          <w:trHeight w:val="827" w:hRule="atLeast"/>
        </w:trPr>
        <w:tc>
          <w:tcPr>
            <w:tcW w:w="523" w:type="dxa"/>
            <w:shd w:val="clear" w:color="auto" w:fill="EEECE1"/>
          </w:tcPr>
          <w:p>
            <w:pPr>
              <w:pStyle w:val="TableParagraph"/>
              <w:spacing w:line="270" w:lineRule="exact"/>
              <w:ind w:right="66"/>
              <w:jc w:val="center"/>
              <w:rPr>
                <w:sz w:val="24"/>
              </w:rPr>
            </w:pPr>
            <w:r>
              <w:rPr>
                <w:spacing w:val="-5"/>
                <w:sz w:val="24"/>
              </w:rPr>
              <w:t>35</w:t>
            </w:r>
          </w:p>
        </w:tc>
        <w:tc>
          <w:tcPr>
            <w:tcW w:w="6999" w:type="dxa"/>
            <w:shd w:val="clear" w:color="auto" w:fill="EEECE1"/>
          </w:tcPr>
          <w:p>
            <w:pPr>
              <w:pStyle w:val="TableParagraph"/>
              <w:spacing w:line="270" w:lineRule="exact"/>
              <w:ind w:left="175"/>
              <w:rPr>
                <w:sz w:val="24"/>
              </w:rPr>
            </w:pPr>
            <w:r>
              <w:rPr>
                <w:sz w:val="24"/>
              </w:rPr>
              <w:t>Our</w:t>
            </w:r>
            <w:r>
              <w:rPr>
                <w:spacing w:val="-5"/>
                <w:sz w:val="24"/>
              </w:rPr>
              <w:t> </w:t>
            </w:r>
            <w:r>
              <w:rPr>
                <w:sz w:val="24"/>
              </w:rPr>
              <w:t>firm</w:t>
            </w:r>
            <w:r>
              <w:rPr>
                <w:spacing w:val="-1"/>
                <w:sz w:val="24"/>
              </w:rPr>
              <w:t> </w:t>
            </w:r>
            <w:r>
              <w:rPr>
                <w:sz w:val="24"/>
              </w:rPr>
              <w:t>incorporates</w:t>
            </w:r>
            <w:r>
              <w:rPr>
                <w:spacing w:val="-2"/>
                <w:sz w:val="24"/>
              </w:rPr>
              <w:t> </w:t>
            </w:r>
            <w:r>
              <w:rPr>
                <w:sz w:val="24"/>
              </w:rPr>
              <w:t>the needs</w:t>
            </w:r>
            <w:r>
              <w:rPr>
                <w:spacing w:val="-1"/>
                <w:sz w:val="24"/>
              </w:rPr>
              <w:t> </w:t>
            </w:r>
            <w:r>
              <w:rPr>
                <w:sz w:val="24"/>
              </w:rPr>
              <w:t>of</w:t>
            </w:r>
            <w:r>
              <w:rPr>
                <w:spacing w:val="-3"/>
                <w:sz w:val="24"/>
              </w:rPr>
              <w:t> </w:t>
            </w:r>
            <w:r>
              <w:rPr>
                <w:sz w:val="24"/>
              </w:rPr>
              <w:t>all</w:t>
            </w:r>
            <w:r>
              <w:rPr>
                <w:spacing w:val="-1"/>
                <w:sz w:val="24"/>
              </w:rPr>
              <w:t> </w:t>
            </w:r>
            <w:r>
              <w:rPr>
                <w:sz w:val="24"/>
              </w:rPr>
              <w:t>stakeholders when</w:t>
            </w:r>
            <w:r>
              <w:rPr>
                <w:spacing w:val="-1"/>
                <w:sz w:val="24"/>
              </w:rPr>
              <w:t> </w:t>
            </w:r>
            <w:r>
              <w:rPr>
                <w:sz w:val="24"/>
              </w:rPr>
              <w:t>we</w:t>
            </w:r>
            <w:r>
              <w:rPr>
                <w:spacing w:val="-2"/>
                <w:sz w:val="24"/>
              </w:rPr>
              <w:t> develop</w:t>
            </w:r>
          </w:p>
          <w:p>
            <w:pPr>
              <w:pStyle w:val="TableParagraph"/>
              <w:spacing w:before="137"/>
              <w:ind w:left="175"/>
              <w:rPr>
                <w:sz w:val="24"/>
              </w:rPr>
            </w:pPr>
            <w:r>
              <w:rPr>
                <w:sz w:val="24"/>
              </w:rPr>
              <w:t>our</w:t>
            </w:r>
            <w:r>
              <w:rPr>
                <w:spacing w:val="-2"/>
                <w:sz w:val="24"/>
              </w:rPr>
              <w:t> </w:t>
            </w:r>
            <w:r>
              <w:rPr>
                <w:sz w:val="24"/>
              </w:rPr>
              <w:t>plans,</w:t>
            </w:r>
            <w:r>
              <w:rPr>
                <w:spacing w:val="-1"/>
                <w:sz w:val="24"/>
              </w:rPr>
              <w:t> </w:t>
            </w:r>
            <w:r>
              <w:rPr>
                <w:sz w:val="24"/>
              </w:rPr>
              <w:t>policies</w:t>
            </w:r>
            <w:r>
              <w:rPr>
                <w:spacing w:val="-1"/>
                <w:sz w:val="24"/>
              </w:rPr>
              <w:t> </w:t>
            </w:r>
            <w:r>
              <w:rPr>
                <w:sz w:val="24"/>
              </w:rPr>
              <w:t>and</w:t>
            </w:r>
            <w:r>
              <w:rPr>
                <w:spacing w:val="-1"/>
                <w:sz w:val="24"/>
              </w:rPr>
              <w:t> </w:t>
            </w:r>
            <w:r>
              <w:rPr>
                <w:spacing w:val="-2"/>
                <w:sz w:val="24"/>
              </w:rPr>
              <w:t>objectives</w:t>
            </w:r>
          </w:p>
        </w:tc>
        <w:tc>
          <w:tcPr>
            <w:tcW w:w="1141" w:type="dxa"/>
            <w:shd w:val="clear" w:color="auto" w:fill="EEECE1"/>
          </w:tcPr>
          <w:p>
            <w:pPr>
              <w:pStyle w:val="TableParagraph"/>
              <w:spacing w:line="270" w:lineRule="exact"/>
              <w:ind w:left="167"/>
              <w:rPr>
                <w:sz w:val="24"/>
              </w:rPr>
            </w:pPr>
            <w:r>
              <w:rPr>
                <w:spacing w:val="-2"/>
                <w:sz w:val="24"/>
              </w:rPr>
              <w:t>2.5809</w:t>
            </w:r>
          </w:p>
        </w:tc>
      </w:tr>
      <w:tr>
        <w:trPr>
          <w:trHeight w:val="828" w:hRule="atLeast"/>
        </w:trPr>
        <w:tc>
          <w:tcPr>
            <w:tcW w:w="523" w:type="dxa"/>
          </w:tcPr>
          <w:p>
            <w:pPr>
              <w:pStyle w:val="TableParagraph"/>
              <w:spacing w:line="270" w:lineRule="exact"/>
              <w:ind w:right="66"/>
              <w:jc w:val="center"/>
              <w:rPr>
                <w:sz w:val="24"/>
              </w:rPr>
            </w:pPr>
            <w:r>
              <w:rPr>
                <w:spacing w:val="-5"/>
                <w:sz w:val="24"/>
              </w:rPr>
              <w:t>36</w:t>
            </w:r>
          </w:p>
        </w:tc>
        <w:tc>
          <w:tcPr>
            <w:tcW w:w="6999" w:type="dxa"/>
          </w:tcPr>
          <w:p>
            <w:pPr>
              <w:pStyle w:val="TableParagraph"/>
              <w:spacing w:line="270" w:lineRule="exact"/>
              <w:ind w:left="175"/>
              <w:rPr>
                <w:sz w:val="24"/>
              </w:rPr>
            </w:pPr>
            <w:r>
              <w:rPr>
                <w:sz w:val="24"/>
              </w:rPr>
              <w:t>There</w:t>
            </w:r>
            <w:r>
              <w:rPr>
                <w:spacing w:val="-2"/>
                <w:sz w:val="24"/>
              </w:rPr>
              <w:t> </w:t>
            </w:r>
            <w:r>
              <w:rPr>
                <w:sz w:val="24"/>
              </w:rPr>
              <w:t>is a</w:t>
            </w:r>
            <w:r>
              <w:rPr>
                <w:spacing w:val="-1"/>
                <w:sz w:val="24"/>
              </w:rPr>
              <w:t> </w:t>
            </w:r>
            <w:r>
              <w:rPr>
                <w:sz w:val="24"/>
              </w:rPr>
              <w:t>written statement</w:t>
            </w:r>
            <w:r>
              <w:rPr>
                <w:spacing w:val="-1"/>
                <w:sz w:val="24"/>
              </w:rPr>
              <w:t> </w:t>
            </w:r>
            <w:r>
              <w:rPr>
                <w:sz w:val="24"/>
              </w:rPr>
              <w:t>of</w:t>
            </w:r>
            <w:r>
              <w:rPr>
                <w:spacing w:val="-1"/>
                <w:sz w:val="24"/>
              </w:rPr>
              <w:t> </w:t>
            </w:r>
            <w:r>
              <w:rPr>
                <w:sz w:val="24"/>
              </w:rPr>
              <w:t>strategy</w:t>
            </w:r>
            <w:r>
              <w:rPr>
                <w:spacing w:val="-5"/>
                <w:sz w:val="24"/>
              </w:rPr>
              <w:t> </w:t>
            </w:r>
            <w:r>
              <w:rPr>
                <w:sz w:val="24"/>
              </w:rPr>
              <w:t>covering</w:t>
            </w:r>
            <w:r>
              <w:rPr>
                <w:spacing w:val="-3"/>
                <w:sz w:val="24"/>
              </w:rPr>
              <w:t> </w:t>
            </w:r>
            <w:r>
              <w:rPr>
                <w:sz w:val="24"/>
              </w:rPr>
              <w:t>all </w:t>
            </w:r>
            <w:r>
              <w:rPr>
                <w:spacing w:val="-2"/>
                <w:sz w:val="24"/>
              </w:rPr>
              <w:t>business</w:t>
            </w:r>
          </w:p>
          <w:p>
            <w:pPr>
              <w:pStyle w:val="TableParagraph"/>
              <w:spacing w:before="137"/>
              <w:ind w:left="175"/>
              <w:rPr>
                <w:sz w:val="24"/>
              </w:rPr>
            </w:pPr>
            <w:r>
              <w:rPr>
                <w:sz w:val="24"/>
              </w:rPr>
              <w:t>operations</w:t>
            </w:r>
            <w:r>
              <w:rPr>
                <w:spacing w:val="-3"/>
                <w:sz w:val="24"/>
              </w:rPr>
              <w:t> </w:t>
            </w:r>
            <w:r>
              <w:rPr>
                <w:sz w:val="24"/>
              </w:rPr>
              <w:t>which</w:t>
            </w:r>
            <w:r>
              <w:rPr>
                <w:spacing w:val="-1"/>
                <w:sz w:val="24"/>
              </w:rPr>
              <w:t> </w:t>
            </w:r>
            <w:r>
              <w:rPr>
                <w:sz w:val="24"/>
              </w:rPr>
              <w:t>is</w:t>
            </w:r>
            <w:r>
              <w:rPr>
                <w:spacing w:val="-1"/>
                <w:sz w:val="24"/>
              </w:rPr>
              <w:t> </w:t>
            </w:r>
            <w:r>
              <w:rPr>
                <w:sz w:val="24"/>
              </w:rPr>
              <w:t>articulated</w:t>
            </w:r>
            <w:r>
              <w:rPr>
                <w:spacing w:val="-1"/>
                <w:sz w:val="24"/>
              </w:rPr>
              <w:t> </w:t>
            </w:r>
            <w:r>
              <w:rPr>
                <w:sz w:val="24"/>
              </w:rPr>
              <w:t>and agreed</w:t>
            </w:r>
            <w:r>
              <w:rPr>
                <w:spacing w:val="-1"/>
                <w:sz w:val="24"/>
              </w:rPr>
              <w:t> </w:t>
            </w:r>
            <w:r>
              <w:rPr>
                <w:sz w:val="24"/>
              </w:rPr>
              <w:t>by</w:t>
            </w:r>
            <w:r>
              <w:rPr>
                <w:spacing w:val="-6"/>
                <w:sz w:val="24"/>
              </w:rPr>
              <w:t> </w:t>
            </w:r>
            <w:r>
              <w:rPr>
                <w:sz w:val="24"/>
              </w:rPr>
              <w:t>our senior</w:t>
            </w:r>
            <w:r>
              <w:rPr>
                <w:spacing w:val="-1"/>
                <w:sz w:val="24"/>
              </w:rPr>
              <w:t> </w:t>
            </w:r>
            <w:r>
              <w:rPr>
                <w:spacing w:val="-2"/>
                <w:sz w:val="24"/>
              </w:rPr>
              <w:t>managers</w:t>
            </w:r>
          </w:p>
        </w:tc>
        <w:tc>
          <w:tcPr>
            <w:tcW w:w="1141" w:type="dxa"/>
          </w:tcPr>
          <w:p>
            <w:pPr>
              <w:pStyle w:val="TableParagraph"/>
              <w:spacing w:line="270" w:lineRule="exact"/>
              <w:ind w:left="167"/>
              <w:rPr>
                <w:sz w:val="24"/>
              </w:rPr>
            </w:pPr>
            <w:r>
              <w:rPr>
                <w:spacing w:val="-2"/>
                <w:sz w:val="24"/>
              </w:rPr>
              <w:t>2.7063</w:t>
            </w:r>
          </w:p>
        </w:tc>
      </w:tr>
      <w:tr>
        <w:trPr>
          <w:trHeight w:val="412" w:hRule="atLeast"/>
        </w:trPr>
        <w:tc>
          <w:tcPr>
            <w:tcW w:w="7522" w:type="dxa"/>
            <w:gridSpan w:val="2"/>
            <w:shd w:val="clear" w:color="auto" w:fill="EEECE1"/>
          </w:tcPr>
          <w:p>
            <w:pPr>
              <w:pStyle w:val="TableParagraph"/>
              <w:spacing w:line="275" w:lineRule="exact"/>
              <w:ind w:left="108"/>
              <w:rPr>
                <w:b/>
                <w:sz w:val="24"/>
              </w:rPr>
            </w:pPr>
            <w:r>
              <w:rPr>
                <w:b/>
                <w:sz w:val="24"/>
              </w:rPr>
              <w:t>Overall</w:t>
            </w:r>
            <w:r>
              <w:rPr>
                <w:b/>
                <w:spacing w:val="-4"/>
                <w:sz w:val="24"/>
              </w:rPr>
              <w:t> </w:t>
            </w:r>
            <w:r>
              <w:rPr>
                <w:b/>
                <w:spacing w:val="-2"/>
                <w:sz w:val="24"/>
              </w:rPr>
              <w:t>average</w:t>
            </w:r>
          </w:p>
        </w:tc>
        <w:tc>
          <w:tcPr>
            <w:tcW w:w="1141" w:type="dxa"/>
            <w:shd w:val="clear" w:color="auto" w:fill="EEECE1"/>
          </w:tcPr>
          <w:p>
            <w:pPr>
              <w:pStyle w:val="TableParagraph"/>
              <w:spacing w:line="275" w:lineRule="exact"/>
              <w:ind w:left="167"/>
              <w:rPr>
                <w:b/>
                <w:sz w:val="24"/>
              </w:rPr>
            </w:pPr>
            <w:r>
              <w:rPr>
                <w:b/>
                <w:spacing w:val="-2"/>
                <w:sz w:val="24"/>
              </w:rPr>
              <w:t>2.6448</w:t>
            </w:r>
          </w:p>
        </w:tc>
      </w:tr>
    </w:tbl>
    <w:p>
      <w:pPr>
        <w:spacing w:before="1"/>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2"/>
          <w:sz w:val="24"/>
        </w:rPr>
        <w:t> </w:t>
      </w:r>
      <w:r>
        <w:rPr>
          <w:b/>
          <w:sz w:val="24"/>
        </w:rPr>
        <w:t>survey</w:t>
      </w:r>
      <w:r>
        <w:rPr>
          <w:b/>
          <w:spacing w:val="-2"/>
          <w:sz w:val="24"/>
        </w:rPr>
        <w:t> (2018)</w:t>
      </w:r>
    </w:p>
    <w:p>
      <w:pPr>
        <w:pStyle w:val="BodyText"/>
        <w:rPr>
          <w:b/>
        </w:rPr>
      </w:pPr>
    </w:p>
    <w:p>
      <w:pPr>
        <w:pStyle w:val="ListParagraph"/>
        <w:numPr>
          <w:ilvl w:val="2"/>
          <w:numId w:val="46"/>
        </w:numPr>
        <w:tabs>
          <w:tab w:pos="940" w:val="left" w:leader="none"/>
        </w:tabs>
        <w:spacing w:line="240" w:lineRule="auto" w:before="0" w:after="0"/>
        <w:ind w:left="940" w:right="0" w:hanging="540"/>
        <w:jc w:val="left"/>
        <w:rPr>
          <w:b/>
          <w:sz w:val="24"/>
        </w:rPr>
      </w:pPr>
      <w:r>
        <w:rPr>
          <w:b/>
          <w:sz w:val="24"/>
        </w:rPr>
        <w:t>Hypothesis</w:t>
      </w:r>
      <w:r>
        <w:rPr>
          <w:b/>
          <w:spacing w:val="-2"/>
          <w:sz w:val="24"/>
        </w:rPr>
        <w:t> </w:t>
      </w:r>
      <w:r>
        <w:rPr>
          <w:b/>
          <w:spacing w:val="-5"/>
          <w:sz w:val="24"/>
        </w:rPr>
        <w:t>one</w:t>
      </w:r>
    </w:p>
    <w:p>
      <w:pPr>
        <w:pStyle w:val="BodyText"/>
        <w:spacing w:line="480" w:lineRule="auto" w:before="272"/>
        <w:ind w:left="400" w:right="2270" w:firstLine="60"/>
      </w:pPr>
      <w:r>
        <w:rPr/>
        <w:t>The</w:t>
      </w:r>
      <w:r>
        <w:rPr>
          <w:spacing w:val="-4"/>
        </w:rPr>
        <w:t> </w:t>
      </w:r>
      <w:r>
        <w:rPr/>
        <w:t>level</w:t>
      </w:r>
      <w:r>
        <w:rPr>
          <w:spacing w:val="-3"/>
        </w:rPr>
        <w:t> </w:t>
      </w:r>
      <w:r>
        <w:rPr/>
        <w:t>of</w:t>
      </w:r>
      <w:r>
        <w:rPr>
          <w:spacing w:val="-4"/>
        </w:rPr>
        <w:t> </w:t>
      </w:r>
      <w:r>
        <w:rPr/>
        <w:t>implementation</w:t>
      </w:r>
      <w:r>
        <w:rPr>
          <w:spacing w:val="-3"/>
        </w:rPr>
        <w:t> </w:t>
      </w:r>
      <w:r>
        <w:rPr/>
        <w:t>of</w:t>
      </w:r>
      <w:r>
        <w:rPr>
          <w:spacing w:val="-4"/>
        </w:rPr>
        <w:t> </w:t>
      </w:r>
      <w:r>
        <w:rPr/>
        <w:t>TQM</w:t>
      </w:r>
      <w:r>
        <w:rPr>
          <w:spacing w:val="-3"/>
        </w:rPr>
        <w:t> </w:t>
      </w:r>
      <w:r>
        <w:rPr/>
        <w:t>in</w:t>
      </w:r>
      <w:r>
        <w:rPr>
          <w:spacing w:val="-3"/>
        </w:rPr>
        <w:t> </w:t>
      </w:r>
      <w:r>
        <w:rPr/>
        <w:t>SMCFs</w:t>
      </w:r>
      <w:r>
        <w:rPr>
          <w:spacing w:val="-3"/>
        </w:rPr>
        <w:t> </w:t>
      </w:r>
      <w:r>
        <w:rPr/>
        <w:t>in</w:t>
      </w:r>
      <w:r>
        <w:rPr>
          <w:spacing w:val="-3"/>
        </w:rPr>
        <w:t> </w:t>
      </w:r>
      <w:r>
        <w:rPr/>
        <w:t>South-East</w:t>
      </w:r>
      <w:r>
        <w:rPr>
          <w:spacing w:val="-3"/>
        </w:rPr>
        <w:t> </w:t>
      </w:r>
      <w:r>
        <w:rPr/>
        <w:t>Nigeria</w:t>
      </w:r>
      <w:r>
        <w:rPr>
          <w:spacing w:val="-4"/>
        </w:rPr>
        <w:t> </w:t>
      </w:r>
      <w:r>
        <w:rPr/>
        <w:t>is</w:t>
      </w:r>
      <w:r>
        <w:rPr>
          <w:spacing w:val="-3"/>
        </w:rPr>
        <w:t> </w:t>
      </w:r>
      <w:r>
        <w:rPr/>
        <w:t>not</w:t>
      </w:r>
      <w:r>
        <w:rPr>
          <w:spacing w:val="-3"/>
        </w:rPr>
        <w:t> </w:t>
      </w:r>
      <w:r>
        <w:rPr/>
        <w:t>low. Based on this objective, the above null hypothesis were postulated and tested.</w:t>
      </w:r>
    </w:p>
    <w:p>
      <w:pPr>
        <w:spacing w:before="184"/>
        <w:ind w:left="400" w:right="0" w:firstLine="0"/>
        <w:jc w:val="left"/>
        <w:rPr>
          <w:sz w:val="24"/>
        </w:rPr>
      </w:pPr>
      <w:r>
        <w:rPr>
          <w:b/>
          <w:sz w:val="24"/>
        </w:rPr>
        <w:t>Data</w:t>
      </w:r>
      <w:r>
        <w:rPr>
          <w:b/>
          <w:spacing w:val="-2"/>
          <w:sz w:val="24"/>
        </w:rPr>
        <w:t> </w:t>
      </w:r>
      <w:r>
        <w:rPr>
          <w:b/>
          <w:sz w:val="24"/>
        </w:rPr>
        <w:t>used</w:t>
      </w:r>
      <w:r>
        <w:rPr>
          <w:sz w:val="24"/>
        </w:rPr>
        <w:t>:</w:t>
      </w:r>
      <w:r>
        <w:rPr>
          <w:spacing w:val="-2"/>
          <w:sz w:val="24"/>
        </w:rPr>
        <w:t> </w:t>
      </w:r>
      <w:r>
        <w:rPr>
          <w:sz w:val="24"/>
        </w:rPr>
        <w:t>Table</w:t>
      </w:r>
      <w:r>
        <w:rPr>
          <w:spacing w:val="-2"/>
          <w:sz w:val="24"/>
        </w:rPr>
        <w:t> </w:t>
      </w:r>
      <w:r>
        <w:rPr>
          <w:spacing w:val="-5"/>
          <w:sz w:val="24"/>
        </w:rPr>
        <w:t>5.6</w:t>
      </w:r>
    </w:p>
    <w:p>
      <w:pPr>
        <w:pStyle w:val="BodyText"/>
      </w:pPr>
    </w:p>
    <w:p>
      <w:pPr>
        <w:spacing w:before="0"/>
        <w:ind w:left="400" w:right="0" w:firstLine="0"/>
        <w:jc w:val="left"/>
        <w:rPr>
          <w:sz w:val="24"/>
        </w:rPr>
      </w:pPr>
      <w:r>
        <w:rPr>
          <w:b/>
          <w:sz w:val="24"/>
        </w:rPr>
        <w:t>Statistical</w:t>
      </w:r>
      <w:r>
        <w:rPr>
          <w:b/>
          <w:spacing w:val="-3"/>
          <w:sz w:val="24"/>
        </w:rPr>
        <w:t> </w:t>
      </w:r>
      <w:r>
        <w:rPr>
          <w:b/>
          <w:sz w:val="24"/>
        </w:rPr>
        <w:t>tool:</w:t>
      </w:r>
      <w:r>
        <w:rPr>
          <w:b/>
          <w:spacing w:val="-1"/>
          <w:sz w:val="24"/>
        </w:rPr>
        <w:t> </w:t>
      </w:r>
      <w:r>
        <w:rPr>
          <w:sz w:val="24"/>
        </w:rPr>
        <w:t>Z-</w:t>
      </w:r>
      <w:r>
        <w:rPr>
          <w:spacing w:val="-3"/>
          <w:sz w:val="24"/>
        </w:rPr>
        <w:t> </w:t>
      </w:r>
      <w:r>
        <w:rPr>
          <w:sz w:val="24"/>
        </w:rPr>
        <w:t>test</w:t>
      </w:r>
      <w:r>
        <w:rPr>
          <w:spacing w:val="-2"/>
          <w:sz w:val="24"/>
        </w:rPr>
        <w:t> statistics</w:t>
      </w:r>
    </w:p>
    <w:p>
      <w:pPr>
        <w:pStyle w:val="BodyText"/>
      </w:pPr>
    </w:p>
    <w:p>
      <w:pPr>
        <w:pStyle w:val="BodyText"/>
        <w:ind w:left="400"/>
      </w:pPr>
      <w:r>
        <w:rPr/>
        <w:t>Z-test</w:t>
      </w:r>
      <w:r>
        <w:rPr>
          <w:spacing w:val="-4"/>
        </w:rPr>
        <w:t> </w:t>
      </w:r>
      <w:r>
        <w:rPr/>
        <w:t>statistics</w:t>
      </w:r>
      <w:r>
        <w:rPr>
          <w:spacing w:val="-1"/>
        </w:rPr>
        <w:t> </w:t>
      </w:r>
      <w:r>
        <w:rPr/>
        <w:t>is</w:t>
      </w:r>
      <w:r>
        <w:rPr>
          <w:spacing w:val="-1"/>
        </w:rPr>
        <w:t> </w:t>
      </w:r>
      <w:r>
        <w:rPr/>
        <w:t>selected</w:t>
      </w:r>
      <w:r>
        <w:rPr>
          <w:spacing w:val="-2"/>
        </w:rPr>
        <w:t> </w:t>
      </w:r>
      <w:r>
        <w:rPr/>
        <w:t>because</w:t>
      </w:r>
      <w:r>
        <w:rPr>
          <w:spacing w:val="-2"/>
        </w:rPr>
        <w:t> </w:t>
      </w:r>
      <w:r>
        <w:rPr/>
        <w:t>the</w:t>
      </w:r>
      <w:r>
        <w:rPr>
          <w:spacing w:val="-2"/>
        </w:rPr>
        <w:t> </w:t>
      </w:r>
      <w:r>
        <w:rPr/>
        <w:t>number</w:t>
      </w:r>
      <w:r>
        <w:rPr>
          <w:spacing w:val="-2"/>
        </w:rPr>
        <w:t> </w:t>
      </w:r>
      <w:r>
        <w:rPr/>
        <w:t>of</w:t>
      </w:r>
      <w:r>
        <w:rPr>
          <w:spacing w:val="-1"/>
        </w:rPr>
        <w:t> </w:t>
      </w:r>
      <w:r>
        <w:rPr/>
        <w:t>observation</w:t>
      </w:r>
      <w:r>
        <w:rPr>
          <w:spacing w:val="-1"/>
        </w:rPr>
        <w:t> </w:t>
      </w:r>
      <w:r>
        <w:rPr/>
        <w:t>is</w:t>
      </w:r>
      <w:r>
        <w:rPr>
          <w:spacing w:val="-1"/>
        </w:rPr>
        <w:t> </w:t>
      </w:r>
      <w:r>
        <w:rPr/>
        <w:t>large,</w:t>
      </w:r>
      <w:r>
        <w:rPr>
          <w:spacing w:val="1"/>
        </w:rPr>
        <w:t> </w:t>
      </w:r>
      <w:r>
        <w:rPr/>
        <w:t>above</w:t>
      </w:r>
      <w:r>
        <w:rPr>
          <w:spacing w:val="-3"/>
        </w:rPr>
        <w:t> </w:t>
      </w:r>
      <w:r>
        <w:rPr/>
        <w:t>30</w:t>
      </w:r>
      <w:r>
        <w:rPr>
          <w:spacing w:val="-1"/>
        </w:rPr>
        <w:t> </w:t>
      </w:r>
      <w:r>
        <w:rPr/>
        <w:t>(large</w:t>
      </w:r>
      <w:r>
        <w:rPr>
          <w:spacing w:val="-2"/>
        </w:rPr>
        <w:t> </w:t>
      </w:r>
      <w:r>
        <w:rPr/>
        <w:t>N</w:t>
      </w:r>
      <w:r>
        <w:rPr>
          <w:spacing w:val="-2"/>
        </w:rPr>
        <w:t> values)</w:t>
      </w:r>
    </w:p>
    <w:p>
      <w:pPr>
        <w:pStyle w:val="BodyText"/>
      </w:pPr>
    </w:p>
    <w:p>
      <w:pPr>
        <w:spacing w:before="1"/>
        <w:ind w:left="460" w:right="0" w:firstLine="0"/>
        <w:jc w:val="left"/>
        <w:rPr>
          <w:sz w:val="24"/>
        </w:rPr>
      </w:pPr>
      <w:r>
        <w:rPr>
          <w:b/>
          <w:sz w:val="24"/>
        </w:rPr>
        <w:t>Data</w:t>
      </w:r>
      <w:r>
        <w:rPr>
          <w:b/>
          <w:spacing w:val="-3"/>
          <w:sz w:val="24"/>
        </w:rPr>
        <w:t> </w:t>
      </w:r>
      <w:r>
        <w:rPr>
          <w:b/>
          <w:sz w:val="24"/>
        </w:rPr>
        <w:t>analysis</w:t>
      </w:r>
      <w:r>
        <w:rPr>
          <w:b/>
          <w:spacing w:val="-2"/>
          <w:sz w:val="24"/>
        </w:rPr>
        <w:t> </w:t>
      </w:r>
      <w:r>
        <w:rPr>
          <w:b/>
          <w:sz w:val="24"/>
        </w:rPr>
        <w:t>software</w:t>
      </w:r>
      <w:r>
        <w:rPr>
          <w:sz w:val="24"/>
        </w:rPr>
        <w:t>:</w:t>
      </w:r>
      <w:r>
        <w:rPr>
          <w:spacing w:val="-2"/>
          <w:sz w:val="24"/>
        </w:rPr>
        <w:t> </w:t>
      </w:r>
      <w:r>
        <w:rPr>
          <w:sz w:val="24"/>
        </w:rPr>
        <w:t>SPSS</w:t>
      </w:r>
      <w:r>
        <w:rPr>
          <w:spacing w:val="-2"/>
          <w:sz w:val="24"/>
        </w:rPr>
        <w:t> </w:t>
      </w:r>
      <w:r>
        <w:rPr>
          <w:sz w:val="24"/>
        </w:rPr>
        <w:t>version</w:t>
      </w:r>
      <w:r>
        <w:rPr>
          <w:spacing w:val="-2"/>
          <w:sz w:val="24"/>
        </w:rPr>
        <w:t> </w:t>
      </w:r>
      <w:r>
        <w:rPr>
          <w:spacing w:val="-5"/>
          <w:sz w:val="24"/>
        </w:rPr>
        <w:t>22</w:t>
      </w:r>
    </w:p>
    <w:p>
      <w:pPr>
        <w:pStyle w:val="BodyText"/>
        <w:spacing w:line="480" w:lineRule="auto" w:before="276"/>
        <w:ind w:left="400" w:right="1315"/>
      </w:pPr>
      <w:r>
        <w:rPr>
          <w:b/>
        </w:rPr>
        <w:t>Decision</w:t>
      </w:r>
      <w:r>
        <w:rPr>
          <w:b/>
          <w:spacing w:val="40"/>
        </w:rPr>
        <w:t> </w:t>
      </w:r>
      <w:r>
        <w:rPr>
          <w:b/>
        </w:rPr>
        <w:t>Rule:</w:t>
      </w:r>
      <w:r>
        <w:rPr>
          <w:b/>
          <w:spacing w:val="40"/>
        </w:rPr>
        <w:t> </w:t>
      </w:r>
      <w:r>
        <w:rPr/>
        <w:t>Reject</w:t>
      </w:r>
      <w:r>
        <w:rPr>
          <w:spacing w:val="40"/>
        </w:rPr>
        <w:t> </w:t>
      </w:r>
      <w:r>
        <w:rPr/>
        <w:t>the</w:t>
      </w:r>
      <w:r>
        <w:rPr>
          <w:spacing w:val="40"/>
        </w:rPr>
        <w:t> </w:t>
      </w:r>
      <w:r>
        <w:rPr/>
        <w:t>null</w:t>
      </w:r>
      <w:r>
        <w:rPr>
          <w:spacing w:val="40"/>
        </w:rPr>
        <w:t> </w:t>
      </w:r>
      <w:r>
        <w:rPr/>
        <w:t>hypothesis</w:t>
      </w:r>
      <w:r>
        <w:rPr>
          <w:spacing w:val="40"/>
        </w:rPr>
        <w:t> </w:t>
      </w:r>
      <w:r>
        <w:rPr/>
        <w:t>if</w:t>
      </w:r>
      <w:r>
        <w:rPr>
          <w:spacing w:val="40"/>
        </w:rPr>
        <w:t> </w:t>
      </w:r>
      <w:r>
        <w:rPr/>
        <w:t>p-value</w:t>
      </w:r>
      <w:r>
        <w:rPr>
          <w:spacing w:val="40"/>
        </w:rPr>
        <w:t> </w:t>
      </w:r>
      <w:r>
        <w:rPr/>
        <w:t>is</w:t>
      </w:r>
      <w:r>
        <w:rPr>
          <w:spacing w:val="40"/>
        </w:rPr>
        <w:t> </w:t>
      </w:r>
      <w:r>
        <w:rPr/>
        <w:t>less</w:t>
      </w:r>
      <w:r>
        <w:rPr>
          <w:spacing w:val="40"/>
        </w:rPr>
        <w:t> </w:t>
      </w:r>
      <w:r>
        <w:rPr/>
        <w:t>than</w:t>
      </w:r>
      <w:r>
        <w:rPr>
          <w:spacing w:val="40"/>
        </w:rPr>
        <w:t> </w:t>
      </w:r>
      <w:r>
        <w:rPr/>
        <w:t>or</w:t>
      </w:r>
      <w:r>
        <w:rPr>
          <w:spacing w:val="40"/>
        </w:rPr>
        <w:t> </w:t>
      </w:r>
      <w:r>
        <w:rPr/>
        <w:t>equal</w:t>
      </w:r>
      <w:r>
        <w:rPr>
          <w:spacing w:val="40"/>
        </w:rPr>
        <w:t> </w:t>
      </w:r>
      <w:r>
        <w:rPr/>
        <w:t>to</w:t>
      </w:r>
      <w:r>
        <w:rPr>
          <w:spacing w:val="40"/>
        </w:rPr>
        <w:t> </w:t>
      </w:r>
      <w:r>
        <w:rPr/>
        <w:t>0.05</w:t>
      </w:r>
      <w:r>
        <w:rPr>
          <w:spacing w:val="40"/>
        </w:rPr>
        <w:t> </w:t>
      </w:r>
      <w:r>
        <w:rPr/>
        <w:t>[Level</w:t>
      </w:r>
      <w:r>
        <w:rPr>
          <w:spacing w:val="40"/>
        </w:rPr>
        <w:t> </w:t>
      </w:r>
      <w:r>
        <w:rPr/>
        <w:t>of significance (α)]; otherwise do not reject.</w:t>
      </w:r>
    </w:p>
    <w:p>
      <w:pPr>
        <w:pStyle w:val="BodyText"/>
        <w:ind w:left="400"/>
      </w:pPr>
      <w:r>
        <w:rPr/>
        <w:t>[DataSet2]</w:t>
      </w:r>
      <w:r>
        <w:rPr>
          <w:spacing w:val="-2"/>
        </w:rPr>
        <w:t> C:\Users\USER\Documents\Alinta\Hyp1.sav</w:t>
      </w:r>
    </w:p>
    <w:p>
      <w:pPr>
        <w:spacing w:after="0"/>
        <w:sectPr>
          <w:pgSz w:w="12240" w:h="15840"/>
          <w:pgMar w:header="0" w:footer="1017" w:top="1420" w:bottom="1200" w:left="1040" w:right="120"/>
        </w:sectPr>
      </w:pPr>
    </w:p>
    <w:p>
      <w:pPr>
        <w:pStyle w:val="ListParagraph"/>
        <w:numPr>
          <w:ilvl w:val="1"/>
          <w:numId w:val="47"/>
        </w:numPr>
        <w:tabs>
          <w:tab w:pos="791" w:val="left" w:leader="none"/>
        </w:tabs>
        <w:spacing w:line="240" w:lineRule="auto" w:before="68" w:after="0"/>
        <w:ind w:left="791" w:right="0" w:hanging="360"/>
        <w:jc w:val="both"/>
        <w:rPr>
          <w:b/>
          <w:sz w:val="24"/>
        </w:rPr>
      </w:pPr>
      <w:r>
        <w:rPr>
          <w:b/>
          <w:sz w:val="24"/>
        </w:rPr>
        <w:t>One-Sample</w:t>
      </w:r>
      <w:r>
        <w:rPr>
          <w:b/>
          <w:spacing w:val="-4"/>
          <w:sz w:val="24"/>
        </w:rPr>
        <w:t> </w:t>
      </w:r>
      <w:r>
        <w:rPr>
          <w:b/>
          <w:sz w:val="24"/>
        </w:rPr>
        <w:t>result</w:t>
      </w:r>
      <w:r>
        <w:rPr>
          <w:b/>
          <w:spacing w:val="-3"/>
          <w:sz w:val="24"/>
        </w:rPr>
        <w:t> </w:t>
      </w:r>
      <w:r>
        <w:rPr>
          <w:b/>
          <w:sz w:val="24"/>
        </w:rPr>
        <w:t>of</w:t>
      </w:r>
      <w:r>
        <w:rPr>
          <w:b/>
          <w:spacing w:val="-1"/>
          <w:sz w:val="24"/>
        </w:rPr>
        <w:t> </w:t>
      </w:r>
      <w:r>
        <w:rPr>
          <w:b/>
          <w:sz w:val="24"/>
        </w:rPr>
        <w:t>level</w:t>
      </w:r>
      <w:r>
        <w:rPr>
          <w:b/>
          <w:spacing w:val="-2"/>
          <w:sz w:val="24"/>
        </w:rPr>
        <w:t> </w:t>
      </w:r>
      <w:r>
        <w:rPr>
          <w:b/>
          <w:sz w:val="24"/>
        </w:rPr>
        <w:t>of</w:t>
      </w:r>
      <w:r>
        <w:rPr>
          <w:b/>
          <w:spacing w:val="-1"/>
          <w:sz w:val="24"/>
        </w:rPr>
        <w:t> </w:t>
      </w:r>
      <w:r>
        <w:rPr>
          <w:b/>
          <w:sz w:val="24"/>
        </w:rPr>
        <w:t>implementation</w:t>
      </w:r>
      <w:r>
        <w:rPr>
          <w:b/>
          <w:spacing w:val="-2"/>
          <w:sz w:val="24"/>
        </w:rPr>
        <w:t> </w:t>
      </w:r>
      <w:r>
        <w:rPr>
          <w:b/>
          <w:sz w:val="24"/>
        </w:rPr>
        <w:t>of</w:t>
      </w:r>
      <w:r>
        <w:rPr>
          <w:b/>
          <w:spacing w:val="-1"/>
          <w:sz w:val="24"/>
        </w:rPr>
        <w:t> </w:t>
      </w:r>
      <w:r>
        <w:rPr>
          <w:b/>
          <w:spacing w:val="-5"/>
          <w:sz w:val="24"/>
        </w:rPr>
        <w:t>TQM</w:t>
      </w:r>
    </w:p>
    <w:p>
      <w:pPr>
        <w:pStyle w:val="BodyText"/>
        <w:spacing w:before="3"/>
        <w:rPr>
          <w:b/>
          <w:sz w:val="20"/>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35"/>
        <w:gridCol w:w="1097"/>
        <w:gridCol w:w="1251"/>
        <w:gridCol w:w="1551"/>
        <w:gridCol w:w="1580"/>
      </w:tblGrid>
      <w:tr>
        <w:trPr>
          <w:trHeight w:val="850" w:hRule="atLeast"/>
        </w:trPr>
        <w:tc>
          <w:tcPr>
            <w:tcW w:w="2635" w:type="dxa"/>
          </w:tcPr>
          <w:p>
            <w:pPr>
              <w:pStyle w:val="TableParagraph"/>
              <w:rPr>
                <w:sz w:val="24"/>
              </w:rPr>
            </w:pPr>
          </w:p>
        </w:tc>
        <w:tc>
          <w:tcPr>
            <w:tcW w:w="1097" w:type="dxa"/>
            <w:tcBorders>
              <w:right w:val="single" w:sz="8" w:space="0" w:color="000000"/>
            </w:tcBorders>
          </w:tcPr>
          <w:p>
            <w:pPr>
              <w:pStyle w:val="TableParagraph"/>
              <w:spacing w:before="60"/>
              <w:rPr>
                <w:b/>
                <w:sz w:val="24"/>
              </w:rPr>
            </w:pPr>
          </w:p>
          <w:p>
            <w:pPr>
              <w:pStyle w:val="TableParagraph"/>
              <w:ind w:left="29"/>
              <w:jc w:val="center"/>
              <w:rPr>
                <w:sz w:val="24"/>
              </w:rPr>
            </w:pPr>
            <w:r>
              <w:rPr>
                <w:spacing w:val="-10"/>
                <w:sz w:val="24"/>
              </w:rPr>
              <w:t>N</w:t>
            </w:r>
          </w:p>
        </w:tc>
        <w:tc>
          <w:tcPr>
            <w:tcW w:w="1251" w:type="dxa"/>
            <w:tcBorders>
              <w:left w:val="single" w:sz="8" w:space="0" w:color="000000"/>
              <w:right w:val="single" w:sz="8" w:space="0" w:color="000000"/>
            </w:tcBorders>
          </w:tcPr>
          <w:p>
            <w:pPr>
              <w:pStyle w:val="TableParagraph"/>
              <w:spacing w:before="60"/>
              <w:rPr>
                <w:b/>
                <w:sz w:val="24"/>
              </w:rPr>
            </w:pPr>
          </w:p>
          <w:p>
            <w:pPr>
              <w:pStyle w:val="TableParagraph"/>
              <w:ind w:left="359"/>
              <w:rPr>
                <w:sz w:val="24"/>
              </w:rPr>
            </w:pPr>
            <w:r>
              <w:rPr>
                <w:spacing w:val="-4"/>
                <w:sz w:val="24"/>
              </w:rPr>
              <w:t>Mean</w:t>
            </w:r>
          </w:p>
        </w:tc>
        <w:tc>
          <w:tcPr>
            <w:tcW w:w="1551" w:type="dxa"/>
            <w:tcBorders>
              <w:left w:val="single" w:sz="8" w:space="0" w:color="000000"/>
              <w:right w:val="single" w:sz="8" w:space="0" w:color="000000"/>
            </w:tcBorders>
          </w:tcPr>
          <w:p>
            <w:pPr>
              <w:pStyle w:val="TableParagraph"/>
              <w:spacing w:before="60"/>
              <w:rPr>
                <w:b/>
                <w:sz w:val="24"/>
              </w:rPr>
            </w:pPr>
          </w:p>
          <w:p>
            <w:pPr>
              <w:pStyle w:val="TableParagraph"/>
              <w:ind w:right="54"/>
              <w:jc w:val="right"/>
              <w:rPr>
                <w:sz w:val="24"/>
              </w:rPr>
            </w:pPr>
            <w:r>
              <w:rPr>
                <w:sz w:val="24"/>
              </w:rPr>
              <w:t>Std. </w:t>
            </w:r>
            <w:r>
              <w:rPr>
                <w:spacing w:val="-2"/>
                <w:sz w:val="24"/>
              </w:rPr>
              <w:t>Deviation</w:t>
            </w:r>
          </w:p>
        </w:tc>
        <w:tc>
          <w:tcPr>
            <w:tcW w:w="1580" w:type="dxa"/>
            <w:tcBorders>
              <w:left w:val="single" w:sz="8" w:space="0" w:color="000000"/>
            </w:tcBorders>
          </w:tcPr>
          <w:p>
            <w:pPr>
              <w:pStyle w:val="TableParagraph"/>
              <w:spacing w:line="273" w:lineRule="auto" w:before="22"/>
              <w:ind w:left="521" w:right="274" w:hanging="200"/>
              <w:rPr>
                <w:sz w:val="24"/>
              </w:rPr>
            </w:pPr>
            <w:r>
              <w:rPr>
                <w:sz w:val="24"/>
              </w:rPr>
              <w:t>Std.</w:t>
            </w:r>
            <w:r>
              <w:rPr>
                <w:spacing w:val="-15"/>
                <w:sz w:val="24"/>
              </w:rPr>
              <w:t> </w:t>
            </w:r>
            <w:r>
              <w:rPr>
                <w:sz w:val="24"/>
              </w:rPr>
              <w:t>Error </w:t>
            </w:r>
            <w:r>
              <w:rPr>
                <w:spacing w:val="-4"/>
                <w:sz w:val="24"/>
              </w:rPr>
              <w:t>Mean</w:t>
            </w:r>
          </w:p>
        </w:tc>
      </w:tr>
      <w:tr>
        <w:trPr>
          <w:trHeight w:val="850" w:hRule="atLeast"/>
        </w:trPr>
        <w:tc>
          <w:tcPr>
            <w:tcW w:w="2635" w:type="dxa"/>
          </w:tcPr>
          <w:p>
            <w:pPr>
              <w:pStyle w:val="TableParagraph"/>
              <w:spacing w:line="273" w:lineRule="auto" w:before="22"/>
              <w:ind w:left="27" w:right="201"/>
              <w:rPr>
                <w:sz w:val="24"/>
              </w:rPr>
            </w:pPr>
            <w:r>
              <w:rPr>
                <w:sz w:val="24"/>
              </w:rPr>
              <w:t>The level of implementation</w:t>
            </w:r>
            <w:r>
              <w:rPr>
                <w:spacing w:val="-15"/>
                <w:sz w:val="24"/>
              </w:rPr>
              <w:t> </w:t>
            </w:r>
            <w:r>
              <w:rPr>
                <w:sz w:val="24"/>
              </w:rPr>
              <w:t>of</w:t>
            </w:r>
            <w:r>
              <w:rPr>
                <w:spacing w:val="-15"/>
                <w:sz w:val="24"/>
              </w:rPr>
              <w:t> </w:t>
            </w:r>
            <w:r>
              <w:rPr>
                <w:sz w:val="24"/>
              </w:rPr>
              <w:t>TQM</w:t>
            </w:r>
          </w:p>
        </w:tc>
        <w:tc>
          <w:tcPr>
            <w:tcW w:w="1097" w:type="dxa"/>
            <w:tcBorders>
              <w:right w:val="single" w:sz="8" w:space="0" w:color="000000"/>
            </w:tcBorders>
          </w:tcPr>
          <w:p>
            <w:pPr>
              <w:pStyle w:val="TableParagraph"/>
              <w:spacing w:before="178"/>
              <w:ind w:right="-15"/>
              <w:jc w:val="right"/>
              <w:rPr>
                <w:sz w:val="24"/>
              </w:rPr>
            </w:pPr>
            <w:r>
              <w:rPr>
                <w:spacing w:val="-5"/>
                <w:sz w:val="24"/>
              </w:rPr>
              <w:t>36</w:t>
            </w:r>
          </w:p>
        </w:tc>
        <w:tc>
          <w:tcPr>
            <w:tcW w:w="1251" w:type="dxa"/>
            <w:tcBorders>
              <w:left w:val="single" w:sz="8" w:space="0" w:color="000000"/>
              <w:right w:val="single" w:sz="8" w:space="0" w:color="000000"/>
            </w:tcBorders>
          </w:tcPr>
          <w:p>
            <w:pPr>
              <w:pStyle w:val="TableParagraph"/>
              <w:spacing w:before="178"/>
              <w:ind w:left="328"/>
              <w:rPr>
                <w:sz w:val="24"/>
              </w:rPr>
            </w:pPr>
            <w:r>
              <w:rPr>
                <w:spacing w:val="-2"/>
                <w:sz w:val="24"/>
              </w:rPr>
              <w:t>2.644769</w:t>
            </w:r>
          </w:p>
        </w:tc>
        <w:tc>
          <w:tcPr>
            <w:tcW w:w="1551" w:type="dxa"/>
            <w:tcBorders>
              <w:left w:val="single" w:sz="8" w:space="0" w:color="000000"/>
              <w:right w:val="single" w:sz="8" w:space="0" w:color="000000"/>
            </w:tcBorders>
          </w:tcPr>
          <w:p>
            <w:pPr>
              <w:pStyle w:val="TableParagraph"/>
              <w:spacing w:before="178"/>
              <w:ind w:right="1"/>
              <w:jc w:val="right"/>
              <w:rPr>
                <w:sz w:val="24"/>
              </w:rPr>
            </w:pPr>
            <w:r>
              <w:rPr>
                <w:spacing w:val="-2"/>
                <w:sz w:val="24"/>
              </w:rPr>
              <w:t>.1985437</w:t>
            </w:r>
          </w:p>
        </w:tc>
        <w:tc>
          <w:tcPr>
            <w:tcW w:w="1580" w:type="dxa"/>
            <w:tcBorders>
              <w:left w:val="single" w:sz="8" w:space="0" w:color="000000"/>
            </w:tcBorders>
          </w:tcPr>
          <w:p>
            <w:pPr>
              <w:pStyle w:val="TableParagraph"/>
              <w:spacing w:before="178"/>
              <w:ind w:left="656" w:right="-15"/>
              <w:rPr>
                <w:sz w:val="24"/>
              </w:rPr>
            </w:pPr>
            <w:r>
              <w:rPr>
                <w:spacing w:val="-2"/>
                <w:sz w:val="24"/>
              </w:rPr>
              <w:t>.0330906</w:t>
            </w:r>
          </w:p>
        </w:tc>
      </w:tr>
    </w:tbl>
    <w:p>
      <w:pPr>
        <w:pStyle w:val="BodyText"/>
        <w:spacing w:before="192"/>
        <w:rPr>
          <w:b/>
        </w:rPr>
      </w:pPr>
    </w:p>
    <w:p>
      <w:pPr>
        <w:spacing w:before="0"/>
        <w:ind w:left="431" w:right="0" w:firstLine="0"/>
        <w:jc w:val="left"/>
        <w:rPr>
          <w:b/>
          <w:sz w:val="24"/>
        </w:rPr>
      </w:pPr>
      <w:r>
        <w:rPr>
          <w:b/>
          <w:sz w:val="24"/>
        </w:rPr>
        <w:t>One-Sample</w:t>
      </w:r>
      <w:r>
        <w:rPr>
          <w:b/>
          <w:spacing w:val="-9"/>
          <w:sz w:val="24"/>
        </w:rPr>
        <w:t> </w:t>
      </w:r>
      <w:r>
        <w:rPr>
          <w:b/>
          <w:spacing w:val="-4"/>
          <w:sz w:val="24"/>
        </w:rPr>
        <w:t>Test</w:t>
      </w:r>
    </w:p>
    <w:p>
      <w:pPr>
        <w:pStyle w:val="BodyText"/>
        <w:spacing w:before="6"/>
        <w:rPr>
          <w:b/>
          <w:sz w:val="20"/>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50"/>
        <w:gridCol w:w="802"/>
        <w:gridCol w:w="629"/>
        <w:gridCol w:w="991"/>
        <w:gridCol w:w="1265"/>
        <w:gridCol w:w="1615"/>
        <w:gridCol w:w="1889"/>
      </w:tblGrid>
      <w:tr>
        <w:trPr>
          <w:trHeight w:val="521" w:hRule="atLeast"/>
        </w:trPr>
        <w:tc>
          <w:tcPr>
            <w:tcW w:w="2350" w:type="dxa"/>
            <w:vMerge w:val="restart"/>
          </w:tcPr>
          <w:p>
            <w:pPr>
              <w:pStyle w:val="TableParagraph"/>
              <w:rPr>
                <w:sz w:val="24"/>
              </w:rPr>
            </w:pPr>
          </w:p>
        </w:tc>
        <w:tc>
          <w:tcPr>
            <w:tcW w:w="7191" w:type="dxa"/>
            <w:gridSpan w:val="6"/>
            <w:tcBorders>
              <w:bottom w:val="single" w:sz="8" w:space="0" w:color="000000"/>
            </w:tcBorders>
          </w:tcPr>
          <w:p>
            <w:pPr>
              <w:pStyle w:val="TableParagraph"/>
              <w:spacing w:before="20"/>
              <w:ind w:left="27"/>
              <w:jc w:val="center"/>
              <w:rPr>
                <w:sz w:val="24"/>
              </w:rPr>
            </w:pPr>
            <w:r>
              <w:rPr>
                <w:sz w:val="24"/>
              </w:rPr>
              <w:t>Test</w:t>
            </w:r>
            <w:r>
              <w:rPr>
                <w:spacing w:val="-2"/>
                <w:sz w:val="24"/>
              </w:rPr>
              <w:t> </w:t>
            </w:r>
            <w:r>
              <w:rPr>
                <w:sz w:val="24"/>
              </w:rPr>
              <w:t>Value</w:t>
            </w:r>
            <w:r>
              <w:rPr>
                <w:spacing w:val="-2"/>
                <w:sz w:val="24"/>
              </w:rPr>
              <w:t> </w:t>
            </w:r>
            <w:r>
              <w:rPr>
                <w:sz w:val="24"/>
              </w:rPr>
              <w:t>=</w:t>
            </w:r>
            <w:r>
              <w:rPr>
                <w:spacing w:val="-2"/>
                <w:sz w:val="24"/>
              </w:rPr>
              <w:t> </w:t>
            </w:r>
            <w:r>
              <w:rPr>
                <w:spacing w:val="-5"/>
                <w:sz w:val="24"/>
              </w:rPr>
              <w:t>3.0</w:t>
            </w:r>
          </w:p>
        </w:tc>
      </w:tr>
      <w:tr>
        <w:trPr>
          <w:trHeight w:val="830" w:hRule="atLeast"/>
        </w:trPr>
        <w:tc>
          <w:tcPr>
            <w:tcW w:w="2350" w:type="dxa"/>
            <w:vMerge/>
            <w:tcBorders>
              <w:top w:val="nil"/>
            </w:tcBorders>
          </w:tcPr>
          <w:p>
            <w:pPr>
              <w:rPr>
                <w:sz w:val="2"/>
                <w:szCs w:val="2"/>
              </w:rPr>
            </w:pPr>
          </w:p>
        </w:tc>
        <w:tc>
          <w:tcPr>
            <w:tcW w:w="802" w:type="dxa"/>
            <w:vMerge w:val="restart"/>
            <w:tcBorders>
              <w:top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55"/>
              <w:rPr>
                <w:b/>
                <w:sz w:val="24"/>
              </w:rPr>
            </w:pPr>
          </w:p>
          <w:p>
            <w:pPr>
              <w:pStyle w:val="TableParagraph"/>
              <w:spacing w:before="1"/>
              <w:ind w:left="17"/>
              <w:jc w:val="center"/>
              <w:rPr>
                <w:sz w:val="24"/>
              </w:rPr>
            </w:pPr>
            <w:r>
              <w:rPr>
                <w:spacing w:val="-10"/>
                <w:sz w:val="24"/>
              </w:rPr>
              <w:t>Z</w:t>
            </w:r>
          </w:p>
        </w:tc>
        <w:tc>
          <w:tcPr>
            <w:tcW w:w="629"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55"/>
              <w:rPr>
                <w:b/>
                <w:sz w:val="24"/>
              </w:rPr>
            </w:pPr>
          </w:p>
          <w:p>
            <w:pPr>
              <w:pStyle w:val="TableParagraph"/>
              <w:spacing w:before="1"/>
              <w:ind w:left="195"/>
              <w:rPr>
                <w:sz w:val="24"/>
              </w:rPr>
            </w:pPr>
            <w:r>
              <w:rPr>
                <w:spacing w:val="-5"/>
                <w:sz w:val="24"/>
              </w:rPr>
              <w:t>Df</w:t>
            </w:r>
          </w:p>
        </w:tc>
        <w:tc>
          <w:tcPr>
            <w:tcW w:w="991"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spacing w:before="17"/>
              <w:rPr>
                <w:b/>
                <w:sz w:val="24"/>
              </w:rPr>
            </w:pPr>
          </w:p>
          <w:p>
            <w:pPr>
              <w:pStyle w:val="TableParagraph"/>
              <w:ind w:left="145"/>
              <w:rPr>
                <w:sz w:val="24"/>
              </w:rPr>
            </w:pPr>
            <w:r>
              <w:rPr>
                <w:sz w:val="24"/>
              </w:rPr>
              <w:t>Sig.</w:t>
            </w:r>
            <w:r>
              <w:rPr>
                <w:spacing w:val="-3"/>
                <w:sz w:val="24"/>
              </w:rPr>
              <w:t> </w:t>
            </w:r>
            <w:r>
              <w:rPr>
                <w:spacing w:val="-5"/>
                <w:sz w:val="24"/>
              </w:rPr>
              <w:t>(1-</w:t>
            </w:r>
          </w:p>
          <w:p>
            <w:pPr>
              <w:pStyle w:val="TableParagraph"/>
              <w:spacing w:before="39"/>
              <w:ind w:left="197"/>
              <w:rPr>
                <w:sz w:val="24"/>
              </w:rPr>
            </w:pPr>
            <w:r>
              <w:rPr>
                <w:spacing w:val="-2"/>
                <w:sz w:val="24"/>
              </w:rPr>
              <w:t>tailed)</w:t>
            </w:r>
          </w:p>
        </w:tc>
        <w:tc>
          <w:tcPr>
            <w:tcW w:w="1265" w:type="dxa"/>
            <w:vMerge w:val="restart"/>
            <w:tcBorders>
              <w:top w:val="single" w:sz="8" w:space="0" w:color="000000"/>
              <w:left w:val="single" w:sz="8" w:space="0" w:color="000000"/>
              <w:right w:val="single" w:sz="8" w:space="0" w:color="000000"/>
            </w:tcBorders>
          </w:tcPr>
          <w:p>
            <w:pPr>
              <w:pStyle w:val="TableParagraph"/>
              <w:rPr>
                <w:b/>
                <w:sz w:val="24"/>
              </w:rPr>
            </w:pPr>
          </w:p>
          <w:p>
            <w:pPr>
              <w:pStyle w:val="TableParagraph"/>
              <w:spacing w:before="17"/>
              <w:rPr>
                <w:b/>
                <w:sz w:val="24"/>
              </w:rPr>
            </w:pPr>
          </w:p>
          <w:p>
            <w:pPr>
              <w:pStyle w:val="TableParagraph"/>
              <w:spacing w:line="273" w:lineRule="auto"/>
              <w:ind w:left="123" w:right="96" w:firstLine="240"/>
              <w:rPr>
                <w:sz w:val="24"/>
              </w:rPr>
            </w:pPr>
            <w:r>
              <w:rPr>
                <w:spacing w:val="-4"/>
                <w:sz w:val="24"/>
              </w:rPr>
              <w:t>Mean </w:t>
            </w:r>
            <w:r>
              <w:rPr>
                <w:spacing w:val="-2"/>
                <w:sz w:val="24"/>
              </w:rPr>
              <w:t>Difference</w:t>
            </w:r>
          </w:p>
        </w:tc>
        <w:tc>
          <w:tcPr>
            <w:tcW w:w="3504" w:type="dxa"/>
            <w:gridSpan w:val="2"/>
            <w:tcBorders>
              <w:top w:val="single" w:sz="8" w:space="0" w:color="000000"/>
              <w:left w:val="single" w:sz="8" w:space="0" w:color="000000"/>
              <w:bottom w:val="single" w:sz="8" w:space="0" w:color="000000"/>
            </w:tcBorders>
          </w:tcPr>
          <w:p>
            <w:pPr>
              <w:pStyle w:val="TableParagraph"/>
              <w:spacing w:line="273" w:lineRule="auto" w:before="12"/>
              <w:ind w:left="1244" w:right="199" w:hanging="999"/>
              <w:rPr>
                <w:sz w:val="24"/>
              </w:rPr>
            </w:pPr>
            <w:r>
              <w:rPr>
                <w:sz w:val="24"/>
              </w:rPr>
              <w:t>95%</w:t>
            </w:r>
            <w:r>
              <w:rPr>
                <w:spacing w:val="-12"/>
                <w:sz w:val="24"/>
              </w:rPr>
              <w:t> </w:t>
            </w:r>
            <w:r>
              <w:rPr>
                <w:sz w:val="24"/>
              </w:rPr>
              <w:t>Confidence</w:t>
            </w:r>
            <w:r>
              <w:rPr>
                <w:spacing w:val="-8"/>
                <w:sz w:val="24"/>
              </w:rPr>
              <w:t> </w:t>
            </w:r>
            <w:r>
              <w:rPr>
                <w:sz w:val="24"/>
              </w:rPr>
              <w:t>Interval</w:t>
            </w:r>
            <w:r>
              <w:rPr>
                <w:spacing w:val="-9"/>
                <w:sz w:val="24"/>
              </w:rPr>
              <w:t> </w:t>
            </w:r>
            <w:r>
              <w:rPr>
                <w:sz w:val="24"/>
              </w:rPr>
              <w:t>of</w:t>
            </w:r>
            <w:r>
              <w:rPr>
                <w:spacing w:val="-12"/>
                <w:sz w:val="24"/>
              </w:rPr>
              <w:t> </w:t>
            </w:r>
            <w:r>
              <w:rPr>
                <w:sz w:val="24"/>
              </w:rPr>
              <w:t>the </w:t>
            </w:r>
            <w:r>
              <w:rPr>
                <w:spacing w:val="-2"/>
                <w:sz w:val="24"/>
              </w:rPr>
              <w:t>Difference</w:t>
            </w:r>
          </w:p>
        </w:tc>
      </w:tr>
      <w:tr>
        <w:trPr>
          <w:trHeight w:val="521" w:hRule="atLeast"/>
        </w:trPr>
        <w:tc>
          <w:tcPr>
            <w:tcW w:w="2350" w:type="dxa"/>
            <w:vMerge/>
            <w:tcBorders>
              <w:top w:val="nil"/>
            </w:tcBorders>
          </w:tcPr>
          <w:p>
            <w:pPr>
              <w:rPr>
                <w:sz w:val="2"/>
                <w:szCs w:val="2"/>
              </w:rPr>
            </w:pPr>
          </w:p>
        </w:tc>
        <w:tc>
          <w:tcPr>
            <w:tcW w:w="802" w:type="dxa"/>
            <w:vMerge/>
            <w:tcBorders>
              <w:top w:val="nil"/>
              <w:right w:val="single" w:sz="8" w:space="0" w:color="000000"/>
            </w:tcBorders>
          </w:tcPr>
          <w:p>
            <w:pPr>
              <w:rPr>
                <w:sz w:val="2"/>
                <w:szCs w:val="2"/>
              </w:rPr>
            </w:pPr>
          </w:p>
        </w:tc>
        <w:tc>
          <w:tcPr>
            <w:tcW w:w="629" w:type="dxa"/>
            <w:vMerge/>
            <w:tcBorders>
              <w:top w:val="nil"/>
              <w:left w:val="single" w:sz="8" w:space="0" w:color="000000"/>
              <w:right w:val="single" w:sz="8" w:space="0" w:color="000000"/>
            </w:tcBorders>
          </w:tcPr>
          <w:p>
            <w:pPr>
              <w:rPr>
                <w:sz w:val="2"/>
                <w:szCs w:val="2"/>
              </w:rPr>
            </w:pPr>
          </w:p>
        </w:tc>
        <w:tc>
          <w:tcPr>
            <w:tcW w:w="991" w:type="dxa"/>
            <w:vMerge/>
            <w:tcBorders>
              <w:top w:val="nil"/>
              <w:left w:val="single" w:sz="8" w:space="0" w:color="000000"/>
              <w:right w:val="single" w:sz="8" w:space="0" w:color="000000"/>
            </w:tcBorders>
          </w:tcPr>
          <w:p>
            <w:pPr>
              <w:rPr>
                <w:sz w:val="2"/>
                <w:szCs w:val="2"/>
              </w:rPr>
            </w:pPr>
          </w:p>
        </w:tc>
        <w:tc>
          <w:tcPr>
            <w:tcW w:w="1265" w:type="dxa"/>
            <w:vMerge/>
            <w:tcBorders>
              <w:top w:val="nil"/>
              <w:left w:val="single" w:sz="8" w:space="0" w:color="000000"/>
              <w:right w:val="single" w:sz="8" w:space="0" w:color="000000"/>
            </w:tcBorders>
          </w:tcPr>
          <w:p>
            <w:pPr>
              <w:rPr>
                <w:sz w:val="2"/>
                <w:szCs w:val="2"/>
              </w:rPr>
            </w:pPr>
          </w:p>
        </w:tc>
        <w:tc>
          <w:tcPr>
            <w:tcW w:w="1615" w:type="dxa"/>
            <w:tcBorders>
              <w:top w:val="single" w:sz="8" w:space="0" w:color="000000"/>
              <w:left w:val="single" w:sz="8" w:space="0" w:color="000000"/>
              <w:right w:val="single" w:sz="8" w:space="0" w:color="000000"/>
            </w:tcBorders>
          </w:tcPr>
          <w:p>
            <w:pPr>
              <w:pStyle w:val="TableParagraph"/>
              <w:spacing w:before="8"/>
              <w:ind w:left="29" w:right="4"/>
              <w:jc w:val="center"/>
              <w:rPr>
                <w:sz w:val="24"/>
              </w:rPr>
            </w:pPr>
            <w:r>
              <w:rPr>
                <w:spacing w:val="-2"/>
                <w:sz w:val="24"/>
              </w:rPr>
              <w:t>Lower</w:t>
            </w:r>
          </w:p>
        </w:tc>
        <w:tc>
          <w:tcPr>
            <w:tcW w:w="1889" w:type="dxa"/>
            <w:tcBorders>
              <w:top w:val="single" w:sz="8" w:space="0" w:color="000000"/>
              <w:left w:val="single" w:sz="8" w:space="0" w:color="000000"/>
            </w:tcBorders>
          </w:tcPr>
          <w:p>
            <w:pPr>
              <w:pStyle w:val="TableParagraph"/>
              <w:spacing w:before="8"/>
              <w:ind w:left="46" w:right="1"/>
              <w:jc w:val="center"/>
              <w:rPr>
                <w:sz w:val="24"/>
              </w:rPr>
            </w:pPr>
            <w:r>
              <w:rPr>
                <w:spacing w:val="-2"/>
                <w:sz w:val="24"/>
              </w:rPr>
              <w:t>Upper</w:t>
            </w:r>
          </w:p>
        </w:tc>
      </w:tr>
      <w:tr>
        <w:trPr>
          <w:trHeight w:val="1169" w:hRule="atLeast"/>
        </w:trPr>
        <w:tc>
          <w:tcPr>
            <w:tcW w:w="2350" w:type="dxa"/>
          </w:tcPr>
          <w:p>
            <w:pPr>
              <w:pStyle w:val="TableParagraph"/>
              <w:spacing w:line="273" w:lineRule="auto" w:before="22"/>
              <w:ind w:left="27" w:right="508"/>
              <w:rPr>
                <w:sz w:val="24"/>
              </w:rPr>
            </w:pPr>
            <w:r>
              <w:rPr>
                <w:sz w:val="24"/>
              </w:rPr>
              <w:t>The level of implementation</w:t>
            </w:r>
            <w:r>
              <w:rPr>
                <w:spacing w:val="-15"/>
                <w:sz w:val="24"/>
              </w:rPr>
              <w:t> </w:t>
            </w:r>
            <w:r>
              <w:rPr>
                <w:sz w:val="24"/>
              </w:rPr>
              <w:t>of </w:t>
            </w:r>
            <w:r>
              <w:rPr>
                <w:spacing w:val="-4"/>
                <w:sz w:val="24"/>
              </w:rPr>
              <w:t>TQM</w:t>
            </w:r>
          </w:p>
        </w:tc>
        <w:tc>
          <w:tcPr>
            <w:tcW w:w="802" w:type="dxa"/>
            <w:tcBorders>
              <w:right w:val="single" w:sz="8" w:space="0" w:color="000000"/>
            </w:tcBorders>
          </w:tcPr>
          <w:p>
            <w:pPr>
              <w:pStyle w:val="TableParagraph"/>
              <w:spacing w:before="60"/>
              <w:rPr>
                <w:b/>
                <w:sz w:val="24"/>
              </w:rPr>
            </w:pPr>
          </w:p>
          <w:p>
            <w:pPr>
              <w:pStyle w:val="TableParagraph"/>
              <w:ind w:left="22"/>
              <w:rPr>
                <w:sz w:val="24"/>
              </w:rPr>
            </w:pPr>
            <w:r>
              <w:rPr>
                <w:spacing w:val="-2"/>
                <w:sz w:val="24"/>
              </w:rPr>
              <w:t>-05.735</w:t>
            </w:r>
          </w:p>
        </w:tc>
        <w:tc>
          <w:tcPr>
            <w:tcW w:w="629" w:type="dxa"/>
            <w:tcBorders>
              <w:left w:val="single" w:sz="8" w:space="0" w:color="000000"/>
              <w:right w:val="single" w:sz="8" w:space="0" w:color="000000"/>
            </w:tcBorders>
          </w:tcPr>
          <w:p>
            <w:pPr>
              <w:pStyle w:val="TableParagraph"/>
              <w:spacing w:before="60"/>
              <w:rPr>
                <w:b/>
                <w:sz w:val="24"/>
              </w:rPr>
            </w:pPr>
          </w:p>
          <w:p>
            <w:pPr>
              <w:pStyle w:val="TableParagraph"/>
              <w:ind w:left="202"/>
              <w:rPr>
                <w:sz w:val="24"/>
              </w:rPr>
            </w:pPr>
            <w:r>
              <w:rPr>
                <w:spacing w:val="-5"/>
                <w:sz w:val="24"/>
              </w:rPr>
              <w:t>35</w:t>
            </w:r>
          </w:p>
        </w:tc>
        <w:tc>
          <w:tcPr>
            <w:tcW w:w="991" w:type="dxa"/>
            <w:tcBorders>
              <w:left w:val="single" w:sz="8" w:space="0" w:color="000000"/>
              <w:right w:val="single" w:sz="8" w:space="0" w:color="000000"/>
            </w:tcBorders>
          </w:tcPr>
          <w:p>
            <w:pPr>
              <w:pStyle w:val="TableParagraph"/>
              <w:spacing w:before="60"/>
              <w:rPr>
                <w:b/>
                <w:sz w:val="24"/>
              </w:rPr>
            </w:pPr>
          </w:p>
          <w:p>
            <w:pPr>
              <w:pStyle w:val="TableParagraph"/>
              <w:ind w:left="293"/>
              <w:rPr>
                <w:sz w:val="24"/>
              </w:rPr>
            </w:pPr>
            <w:r>
              <w:rPr>
                <w:spacing w:val="-4"/>
                <w:sz w:val="24"/>
              </w:rPr>
              <w:t>.000</w:t>
            </w:r>
          </w:p>
        </w:tc>
        <w:tc>
          <w:tcPr>
            <w:tcW w:w="1265" w:type="dxa"/>
            <w:tcBorders>
              <w:left w:val="single" w:sz="8" w:space="0" w:color="000000"/>
              <w:right w:val="single" w:sz="8" w:space="0" w:color="000000"/>
            </w:tcBorders>
          </w:tcPr>
          <w:p>
            <w:pPr>
              <w:pStyle w:val="TableParagraph"/>
              <w:spacing w:before="60"/>
              <w:rPr>
                <w:b/>
                <w:sz w:val="24"/>
              </w:rPr>
            </w:pPr>
          </w:p>
          <w:p>
            <w:pPr>
              <w:pStyle w:val="TableParagraph"/>
              <w:ind w:left="147"/>
              <w:rPr>
                <w:sz w:val="24"/>
              </w:rPr>
            </w:pPr>
            <w:r>
              <w:rPr>
                <w:spacing w:val="-2"/>
                <w:sz w:val="24"/>
              </w:rPr>
              <w:t>-.2052377</w:t>
            </w:r>
          </w:p>
        </w:tc>
        <w:tc>
          <w:tcPr>
            <w:tcW w:w="1615" w:type="dxa"/>
            <w:tcBorders>
              <w:left w:val="single" w:sz="8" w:space="0" w:color="000000"/>
              <w:right w:val="single" w:sz="8" w:space="0" w:color="000000"/>
            </w:tcBorders>
          </w:tcPr>
          <w:p>
            <w:pPr>
              <w:pStyle w:val="TableParagraph"/>
              <w:spacing w:before="60"/>
              <w:rPr>
                <w:b/>
                <w:sz w:val="24"/>
              </w:rPr>
            </w:pPr>
          </w:p>
          <w:p>
            <w:pPr>
              <w:pStyle w:val="TableParagraph"/>
              <w:ind w:left="29"/>
              <w:jc w:val="center"/>
              <w:rPr>
                <w:sz w:val="24"/>
              </w:rPr>
            </w:pPr>
            <w:r>
              <w:rPr>
                <w:spacing w:val="-2"/>
                <w:sz w:val="24"/>
              </w:rPr>
              <w:t>-.398401</w:t>
            </w:r>
          </w:p>
        </w:tc>
        <w:tc>
          <w:tcPr>
            <w:tcW w:w="1889" w:type="dxa"/>
            <w:tcBorders>
              <w:left w:val="single" w:sz="8" w:space="0" w:color="000000"/>
            </w:tcBorders>
          </w:tcPr>
          <w:p>
            <w:pPr>
              <w:pStyle w:val="TableParagraph"/>
              <w:spacing w:before="60"/>
              <w:rPr>
                <w:b/>
                <w:sz w:val="24"/>
              </w:rPr>
            </w:pPr>
          </w:p>
          <w:p>
            <w:pPr>
              <w:pStyle w:val="TableParagraph"/>
              <w:ind w:left="46"/>
              <w:jc w:val="center"/>
              <w:rPr>
                <w:sz w:val="24"/>
              </w:rPr>
            </w:pPr>
            <w:r>
              <w:rPr>
                <w:spacing w:val="-2"/>
                <w:sz w:val="24"/>
              </w:rPr>
              <w:t>-.4895012</w:t>
            </w:r>
          </w:p>
        </w:tc>
      </w:tr>
    </w:tbl>
    <w:p>
      <w:pPr>
        <w:spacing w:before="0"/>
        <w:ind w:left="400" w:right="0" w:firstLine="0"/>
        <w:jc w:val="left"/>
        <w:rPr>
          <w:b/>
          <w:sz w:val="24"/>
        </w:rPr>
      </w:pPr>
      <w:r>
        <w:rPr>
          <w:b/>
          <w:sz w:val="24"/>
        </w:rPr>
        <w:t>Source:</w:t>
      </w:r>
      <w:r>
        <w:rPr>
          <w:b/>
          <w:spacing w:val="-3"/>
          <w:sz w:val="24"/>
        </w:rPr>
        <w:t> </w:t>
      </w:r>
      <w:r>
        <w:rPr>
          <w:b/>
          <w:sz w:val="24"/>
        </w:rPr>
        <w:t>Researcher’s</w:t>
      </w:r>
      <w:r>
        <w:rPr>
          <w:b/>
          <w:spacing w:val="-2"/>
          <w:sz w:val="24"/>
        </w:rPr>
        <w:t> </w:t>
      </w:r>
      <w:r>
        <w:rPr>
          <w:b/>
          <w:sz w:val="24"/>
        </w:rPr>
        <w:t>computation</w:t>
      </w:r>
      <w:r>
        <w:rPr>
          <w:b/>
          <w:spacing w:val="-2"/>
          <w:sz w:val="24"/>
        </w:rPr>
        <w:t> </w:t>
      </w:r>
      <w:r>
        <w:rPr>
          <w:b/>
          <w:sz w:val="24"/>
        </w:rPr>
        <w:t>and</w:t>
      </w:r>
      <w:r>
        <w:rPr>
          <w:b/>
          <w:spacing w:val="-2"/>
          <w:sz w:val="24"/>
        </w:rPr>
        <w:t> </w:t>
      </w:r>
      <w:r>
        <w:rPr>
          <w:b/>
          <w:sz w:val="24"/>
        </w:rPr>
        <w:t>extract from</w:t>
      </w:r>
      <w:r>
        <w:rPr>
          <w:b/>
          <w:spacing w:val="-6"/>
          <w:sz w:val="24"/>
        </w:rPr>
        <w:t> </w:t>
      </w:r>
      <w:r>
        <w:rPr>
          <w:b/>
          <w:sz w:val="24"/>
        </w:rPr>
        <w:t>SPSS</w:t>
      </w:r>
      <w:r>
        <w:rPr>
          <w:b/>
          <w:spacing w:val="-2"/>
          <w:sz w:val="24"/>
        </w:rPr>
        <w:t> </w:t>
      </w:r>
      <w:r>
        <w:rPr>
          <w:b/>
          <w:sz w:val="24"/>
        </w:rPr>
        <w:t>version</w:t>
      </w:r>
      <w:r>
        <w:rPr>
          <w:b/>
          <w:spacing w:val="-2"/>
          <w:sz w:val="24"/>
        </w:rPr>
        <w:t> </w:t>
      </w:r>
      <w:r>
        <w:rPr>
          <w:b/>
          <w:sz w:val="24"/>
        </w:rPr>
        <w:t>22</w:t>
      </w:r>
      <w:r>
        <w:rPr>
          <w:b/>
          <w:spacing w:val="-1"/>
          <w:sz w:val="24"/>
        </w:rPr>
        <w:t> </w:t>
      </w:r>
      <w:r>
        <w:rPr>
          <w:b/>
          <w:spacing w:val="-2"/>
          <w:sz w:val="24"/>
        </w:rPr>
        <w:t>(2018)</w:t>
      </w:r>
    </w:p>
    <w:p>
      <w:pPr>
        <w:pStyle w:val="BodyText"/>
        <w:spacing w:before="145"/>
        <w:rPr>
          <w:b/>
        </w:rPr>
      </w:pPr>
    </w:p>
    <w:p>
      <w:pPr>
        <w:pStyle w:val="BodyText"/>
        <w:spacing w:line="480" w:lineRule="auto" w:before="1"/>
        <w:ind w:left="400" w:right="1316"/>
        <w:jc w:val="both"/>
      </w:pPr>
      <w:r>
        <w:rPr>
          <w:b/>
        </w:rPr>
        <w:t>Decision, Conclusion and Reason: </w:t>
      </w:r>
      <w:r>
        <w:rPr/>
        <w:t>From the first table, the mean there is 2.644769 and this mean is less than 3.0 which is the mean cut – off point. Then from the second table, the mean difference is –0.2052377 and the p – value is 0.000, less than 0.05. This implies that the average level of implementation of TQM is below, 3.0; that is the mean level of implementation of TQM is a little below average. Since the P-value of 0.000 is less than 0.05. Hence we reject the null hypothesis and conclude that the level of implementation is low.</w:t>
      </w:r>
    </w:p>
    <w:p>
      <w:pPr>
        <w:pStyle w:val="Heading2"/>
        <w:numPr>
          <w:ilvl w:val="1"/>
          <w:numId w:val="46"/>
        </w:numPr>
        <w:tabs>
          <w:tab w:pos="1180" w:val="left" w:leader="none"/>
        </w:tabs>
        <w:spacing w:line="480" w:lineRule="auto" w:before="166" w:after="0"/>
        <w:ind w:left="400" w:right="1321" w:firstLine="0"/>
        <w:jc w:val="both"/>
      </w:pPr>
      <w:r>
        <w:rPr/>
        <w:t>Critical Success Factors of TQM and Small and Medium Scale Firms’ Strategies</w:t>
      </w:r>
      <w:r>
        <w:rPr>
          <w:spacing w:val="40"/>
        </w:rPr>
        <w:t> </w:t>
      </w:r>
      <w:r>
        <w:rPr/>
        <w:t>for Success in South-East Nigeria.</w:t>
      </w:r>
    </w:p>
    <w:p>
      <w:pPr>
        <w:pStyle w:val="BodyText"/>
        <w:spacing w:line="480" w:lineRule="auto" w:before="153"/>
        <w:ind w:left="400" w:right="1629"/>
        <w:jc w:val="both"/>
      </w:pPr>
      <w:r>
        <w:rPr/>
        <w:t>The</w:t>
      </w:r>
      <w:r>
        <w:rPr>
          <w:spacing w:val="-3"/>
        </w:rPr>
        <w:t> </w:t>
      </w:r>
      <w:r>
        <w:rPr/>
        <w:t>third</w:t>
      </w:r>
      <w:r>
        <w:rPr>
          <w:spacing w:val="-2"/>
        </w:rPr>
        <w:t> </w:t>
      </w:r>
      <w:r>
        <w:rPr/>
        <w:t>objective</w:t>
      </w:r>
      <w:r>
        <w:rPr>
          <w:spacing w:val="-3"/>
        </w:rPr>
        <w:t> </w:t>
      </w:r>
      <w:r>
        <w:rPr/>
        <w:t>of</w:t>
      </w:r>
      <w:r>
        <w:rPr>
          <w:spacing w:val="-3"/>
        </w:rPr>
        <w:t> </w:t>
      </w:r>
      <w:r>
        <w:rPr/>
        <w:t>the</w:t>
      </w:r>
      <w:r>
        <w:rPr>
          <w:spacing w:val="-2"/>
        </w:rPr>
        <w:t> </w:t>
      </w:r>
      <w:r>
        <w:rPr/>
        <w:t>study</w:t>
      </w:r>
      <w:r>
        <w:rPr>
          <w:spacing w:val="-7"/>
        </w:rPr>
        <w:t> </w:t>
      </w:r>
      <w:r>
        <w:rPr/>
        <w:t>was</w:t>
      </w:r>
      <w:r>
        <w:rPr>
          <w:spacing w:val="-2"/>
        </w:rPr>
        <w:t> </w:t>
      </w:r>
      <w:r>
        <w:rPr/>
        <w:t>to</w:t>
      </w:r>
      <w:r>
        <w:rPr>
          <w:spacing w:val="-2"/>
        </w:rPr>
        <w:t> </w:t>
      </w:r>
      <w:r>
        <w:rPr/>
        <w:t>determine</w:t>
      </w:r>
      <w:r>
        <w:rPr>
          <w:spacing w:val="-3"/>
        </w:rPr>
        <w:t> </w:t>
      </w:r>
      <w:r>
        <w:rPr/>
        <w:t>the</w:t>
      </w:r>
      <w:r>
        <w:rPr>
          <w:spacing w:val="-3"/>
        </w:rPr>
        <w:t> </w:t>
      </w:r>
      <w:r>
        <w:rPr/>
        <w:t>critical</w:t>
      </w:r>
      <w:r>
        <w:rPr>
          <w:spacing w:val="-2"/>
        </w:rPr>
        <w:t> </w:t>
      </w:r>
      <w:r>
        <w:rPr/>
        <w:t>success</w:t>
      </w:r>
      <w:r>
        <w:rPr>
          <w:spacing w:val="-2"/>
        </w:rPr>
        <w:t> </w:t>
      </w:r>
      <w:r>
        <w:rPr/>
        <w:t>factors</w:t>
      </w:r>
      <w:r>
        <w:rPr>
          <w:spacing w:val="-1"/>
        </w:rPr>
        <w:t> </w:t>
      </w:r>
      <w:r>
        <w:rPr/>
        <w:t>of</w:t>
      </w:r>
      <w:r>
        <w:rPr>
          <w:spacing w:val="-3"/>
        </w:rPr>
        <w:t> </w:t>
      </w:r>
      <w:r>
        <w:rPr/>
        <w:t>TQM</w:t>
      </w:r>
      <w:r>
        <w:rPr>
          <w:spacing w:val="-2"/>
        </w:rPr>
        <w:t> </w:t>
      </w:r>
      <w:r>
        <w:rPr/>
        <w:t>and</w:t>
      </w:r>
      <w:r>
        <w:rPr>
          <w:spacing w:val="-2"/>
        </w:rPr>
        <w:t> </w:t>
      </w:r>
      <w:r>
        <w:rPr/>
        <w:t>their impact on small and medium scale firms’ strategies for success in South-East Nigeria.</w:t>
      </w:r>
    </w:p>
    <w:p>
      <w:pPr>
        <w:spacing w:after="0" w:line="480" w:lineRule="auto"/>
        <w:jc w:val="both"/>
        <w:sectPr>
          <w:pgSz w:w="12240" w:h="15840"/>
          <w:pgMar w:header="0" w:footer="1017" w:top="1400" w:bottom="1200" w:left="1040" w:right="120"/>
        </w:sectPr>
      </w:pPr>
    </w:p>
    <w:p>
      <w:pPr>
        <w:pStyle w:val="Heading2"/>
        <w:numPr>
          <w:ilvl w:val="2"/>
          <w:numId w:val="46"/>
        </w:numPr>
        <w:tabs>
          <w:tab w:pos="1120" w:val="left" w:leader="none"/>
        </w:tabs>
        <w:spacing w:line="480" w:lineRule="auto" w:before="76" w:after="0"/>
        <w:ind w:left="400" w:right="1320" w:firstLine="60"/>
        <w:jc w:val="left"/>
      </w:pPr>
      <w:r>
        <w:rPr/>
        <w:t>Critical success factors of TQM for small and medium scale construction firms in</w:t>
      </w:r>
      <w:r>
        <w:rPr>
          <w:spacing w:val="80"/>
        </w:rPr>
        <w:t> </w:t>
      </w:r>
      <w:r>
        <w:rPr/>
        <w:t>South-East Nigeria.</w:t>
      </w:r>
    </w:p>
    <w:p>
      <w:pPr>
        <w:pStyle w:val="BodyText"/>
        <w:spacing w:line="480" w:lineRule="auto" w:before="157"/>
        <w:ind w:left="400" w:right="1343"/>
      </w:pPr>
      <w:r>
        <w:rPr/>
        <w:t>To</w:t>
      </w:r>
      <w:r>
        <w:rPr>
          <w:spacing w:val="-3"/>
        </w:rPr>
        <w:t> </w:t>
      </w:r>
      <w:r>
        <w:rPr/>
        <w:t>evaluate</w:t>
      </w:r>
      <w:r>
        <w:rPr>
          <w:spacing w:val="-4"/>
        </w:rPr>
        <w:t> </w:t>
      </w:r>
      <w:r>
        <w:rPr/>
        <w:t>the</w:t>
      </w:r>
      <w:r>
        <w:rPr>
          <w:spacing w:val="-4"/>
        </w:rPr>
        <w:t> </w:t>
      </w:r>
      <w:r>
        <w:rPr/>
        <w:t>Critical</w:t>
      </w:r>
      <w:r>
        <w:rPr>
          <w:spacing w:val="-3"/>
        </w:rPr>
        <w:t> </w:t>
      </w:r>
      <w:r>
        <w:rPr/>
        <w:t>Success</w:t>
      </w:r>
      <w:r>
        <w:rPr>
          <w:spacing w:val="-1"/>
        </w:rPr>
        <w:t> </w:t>
      </w:r>
      <w:r>
        <w:rPr/>
        <w:t>Factor,</w:t>
      </w:r>
      <w:r>
        <w:rPr>
          <w:spacing w:val="-1"/>
        </w:rPr>
        <w:t> </w:t>
      </w:r>
      <w:r>
        <w:rPr/>
        <w:t>the</w:t>
      </w:r>
      <w:r>
        <w:rPr>
          <w:spacing w:val="-4"/>
        </w:rPr>
        <w:t> </w:t>
      </w:r>
      <w:r>
        <w:rPr/>
        <w:t>respondents</w:t>
      </w:r>
      <w:r>
        <w:rPr>
          <w:spacing w:val="-3"/>
        </w:rPr>
        <w:t> </w:t>
      </w:r>
      <w:r>
        <w:rPr/>
        <w:t>were</w:t>
      </w:r>
      <w:r>
        <w:rPr>
          <w:spacing w:val="-4"/>
        </w:rPr>
        <w:t> </w:t>
      </w:r>
      <w:r>
        <w:rPr/>
        <w:t>provided</w:t>
      </w:r>
      <w:r>
        <w:rPr>
          <w:spacing w:val="-3"/>
        </w:rPr>
        <w:t> </w:t>
      </w:r>
      <w:r>
        <w:rPr/>
        <w:t>with</w:t>
      </w:r>
      <w:r>
        <w:rPr>
          <w:spacing w:val="-1"/>
        </w:rPr>
        <w:t> </w:t>
      </w:r>
      <w:r>
        <w:rPr/>
        <w:t>a</w:t>
      </w:r>
      <w:r>
        <w:rPr>
          <w:spacing w:val="-4"/>
        </w:rPr>
        <w:t> </w:t>
      </w:r>
      <w:r>
        <w:rPr/>
        <w:t>table</w:t>
      </w:r>
      <w:r>
        <w:rPr>
          <w:spacing w:val="-4"/>
        </w:rPr>
        <w:t> </w:t>
      </w:r>
      <w:r>
        <w:rPr/>
        <w:t>that</w:t>
      </w:r>
      <w:r>
        <w:rPr>
          <w:spacing w:val="-3"/>
        </w:rPr>
        <w:t> </w:t>
      </w:r>
      <w:r>
        <w:rPr/>
        <w:t>had</w:t>
      </w:r>
      <w:r>
        <w:rPr>
          <w:spacing w:val="-3"/>
        </w:rPr>
        <w:t> </w:t>
      </w:r>
      <w:r>
        <w:rPr/>
        <w:t>a</w:t>
      </w:r>
      <w:r>
        <w:rPr>
          <w:spacing w:val="-4"/>
        </w:rPr>
        <w:t> </w:t>
      </w:r>
      <w:r>
        <w:rPr/>
        <w:t>list of critical success factors and were told to rate the extent to which they agree on a five point Likert-type scale (1=Strongly Disagree, 2= Disagree, 3=Neutral, 4=Agree, and 5= Strongly Agree).</w:t>
      </w:r>
      <w:r>
        <w:rPr>
          <w:spacing w:val="40"/>
        </w:rPr>
        <w:t> </w:t>
      </w:r>
      <w:r>
        <w:rPr/>
        <w:t>Participants’ responses were analysed using</w:t>
      </w:r>
    </w:p>
    <w:p>
      <w:pPr>
        <w:pStyle w:val="BodyText"/>
        <w:spacing w:before="158"/>
        <w:ind w:left="400"/>
      </w:pPr>
      <w:r>
        <w:rPr/>
        <w:t>Results</w:t>
      </w:r>
      <w:r>
        <w:rPr>
          <w:spacing w:val="-4"/>
        </w:rPr>
        <w:t> </w:t>
      </w:r>
      <w:r>
        <w:rPr/>
        <w:t>are</w:t>
      </w:r>
      <w:r>
        <w:rPr>
          <w:spacing w:val="-2"/>
        </w:rPr>
        <w:t> </w:t>
      </w:r>
      <w:r>
        <w:rPr/>
        <w:t>presented</w:t>
      </w:r>
      <w:r>
        <w:rPr>
          <w:spacing w:val="-2"/>
        </w:rPr>
        <w:t> </w:t>
      </w:r>
      <w:r>
        <w:rPr/>
        <w:t>in</w:t>
      </w:r>
      <w:r>
        <w:rPr>
          <w:spacing w:val="1"/>
        </w:rPr>
        <w:t> </w:t>
      </w:r>
      <w:r>
        <w:rPr/>
        <w:t>Table</w:t>
      </w:r>
      <w:r>
        <w:rPr>
          <w:spacing w:val="-2"/>
        </w:rPr>
        <w:t> </w:t>
      </w:r>
      <w:r>
        <w:rPr>
          <w:spacing w:val="-4"/>
        </w:rPr>
        <w:t>5.8:</w:t>
      </w:r>
    </w:p>
    <w:p>
      <w:pPr>
        <w:pStyle w:val="BodyText"/>
        <w:spacing w:before="166"/>
      </w:pPr>
    </w:p>
    <w:p>
      <w:pPr>
        <w:spacing w:before="0"/>
        <w:ind w:left="400" w:right="0" w:firstLine="0"/>
        <w:jc w:val="left"/>
        <w:rPr>
          <w:b/>
          <w:sz w:val="24"/>
        </w:rPr>
      </w:pPr>
      <w:r>
        <w:rPr>
          <w:b/>
          <w:sz w:val="24"/>
        </w:rPr>
        <w:t>Table</w:t>
      </w:r>
      <w:r>
        <w:rPr>
          <w:b/>
          <w:spacing w:val="-5"/>
          <w:sz w:val="24"/>
        </w:rPr>
        <w:t> </w:t>
      </w:r>
      <w:r>
        <w:rPr>
          <w:b/>
          <w:sz w:val="24"/>
        </w:rPr>
        <w:t>5.8</w:t>
      </w:r>
      <w:r>
        <w:rPr>
          <w:b/>
          <w:spacing w:val="-2"/>
          <w:sz w:val="24"/>
        </w:rPr>
        <w:t> </w:t>
      </w:r>
      <w:r>
        <w:rPr>
          <w:b/>
          <w:sz w:val="24"/>
        </w:rPr>
        <w:t>Questions</w:t>
      </w:r>
      <w:r>
        <w:rPr>
          <w:b/>
          <w:spacing w:val="-2"/>
          <w:sz w:val="24"/>
        </w:rPr>
        <w:t> </w:t>
      </w:r>
      <w:r>
        <w:rPr>
          <w:b/>
          <w:sz w:val="24"/>
        </w:rPr>
        <w:t>related</w:t>
      </w:r>
      <w:r>
        <w:rPr>
          <w:b/>
          <w:spacing w:val="-2"/>
          <w:sz w:val="24"/>
        </w:rPr>
        <w:t> </w:t>
      </w:r>
      <w:r>
        <w:rPr>
          <w:b/>
          <w:sz w:val="24"/>
        </w:rPr>
        <w:t>to</w:t>
      </w:r>
      <w:r>
        <w:rPr>
          <w:b/>
          <w:spacing w:val="-2"/>
          <w:sz w:val="24"/>
        </w:rPr>
        <w:t> </w:t>
      </w:r>
      <w:r>
        <w:rPr>
          <w:b/>
          <w:sz w:val="24"/>
        </w:rPr>
        <w:t>Critical</w:t>
      </w:r>
      <w:r>
        <w:rPr>
          <w:b/>
          <w:spacing w:val="-2"/>
          <w:sz w:val="24"/>
        </w:rPr>
        <w:t> </w:t>
      </w:r>
      <w:r>
        <w:rPr>
          <w:b/>
          <w:sz w:val="24"/>
        </w:rPr>
        <w:t>Success </w:t>
      </w:r>
      <w:r>
        <w:rPr>
          <w:b/>
          <w:spacing w:val="-2"/>
          <w:sz w:val="24"/>
        </w:rPr>
        <w:t>Factors</w:t>
      </w:r>
    </w:p>
    <w:p>
      <w:pPr>
        <w:pStyle w:val="BodyText"/>
        <w:spacing w:before="49"/>
        <w:rPr>
          <w:b/>
          <w:sz w:val="20"/>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3966"/>
        <w:gridCol w:w="1939"/>
        <w:gridCol w:w="1571"/>
        <w:gridCol w:w="1511"/>
      </w:tblGrid>
      <w:tr>
        <w:trPr>
          <w:trHeight w:val="551" w:hRule="atLeast"/>
        </w:trPr>
        <w:tc>
          <w:tcPr>
            <w:tcW w:w="605" w:type="dxa"/>
            <w:tcBorders>
              <w:top w:val="single" w:sz="4" w:space="0" w:color="000000"/>
            </w:tcBorders>
          </w:tcPr>
          <w:p>
            <w:pPr>
              <w:pStyle w:val="TableParagraph"/>
              <w:spacing w:line="273" w:lineRule="exact"/>
              <w:ind w:left="122"/>
              <w:rPr>
                <w:b/>
                <w:sz w:val="24"/>
              </w:rPr>
            </w:pPr>
            <w:r>
              <w:rPr>
                <w:b/>
                <w:spacing w:val="-5"/>
                <w:sz w:val="24"/>
              </w:rPr>
              <w:t>S/N</w:t>
            </w:r>
          </w:p>
        </w:tc>
        <w:tc>
          <w:tcPr>
            <w:tcW w:w="3966" w:type="dxa"/>
            <w:tcBorders>
              <w:top w:val="single" w:sz="4" w:space="0" w:color="000000"/>
            </w:tcBorders>
          </w:tcPr>
          <w:p>
            <w:pPr>
              <w:pStyle w:val="TableParagraph"/>
              <w:spacing w:line="273" w:lineRule="exact"/>
              <w:ind w:left="107"/>
              <w:rPr>
                <w:b/>
                <w:sz w:val="24"/>
              </w:rPr>
            </w:pPr>
            <w:r>
              <w:rPr>
                <w:b/>
                <w:sz w:val="24"/>
              </w:rPr>
              <w:t>Issues</w:t>
            </w:r>
            <w:r>
              <w:rPr>
                <w:b/>
                <w:spacing w:val="-3"/>
                <w:sz w:val="24"/>
              </w:rPr>
              <w:t> </w:t>
            </w:r>
            <w:r>
              <w:rPr>
                <w:b/>
                <w:spacing w:val="-2"/>
                <w:sz w:val="24"/>
              </w:rPr>
              <w:t>Raised</w:t>
            </w:r>
          </w:p>
        </w:tc>
        <w:tc>
          <w:tcPr>
            <w:tcW w:w="1939" w:type="dxa"/>
            <w:tcBorders>
              <w:top w:val="single" w:sz="4" w:space="0" w:color="000000"/>
            </w:tcBorders>
          </w:tcPr>
          <w:p>
            <w:pPr>
              <w:pStyle w:val="TableParagraph"/>
              <w:spacing w:line="273" w:lineRule="exact"/>
              <w:ind w:left="735"/>
              <w:rPr>
                <w:b/>
                <w:sz w:val="24"/>
              </w:rPr>
            </w:pPr>
            <w:r>
              <w:rPr>
                <w:b/>
                <w:spacing w:val="-4"/>
                <w:sz w:val="24"/>
              </w:rPr>
              <w:t>Mean</w:t>
            </w:r>
          </w:p>
        </w:tc>
        <w:tc>
          <w:tcPr>
            <w:tcW w:w="1571" w:type="dxa"/>
            <w:tcBorders>
              <w:top w:val="single" w:sz="4" w:space="0" w:color="000000"/>
            </w:tcBorders>
          </w:tcPr>
          <w:p>
            <w:pPr>
              <w:pStyle w:val="TableParagraph"/>
              <w:spacing w:line="273" w:lineRule="exact"/>
              <w:ind w:left="109"/>
              <w:rPr>
                <w:b/>
                <w:sz w:val="24"/>
              </w:rPr>
            </w:pPr>
            <w:r>
              <w:rPr>
                <w:b/>
                <w:spacing w:val="-4"/>
                <w:sz w:val="24"/>
              </w:rPr>
              <w:t>SDev</w:t>
            </w:r>
          </w:p>
        </w:tc>
        <w:tc>
          <w:tcPr>
            <w:tcW w:w="1511" w:type="dxa"/>
            <w:tcBorders>
              <w:top w:val="single" w:sz="4" w:space="0" w:color="000000"/>
            </w:tcBorders>
          </w:tcPr>
          <w:p>
            <w:pPr>
              <w:pStyle w:val="TableParagraph"/>
              <w:spacing w:line="273" w:lineRule="exact"/>
              <w:ind w:left="110"/>
              <w:rPr>
                <w:b/>
                <w:sz w:val="24"/>
              </w:rPr>
            </w:pPr>
            <w:r>
              <w:rPr>
                <w:b/>
                <w:spacing w:val="-2"/>
                <w:sz w:val="24"/>
              </w:rPr>
              <w:t>Remark</w:t>
            </w:r>
          </w:p>
        </w:tc>
      </w:tr>
      <w:tr>
        <w:trPr>
          <w:trHeight w:val="273" w:hRule="atLeast"/>
        </w:trPr>
        <w:tc>
          <w:tcPr>
            <w:tcW w:w="605" w:type="dxa"/>
            <w:shd w:val="clear" w:color="auto" w:fill="D5DCE4"/>
          </w:tcPr>
          <w:p>
            <w:pPr>
              <w:pStyle w:val="TableParagraph"/>
              <w:spacing w:line="253" w:lineRule="exact"/>
              <w:ind w:left="122"/>
              <w:rPr>
                <w:sz w:val="24"/>
              </w:rPr>
            </w:pPr>
            <w:r>
              <w:rPr>
                <w:spacing w:val="-10"/>
                <w:sz w:val="24"/>
              </w:rPr>
              <w:t>1</w:t>
            </w:r>
          </w:p>
        </w:tc>
        <w:tc>
          <w:tcPr>
            <w:tcW w:w="3966" w:type="dxa"/>
            <w:vMerge w:val="restart"/>
            <w:shd w:val="clear" w:color="auto" w:fill="D5DCE4"/>
          </w:tcPr>
          <w:p>
            <w:pPr>
              <w:pStyle w:val="TableParagraph"/>
              <w:spacing w:line="268" w:lineRule="exact"/>
              <w:ind w:left="107"/>
              <w:rPr>
                <w:sz w:val="24"/>
              </w:rPr>
            </w:pPr>
            <w:r>
              <w:rPr>
                <w:sz w:val="24"/>
              </w:rPr>
              <w:t>Leadership</w:t>
            </w:r>
            <w:r>
              <w:rPr>
                <w:spacing w:val="-2"/>
                <w:sz w:val="24"/>
              </w:rPr>
              <w:t> </w:t>
            </w:r>
            <w:r>
              <w:rPr>
                <w:sz w:val="24"/>
              </w:rPr>
              <w:t>and</w:t>
            </w:r>
            <w:r>
              <w:rPr>
                <w:spacing w:val="-1"/>
                <w:sz w:val="24"/>
              </w:rPr>
              <w:t> </w:t>
            </w:r>
            <w:r>
              <w:rPr>
                <w:sz w:val="24"/>
              </w:rPr>
              <w:t>top</w:t>
            </w:r>
            <w:r>
              <w:rPr>
                <w:spacing w:val="-1"/>
                <w:sz w:val="24"/>
              </w:rPr>
              <w:t> </w:t>
            </w:r>
            <w:r>
              <w:rPr>
                <w:spacing w:val="-2"/>
                <w:sz w:val="24"/>
              </w:rPr>
              <w:t>management</w:t>
            </w:r>
          </w:p>
          <w:p>
            <w:pPr>
              <w:pStyle w:val="TableParagraph"/>
              <w:rPr>
                <w:b/>
                <w:sz w:val="24"/>
              </w:rPr>
            </w:pPr>
          </w:p>
          <w:p>
            <w:pPr>
              <w:pStyle w:val="TableParagraph"/>
              <w:ind w:left="107"/>
              <w:rPr>
                <w:sz w:val="24"/>
              </w:rPr>
            </w:pPr>
            <w:r>
              <w:rPr>
                <w:spacing w:val="-2"/>
                <w:sz w:val="24"/>
              </w:rPr>
              <w:t>commitment</w:t>
            </w:r>
          </w:p>
        </w:tc>
        <w:tc>
          <w:tcPr>
            <w:tcW w:w="1939" w:type="dxa"/>
            <w:shd w:val="clear" w:color="auto" w:fill="D5DCE4"/>
          </w:tcPr>
          <w:p>
            <w:pPr>
              <w:pStyle w:val="TableParagraph"/>
              <w:rPr>
                <w:sz w:val="20"/>
              </w:rPr>
            </w:pPr>
          </w:p>
        </w:tc>
        <w:tc>
          <w:tcPr>
            <w:tcW w:w="1571" w:type="dxa"/>
            <w:shd w:val="clear" w:color="auto" w:fill="D5DCE4"/>
          </w:tcPr>
          <w:p>
            <w:pPr>
              <w:pStyle w:val="TableParagraph"/>
              <w:rPr>
                <w:sz w:val="20"/>
              </w:rPr>
            </w:pPr>
          </w:p>
        </w:tc>
        <w:tc>
          <w:tcPr>
            <w:tcW w:w="1511" w:type="dxa"/>
            <w:shd w:val="clear" w:color="auto" w:fill="D5DCE4"/>
          </w:tcPr>
          <w:p>
            <w:pPr>
              <w:pStyle w:val="TableParagraph"/>
              <w:spacing w:line="253" w:lineRule="exact"/>
              <w:ind w:left="110"/>
              <w:rPr>
                <w:sz w:val="24"/>
              </w:rPr>
            </w:pPr>
            <w:r>
              <w:rPr>
                <w:spacing w:val="-2"/>
                <w:sz w:val="24"/>
              </w:rPr>
              <w:t>Agree</w:t>
            </w:r>
          </w:p>
        </w:tc>
      </w:tr>
      <w:tr>
        <w:trPr>
          <w:trHeight w:val="830" w:hRule="atLeast"/>
        </w:trPr>
        <w:tc>
          <w:tcPr>
            <w:tcW w:w="605" w:type="dxa"/>
            <w:shd w:val="clear" w:color="auto" w:fill="D5DCE4"/>
          </w:tcPr>
          <w:p>
            <w:pPr>
              <w:pStyle w:val="TableParagraph"/>
              <w:rPr>
                <w:sz w:val="24"/>
              </w:rPr>
            </w:pPr>
          </w:p>
        </w:tc>
        <w:tc>
          <w:tcPr>
            <w:tcW w:w="3966" w:type="dxa"/>
            <w:vMerge/>
            <w:tcBorders>
              <w:top w:val="nil"/>
            </w:tcBorders>
            <w:shd w:val="clear" w:color="auto" w:fill="D5DCE4"/>
          </w:tcPr>
          <w:p>
            <w:pPr>
              <w:rPr>
                <w:sz w:val="2"/>
                <w:szCs w:val="2"/>
              </w:rPr>
            </w:pPr>
          </w:p>
        </w:tc>
        <w:tc>
          <w:tcPr>
            <w:tcW w:w="1939" w:type="dxa"/>
            <w:shd w:val="clear" w:color="auto" w:fill="D5DCE4"/>
          </w:tcPr>
          <w:p>
            <w:pPr>
              <w:pStyle w:val="TableParagraph"/>
              <w:spacing w:line="271" w:lineRule="exact"/>
              <w:ind w:right="104"/>
              <w:jc w:val="right"/>
              <w:rPr>
                <w:sz w:val="24"/>
              </w:rPr>
            </w:pPr>
            <w:r>
              <w:rPr>
                <w:spacing w:val="-2"/>
                <w:sz w:val="24"/>
              </w:rPr>
              <w:t>3.8614</w:t>
            </w:r>
          </w:p>
        </w:tc>
        <w:tc>
          <w:tcPr>
            <w:tcW w:w="1571" w:type="dxa"/>
            <w:shd w:val="clear" w:color="auto" w:fill="D5DCE4"/>
          </w:tcPr>
          <w:p>
            <w:pPr>
              <w:pStyle w:val="TableParagraph"/>
              <w:spacing w:line="271" w:lineRule="exact"/>
              <w:ind w:right="103"/>
              <w:jc w:val="right"/>
              <w:rPr>
                <w:sz w:val="24"/>
              </w:rPr>
            </w:pPr>
            <w:r>
              <w:rPr>
                <w:spacing w:val="-2"/>
                <w:sz w:val="24"/>
              </w:rPr>
              <w:t>1.32996</w:t>
            </w:r>
          </w:p>
        </w:tc>
        <w:tc>
          <w:tcPr>
            <w:tcW w:w="1511" w:type="dxa"/>
            <w:shd w:val="clear" w:color="auto" w:fill="D5DCE4"/>
          </w:tcPr>
          <w:p>
            <w:pPr>
              <w:pStyle w:val="TableParagraph"/>
              <w:rPr>
                <w:sz w:val="24"/>
              </w:rPr>
            </w:pPr>
          </w:p>
        </w:tc>
      </w:tr>
      <w:tr>
        <w:trPr>
          <w:trHeight w:val="551" w:hRule="atLeast"/>
        </w:trPr>
        <w:tc>
          <w:tcPr>
            <w:tcW w:w="605" w:type="dxa"/>
          </w:tcPr>
          <w:p>
            <w:pPr>
              <w:pStyle w:val="TableParagraph"/>
              <w:spacing w:line="268" w:lineRule="exact"/>
              <w:ind w:left="122"/>
              <w:rPr>
                <w:sz w:val="24"/>
              </w:rPr>
            </w:pPr>
            <w:r>
              <w:rPr>
                <w:spacing w:val="-10"/>
                <w:sz w:val="24"/>
              </w:rPr>
              <w:t>2</w:t>
            </w:r>
          </w:p>
        </w:tc>
        <w:tc>
          <w:tcPr>
            <w:tcW w:w="3966" w:type="dxa"/>
          </w:tcPr>
          <w:p>
            <w:pPr>
              <w:pStyle w:val="TableParagraph"/>
              <w:spacing w:line="268" w:lineRule="exact"/>
              <w:ind w:left="107"/>
              <w:rPr>
                <w:sz w:val="24"/>
              </w:rPr>
            </w:pPr>
            <w:r>
              <w:rPr>
                <w:sz w:val="24"/>
              </w:rPr>
              <w:t>Customer</w:t>
            </w:r>
            <w:r>
              <w:rPr>
                <w:spacing w:val="-2"/>
                <w:sz w:val="24"/>
              </w:rPr>
              <w:t> Focus</w:t>
            </w:r>
          </w:p>
        </w:tc>
        <w:tc>
          <w:tcPr>
            <w:tcW w:w="1939" w:type="dxa"/>
          </w:tcPr>
          <w:p>
            <w:pPr>
              <w:pStyle w:val="TableParagraph"/>
              <w:spacing w:line="268" w:lineRule="exact"/>
              <w:ind w:right="104"/>
              <w:jc w:val="right"/>
              <w:rPr>
                <w:sz w:val="24"/>
              </w:rPr>
            </w:pPr>
            <w:r>
              <w:rPr>
                <w:spacing w:val="-2"/>
                <w:sz w:val="24"/>
              </w:rPr>
              <w:t>3.7822</w:t>
            </w:r>
          </w:p>
        </w:tc>
        <w:tc>
          <w:tcPr>
            <w:tcW w:w="1571" w:type="dxa"/>
          </w:tcPr>
          <w:p>
            <w:pPr>
              <w:pStyle w:val="TableParagraph"/>
              <w:spacing w:line="268" w:lineRule="exact"/>
              <w:ind w:right="103"/>
              <w:jc w:val="right"/>
              <w:rPr>
                <w:sz w:val="24"/>
              </w:rPr>
            </w:pPr>
            <w:r>
              <w:rPr>
                <w:spacing w:val="-2"/>
                <w:sz w:val="24"/>
              </w:rPr>
              <w:t>1.43700</w:t>
            </w:r>
          </w:p>
        </w:tc>
        <w:tc>
          <w:tcPr>
            <w:tcW w:w="1511" w:type="dxa"/>
          </w:tcPr>
          <w:p>
            <w:pPr>
              <w:pStyle w:val="TableParagraph"/>
              <w:spacing w:line="268" w:lineRule="exact"/>
              <w:ind w:left="110"/>
              <w:rPr>
                <w:sz w:val="24"/>
              </w:rPr>
            </w:pPr>
            <w:r>
              <w:rPr>
                <w:spacing w:val="-2"/>
                <w:sz w:val="24"/>
              </w:rPr>
              <w:t>Agree</w:t>
            </w:r>
          </w:p>
        </w:tc>
      </w:tr>
      <w:tr>
        <w:trPr>
          <w:trHeight w:val="552" w:hRule="atLeast"/>
        </w:trPr>
        <w:tc>
          <w:tcPr>
            <w:tcW w:w="605" w:type="dxa"/>
            <w:shd w:val="clear" w:color="auto" w:fill="D5DCE4"/>
          </w:tcPr>
          <w:p>
            <w:pPr>
              <w:pStyle w:val="TableParagraph"/>
              <w:spacing w:line="268" w:lineRule="exact"/>
              <w:ind w:left="122"/>
              <w:rPr>
                <w:sz w:val="24"/>
              </w:rPr>
            </w:pPr>
            <w:r>
              <w:rPr>
                <w:spacing w:val="-10"/>
                <w:sz w:val="24"/>
              </w:rPr>
              <w:t>3</w:t>
            </w:r>
          </w:p>
        </w:tc>
        <w:tc>
          <w:tcPr>
            <w:tcW w:w="3966" w:type="dxa"/>
            <w:shd w:val="clear" w:color="auto" w:fill="D5DCE4"/>
          </w:tcPr>
          <w:p>
            <w:pPr>
              <w:pStyle w:val="TableParagraph"/>
              <w:spacing w:line="268" w:lineRule="exact"/>
              <w:ind w:left="107"/>
              <w:rPr>
                <w:sz w:val="24"/>
              </w:rPr>
            </w:pPr>
            <w:r>
              <w:rPr>
                <w:sz w:val="24"/>
              </w:rPr>
              <w:t>Continuous</w:t>
            </w:r>
            <w:r>
              <w:rPr>
                <w:spacing w:val="2"/>
                <w:sz w:val="24"/>
              </w:rPr>
              <w:t> </w:t>
            </w:r>
            <w:r>
              <w:rPr>
                <w:spacing w:val="-2"/>
                <w:sz w:val="24"/>
              </w:rPr>
              <w:t>Improvement</w:t>
            </w:r>
          </w:p>
        </w:tc>
        <w:tc>
          <w:tcPr>
            <w:tcW w:w="1939" w:type="dxa"/>
            <w:shd w:val="clear" w:color="auto" w:fill="D5DCE4"/>
          </w:tcPr>
          <w:p>
            <w:pPr>
              <w:pStyle w:val="TableParagraph"/>
              <w:spacing w:line="268" w:lineRule="exact"/>
              <w:ind w:right="104"/>
              <w:jc w:val="right"/>
              <w:rPr>
                <w:sz w:val="24"/>
              </w:rPr>
            </w:pPr>
            <w:r>
              <w:rPr>
                <w:spacing w:val="-2"/>
                <w:sz w:val="24"/>
              </w:rPr>
              <w:t>3.7294</w:t>
            </w:r>
          </w:p>
        </w:tc>
        <w:tc>
          <w:tcPr>
            <w:tcW w:w="1571" w:type="dxa"/>
            <w:shd w:val="clear" w:color="auto" w:fill="D5DCE4"/>
          </w:tcPr>
          <w:p>
            <w:pPr>
              <w:pStyle w:val="TableParagraph"/>
              <w:spacing w:line="268" w:lineRule="exact"/>
              <w:ind w:right="103"/>
              <w:jc w:val="right"/>
              <w:rPr>
                <w:sz w:val="24"/>
              </w:rPr>
            </w:pPr>
            <w:r>
              <w:rPr>
                <w:spacing w:val="-2"/>
                <w:sz w:val="24"/>
              </w:rPr>
              <w:t>1.40223</w:t>
            </w:r>
          </w:p>
        </w:tc>
        <w:tc>
          <w:tcPr>
            <w:tcW w:w="1511" w:type="dxa"/>
            <w:shd w:val="clear" w:color="auto" w:fill="D5DCE4"/>
          </w:tcPr>
          <w:p>
            <w:pPr>
              <w:pStyle w:val="TableParagraph"/>
              <w:spacing w:line="268" w:lineRule="exact"/>
              <w:ind w:left="110"/>
              <w:rPr>
                <w:sz w:val="24"/>
              </w:rPr>
            </w:pPr>
            <w:r>
              <w:rPr>
                <w:spacing w:val="-2"/>
                <w:sz w:val="24"/>
              </w:rPr>
              <w:t>Agree</w:t>
            </w:r>
          </w:p>
        </w:tc>
      </w:tr>
      <w:tr>
        <w:trPr>
          <w:trHeight w:val="552" w:hRule="atLeast"/>
        </w:trPr>
        <w:tc>
          <w:tcPr>
            <w:tcW w:w="605" w:type="dxa"/>
          </w:tcPr>
          <w:p>
            <w:pPr>
              <w:pStyle w:val="TableParagraph"/>
              <w:spacing w:line="268" w:lineRule="exact"/>
              <w:ind w:left="122"/>
              <w:rPr>
                <w:sz w:val="24"/>
              </w:rPr>
            </w:pPr>
            <w:r>
              <w:rPr>
                <w:spacing w:val="-10"/>
                <w:sz w:val="24"/>
              </w:rPr>
              <w:t>4</w:t>
            </w:r>
          </w:p>
        </w:tc>
        <w:tc>
          <w:tcPr>
            <w:tcW w:w="3966" w:type="dxa"/>
          </w:tcPr>
          <w:p>
            <w:pPr>
              <w:pStyle w:val="TableParagraph"/>
              <w:spacing w:line="268" w:lineRule="exact"/>
              <w:ind w:left="107"/>
              <w:rPr>
                <w:sz w:val="24"/>
              </w:rPr>
            </w:pPr>
            <w:r>
              <w:rPr>
                <w:sz w:val="24"/>
              </w:rPr>
              <w:t>Employee</w:t>
            </w:r>
            <w:r>
              <w:rPr>
                <w:spacing w:val="-6"/>
                <w:sz w:val="24"/>
              </w:rPr>
              <w:t> </w:t>
            </w:r>
            <w:r>
              <w:rPr>
                <w:spacing w:val="-2"/>
                <w:sz w:val="24"/>
              </w:rPr>
              <w:t>participation</w:t>
            </w:r>
          </w:p>
        </w:tc>
        <w:tc>
          <w:tcPr>
            <w:tcW w:w="1939" w:type="dxa"/>
          </w:tcPr>
          <w:p>
            <w:pPr>
              <w:pStyle w:val="TableParagraph"/>
              <w:spacing w:line="268" w:lineRule="exact"/>
              <w:ind w:right="104"/>
              <w:jc w:val="right"/>
              <w:rPr>
                <w:sz w:val="24"/>
              </w:rPr>
            </w:pPr>
            <w:r>
              <w:rPr>
                <w:spacing w:val="-2"/>
                <w:sz w:val="24"/>
              </w:rPr>
              <w:t>3.6601</w:t>
            </w:r>
          </w:p>
        </w:tc>
        <w:tc>
          <w:tcPr>
            <w:tcW w:w="1571" w:type="dxa"/>
          </w:tcPr>
          <w:p>
            <w:pPr>
              <w:pStyle w:val="TableParagraph"/>
              <w:spacing w:line="268" w:lineRule="exact"/>
              <w:ind w:right="103"/>
              <w:jc w:val="right"/>
              <w:rPr>
                <w:sz w:val="24"/>
              </w:rPr>
            </w:pPr>
            <w:r>
              <w:rPr>
                <w:spacing w:val="-2"/>
                <w:sz w:val="24"/>
              </w:rPr>
              <w:t>1.34704</w:t>
            </w:r>
          </w:p>
        </w:tc>
        <w:tc>
          <w:tcPr>
            <w:tcW w:w="1511" w:type="dxa"/>
          </w:tcPr>
          <w:p>
            <w:pPr>
              <w:pStyle w:val="TableParagraph"/>
              <w:spacing w:line="268" w:lineRule="exact"/>
              <w:ind w:left="110"/>
              <w:rPr>
                <w:sz w:val="24"/>
              </w:rPr>
            </w:pPr>
            <w:r>
              <w:rPr>
                <w:spacing w:val="-2"/>
                <w:sz w:val="24"/>
              </w:rPr>
              <w:t>Agree</w:t>
            </w:r>
          </w:p>
        </w:tc>
      </w:tr>
      <w:tr>
        <w:trPr>
          <w:trHeight w:val="552" w:hRule="atLeast"/>
        </w:trPr>
        <w:tc>
          <w:tcPr>
            <w:tcW w:w="605" w:type="dxa"/>
            <w:shd w:val="clear" w:color="auto" w:fill="D5DCE4"/>
          </w:tcPr>
          <w:p>
            <w:pPr>
              <w:pStyle w:val="TableParagraph"/>
              <w:spacing w:line="268" w:lineRule="exact"/>
              <w:ind w:left="122"/>
              <w:rPr>
                <w:sz w:val="24"/>
              </w:rPr>
            </w:pPr>
            <w:r>
              <w:rPr>
                <w:spacing w:val="-10"/>
                <w:sz w:val="24"/>
              </w:rPr>
              <w:t>5</w:t>
            </w:r>
          </w:p>
        </w:tc>
        <w:tc>
          <w:tcPr>
            <w:tcW w:w="3966" w:type="dxa"/>
            <w:shd w:val="clear" w:color="auto" w:fill="D5DCE4"/>
          </w:tcPr>
          <w:p>
            <w:pPr>
              <w:pStyle w:val="TableParagraph"/>
              <w:spacing w:line="268" w:lineRule="exact"/>
              <w:ind w:left="107"/>
              <w:rPr>
                <w:sz w:val="24"/>
              </w:rPr>
            </w:pPr>
            <w:r>
              <w:rPr>
                <w:sz w:val="24"/>
              </w:rPr>
              <w:t>Recognition</w:t>
            </w:r>
            <w:r>
              <w:rPr>
                <w:spacing w:val="-3"/>
                <w:sz w:val="24"/>
              </w:rPr>
              <w:t> </w:t>
            </w:r>
            <w:r>
              <w:rPr>
                <w:sz w:val="24"/>
              </w:rPr>
              <w:t>and</w:t>
            </w:r>
            <w:r>
              <w:rPr>
                <w:spacing w:val="-3"/>
                <w:sz w:val="24"/>
              </w:rPr>
              <w:t> </w:t>
            </w:r>
            <w:r>
              <w:rPr>
                <w:spacing w:val="-2"/>
                <w:sz w:val="24"/>
              </w:rPr>
              <w:t>Reward</w:t>
            </w:r>
          </w:p>
        </w:tc>
        <w:tc>
          <w:tcPr>
            <w:tcW w:w="1939" w:type="dxa"/>
            <w:shd w:val="clear" w:color="auto" w:fill="D5DCE4"/>
          </w:tcPr>
          <w:p>
            <w:pPr>
              <w:pStyle w:val="TableParagraph"/>
              <w:spacing w:line="268" w:lineRule="exact"/>
              <w:ind w:right="104"/>
              <w:jc w:val="right"/>
              <w:rPr>
                <w:sz w:val="24"/>
              </w:rPr>
            </w:pPr>
            <w:r>
              <w:rPr>
                <w:spacing w:val="-2"/>
                <w:sz w:val="24"/>
              </w:rPr>
              <w:t>3.3267</w:t>
            </w:r>
          </w:p>
        </w:tc>
        <w:tc>
          <w:tcPr>
            <w:tcW w:w="1571" w:type="dxa"/>
            <w:shd w:val="clear" w:color="auto" w:fill="D5DCE4"/>
          </w:tcPr>
          <w:p>
            <w:pPr>
              <w:pStyle w:val="TableParagraph"/>
              <w:spacing w:line="268" w:lineRule="exact"/>
              <w:ind w:right="103"/>
              <w:jc w:val="right"/>
              <w:rPr>
                <w:sz w:val="24"/>
              </w:rPr>
            </w:pPr>
            <w:r>
              <w:rPr>
                <w:spacing w:val="-2"/>
                <w:sz w:val="24"/>
              </w:rPr>
              <w:t>1.41029</w:t>
            </w:r>
          </w:p>
        </w:tc>
        <w:tc>
          <w:tcPr>
            <w:tcW w:w="1511" w:type="dxa"/>
            <w:shd w:val="clear" w:color="auto" w:fill="D5DCE4"/>
          </w:tcPr>
          <w:p>
            <w:pPr>
              <w:pStyle w:val="TableParagraph"/>
              <w:spacing w:line="268" w:lineRule="exact"/>
              <w:ind w:left="110"/>
              <w:rPr>
                <w:sz w:val="24"/>
              </w:rPr>
            </w:pPr>
            <w:r>
              <w:rPr>
                <w:spacing w:val="-2"/>
                <w:sz w:val="24"/>
              </w:rPr>
              <w:t>Agree</w:t>
            </w:r>
          </w:p>
        </w:tc>
      </w:tr>
      <w:tr>
        <w:trPr>
          <w:trHeight w:val="551" w:hRule="atLeast"/>
        </w:trPr>
        <w:tc>
          <w:tcPr>
            <w:tcW w:w="605" w:type="dxa"/>
          </w:tcPr>
          <w:p>
            <w:pPr>
              <w:pStyle w:val="TableParagraph"/>
              <w:spacing w:line="268" w:lineRule="exact"/>
              <w:ind w:left="122"/>
              <w:rPr>
                <w:sz w:val="24"/>
              </w:rPr>
            </w:pPr>
            <w:r>
              <w:rPr>
                <w:spacing w:val="-10"/>
                <w:sz w:val="24"/>
              </w:rPr>
              <w:t>6</w:t>
            </w:r>
          </w:p>
        </w:tc>
        <w:tc>
          <w:tcPr>
            <w:tcW w:w="3966" w:type="dxa"/>
          </w:tcPr>
          <w:p>
            <w:pPr>
              <w:pStyle w:val="TableParagraph"/>
              <w:spacing w:line="268" w:lineRule="exact"/>
              <w:ind w:left="107"/>
              <w:rPr>
                <w:sz w:val="24"/>
              </w:rPr>
            </w:pPr>
            <w:r>
              <w:rPr>
                <w:spacing w:val="-2"/>
                <w:sz w:val="24"/>
              </w:rPr>
              <w:t>Training</w:t>
            </w:r>
          </w:p>
        </w:tc>
        <w:tc>
          <w:tcPr>
            <w:tcW w:w="1939" w:type="dxa"/>
          </w:tcPr>
          <w:p>
            <w:pPr>
              <w:pStyle w:val="TableParagraph"/>
              <w:spacing w:line="268" w:lineRule="exact"/>
              <w:ind w:right="104"/>
              <w:jc w:val="right"/>
              <w:rPr>
                <w:sz w:val="24"/>
              </w:rPr>
            </w:pPr>
            <w:r>
              <w:rPr>
                <w:spacing w:val="-2"/>
                <w:sz w:val="24"/>
              </w:rPr>
              <w:t>3.3828</w:t>
            </w:r>
          </w:p>
        </w:tc>
        <w:tc>
          <w:tcPr>
            <w:tcW w:w="1571" w:type="dxa"/>
          </w:tcPr>
          <w:p>
            <w:pPr>
              <w:pStyle w:val="TableParagraph"/>
              <w:spacing w:line="268" w:lineRule="exact"/>
              <w:ind w:right="103"/>
              <w:jc w:val="right"/>
              <w:rPr>
                <w:sz w:val="24"/>
              </w:rPr>
            </w:pPr>
            <w:r>
              <w:rPr>
                <w:spacing w:val="-2"/>
                <w:sz w:val="24"/>
              </w:rPr>
              <w:t>1.44386</w:t>
            </w:r>
          </w:p>
        </w:tc>
        <w:tc>
          <w:tcPr>
            <w:tcW w:w="1511" w:type="dxa"/>
          </w:tcPr>
          <w:p>
            <w:pPr>
              <w:pStyle w:val="TableParagraph"/>
              <w:spacing w:line="268" w:lineRule="exact"/>
              <w:ind w:left="110"/>
              <w:rPr>
                <w:sz w:val="24"/>
              </w:rPr>
            </w:pPr>
            <w:r>
              <w:rPr>
                <w:spacing w:val="-2"/>
                <w:sz w:val="24"/>
              </w:rPr>
              <w:t>Agree</w:t>
            </w:r>
          </w:p>
        </w:tc>
      </w:tr>
      <w:tr>
        <w:trPr>
          <w:trHeight w:val="552" w:hRule="atLeast"/>
        </w:trPr>
        <w:tc>
          <w:tcPr>
            <w:tcW w:w="605" w:type="dxa"/>
            <w:shd w:val="clear" w:color="auto" w:fill="D5DCE4"/>
          </w:tcPr>
          <w:p>
            <w:pPr>
              <w:pStyle w:val="TableParagraph"/>
              <w:spacing w:line="268" w:lineRule="exact"/>
              <w:ind w:left="122"/>
              <w:rPr>
                <w:sz w:val="24"/>
              </w:rPr>
            </w:pPr>
            <w:r>
              <w:rPr>
                <w:spacing w:val="-10"/>
                <w:sz w:val="24"/>
              </w:rPr>
              <w:t>7</w:t>
            </w:r>
          </w:p>
        </w:tc>
        <w:tc>
          <w:tcPr>
            <w:tcW w:w="3966" w:type="dxa"/>
            <w:shd w:val="clear" w:color="auto" w:fill="D5DCE4"/>
          </w:tcPr>
          <w:p>
            <w:pPr>
              <w:pStyle w:val="TableParagraph"/>
              <w:spacing w:line="268" w:lineRule="exact"/>
              <w:ind w:left="107"/>
              <w:rPr>
                <w:sz w:val="24"/>
              </w:rPr>
            </w:pPr>
            <w:r>
              <w:rPr>
                <w:sz w:val="24"/>
              </w:rPr>
              <w:t>Quality</w:t>
            </w:r>
            <w:r>
              <w:rPr>
                <w:spacing w:val="-5"/>
                <w:sz w:val="24"/>
              </w:rPr>
              <w:t> </w:t>
            </w:r>
            <w:r>
              <w:rPr>
                <w:spacing w:val="-2"/>
                <w:sz w:val="24"/>
              </w:rPr>
              <w:t>Culture</w:t>
            </w:r>
          </w:p>
        </w:tc>
        <w:tc>
          <w:tcPr>
            <w:tcW w:w="1939" w:type="dxa"/>
            <w:shd w:val="clear" w:color="auto" w:fill="D5DCE4"/>
          </w:tcPr>
          <w:p>
            <w:pPr>
              <w:pStyle w:val="TableParagraph"/>
              <w:spacing w:line="268" w:lineRule="exact"/>
              <w:ind w:right="104"/>
              <w:jc w:val="right"/>
              <w:rPr>
                <w:sz w:val="24"/>
              </w:rPr>
            </w:pPr>
            <w:r>
              <w:rPr>
                <w:spacing w:val="-2"/>
                <w:sz w:val="24"/>
              </w:rPr>
              <w:t>3.4389</w:t>
            </w:r>
          </w:p>
        </w:tc>
        <w:tc>
          <w:tcPr>
            <w:tcW w:w="1571" w:type="dxa"/>
            <w:shd w:val="clear" w:color="auto" w:fill="D5DCE4"/>
          </w:tcPr>
          <w:p>
            <w:pPr>
              <w:pStyle w:val="TableParagraph"/>
              <w:spacing w:line="268" w:lineRule="exact"/>
              <w:ind w:right="103"/>
              <w:jc w:val="right"/>
              <w:rPr>
                <w:sz w:val="24"/>
              </w:rPr>
            </w:pPr>
            <w:r>
              <w:rPr>
                <w:spacing w:val="-2"/>
                <w:sz w:val="24"/>
              </w:rPr>
              <w:t>1.39134</w:t>
            </w:r>
          </w:p>
        </w:tc>
        <w:tc>
          <w:tcPr>
            <w:tcW w:w="1511" w:type="dxa"/>
            <w:shd w:val="clear" w:color="auto" w:fill="D5DCE4"/>
          </w:tcPr>
          <w:p>
            <w:pPr>
              <w:pStyle w:val="TableParagraph"/>
              <w:spacing w:line="268" w:lineRule="exact"/>
              <w:ind w:left="110"/>
              <w:rPr>
                <w:sz w:val="24"/>
              </w:rPr>
            </w:pPr>
            <w:r>
              <w:rPr>
                <w:spacing w:val="-2"/>
                <w:sz w:val="24"/>
              </w:rPr>
              <w:t>Agree</w:t>
            </w:r>
          </w:p>
        </w:tc>
      </w:tr>
      <w:tr>
        <w:trPr>
          <w:trHeight w:val="551" w:hRule="atLeast"/>
        </w:trPr>
        <w:tc>
          <w:tcPr>
            <w:tcW w:w="605" w:type="dxa"/>
          </w:tcPr>
          <w:p>
            <w:pPr>
              <w:pStyle w:val="TableParagraph"/>
              <w:spacing w:line="268" w:lineRule="exact"/>
              <w:ind w:left="122"/>
              <w:rPr>
                <w:sz w:val="24"/>
              </w:rPr>
            </w:pPr>
            <w:r>
              <w:rPr>
                <w:spacing w:val="-10"/>
                <w:sz w:val="24"/>
              </w:rPr>
              <w:t>8</w:t>
            </w:r>
          </w:p>
        </w:tc>
        <w:tc>
          <w:tcPr>
            <w:tcW w:w="3966" w:type="dxa"/>
          </w:tcPr>
          <w:p>
            <w:pPr>
              <w:pStyle w:val="TableParagraph"/>
              <w:spacing w:line="268" w:lineRule="exact"/>
              <w:ind w:left="107"/>
              <w:rPr>
                <w:sz w:val="24"/>
              </w:rPr>
            </w:pPr>
            <w:r>
              <w:rPr>
                <w:spacing w:val="-2"/>
                <w:sz w:val="24"/>
              </w:rPr>
              <w:t>Communication</w:t>
            </w:r>
          </w:p>
        </w:tc>
        <w:tc>
          <w:tcPr>
            <w:tcW w:w="1939" w:type="dxa"/>
          </w:tcPr>
          <w:p>
            <w:pPr>
              <w:pStyle w:val="TableParagraph"/>
              <w:spacing w:line="268" w:lineRule="exact"/>
              <w:ind w:right="104"/>
              <w:jc w:val="right"/>
              <w:rPr>
                <w:sz w:val="24"/>
              </w:rPr>
            </w:pPr>
            <w:r>
              <w:rPr>
                <w:spacing w:val="-2"/>
                <w:sz w:val="24"/>
              </w:rPr>
              <w:t>3.4917</w:t>
            </w:r>
          </w:p>
        </w:tc>
        <w:tc>
          <w:tcPr>
            <w:tcW w:w="1571" w:type="dxa"/>
          </w:tcPr>
          <w:p>
            <w:pPr>
              <w:pStyle w:val="TableParagraph"/>
              <w:spacing w:line="268" w:lineRule="exact"/>
              <w:ind w:right="103"/>
              <w:jc w:val="right"/>
              <w:rPr>
                <w:sz w:val="24"/>
              </w:rPr>
            </w:pPr>
            <w:r>
              <w:rPr>
                <w:spacing w:val="-2"/>
                <w:sz w:val="24"/>
              </w:rPr>
              <w:t>1.36868</w:t>
            </w:r>
          </w:p>
        </w:tc>
        <w:tc>
          <w:tcPr>
            <w:tcW w:w="1511" w:type="dxa"/>
          </w:tcPr>
          <w:p>
            <w:pPr>
              <w:pStyle w:val="TableParagraph"/>
              <w:spacing w:line="268" w:lineRule="exact"/>
              <w:ind w:left="110"/>
              <w:rPr>
                <w:sz w:val="24"/>
              </w:rPr>
            </w:pPr>
            <w:r>
              <w:rPr>
                <w:spacing w:val="-2"/>
                <w:sz w:val="24"/>
              </w:rPr>
              <w:t>Agree</w:t>
            </w:r>
          </w:p>
        </w:tc>
      </w:tr>
      <w:tr>
        <w:trPr>
          <w:trHeight w:val="552" w:hRule="atLeast"/>
        </w:trPr>
        <w:tc>
          <w:tcPr>
            <w:tcW w:w="605" w:type="dxa"/>
            <w:shd w:val="clear" w:color="auto" w:fill="D5DCE4"/>
          </w:tcPr>
          <w:p>
            <w:pPr>
              <w:pStyle w:val="TableParagraph"/>
              <w:spacing w:line="268" w:lineRule="exact"/>
              <w:ind w:left="122"/>
              <w:rPr>
                <w:sz w:val="24"/>
              </w:rPr>
            </w:pPr>
            <w:r>
              <w:rPr>
                <w:spacing w:val="-10"/>
                <w:sz w:val="24"/>
              </w:rPr>
              <w:t>9</w:t>
            </w:r>
          </w:p>
        </w:tc>
        <w:tc>
          <w:tcPr>
            <w:tcW w:w="3966" w:type="dxa"/>
            <w:shd w:val="clear" w:color="auto" w:fill="D5DCE4"/>
          </w:tcPr>
          <w:p>
            <w:pPr>
              <w:pStyle w:val="TableParagraph"/>
              <w:spacing w:line="268" w:lineRule="exact"/>
              <w:ind w:left="107"/>
              <w:rPr>
                <w:sz w:val="24"/>
              </w:rPr>
            </w:pPr>
            <w:r>
              <w:rPr>
                <w:sz w:val="24"/>
              </w:rPr>
              <w:t>Performance</w:t>
            </w:r>
            <w:r>
              <w:rPr>
                <w:spacing w:val="-5"/>
                <w:sz w:val="24"/>
              </w:rPr>
              <w:t> </w:t>
            </w:r>
            <w:r>
              <w:rPr>
                <w:spacing w:val="-2"/>
                <w:sz w:val="24"/>
              </w:rPr>
              <w:t>Measurement</w:t>
            </w:r>
          </w:p>
        </w:tc>
        <w:tc>
          <w:tcPr>
            <w:tcW w:w="1939" w:type="dxa"/>
            <w:shd w:val="clear" w:color="auto" w:fill="D5DCE4"/>
          </w:tcPr>
          <w:p>
            <w:pPr>
              <w:pStyle w:val="TableParagraph"/>
              <w:spacing w:line="268" w:lineRule="exact"/>
              <w:ind w:right="104"/>
              <w:jc w:val="right"/>
              <w:rPr>
                <w:sz w:val="24"/>
              </w:rPr>
            </w:pPr>
            <w:r>
              <w:rPr>
                <w:spacing w:val="-2"/>
                <w:sz w:val="24"/>
              </w:rPr>
              <w:t>3.5512</w:t>
            </w:r>
          </w:p>
        </w:tc>
        <w:tc>
          <w:tcPr>
            <w:tcW w:w="1571" w:type="dxa"/>
            <w:shd w:val="clear" w:color="auto" w:fill="D5DCE4"/>
          </w:tcPr>
          <w:p>
            <w:pPr>
              <w:pStyle w:val="TableParagraph"/>
              <w:spacing w:line="268" w:lineRule="exact"/>
              <w:ind w:right="103"/>
              <w:jc w:val="right"/>
              <w:rPr>
                <w:sz w:val="24"/>
              </w:rPr>
            </w:pPr>
            <w:r>
              <w:rPr>
                <w:spacing w:val="-2"/>
                <w:sz w:val="24"/>
              </w:rPr>
              <w:t>1.41533</w:t>
            </w:r>
          </w:p>
        </w:tc>
        <w:tc>
          <w:tcPr>
            <w:tcW w:w="1511" w:type="dxa"/>
            <w:shd w:val="clear" w:color="auto" w:fill="D5DCE4"/>
          </w:tcPr>
          <w:p>
            <w:pPr>
              <w:pStyle w:val="TableParagraph"/>
              <w:spacing w:line="268" w:lineRule="exact"/>
              <w:ind w:left="110"/>
              <w:rPr>
                <w:sz w:val="24"/>
              </w:rPr>
            </w:pPr>
            <w:r>
              <w:rPr>
                <w:spacing w:val="-2"/>
                <w:sz w:val="24"/>
              </w:rPr>
              <w:t>Agree</w:t>
            </w:r>
          </w:p>
        </w:tc>
      </w:tr>
      <w:tr>
        <w:trPr>
          <w:trHeight w:val="551" w:hRule="atLeast"/>
        </w:trPr>
        <w:tc>
          <w:tcPr>
            <w:tcW w:w="605" w:type="dxa"/>
            <w:tcBorders>
              <w:bottom w:val="single" w:sz="4" w:space="0" w:color="000000"/>
            </w:tcBorders>
          </w:tcPr>
          <w:p>
            <w:pPr>
              <w:pStyle w:val="TableParagraph"/>
              <w:spacing w:line="268" w:lineRule="exact"/>
              <w:ind w:left="122"/>
              <w:rPr>
                <w:sz w:val="24"/>
              </w:rPr>
            </w:pPr>
            <w:r>
              <w:rPr>
                <w:spacing w:val="-5"/>
                <w:sz w:val="24"/>
              </w:rPr>
              <w:t>10</w:t>
            </w:r>
          </w:p>
        </w:tc>
        <w:tc>
          <w:tcPr>
            <w:tcW w:w="3966" w:type="dxa"/>
            <w:tcBorders>
              <w:bottom w:val="single" w:sz="4" w:space="0" w:color="000000"/>
            </w:tcBorders>
          </w:tcPr>
          <w:p>
            <w:pPr>
              <w:pStyle w:val="TableParagraph"/>
              <w:spacing w:line="268" w:lineRule="exact"/>
              <w:ind w:left="107"/>
              <w:rPr>
                <w:sz w:val="24"/>
              </w:rPr>
            </w:pPr>
            <w:r>
              <w:rPr>
                <w:sz w:val="24"/>
              </w:rPr>
              <w:t>Strategic</w:t>
            </w:r>
            <w:r>
              <w:rPr>
                <w:spacing w:val="-7"/>
                <w:sz w:val="24"/>
              </w:rPr>
              <w:t> </w:t>
            </w:r>
            <w:r>
              <w:rPr>
                <w:spacing w:val="-2"/>
                <w:sz w:val="24"/>
              </w:rPr>
              <w:t>Planning</w:t>
            </w:r>
          </w:p>
        </w:tc>
        <w:tc>
          <w:tcPr>
            <w:tcW w:w="1939" w:type="dxa"/>
            <w:tcBorders>
              <w:bottom w:val="single" w:sz="4" w:space="0" w:color="000000"/>
            </w:tcBorders>
          </w:tcPr>
          <w:p>
            <w:pPr>
              <w:pStyle w:val="TableParagraph"/>
              <w:spacing w:line="268" w:lineRule="exact"/>
              <w:ind w:right="104"/>
              <w:jc w:val="right"/>
              <w:rPr>
                <w:sz w:val="24"/>
              </w:rPr>
            </w:pPr>
            <w:r>
              <w:rPr>
                <w:spacing w:val="-2"/>
                <w:sz w:val="24"/>
              </w:rPr>
              <w:t>3.7525</w:t>
            </w:r>
          </w:p>
        </w:tc>
        <w:tc>
          <w:tcPr>
            <w:tcW w:w="1571" w:type="dxa"/>
            <w:tcBorders>
              <w:bottom w:val="single" w:sz="4" w:space="0" w:color="000000"/>
            </w:tcBorders>
          </w:tcPr>
          <w:p>
            <w:pPr>
              <w:pStyle w:val="TableParagraph"/>
              <w:spacing w:line="268" w:lineRule="exact"/>
              <w:ind w:right="103"/>
              <w:jc w:val="right"/>
              <w:rPr>
                <w:sz w:val="24"/>
              </w:rPr>
            </w:pPr>
            <w:r>
              <w:rPr>
                <w:spacing w:val="-2"/>
                <w:sz w:val="24"/>
              </w:rPr>
              <w:t>1.36226</w:t>
            </w:r>
          </w:p>
        </w:tc>
        <w:tc>
          <w:tcPr>
            <w:tcW w:w="1511" w:type="dxa"/>
            <w:tcBorders>
              <w:bottom w:val="single" w:sz="4" w:space="0" w:color="000000"/>
            </w:tcBorders>
          </w:tcPr>
          <w:p>
            <w:pPr>
              <w:pStyle w:val="TableParagraph"/>
              <w:spacing w:line="268" w:lineRule="exact"/>
              <w:ind w:left="110"/>
              <w:rPr>
                <w:sz w:val="24"/>
              </w:rPr>
            </w:pPr>
            <w:r>
              <w:rPr>
                <w:spacing w:val="-2"/>
                <w:sz w:val="24"/>
              </w:rPr>
              <w:t>Agree</w:t>
            </w:r>
          </w:p>
        </w:tc>
      </w:tr>
    </w:tbl>
    <w:p>
      <w:pPr>
        <w:spacing w:before="2"/>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2"/>
          <w:sz w:val="24"/>
        </w:rPr>
        <w:t> </w:t>
      </w:r>
      <w:r>
        <w:rPr>
          <w:b/>
          <w:sz w:val="24"/>
        </w:rPr>
        <w:t>survey</w:t>
      </w:r>
      <w:r>
        <w:rPr>
          <w:b/>
          <w:spacing w:val="-2"/>
          <w:sz w:val="24"/>
        </w:rPr>
        <w:t> (2018)</w:t>
      </w:r>
    </w:p>
    <w:p>
      <w:pPr>
        <w:spacing w:after="0"/>
        <w:jc w:val="left"/>
        <w:rPr>
          <w:sz w:val="24"/>
        </w:rPr>
        <w:sectPr>
          <w:pgSz w:w="12240" w:h="15840"/>
          <w:pgMar w:header="0" w:footer="1017" w:top="1360" w:bottom="1200" w:left="1040" w:right="120"/>
        </w:sectPr>
      </w:pPr>
    </w:p>
    <w:p>
      <w:pPr>
        <w:pStyle w:val="ListParagraph"/>
        <w:numPr>
          <w:ilvl w:val="2"/>
          <w:numId w:val="46"/>
        </w:numPr>
        <w:tabs>
          <w:tab w:pos="1119" w:val="left" w:leader="none"/>
        </w:tabs>
        <w:spacing w:line="480" w:lineRule="auto" w:before="76" w:after="0"/>
        <w:ind w:left="399" w:right="1318" w:firstLine="0"/>
        <w:jc w:val="both"/>
        <w:rPr>
          <w:b/>
          <w:sz w:val="24"/>
        </w:rPr>
      </w:pPr>
      <w:r>
        <w:rPr>
          <w:b/>
          <w:sz w:val="24"/>
        </w:rPr>
        <w:t>Strength, weakness, opportunities and threat (SWOT) analysis for small and medium scale construction firms in South-East Nigeria</w:t>
      </w:r>
    </w:p>
    <w:p>
      <w:pPr>
        <w:pStyle w:val="BodyText"/>
        <w:spacing w:line="480" w:lineRule="auto"/>
        <w:ind w:left="399" w:right="1320"/>
        <w:jc w:val="both"/>
      </w:pPr>
      <w:r>
        <w:rPr/>
        <w:t>Part</w:t>
      </w:r>
      <w:r>
        <w:rPr>
          <w:spacing w:val="-2"/>
        </w:rPr>
        <w:t> </w:t>
      </w:r>
      <w:r>
        <w:rPr/>
        <w:t>of</w:t>
      </w:r>
      <w:r>
        <w:rPr>
          <w:spacing w:val="-3"/>
        </w:rPr>
        <w:t> </w:t>
      </w:r>
      <w:r>
        <w:rPr/>
        <w:t>the</w:t>
      </w:r>
      <w:r>
        <w:rPr>
          <w:spacing w:val="-3"/>
        </w:rPr>
        <w:t> </w:t>
      </w:r>
      <w:r>
        <w:rPr/>
        <w:t>objective</w:t>
      </w:r>
      <w:r>
        <w:rPr>
          <w:spacing w:val="-3"/>
        </w:rPr>
        <w:t> </w:t>
      </w:r>
      <w:r>
        <w:rPr/>
        <w:t>of</w:t>
      </w:r>
      <w:r>
        <w:rPr>
          <w:spacing w:val="-3"/>
        </w:rPr>
        <w:t> </w:t>
      </w:r>
      <w:r>
        <w:rPr/>
        <w:t>the</w:t>
      </w:r>
      <w:r>
        <w:rPr>
          <w:spacing w:val="-3"/>
        </w:rPr>
        <w:t> </w:t>
      </w:r>
      <w:r>
        <w:rPr/>
        <w:t>study</w:t>
      </w:r>
      <w:r>
        <w:rPr>
          <w:spacing w:val="-7"/>
        </w:rPr>
        <w:t> </w:t>
      </w:r>
      <w:r>
        <w:rPr/>
        <w:t>was</w:t>
      </w:r>
      <w:r>
        <w:rPr>
          <w:spacing w:val="-2"/>
        </w:rPr>
        <w:t> </w:t>
      </w:r>
      <w:r>
        <w:rPr/>
        <w:t>to</w:t>
      </w:r>
      <w:r>
        <w:rPr>
          <w:spacing w:val="-2"/>
        </w:rPr>
        <w:t> </w:t>
      </w:r>
      <w:r>
        <w:rPr/>
        <w:t>examine</w:t>
      </w:r>
      <w:r>
        <w:rPr>
          <w:spacing w:val="-3"/>
        </w:rPr>
        <w:t> </w:t>
      </w:r>
      <w:r>
        <w:rPr/>
        <w:t>the</w:t>
      </w:r>
      <w:r>
        <w:rPr>
          <w:spacing w:val="-3"/>
        </w:rPr>
        <w:t> </w:t>
      </w:r>
      <w:r>
        <w:rPr/>
        <w:t>SMCFs’</w:t>
      </w:r>
      <w:r>
        <w:rPr>
          <w:spacing w:val="-3"/>
        </w:rPr>
        <w:t> </w:t>
      </w:r>
      <w:r>
        <w:rPr/>
        <w:t>strategies for</w:t>
      </w:r>
      <w:r>
        <w:rPr>
          <w:spacing w:val="-1"/>
        </w:rPr>
        <w:t> </w:t>
      </w:r>
      <w:r>
        <w:rPr/>
        <w:t>success</w:t>
      </w:r>
      <w:r>
        <w:rPr>
          <w:spacing w:val="-2"/>
        </w:rPr>
        <w:t> </w:t>
      </w:r>
      <w:r>
        <w:rPr/>
        <w:t>in</w:t>
      </w:r>
      <w:r>
        <w:rPr>
          <w:spacing w:val="-2"/>
        </w:rPr>
        <w:t> </w:t>
      </w:r>
      <w:r>
        <w:rPr/>
        <w:t>South-East Nigeria.</w:t>
      </w:r>
      <w:r>
        <w:rPr>
          <w:spacing w:val="40"/>
        </w:rPr>
        <w:t> </w:t>
      </w:r>
      <w:r>
        <w:rPr/>
        <w:t>The concept of SWOT (strength, weakness, opportunities and threats) analysis was used. To realize this objective, participants were presented with a list of strengths, weakness, opportunities and threats and asked to rate them on a scale of 1-5</w:t>
      </w:r>
    </w:p>
    <w:p>
      <w:pPr>
        <w:pStyle w:val="Heading2"/>
        <w:spacing w:before="162"/>
        <w:ind w:left="399"/>
      </w:pPr>
      <w:r>
        <w:rPr/>
        <w:t>Table</w:t>
      </w:r>
      <w:r>
        <w:rPr>
          <w:spacing w:val="-5"/>
        </w:rPr>
        <w:t> </w:t>
      </w:r>
      <w:r>
        <w:rPr/>
        <w:t>5.9.</w:t>
      </w:r>
      <w:r>
        <w:rPr>
          <w:spacing w:val="-2"/>
        </w:rPr>
        <w:t> </w:t>
      </w:r>
      <w:r>
        <w:rPr/>
        <w:t>Average</w:t>
      </w:r>
      <w:r>
        <w:rPr>
          <w:spacing w:val="-3"/>
        </w:rPr>
        <w:t> </w:t>
      </w:r>
      <w:r>
        <w:rPr/>
        <w:t>Agreement</w:t>
      </w:r>
      <w:r>
        <w:rPr>
          <w:spacing w:val="-3"/>
        </w:rPr>
        <w:t> </w:t>
      </w:r>
      <w:r>
        <w:rPr/>
        <w:t>with</w:t>
      </w:r>
      <w:r>
        <w:rPr>
          <w:spacing w:val="-1"/>
        </w:rPr>
        <w:t> </w:t>
      </w:r>
      <w:r>
        <w:rPr/>
        <w:t>Statements</w:t>
      </w:r>
      <w:r>
        <w:rPr>
          <w:spacing w:val="-2"/>
        </w:rPr>
        <w:t> </w:t>
      </w:r>
      <w:r>
        <w:rPr/>
        <w:t>Relating</w:t>
      </w:r>
      <w:r>
        <w:rPr>
          <w:spacing w:val="-2"/>
        </w:rPr>
        <w:t> </w:t>
      </w:r>
      <w:r>
        <w:rPr/>
        <w:t>to</w:t>
      </w:r>
      <w:r>
        <w:rPr>
          <w:spacing w:val="-3"/>
        </w:rPr>
        <w:t> </w:t>
      </w:r>
      <w:r>
        <w:rPr/>
        <w:t>Strength</w:t>
      </w:r>
      <w:r>
        <w:rPr>
          <w:spacing w:val="-2"/>
        </w:rPr>
        <w:t> </w:t>
      </w:r>
      <w:r>
        <w:rPr/>
        <w:t>and</w:t>
      </w:r>
      <w:r>
        <w:rPr>
          <w:spacing w:val="-1"/>
        </w:rPr>
        <w:t> </w:t>
      </w:r>
      <w:r>
        <w:rPr>
          <w:spacing w:val="-2"/>
        </w:rPr>
        <w:t>Opportunities</w:t>
      </w:r>
    </w:p>
    <w:p>
      <w:pPr>
        <w:pStyle w:val="BodyText"/>
        <w:spacing w:before="49"/>
        <w:rPr>
          <w:b/>
          <w:sz w:val="20"/>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6387"/>
        <w:gridCol w:w="1328"/>
        <w:gridCol w:w="1170"/>
      </w:tblGrid>
      <w:tr>
        <w:trPr>
          <w:trHeight w:val="551" w:hRule="atLeast"/>
        </w:trPr>
        <w:tc>
          <w:tcPr>
            <w:tcW w:w="605" w:type="dxa"/>
            <w:tcBorders>
              <w:top w:val="single" w:sz="4" w:space="0" w:color="000000"/>
              <w:right w:val="single" w:sz="4" w:space="0" w:color="000000"/>
            </w:tcBorders>
          </w:tcPr>
          <w:p>
            <w:pPr>
              <w:pStyle w:val="TableParagraph"/>
              <w:spacing w:line="273" w:lineRule="exact"/>
              <w:ind w:left="122"/>
              <w:rPr>
                <w:b/>
                <w:sz w:val="24"/>
              </w:rPr>
            </w:pPr>
            <w:r>
              <w:rPr>
                <w:b/>
                <w:spacing w:val="-5"/>
                <w:sz w:val="24"/>
              </w:rPr>
              <w:t>S/N</w:t>
            </w:r>
          </w:p>
        </w:tc>
        <w:tc>
          <w:tcPr>
            <w:tcW w:w="6387" w:type="dxa"/>
            <w:tcBorders>
              <w:top w:val="single" w:sz="4" w:space="0" w:color="000000"/>
              <w:left w:val="single" w:sz="4" w:space="0" w:color="000000"/>
              <w:right w:val="single" w:sz="4" w:space="0" w:color="000000"/>
            </w:tcBorders>
          </w:tcPr>
          <w:p>
            <w:pPr>
              <w:pStyle w:val="TableParagraph"/>
              <w:spacing w:line="273" w:lineRule="exact"/>
              <w:ind w:left="102"/>
              <w:rPr>
                <w:b/>
                <w:sz w:val="24"/>
              </w:rPr>
            </w:pPr>
            <w:r>
              <w:rPr>
                <w:b/>
                <w:spacing w:val="-2"/>
                <w:sz w:val="24"/>
                <w:u w:val="single"/>
              </w:rPr>
              <w:t>Strength</w:t>
            </w:r>
          </w:p>
        </w:tc>
        <w:tc>
          <w:tcPr>
            <w:tcW w:w="1328" w:type="dxa"/>
            <w:tcBorders>
              <w:top w:val="single" w:sz="4" w:space="0" w:color="000000"/>
              <w:left w:val="single" w:sz="4" w:space="0" w:color="000000"/>
              <w:right w:val="single" w:sz="4" w:space="0" w:color="000000"/>
            </w:tcBorders>
          </w:tcPr>
          <w:p>
            <w:pPr>
              <w:pStyle w:val="TableParagraph"/>
              <w:spacing w:line="273" w:lineRule="exact"/>
              <w:ind w:left="102"/>
              <w:rPr>
                <w:b/>
                <w:sz w:val="24"/>
              </w:rPr>
            </w:pPr>
            <w:r>
              <w:rPr>
                <w:b/>
                <w:spacing w:val="-4"/>
                <w:sz w:val="24"/>
              </w:rPr>
              <w:t>Mean</w:t>
            </w:r>
          </w:p>
        </w:tc>
        <w:tc>
          <w:tcPr>
            <w:tcW w:w="1170" w:type="dxa"/>
            <w:tcBorders>
              <w:top w:val="single" w:sz="4" w:space="0" w:color="000000"/>
              <w:left w:val="single" w:sz="4" w:space="0" w:color="000000"/>
            </w:tcBorders>
          </w:tcPr>
          <w:p>
            <w:pPr>
              <w:pStyle w:val="TableParagraph"/>
              <w:spacing w:line="273" w:lineRule="exact"/>
              <w:ind w:left="98"/>
              <w:rPr>
                <w:b/>
                <w:sz w:val="24"/>
              </w:rPr>
            </w:pPr>
            <w:r>
              <w:rPr>
                <w:b/>
                <w:spacing w:val="-4"/>
                <w:sz w:val="24"/>
              </w:rPr>
              <w:t>SDev</w:t>
            </w:r>
          </w:p>
        </w:tc>
      </w:tr>
      <w:tr>
        <w:trPr>
          <w:trHeight w:val="552" w:hRule="atLeast"/>
        </w:trPr>
        <w:tc>
          <w:tcPr>
            <w:tcW w:w="605" w:type="dxa"/>
            <w:tcBorders>
              <w:right w:val="single" w:sz="4" w:space="0" w:color="000000"/>
            </w:tcBorders>
            <w:shd w:val="clear" w:color="auto" w:fill="D5DCE4"/>
          </w:tcPr>
          <w:p>
            <w:pPr>
              <w:pStyle w:val="TableParagraph"/>
              <w:spacing w:line="268" w:lineRule="exact"/>
              <w:ind w:left="122"/>
              <w:rPr>
                <w:sz w:val="24"/>
              </w:rPr>
            </w:pPr>
            <w:r>
              <w:rPr>
                <w:spacing w:val="-10"/>
                <w:sz w:val="24"/>
              </w:rPr>
              <w:t>1</w:t>
            </w:r>
          </w:p>
        </w:tc>
        <w:tc>
          <w:tcPr>
            <w:tcW w:w="6387"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z w:val="24"/>
              </w:rPr>
              <w:t>Small</w:t>
            </w:r>
            <w:r>
              <w:rPr>
                <w:spacing w:val="-4"/>
                <w:sz w:val="24"/>
              </w:rPr>
              <w:t> </w:t>
            </w:r>
            <w:r>
              <w:rPr>
                <w:sz w:val="24"/>
              </w:rPr>
              <w:t>startup</w:t>
            </w:r>
            <w:r>
              <w:rPr>
                <w:spacing w:val="-1"/>
                <w:sz w:val="24"/>
              </w:rPr>
              <w:t> </w:t>
            </w:r>
            <w:r>
              <w:rPr>
                <w:sz w:val="24"/>
              </w:rPr>
              <w:t>and</w:t>
            </w:r>
            <w:r>
              <w:rPr>
                <w:spacing w:val="-1"/>
                <w:sz w:val="24"/>
              </w:rPr>
              <w:t> </w:t>
            </w:r>
            <w:r>
              <w:rPr>
                <w:sz w:val="24"/>
              </w:rPr>
              <w:t>operating</w:t>
            </w:r>
            <w:r>
              <w:rPr>
                <w:spacing w:val="-4"/>
                <w:sz w:val="24"/>
              </w:rPr>
              <w:t> </w:t>
            </w:r>
            <w:r>
              <w:rPr>
                <w:spacing w:val="-2"/>
                <w:sz w:val="24"/>
              </w:rPr>
              <w:t>capital</w:t>
            </w:r>
          </w:p>
        </w:tc>
        <w:tc>
          <w:tcPr>
            <w:tcW w:w="1328"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3.8383</w:t>
            </w:r>
          </w:p>
        </w:tc>
        <w:tc>
          <w:tcPr>
            <w:tcW w:w="1170" w:type="dxa"/>
            <w:tcBorders>
              <w:left w:val="single" w:sz="4" w:space="0" w:color="000000"/>
            </w:tcBorders>
            <w:shd w:val="clear" w:color="auto" w:fill="D5DCE4"/>
          </w:tcPr>
          <w:p>
            <w:pPr>
              <w:pStyle w:val="TableParagraph"/>
              <w:spacing w:line="268" w:lineRule="exact"/>
              <w:ind w:left="98"/>
              <w:rPr>
                <w:sz w:val="24"/>
              </w:rPr>
            </w:pPr>
            <w:r>
              <w:rPr>
                <w:spacing w:val="-2"/>
                <w:sz w:val="24"/>
              </w:rPr>
              <w:t>1.34346</w:t>
            </w:r>
          </w:p>
        </w:tc>
      </w:tr>
      <w:tr>
        <w:trPr>
          <w:trHeight w:val="551" w:hRule="atLeast"/>
        </w:trPr>
        <w:tc>
          <w:tcPr>
            <w:tcW w:w="605" w:type="dxa"/>
            <w:tcBorders>
              <w:right w:val="single" w:sz="4" w:space="0" w:color="000000"/>
            </w:tcBorders>
          </w:tcPr>
          <w:p>
            <w:pPr>
              <w:pStyle w:val="TableParagraph"/>
              <w:spacing w:line="268" w:lineRule="exact"/>
              <w:ind w:left="122"/>
              <w:rPr>
                <w:sz w:val="24"/>
              </w:rPr>
            </w:pPr>
            <w:r>
              <w:rPr>
                <w:spacing w:val="-10"/>
                <w:sz w:val="24"/>
              </w:rPr>
              <w:t>2</w:t>
            </w:r>
          </w:p>
        </w:tc>
        <w:tc>
          <w:tcPr>
            <w:tcW w:w="6387" w:type="dxa"/>
            <w:tcBorders>
              <w:left w:val="single" w:sz="4" w:space="0" w:color="000000"/>
              <w:right w:val="single" w:sz="4" w:space="0" w:color="000000"/>
            </w:tcBorders>
          </w:tcPr>
          <w:p>
            <w:pPr>
              <w:pStyle w:val="TableParagraph"/>
              <w:spacing w:line="268" w:lineRule="exact"/>
              <w:ind w:left="102"/>
              <w:rPr>
                <w:sz w:val="24"/>
              </w:rPr>
            </w:pPr>
            <w:r>
              <w:rPr>
                <w:sz w:val="24"/>
              </w:rPr>
              <w:t>Locational</w:t>
            </w:r>
            <w:r>
              <w:rPr>
                <w:spacing w:val="-4"/>
                <w:sz w:val="24"/>
              </w:rPr>
              <w:t> </w:t>
            </w:r>
            <w:r>
              <w:rPr>
                <w:spacing w:val="-2"/>
                <w:sz w:val="24"/>
              </w:rPr>
              <w:t>Flexibility</w:t>
            </w:r>
          </w:p>
        </w:tc>
        <w:tc>
          <w:tcPr>
            <w:tcW w:w="1328" w:type="dxa"/>
            <w:tcBorders>
              <w:left w:val="single" w:sz="4" w:space="0" w:color="000000"/>
              <w:right w:val="single" w:sz="4" w:space="0" w:color="000000"/>
            </w:tcBorders>
          </w:tcPr>
          <w:p>
            <w:pPr>
              <w:pStyle w:val="TableParagraph"/>
              <w:spacing w:line="268" w:lineRule="exact"/>
              <w:ind w:left="102"/>
              <w:rPr>
                <w:sz w:val="24"/>
              </w:rPr>
            </w:pPr>
            <w:r>
              <w:rPr>
                <w:spacing w:val="-2"/>
                <w:sz w:val="24"/>
              </w:rPr>
              <w:t>3.7855</w:t>
            </w:r>
          </w:p>
        </w:tc>
        <w:tc>
          <w:tcPr>
            <w:tcW w:w="1170" w:type="dxa"/>
            <w:tcBorders>
              <w:left w:val="single" w:sz="4" w:space="0" w:color="000000"/>
            </w:tcBorders>
          </w:tcPr>
          <w:p>
            <w:pPr>
              <w:pStyle w:val="TableParagraph"/>
              <w:spacing w:line="268" w:lineRule="exact"/>
              <w:ind w:left="98"/>
              <w:rPr>
                <w:sz w:val="24"/>
              </w:rPr>
            </w:pPr>
            <w:r>
              <w:rPr>
                <w:spacing w:val="-2"/>
                <w:sz w:val="24"/>
              </w:rPr>
              <w:t>1.40606</w:t>
            </w:r>
          </w:p>
        </w:tc>
      </w:tr>
      <w:tr>
        <w:trPr>
          <w:trHeight w:val="552" w:hRule="atLeast"/>
        </w:trPr>
        <w:tc>
          <w:tcPr>
            <w:tcW w:w="605" w:type="dxa"/>
            <w:tcBorders>
              <w:right w:val="single" w:sz="4" w:space="0" w:color="000000"/>
            </w:tcBorders>
            <w:shd w:val="clear" w:color="auto" w:fill="D5DCE4"/>
          </w:tcPr>
          <w:p>
            <w:pPr>
              <w:pStyle w:val="TableParagraph"/>
              <w:spacing w:line="268" w:lineRule="exact"/>
              <w:ind w:left="122"/>
              <w:rPr>
                <w:sz w:val="24"/>
              </w:rPr>
            </w:pPr>
            <w:r>
              <w:rPr>
                <w:spacing w:val="-10"/>
                <w:sz w:val="24"/>
              </w:rPr>
              <w:t>3</w:t>
            </w:r>
          </w:p>
        </w:tc>
        <w:tc>
          <w:tcPr>
            <w:tcW w:w="6387"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z w:val="24"/>
              </w:rPr>
              <w:t>Lower</w:t>
            </w:r>
            <w:r>
              <w:rPr>
                <w:spacing w:val="-4"/>
                <w:sz w:val="24"/>
              </w:rPr>
              <w:t> </w:t>
            </w:r>
            <w:r>
              <w:rPr>
                <w:spacing w:val="-2"/>
                <w:sz w:val="24"/>
              </w:rPr>
              <w:t>overhead</w:t>
            </w:r>
          </w:p>
        </w:tc>
        <w:tc>
          <w:tcPr>
            <w:tcW w:w="1328"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3.7063</w:t>
            </w:r>
          </w:p>
        </w:tc>
        <w:tc>
          <w:tcPr>
            <w:tcW w:w="1170" w:type="dxa"/>
            <w:tcBorders>
              <w:left w:val="single" w:sz="4" w:space="0" w:color="000000"/>
            </w:tcBorders>
            <w:shd w:val="clear" w:color="auto" w:fill="D5DCE4"/>
          </w:tcPr>
          <w:p>
            <w:pPr>
              <w:pStyle w:val="TableParagraph"/>
              <w:spacing w:line="268" w:lineRule="exact"/>
              <w:ind w:left="98"/>
              <w:rPr>
                <w:sz w:val="24"/>
              </w:rPr>
            </w:pPr>
            <w:r>
              <w:rPr>
                <w:spacing w:val="-2"/>
                <w:sz w:val="24"/>
              </w:rPr>
              <w:t>1.41288</w:t>
            </w:r>
          </w:p>
        </w:tc>
      </w:tr>
      <w:tr>
        <w:trPr>
          <w:trHeight w:val="551" w:hRule="atLeast"/>
        </w:trPr>
        <w:tc>
          <w:tcPr>
            <w:tcW w:w="605" w:type="dxa"/>
            <w:tcBorders>
              <w:right w:val="single" w:sz="4" w:space="0" w:color="000000"/>
            </w:tcBorders>
          </w:tcPr>
          <w:p>
            <w:pPr>
              <w:pStyle w:val="TableParagraph"/>
              <w:spacing w:line="268" w:lineRule="exact"/>
              <w:ind w:left="122"/>
              <w:rPr>
                <w:sz w:val="24"/>
              </w:rPr>
            </w:pPr>
            <w:r>
              <w:rPr>
                <w:spacing w:val="-10"/>
                <w:sz w:val="24"/>
              </w:rPr>
              <w:t>4</w:t>
            </w:r>
          </w:p>
        </w:tc>
        <w:tc>
          <w:tcPr>
            <w:tcW w:w="6387" w:type="dxa"/>
            <w:tcBorders>
              <w:left w:val="single" w:sz="4" w:space="0" w:color="000000"/>
              <w:right w:val="single" w:sz="4" w:space="0" w:color="000000"/>
            </w:tcBorders>
          </w:tcPr>
          <w:p>
            <w:pPr>
              <w:pStyle w:val="TableParagraph"/>
              <w:spacing w:line="268" w:lineRule="exact"/>
              <w:ind w:left="102"/>
              <w:rPr>
                <w:sz w:val="24"/>
              </w:rPr>
            </w:pPr>
            <w:r>
              <w:rPr>
                <w:sz w:val="24"/>
              </w:rPr>
              <w:t>Quickly</w:t>
            </w:r>
            <w:r>
              <w:rPr>
                <w:spacing w:val="-6"/>
                <w:sz w:val="24"/>
              </w:rPr>
              <w:t> </w:t>
            </w:r>
            <w:r>
              <w:rPr>
                <w:sz w:val="24"/>
              </w:rPr>
              <w:t>respond to</w:t>
            </w:r>
            <w:r>
              <w:rPr>
                <w:spacing w:val="-1"/>
                <w:sz w:val="24"/>
              </w:rPr>
              <w:t> </w:t>
            </w:r>
            <w:r>
              <w:rPr>
                <w:sz w:val="24"/>
              </w:rPr>
              <w:t>customers need in</w:t>
            </w:r>
            <w:r>
              <w:rPr>
                <w:spacing w:val="-1"/>
                <w:sz w:val="24"/>
              </w:rPr>
              <w:t> </w:t>
            </w:r>
            <w:r>
              <w:rPr>
                <w:sz w:val="24"/>
              </w:rPr>
              <w:t>a</w:t>
            </w:r>
            <w:r>
              <w:rPr>
                <w:spacing w:val="1"/>
                <w:sz w:val="24"/>
              </w:rPr>
              <w:t> </w:t>
            </w:r>
            <w:r>
              <w:rPr>
                <w:sz w:val="24"/>
              </w:rPr>
              <w:t>flexible</w:t>
            </w:r>
            <w:r>
              <w:rPr>
                <w:spacing w:val="-1"/>
                <w:sz w:val="24"/>
              </w:rPr>
              <w:t> </w:t>
            </w:r>
            <w:r>
              <w:rPr>
                <w:spacing w:val="-5"/>
                <w:sz w:val="24"/>
              </w:rPr>
              <w:t>way</w:t>
            </w:r>
          </w:p>
        </w:tc>
        <w:tc>
          <w:tcPr>
            <w:tcW w:w="1328" w:type="dxa"/>
            <w:tcBorders>
              <w:left w:val="single" w:sz="4" w:space="0" w:color="000000"/>
              <w:right w:val="single" w:sz="4" w:space="0" w:color="000000"/>
            </w:tcBorders>
          </w:tcPr>
          <w:p>
            <w:pPr>
              <w:pStyle w:val="TableParagraph"/>
              <w:spacing w:line="268" w:lineRule="exact"/>
              <w:ind w:left="102"/>
              <w:rPr>
                <w:sz w:val="24"/>
              </w:rPr>
            </w:pPr>
            <w:r>
              <w:rPr>
                <w:spacing w:val="-2"/>
                <w:sz w:val="24"/>
              </w:rPr>
              <w:t>3.6370</w:t>
            </w:r>
          </w:p>
        </w:tc>
        <w:tc>
          <w:tcPr>
            <w:tcW w:w="1170" w:type="dxa"/>
            <w:tcBorders>
              <w:left w:val="single" w:sz="4" w:space="0" w:color="000000"/>
            </w:tcBorders>
          </w:tcPr>
          <w:p>
            <w:pPr>
              <w:pStyle w:val="TableParagraph"/>
              <w:spacing w:line="268" w:lineRule="exact"/>
              <w:ind w:left="98"/>
              <w:rPr>
                <w:sz w:val="24"/>
              </w:rPr>
            </w:pPr>
            <w:r>
              <w:rPr>
                <w:spacing w:val="-2"/>
                <w:sz w:val="24"/>
              </w:rPr>
              <w:t>1.35694</w:t>
            </w:r>
          </w:p>
        </w:tc>
      </w:tr>
      <w:tr>
        <w:trPr>
          <w:trHeight w:val="552" w:hRule="atLeast"/>
        </w:trPr>
        <w:tc>
          <w:tcPr>
            <w:tcW w:w="605" w:type="dxa"/>
            <w:tcBorders>
              <w:right w:val="single" w:sz="4" w:space="0" w:color="000000"/>
            </w:tcBorders>
            <w:shd w:val="clear" w:color="auto" w:fill="D5DCE4"/>
          </w:tcPr>
          <w:p>
            <w:pPr>
              <w:pStyle w:val="TableParagraph"/>
              <w:spacing w:line="268" w:lineRule="exact"/>
              <w:ind w:left="122"/>
              <w:rPr>
                <w:sz w:val="24"/>
              </w:rPr>
            </w:pPr>
            <w:r>
              <w:rPr>
                <w:spacing w:val="-10"/>
                <w:sz w:val="24"/>
              </w:rPr>
              <w:t>5</w:t>
            </w:r>
          </w:p>
        </w:tc>
        <w:tc>
          <w:tcPr>
            <w:tcW w:w="6387"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z w:val="24"/>
              </w:rPr>
              <w:t>High</w:t>
            </w:r>
            <w:r>
              <w:rPr>
                <w:spacing w:val="-2"/>
                <w:sz w:val="24"/>
              </w:rPr>
              <w:t> </w:t>
            </w:r>
            <w:r>
              <w:rPr>
                <w:sz w:val="24"/>
              </w:rPr>
              <w:t>return</w:t>
            </w:r>
            <w:r>
              <w:rPr>
                <w:spacing w:val="-1"/>
                <w:sz w:val="24"/>
              </w:rPr>
              <w:t> </w:t>
            </w:r>
            <w:r>
              <w:rPr>
                <w:sz w:val="24"/>
              </w:rPr>
              <w:t>of</w:t>
            </w:r>
            <w:r>
              <w:rPr>
                <w:spacing w:val="-3"/>
                <w:sz w:val="24"/>
              </w:rPr>
              <w:t> </w:t>
            </w:r>
            <w:r>
              <w:rPr>
                <w:sz w:val="24"/>
              </w:rPr>
              <w:t>investment</w:t>
            </w:r>
            <w:r>
              <w:rPr>
                <w:spacing w:val="-1"/>
                <w:sz w:val="24"/>
              </w:rPr>
              <w:t> </w:t>
            </w:r>
            <w:r>
              <w:rPr>
                <w:sz w:val="24"/>
              </w:rPr>
              <w:t>on</w:t>
            </w:r>
            <w:r>
              <w:rPr>
                <w:spacing w:val="-2"/>
                <w:sz w:val="24"/>
              </w:rPr>
              <w:t> </w:t>
            </w:r>
            <w:r>
              <w:rPr>
                <w:sz w:val="24"/>
              </w:rPr>
              <w:t>successful</w:t>
            </w:r>
            <w:r>
              <w:rPr>
                <w:spacing w:val="-1"/>
                <w:sz w:val="24"/>
              </w:rPr>
              <w:t> </w:t>
            </w:r>
            <w:r>
              <w:rPr>
                <w:spacing w:val="-2"/>
                <w:sz w:val="24"/>
              </w:rPr>
              <w:t>project</w:t>
            </w:r>
          </w:p>
        </w:tc>
        <w:tc>
          <w:tcPr>
            <w:tcW w:w="1328"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3.3036</w:t>
            </w:r>
          </w:p>
        </w:tc>
        <w:tc>
          <w:tcPr>
            <w:tcW w:w="1170" w:type="dxa"/>
            <w:tcBorders>
              <w:left w:val="single" w:sz="4" w:space="0" w:color="000000"/>
            </w:tcBorders>
            <w:shd w:val="clear" w:color="auto" w:fill="D5DCE4"/>
          </w:tcPr>
          <w:p>
            <w:pPr>
              <w:pStyle w:val="TableParagraph"/>
              <w:spacing w:line="268" w:lineRule="exact"/>
              <w:ind w:left="98"/>
              <w:rPr>
                <w:sz w:val="24"/>
              </w:rPr>
            </w:pPr>
            <w:r>
              <w:rPr>
                <w:spacing w:val="-2"/>
                <w:sz w:val="24"/>
              </w:rPr>
              <w:t>1.42130</w:t>
            </w:r>
          </w:p>
        </w:tc>
      </w:tr>
      <w:tr>
        <w:trPr>
          <w:trHeight w:val="551" w:hRule="atLeast"/>
        </w:trPr>
        <w:tc>
          <w:tcPr>
            <w:tcW w:w="9490" w:type="dxa"/>
            <w:gridSpan w:val="4"/>
          </w:tcPr>
          <w:p>
            <w:pPr>
              <w:pStyle w:val="TableParagraph"/>
              <w:spacing w:line="273" w:lineRule="exact"/>
              <w:ind w:left="712"/>
              <w:rPr>
                <w:b/>
                <w:sz w:val="24"/>
              </w:rPr>
            </w:pPr>
            <w:r>
              <w:rPr>
                <w:b/>
                <w:spacing w:val="-2"/>
                <w:sz w:val="24"/>
                <w:u w:val="single"/>
              </w:rPr>
              <w:t>Opportunities</w:t>
            </w:r>
          </w:p>
        </w:tc>
      </w:tr>
      <w:tr>
        <w:trPr>
          <w:trHeight w:val="552" w:hRule="atLeast"/>
        </w:trPr>
        <w:tc>
          <w:tcPr>
            <w:tcW w:w="605" w:type="dxa"/>
            <w:tcBorders>
              <w:right w:val="single" w:sz="4" w:space="0" w:color="000000"/>
            </w:tcBorders>
            <w:shd w:val="clear" w:color="auto" w:fill="D5DCE4"/>
          </w:tcPr>
          <w:p>
            <w:pPr>
              <w:pStyle w:val="TableParagraph"/>
              <w:spacing w:line="268" w:lineRule="exact"/>
              <w:ind w:left="122"/>
              <w:rPr>
                <w:sz w:val="24"/>
              </w:rPr>
            </w:pPr>
            <w:r>
              <w:rPr>
                <w:spacing w:val="-10"/>
                <w:sz w:val="24"/>
              </w:rPr>
              <w:t>6</w:t>
            </w:r>
          </w:p>
        </w:tc>
        <w:tc>
          <w:tcPr>
            <w:tcW w:w="6387"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z w:val="24"/>
              </w:rPr>
              <w:t>Low</w:t>
            </w:r>
            <w:r>
              <w:rPr>
                <w:spacing w:val="-2"/>
                <w:sz w:val="24"/>
              </w:rPr>
              <w:t> </w:t>
            </w:r>
            <w:r>
              <w:rPr>
                <w:sz w:val="24"/>
              </w:rPr>
              <w:t>labour</w:t>
            </w:r>
            <w:r>
              <w:rPr>
                <w:spacing w:val="-2"/>
                <w:sz w:val="24"/>
              </w:rPr>
              <w:t> </w:t>
            </w:r>
            <w:r>
              <w:rPr>
                <w:spacing w:val="-4"/>
                <w:sz w:val="24"/>
              </w:rPr>
              <w:t>Cost</w:t>
            </w:r>
          </w:p>
        </w:tc>
        <w:tc>
          <w:tcPr>
            <w:tcW w:w="1328"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3.3597</w:t>
            </w:r>
          </w:p>
        </w:tc>
        <w:tc>
          <w:tcPr>
            <w:tcW w:w="1170" w:type="dxa"/>
            <w:tcBorders>
              <w:left w:val="single" w:sz="4" w:space="0" w:color="000000"/>
            </w:tcBorders>
            <w:shd w:val="clear" w:color="auto" w:fill="D5DCE4"/>
          </w:tcPr>
          <w:p>
            <w:pPr>
              <w:pStyle w:val="TableParagraph"/>
              <w:spacing w:line="268" w:lineRule="exact"/>
              <w:ind w:left="98"/>
              <w:rPr>
                <w:sz w:val="24"/>
              </w:rPr>
            </w:pPr>
            <w:r>
              <w:rPr>
                <w:spacing w:val="-2"/>
                <w:sz w:val="24"/>
              </w:rPr>
              <w:t>1.44867</w:t>
            </w:r>
          </w:p>
        </w:tc>
      </w:tr>
      <w:tr>
        <w:trPr>
          <w:trHeight w:val="552" w:hRule="atLeast"/>
        </w:trPr>
        <w:tc>
          <w:tcPr>
            <w:tcW w:w="605" w:type="dxa"/>
            <w:tcBorders>
              <w:right w:val="single" w:sz="4" w:space="0" w:color="000000"/>
            </w:tcBorders>
          </w:tcPr>
          <w:p>
            <w:pPr>
              <w:pStyle w:val="TableParagraph"/>
              <w:spacing w:line="268" w:lineRule="exact"/>
              <w:ind w:left="122"/>
              <w:rPr>
                <w:sz w:val="24"/>
              </w:rPr>
            </w:pPr>
            <w:r>
              <w:rPr>
                <w:spacing w:val="-10"/>
                <w:sz w:val="24"/>
              </w:rPr>
              <w:t>7</w:t>
            </w:r>
          </w:p>
        </w:tc>
        <w:tc>
          <w:tcPr>
            <w:tcW w:w="6387" w:type="dxa"/>
            <w:tcBorders>
              <w:left w:val="single" w:sz="4" w:space="0" w:color="000000"/>
              <w:right w:val="single" w:sz="4" w:space="0" w:color="000000"/>
            </w:tcBorders>
          </w:tcPr>
          <w:p>
            <w:pPr>
              <w:pStyle w:val="TableParagraph"/>
              <w:spacing w:line="268" w:lineRule="exact"/>
              <w:ind w:left="102"/>
              <w:rPr>
                <w:sz w:val="24"/>
              </w:rPr>
            </w:pPr>
            <w:r>
              <w:rPr>
                <w:sz w:val="24"/>
              </w:rPr>
              <w:t>Government</w:t>
            </w:r>
            <w:r>
              <w:rPr>
                <w:spacing w:val="-2"/>
                <w:sz w:val="24"/>
              </w:rPr>
              <w:t> </w:t>
            </w:r>
            <w:r>
              <w:rPr>
                <w:sz w:val="24"/>
              </w:rPr>
              <w:t>new</w:t>
            </w:r>
            <w:r>
              <w:rPr>
                <w:spacing w:val="-2"/>
                <w:sz w:val="24"/>
              </w:rPr>
              <w:t> policies</w:t>
            </w:r>
          </w:p>
        </w:tc>
        <w:tc>
          <w:tcPr>
            <w:tcW w:w="1328" w:type="dxa"/>
            <w:tcBorders>
              <w:left w:val="single" w:sz="4" w:space="0" w:color="000000"/>
              <w:right w:val="single" w:sz="4" w:space="0" w:color="000000"/>
            </w:tcBorders>
          </w:tcPr>
          <w:p>
            <w:pPr>
              <w:pStyle w:val="TableParagraph"/>
              <w:spacing w:line="268" w:lineRule="exact"/>
              <w:ind w:left="102"/>
              <w:rPr>
                <w:sz w:val="24"/>
              </w:rPr>
            </w:pPr>
            <w:r>
              <w:rPr>
                <w:spacing w:val="-2"/>
                <w:sz w:val="24"/>
              </w:rPr>
              <w:t>3.4488</w:t>
            </w:r>
          </w:p>
        </w:tc>
        <w:tc>
          <w:tcPr>
            <w:tcW w:w="1170" w:type="dxa"/>
            <w:tcBorders>
              <w:left w:val="single" w:sz="4" w:space="0" w:color="000000"/>
            </w:tcBorders>
          </w:tcPr>
          <w:p>
            <w:pPr>
              <w:pStyle w:val="TableParagraph"/>
              <w:spacing w:line="268" w:lineRule="exact"/>
              <w:ind w:left="98"/>
              <w:rPr>
                <w:sz w:val="24"/>
              </w:rPr>
            </w:pPr>
            <w:r>
              <w:rPr>
                <w:spacing w:val="-2"/>
                <w:sz w:val="24"/>
              </w:rPr>
              <w:t>1.38936</w:t>
            </w:r>
          </w:p>
        </w:tc>
      </w:tr>
      <w:tr>
        <w:trPr>
          <w:trHeight w:val="552" w:hRule="atLeast"/>
        </w:trPr>
        <w:tc>
          <w:tcPr>
            <w:tcW w:w="605" w:type="dxa"/>
            <w:tcBorders>
              <w:right w:val="single" w:sz="4" w:space="0" w:color="000000"/>
            </w:tcBorders>
            <w:shd w:val="clear" w:color="auto" w:fill="D5DCE4"/>
          </w:tcPr>
          <w:p>
            <w:pPr>
              <w:pStyle w:val="TableParagraph"/>
              <w:spacing w:line="268" w:lineRule="exact"/>
              <w:ind w:left="122"/>
              <w:rPr>
                <w:sz w:val="24"/>
              </w:rPr>
            </w:pPr>
            <w:r>
              <w:rPr>
                <w:spacing w:val="-10"/>
                <w:sz w:val="24"/>
              </w:rPr>
              <w:t>8</w:t>
            </w:r>
          </w:p>
        </w:tc>
        <w:tc>
          <w:tcPr>
            <w:tcW w:w="6387"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z w:val="24"/>
              </w:rPr>
              <w:t>Regional</w:t>
            </w:r>
            <w:r>
              <w:rPr>
                <w:spacing w:val="-3"/>
                <w:sz w:val="24"/>
              </w:rPr>
              <w:t> </w:t>
            </w:r>
            <w:r>
              <w:rPr>
                <w:sz w:val="24"/>
              </w:rPr>
              <w:t>peace</w:t>
            </w:r>
            <w:r>
              <w:rPr>
                <w:spacing w:val="-2"/>
                <w:sz w:val="24"/>
              </w:rPr>
              <w:t> process</w:t>
            </w:r>
          </w:p>
        </w:tc>
        <w:tc>
          <w:tcPr>
            <w:tcW w:w="1328" w:type="dxa"/>
            <w:tcBorders>
              <w:left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3.4488</w:t>
            </w:r>
          </w:p>
        </w:tc>
        <w:tc>
          <w:tcPr>
            <w:tcW w:w="1170" w:type="dxa"/>
            <w:tcBorders>
              <w:left w:val="single" w:sz="4" w:space="0" w:color="000000"/>
            </w:tcBorders>
            <w:shd w:val="clear" w:color="auto" w:fill="D5DCE4"/>
          </w:tcPr>
          <w:p>
            <w:pPr>
              <w:pStyle w:val="TableParagraph"/>
              <w:spacing w:line="268" w:lineRule="exact"/>
              <w:ind w:left="98"/>
              <w:rPr>
                <w:sz w:val="24"/>
              </w:rPr>
            </w:pPr>
            <w:r>
              <w:rPr>
                <w:spacing w:val="-2"/>
                <w:sz w:val="24"/>
              </w:rPr>
              <w:t>1.37016</w:t>
            </w:r>
          </w:p>
        </w:tc>
      </w:tr>
      <w:tr>
        <w:trPr>
          <w:trHeight w:val="549" w:hRule="atLeast"/>
        </w:trPr>
        <w:tc>
          <w:tcPr>
            <w:tcW w:w="605" w:type="dxa"/>
            <w:tcBorders>
              <w:right w:val="single" w:sz="4" w:space="0" w:color="000000"/>
            </w:tcBorders>
          </w:tcPr>
          <w:p>
            <w:pPr>
              <w:pStyle w:val="TableParagraph"/>
              <w:spacing w:line="268" w:lineRule="exact"/>
              <w:ind w:left="122"/>
              <w:rPr>
                <w:sz w:val="24"/>
              </w:rPr>
            </w:pPr>
            <w:r>
              <w:rPr>
                <w:spacing w:val="-10"/>
                <w:sz w:val="24"/>
              </w:rPr>
              <w:t>9</w:t>
            </w:r>
          </w:p>
        </w:tc>
        <w:tc>
          <w:tcPr>
            <w:tcW w:w="6387" w:type="dxa"/>
            <w:tcBorders>
              <w:left w:val="single" w:sz="4" w:space="0" w:color="000000"/>
              <w:right w:val="single" w:sz="4" w:space="0" w:color="000000"/>
            </w:tcBorders>
          </w:tcPr>
          <w:p>
            <w:pPr>
              <w:pStyle w:val="TableParagraph"/>
              <w:spacing w:line="268" w:lineRule="exact"/>
              <w:ind w:left="102"/>
              <w:rPr>
                <w:sz w:val="24"/>
              </w:rPr>
            </w:pPr>
            <w:r>
              <w:rPr>
                <w:sz w:val="24"/>
              </w:rPr>
              <w:t>High</w:t>
            </w:r>
            <w:r>
              <w:rPr>
                <w:spacing w:val="-1"/>
                <w:sz w:val="24"/>
              </w:rPr>
              <w:t> </w:t>
            </w:r>
            <w:r>
              <w:rPr>
                <w:sz w:val="24"/>
              </w:rPr>
              <w:t>speed</w:t>
            </w:r>
            <w:r>
              <w:rPr>
                <w:spacing w:val="-1"/>
                <w:sz w:val="24"/>
              </w:rPr>
              <w:t> </w:t>
            </w:r>
            <w:r>
              <w:rPr>
                <w:sz w:val="24"/>
              </w:rPr>
              <w:t>of</w:t>
            </w:r>
            <w:r>
              <w:rPr>
                <w:spacing w:val="-2"/>
                <w:sz w:val="24"/>
              </w:rPr>
              <w:t> </w:t>
            </w:r>
            <w:r>
              <w:rPr>
                <w:sz w:val="24"/>
              </w:rPr>
              <w:t>construction</w:t>
            </w:r>
            <w:r>
              <w:rPr>
                <w:spacing w:val="-1"/>
                <w:sz w:val="24"/>
              </w:rPr>
              <w:t> </w:t>
            </w:r>
            <w:r>
              <w:rPr>
                <w:sz w:val="24"/>
              </w:rPr>
              <w:t>industry</w:t>
            </w:r>
            <w:r>
              <w:rPr>
                <w:spacing w:val="-5"/>
                <w:sz w:val="24"/>
              </w:rPr>
              <w:t> </w:t>
            </w:r>
            <w:r>
              <w:rPr>
                <w:spacing w:val="-2"/>
                <w:sz w:val="24"/>
              </w:rPr>
              <w:t>development</w:t>
            </w:r>
          </w:p>
        </w:tc>
        <w:tc>
          <w:tcPr>
            <w:tcW w:w="1328" w:type="dxa"/>
            <w:tcBorders>
              <w:left w:val="single" w:sz="4" w:space="0" w:color="000000"/>
              <w:right w:val="single" w:sz="4" w:space="0" w:color="000000"/>
            </w:tcBorders>
          </w:tcPr>
          <w:p>
            <w:pPr>
              <w:pStyle w:val="TableParagraph"/>
              <w:spacing w:line="268" w:lineRule="exact"/>
              <w:ind w:left="102"/>
              <w:rPr>
                <w:sz w:val="24"/>
              </w:rPr>
            </w:pPr>
            <w:r>
              <w:rPr>
                <w:spacing w:val="-2"/>
                <w:sz w:val="24"/>
              </w:rPr>
              <w:t>3.5281</w:t>
            </w:r>
          </w:p>
        </w:tc>
        <w:tc>
          <w:tcPr>
            <w:tcW w:w="1170" w:type="dxa"/>
            <w:tcBorders>
              <w:left w:val="single" w:sz="4" w:space="0" w:color="000000"/>
            </w:tcBorders>
          </w:tcPr>
          <w:p>
            <w:pPr>
              <w:pStyle w:val="TableParagraph"/>
              <w:spacing w:line="268" w:lineRule="exact"/>
              <w:ind w:left="98"/>
              <w:rPr>
                <w:sz w:val="24"/>
              </w:rPr>
            </w:pPr>
            <w:r>
              <w:rPr>
                <w:spacing w:val="-2"/>
                <w:sz w:val="24"/>
              </w:rPr>
              <w:t>1.42298</w:t>
            </w:r>
          </w:p>
        </w:tc>
      </w:tr>
      <w:tr>
        <w:trPr>
          <w:trHeight w:val="554" w:hRule="atLeast"/>
        </w:trPr>
        <w:tc>
          <w:tcPr>
            <w:tcW w:w="605" w:type="dxa"/>
            <w:tcBorders>
              <w:bottom w:val="single" w:sz="4" w:space="0" w:color="000000"/>
              <w:right w:val="single" w:sz="4" w:space="0" w:color="000000"/>
            </w:tcBorders>
            <w:shd w:val="clear" w:color="auto" w:fill="D5DCE4"/>
          </w:tcPr>
          <w:p>
            <w:pPr>
              <w:pStyle w:val="TableParagraph"/>
              <w:spacing w:line="268" w:lineRule="exact"/>
              <w:ind w:left="122"/>
              <w:rPr>
                <w:sz w:val="24"/>
              </w:rPr>
            </w:pPr>
            <w:r>
              <w:rPr>
                <w:spacing w:val="-5"/>
                <w:sz w:val="24"/>
              </w:rPr>
              <w:t>10</w:t>
            </w:r>
          </w:p>
        </w:tc>
        <w:tc>
          <w:tcPr>
            <w:tcW w:w="6387" w:type="dxa"/>
            <w:tcBorders>
              <w:left w:val="single" w:sz="4" w:space="0" w:color="000000"/>
              <w:bottom w:val="single" w:sz="4" w:space="0" w:color="000000"/>
              <w:right w:val="single" w:sz="4" w:space="0" w:color="000000"/>
            </w:tcBorders>
            <w:shd w:val="clear" w:color="auto" w:fill="D5DCE4"/>
          </w:tcPr>
          <w:p>
            <w:pPr>
              <w:pStyle w:val="TableParagraph"/>
              <w:spacing w:line="268" w:lineRule="exact"/>
              <w:ind w:left="102"/>
              <w:rPr>
                <w:sz w:val="24"/>
              </w:rPr>
            </w:pPr>
            <w:r>
              <w:rPr>
                <w:sz w:val="24"/>
              </w:rPr>
              <w:t>New</w:t>
            </w:r>
            <w:r>
              <w:rPr>
                <w:spacing w:val="-5"/>
                <w:sz w:val="24"/>
              </w:rPr>
              <w:t> </w:t>
            </w:r>
            <w:r>
              <w:rPr>
                <w:sz w:val="24"/>
              </w:rPr>
              <w:t>business</w:t>
            </w:r>
            <w:r>
              <w:rPr>
                <w:spacing w:val="-2"/>
                <w:sz w:val="24"/>
              </w:rPr>
              <w:t> </w:t>
            </w:r>
            <w:r>
              <w:rPr>
                <w:sz w:val="24"/>
              </w:rPr>
              <w:t>technologies</w:t>
            </w:r>
            <w:r>
              <w:rPr>
                <w:spacing w:val="-2"/>
                <w:sz w:val="24"/>
              </w:rPr>
              <w:t> </w:t>
            </w:r>
            <w:r>
              <w:rPr>
                <w:sz w:val="24"/>
              </w:rPr>
              <w:t>(e.g.</w:t>
            </w:r>
            <w:r>
              <w:rPr>
                <w:spacing w:val="-2"/>
                <w:sz w:val="24"/>
              </w:rPr>
              <w:t> </w:t>
            </w:r>
            <w:r>
              <w:rPr>
                <w:sz w:val="24"/>
              </w:rPr>
              <w:t>mobile/</w:t>
            </w:r>
            <w:r>
              <w:rPr>
                <w:spacing w:val="-2"/>
                <w:sz w:val="24"/>
              </w:rPr>
              <w:t> </w:t>
            </w:r>
            <w:r>
              <w:rPr>
                <w:sz w:val="24"/>
              </w:rPr>
              <w:t>tablet</w:t>
            </w:r>
            <w:r>
              <w:rPr>
                <w:spacing w:val="-1"/>
                <w:sz w:val="24"/>
              </w:rPr>
              <w:t> </w:t>
            </w:r>
            <w:r>
              <w:rPr>
                <w:spacing w:val="-2"/>
                <w:sz w:val="24"/>
              </w:rPr>
              <w:t>computing)</w:t>
            </w:r>
          </w:p>
        </w:tc>
        <w:tc>
          <w:tcPr>
            <w:tcW w:w="1328" w:type="dxa"/>
            <w:tcBorders>
              <w:left w:val="single" w:sz="4" w:space="0" w:color="000000"/>
              <w:bottom w:val="single" w:sz="4" w:space="0" w:color="000000"/>
              <w:right w:val="single" w:sz="4" w:space="0" w:color="000000"/>
            </w:tcBorders>
            <w:shd w:val="clear" w:color="auto" w:fill="D5DCE4"/>
          </w:tcPr>
          <w:p>
            <w:pPr>
              <w:pStyle w:val="TableParagraph"/>
              <w:spacing w:line="268" w:lineRule="exact"/>
              <w:ind w:left="102"/>
              <w:rPr>
                <w:sz w:val="24"/>
              </w:rPr>
            </w:pPr>
            <w:r>
              <w:rPr>
                <w:spacing w:val="-2"/>
                <w:sz w:val="24"/>
              </w:rPr>
              <w:t>3.7228</w:t>
            </w:r>
          </w:p>
        </w:tc>
        <w:tc>
          <w:tcPr>
            <w:tcW w:w="1170" w:type="dxa"/>
            <w:tcBorders>
              <w:left w:val="single" w:sz="4" w:space="0" w:color="000000"/>
              <w:bottom w:val="single" w:sz="4" w:space="0" w:color="000000"/>
            </w:tcBorders>
            <w:shd w:val="clear" w:color="auto" w:fill="D5DCE4"/>
          </w:tcPr>
          <w:p>
            <w:pPr>
              <w:pStyle w:val="TableParagraph"/>
              <w:spacing w:line="268" w:lineRule="exact"/>
              <w:ind w:left="98"/>
              <w:rPr>
                <w:sz w:val="24"/>
              </w:rPr>
            </w:pPr>
            <w:r>
              <w:rPr>
                <w:spacing w:val="-2"/>
                <w:sz w:val="24"/>
              </w:rPr>
              <w:t>1.37710</w:t>
            </w:r>
          </w:p>
        </w:tc>
      </w:tr>
    </w:tbl>
    <w:p>
      <w:pPr>
        <w:spacing w:before="1"/>
        <w:ind w:left="400" w:right="0" w:firstLine="0"/>
        <w:jc w:val="both"/>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3"/>
          <w:sz w:val="24"/>
        </w:rPr>
        <w:t> </w:t>
      </w:r>
      <w:r>
        <w:rPr>
          <w:b/>
          <w:sz w:val="24"/>
        </w:rPr>
        <w:t>survey</w:t>
      </w:r>
      <w:r>
        <w:rPr>
          <w:b/>
          <w:spacing w:val="-2"/>
          <w:sz w:val="24"/>
        </w:rPr>
        <w:t> (2018)</w:t>
      </w:r>
    </w:p>
    <w:p>
      <w:pPr>
        <w:pStyle w:val="BodyText"/>
        <w:spacing w:before="271"/>
        <w:rPr>
          <w:b/>
        </w:rPr>
      </w:pPr>
    </w:p>
    <w:p>
      <w:pPr>
        <w:pStyle w:val="BodyText"/>
        <w:spacing w:line="480" w:lineRule="auto"/>
        <w:ind w:left="399" w:right="1318"/>
        <w:jc w:val="both"/>
      </w:pPr>
      <w:r>
        <w:rPr/>
        <w:t>As the Table 5.9</w:t>
      </w:r>
      <w:r>
        <w:rPr>
          <w:spacing w:val="40"/>
        </w:rPr>
        <w:t> </w:t>
      </w:r>
      <w:r>
        <w:rPr/>
        <w:t>illustrates, the statement relating to strength of the small and medium firms, Small start-up and operating capital</w:t>
      </w:r>
      <w:r>
        <w:rPr>
          <w:spacing w:val="40"/>
        </w:rPr>
        <w:t> </w:t>
      </w:r>
      <w:r>
        <w:rPr/>
        <w:t>had the highest mean score (</w:t>
      </w:r>
      <w:r>
        <w:rPr>
          <w:i/>
        </w:rPr>
        <w:t>M= </w:t>
      </w:r>
      <w:r>
        <w:rPr/>
        <w:t>3.84, </w:t>
      </w:r>
      <w:r>
        <w:rPr>
          <w:i/>
        </w:rPr>
        <w:t>S.D. =</w:t>
      </w:r>
      <w:r>
        <w:rPr/>
        <w:t>1.343). This implies</w:t>
      </w:r>
      <w:r>
        <w:rPr>
          <w:spacing w:val="1"/>
        </w:rPr>
        <w:t> </w:t>
      </w:r>
      <w:r>
        <w:rPr/>
        <w:t>that this</w:t>
      </w:r>
      <w:r>
        <w:rPr>
          <w:spacing w:val="1"/>
        </w:rPr>
        <w:t> </w:t>
      </w:r>
      <w:r>
        <w:rPr/>
        <w:t>is</w:t>
      </w:r>
      <w:r>
        <w:rPr>
          <w:spacing w:val="3"/>
        </w:rPr>
        <w:t> </w:t>
      </w:r>
      <w:r>
        <w:rPr/>
        <w:t>the statement</w:t>
      </w:r>
      <w:r>
        <w:rPr>
          <w:spacing w:val="3"/>
        </w:rPr>
        <w:t> </w:t>
      </w:r>
      <w:r>
        <w:rPr/>
        <w:t>that</w:t>
      </w:r>
      <w:r>
        <w:rPr>
          <w:spacing w:val="3"/>
        </w:rPr>
        <w:t> </w:t>
      </w:r>
      <w:r>
        <w:rPr/>
        <w:t>had</w:t>
      </w:r>
      <w:r>
        <w:rPr>
          <w:spacing w:val="3"/>
        </w:rPr>
        <w:t> </w:t>
      </w:r>
      <w:r>
        <w:rPr/>
        <w:t>the</w:t>
      </w:r>
      <w:r>
        <w:rPr>
          <w:spacing w:val="1"/>
        </w:rPr>
        <w:t> </w:t>
      </w:r>
      <w:r>
        <w:rPr/>
        <w:t>highest</w:t>
      </w:r>
      <w:r>
        <w:rPr>
          <w:spacing w:val="4"/>
        </w:rPr>
        <w:t> </w:t>
      </w:r>
      <w:r>
        <w:rPr/>
        <w:t>level</w:t>
      </w:r>
      <w:r>
        <w:rPr>
          <w:spacing w:val="3"/>
        </w:rPr>
        <w:t> </w:t>
      </w:r>
      <w:r>
        <w:rPr/>
        <w:t>of</w:t>
      </w:r>
      <w:r>
        <w:rPr>
          <w:spacing w:val="2"/>
        </w:rPr>
        <w:t> </w:t>
      </w:r>
      <w:r>
        <w:rPr/>
        <w:t>agreement</w:t>
      </w:r>
      <w:r>
        <w:rPr>
          <w:spacing w:val="4"/>
        </w:rPr>
        <w:t> </w:t>
      </w:r>
      <w:r>
        <w:rPr/>
        <w:t>among participants.</w:t>
      </w:r>
      <w:r>
        <w:rPr>
          <w:spacing w:val="3"/>
        </w:rPr>
        <w:t> </w:t>
      </w:r>
      <w:r>
        <w:rPr>
          <w:spacing w:val="-4"/>
        </w:rPr>
        <w:t>This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result is consistent with the study by Mukras (2003),who said that SMEs in Nigeria are characterized by high labour intensity, ease Locational Flexibility was ranked second with mean score (</w:t>
      </w:r>
      <w:r>
        <w:rPr>
          <w:i/>
        </w:rPr>
        <w:t>M= </w:t>
      </w:r>
      <w:r>
        <w:rPr/>
        <w:t>3.79, </w:t>
      </w:r>
      <w:r>
        <w:rPr>
          <w:i/>
        </w:rPr>
        <w:t>S.D. =</w:t>
      </w:r>
      <w:r>
        <w:rPr/>
        <w:t>1.406) The least ranked was high return on invested on successful project with mean score (</w:t>
      </w:r>
      <w:r>
        <w:rPr>
          <w:i/>
        </w:rPr>
        <w:t>M= </w:t>
      </w:r>
      <w:r>
        <w:rPr/>
        <w:t>3.30, </w:t>
      </w:r>
      <w:r>
        <w:rPr>
          <w:i/>
        </w:rPr>
        <w:t>S.D. =</w:t>
      </w:r>
      <w:r>
        <w:rPr/>
        <w:t>1.421).</w:t>
      </w:r>
    </w:p>
    <w:p>
      <w:pPr>
        <w:pStyle w:val="BodyText"/>
        <w:spacing w:line="480" w:lineRule="auto" w:before="161"/>
        <w:ind w:left="400" w:right="1317" w:firstLine="120"/>
        <w:jc w:val="both"/>
      </w:pPr>
      <w:r>
        <w:rPr/>
        <w:t>On the other hand the statement concerning the opportunity was analysed, it was discovered</w:t>
      </w:r>
      <w:r>
        <w:rPr>
          <w:spacing w:val="40"/>
        </w:rPr>
        <w:t> </w:t>
      </w:r>
      <w:r>
        <w:rPr/>
        <w:t>that the statement with the highest mean is new business technologies.</w:t>
      </w:r>
      <w:r>
        <w:rPr>
          <w:spacing w:val="40"/>
        </w:rPr>
        <w:t> </w:t>
      </w:r>
      <w:r>
        <w:rPr/>
        <w:t>No wonder according</w:t>
      </w:r>
      <w:r>
        <w:rPr>
          <w:spacing w:val="40"/>
        </w:rPr>
        <w:t> </w:t>
      </w:r>
      <w:r>
        <w:rPr/>
        <w:t>to Schubert</w:t>
      </w:r>
      <w:r>
        <w:rPr>
          <w:spacing w:val="40"/>
        </w:rPr>
        <w:t> </w:t>
      </w:r>
      <w:r>
        <w:rPr/>
        <w:t>and</w:t>
      </w:r>
      <w:r>
        <w:rPr>
          <w:spacing w:val="40"/>
        </w:rPr>
        <w:t> </w:t>
      </w:r>
      <w:r>
        <w:rPr/>
        <w:t>Leimstoll</w:t>
      </w:r>
      <w:r>
        <w:rPr>
          <w:spacing w:val="40"/>
        </w:rPr>
        <w:t> </w:t>
      </w:r>
      <w:r>
        <w:rPr/>
        <w:t>(2007),</w:t>
      </w:r>
      <w:r>
        <w:rPr>
          <w:spacing w:val="40"/>
        </w:rPr>
        <w:t> </w:t>
      </w:r>
      <w:r>
        <w:rPr/>
        <w:t>though Porter’s and Millar’s theories disagree on the issue of ICT (technologies) to SMEs, they both agree that</w:t>
      </w:r>
      <w:r>
        <w:rPr>
          <w:spacing w:val="40"/>
        </w:rPr>
        <w:t> </w:t>
      </w:r>
      <w:r>
        <w:rPr/>
        <w:t>competitiveness</w:t>
      </w:r>
      <w:r>
        <w:rPr>
          <w:spacing w:val="40"/>
        </w:rPr>
        <w:t> </w:t>
      </w:r>
      <w:r>
        <w:rPr/>
        <w:t>of</w:t>
      </w:r>
      <w:r>
        <w:rPr>
          <w:spacing w:val="40"/>
        </w:rPr>
        <w:t> </w:t>
      </w:r>
      <w:r>
        <w:rPr/>
        <w:t>an</w:t>
      </w:r>
      <w:r>
        <w:rPr>
          <w:spacing w:val="40"/>
        </w:rPr>
        <w:t> </w:t>
      </w:r>
      <w:r>
        <w:rPr/>
        <w:t>SME depends on the ways in which technologies are used to support</w:t>
      </w:r>
      <w:r>
        <w:rPr>
          <w:spacing w:val="40"/>
        </w:rPr>
        <w:t> </w:t>
      </w:r>
      <w:r>
        <w:rPr/>
        <w:t>business</w:t>
      </w:r>
      <w:r>
        <w:rPr>
          <w:spacing w:val="40"/>
        </w:rPr>
        <w:t> </w:t>
      </w:r>
      <w:r>
        <w:rPr/>
        <w:t>processes. The next ranked is high speed</w:t>
      </w:r>
      <w:r>
        <w:rPr>
          <w:spacing w:val="-2"/>
        </w:rPr>
        <w:t> </w:t>
      </w:r>
      <w:r>
        <w:rPr/>
        <w:t>of</w:t>
      </w:r>
      <w:r>
        <w:rPr>
          <w:spacing w:val="-1"/>
        </w:rPr>
        <w:t> </w:t>
      </w:r>
      <w:r>
        <w:rPr/>
        <w:t>construction</w:t>
      </w:r>
      <w:r>
        <w:rPr>
          <w:spacing w:val="-2"/>
        </w:rPr>
        <w:t> </w:t>
      </w:r>
      <w:r>
        <w:rPr/>
        <w:t>industry</w:t>
      </w:r>
      <w:r>
        <w:rPr>
          <w:spacing w:val="-7"/>
        </w:rPr>
        <w:t> </w:t>
      </w:r>
      <w:r>
        <w:rPr/>
        <w:t>development</w:t>
      </w:r>
      <w:r>
        <w:rPr>
          <w:spacing w:val="-2"/>
        </w:rPr>
        <w:t> </w:t>
      </w:r>
      <w:r>
        <w:rPr/>
        <w:t>with</w:t>
      </w:r>
      <w:r>
        <w:rPr>
          <w:spacing w:val="-1"/>
        </w:rPr>
        <w:t> </w:t>
      </w:r>
      <w:r>
        <w:rPr/>
        <w:t>a</w:t>
      </w:r>
      <w:r>
        <w:rPr>
          <w:spacing w:val="-1"/>
        </w:rPr>
        <w:t> </w:t>
      </w:r>
      <w:r>
        <w:rPr/>
        <w:t>mean</w:t>
      </w:r>
      <w:r>
        <w:rPr>
          <w:spacing w:val="-2"/>
        </w:rPr>
        <w:t> </w:t>
      </w:r>
      <w:r>
        <w:rPr/>
        <w:t>score</w:t>
      </w:r>
      <w:r>
        <w:rPr>
          <w:spacing w:val="-1"/>
        </w:rPr>
        <w:t> </w:t>
      </w:r>
      <w:r>
        <w:rPr/>
        <w:t>(</w:t>
      </w:r>
      <w:r>
        <w:rPr>
          <w:i/>
        </w:rPr>
        <w:t>M=</w:t>
      </w:r>
      <w:r>
        <w:rPr>
          <w:i/>
          <w:spacing w:val="-4"/>
        </w:rPr>
        <w:t> </w:t>
      </w:r>
      <w:r>
        <w:rPr/>
        <w:t>3.53,</w:t>
      </w:r>
      <w:r>
        <w:rPr>
          <w:spacing w:val="-2"/>
        </w:rPr>
        <w:t> </w:t>
      </w:r>
      <w:r>
        <w:rPr>
          <w:i/>
        </w:rPr>
        <w:t>S.D.</w:t>
      </w:r>
      <w:r>
        <w:rPr>
          <w:i/>
          <w:spacing w:val="-2"/>
        </w:rPr>
        <w:t> </w:t>
      </w:r>
      <w:r>
        <w:rPr>
          <w:i/>
        </w:rPr>
        <w:t>=</w:t>
      </w:r>
      <w:r>
        <w:rPr/>
        <w:t>1.423).</w:t>
      </w:r>
      <w:r>
        <w:rPr>
          <w:spacing w:val="-1"/>
        </w:rPr>
        <w:t> </w:t>
      </w:r>
      <w:r>
        <w:rPr/>
        <w:t>The</w:t>
      </w:r>
      <w:r>
        <w:rPr>
          <w:spacing w:val="-1"/>
        </w:rPr>
        <w:t> </w:t>
      </w:r>
      <w:r>
        <w:rPr/>
        <w:t>least ranked was low labour cost with a mean score (</w:t>
      </w:r>
      <w:r>
        <w:rPr>
          <w:i/>
        </w:rPr>
        <w:t>M= </w:t>
      </w:r>
      <w:r>
        <w:rPr/>
        <w:t>3.36, </w:t>
      </w:r>
      <w:r>
        <w:rPr>
          <w:i/>
        </w:rPr>
        <w:t>S.D. =</w:t>
      </w:r>
      <w:r>
        <w:rPr/>
        <w:t>1.449).</w:t>
      </w:r>
    </w:p>
    <w:p>
      <w:pPr>
        <w:pStyle w:val="Heading2"/>
        <w:spacing w:before="209"/>
      </w:pPr>
      <w:r>
        <w:rPr/>
        <w:t>Table</w:t>
      </w:r>
      <w:r>
        <w:rPr>
          <w:spacing w:val="-5"/>
        </w:rPr>
        <w:t> </w:t>
      </w:r>
      <w:r>
        <w:rPr/>
        <w:t>5.10.</w:t>
      </w:r>
      <w:r>
        <w:rPr>
          <w:spacing w:val="-2"/>
        </w:rPr>
        <w:t> </w:t>
      </w:r>
      <w:r>
        <w:rPr/>
        <w:t>Average</w:t>
      </w:r>
      <w:r>
        <w:rPr>
          <w:spacing w:val="-2"/>
        </w:rPr>
        <w:t> </w:t>
      </w:r>
      <w:r>
        <w:rPr/>
        <w:t>Agreement</w:t>
      </w:r>
      <w:r>
        <w:rPr>
          <w:spacing w:val="-3"/>
        </w:rPr>
        <w:t> </w:t>
      </w:r>
      <w:r>
        <w:rPr/>
        <w:t>with</w:t>
      </w:r>
      <w:r>
        <w:rPr>
          <w:spacing w:val="-1"/>
        </w:rPr>
        <w:t> </w:t>
      </w:r>
      <w:r>
        <w:rPr/>
        <w:t>Statements</w:t>
      </w:r>
      <w:r>
        <w:rPr>
          <w:spacing w:val="-2"/>
        </w:rPr>
        <w:t> </w:t>
      </w:r>
      <w:r>
        <w:rPr/>
        <w:t>Relating</w:t>
      </w:r>
      <w:r>
        <w:rPr>
          <w:spacing w:val="-2"/>
        </w:rPr>
        <w:t> </w:t>
      </w:r>
      <w:r>
        <w:rPr/>
        <w:t>to</w:t>
      </w:r>
      <w:r>
        <w:rPr>
          <w:spacing w:val="-1"/>
        </w:rPr>
        <w:t> </w:t>
      </w:r>
      <w:r>
        <w:rPr/>
        <w:t>Weakness</w:t>
      </w:r>
      <w:r>
        <w:rPr>
          <w:spacing w:val="-2"/>
        </w:rPr>
        <w:t> </w:t>
      </w:r>
      <w:r>
        <w:rPr/>
        <w:t>and</w:t>
      </w:r>
      <w:r>
        <w:rPr>
          <w:spacing w:val="-1"/>
        </w:rPr>
        <w:t> </w:t>
      </w:r>
      <w:r>
        <w:rPr>
          <w:spacing w:val="-2"/>
        </w:rPr>
        <w:t>Threats</w:t>
      </w:r>
    </w:p>
    <w:p>
      <w:pPr>
        <w:pStyle w:val="BodyText"/>
        <w:spacing w:before="197" w:after="1"/>
        <w:rPr>
          <w:b/>
          <w:sz w:val="20"/>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1"/>
        <w:gridCol w:w="5967"/>
        <w:gridCol w:w="1745"/>
        <w:gridCol w:w="1172"/>
      </w:tblGrid>
      <w:tr>
        <w:trPr>
          <w:trHeight w:val="403" w:hRule="atLeast"/>
        </w:trPr>
        <w:tc>
          <w:tcPr>
            <w:tcW w:w="591" w:type="dxa"/>
          </w:tcPr>
          <w:p>
            <w:pPr>
              <w:pStyle w:val="TableParagraph"/>
              <w:spacing w:line="266" w:lineRule="exact"/>
              <w:ind w:left="108"/>
              <w:rPr>
                <w:b/>
                <w:sz w:val="24"/>
              </w:rPr>
            </w:pPr>
            <w:r>
              <w:rPr>
                <w:b/>
                <w:spacing w:val="-5"/>
                <w:sz w:val="24"/>
              </w:rPr>
              <w:t>S/N</w:t>
            </w:r>
          </w:p>
        </w:tc>
        <w:tc>
          <w:tcPr>
            <w:tcW w:w="5967" w:type="dxa"/>
          </w:tcPr>
          <w:p>
            <w:pPr>
              <w:pStyle w:val="TableParagraph"/>
              <w:spacing w:line="266" w:lineRule="exact"/>
              <w:ind w:left="107"/>
              <w:rPr>
                <w:b/>
                <w:sz w:val="24"/>
              </w:rPr>
            </w:pPr>
            <w:r>
              <w:rPr>
                <w:b/>
                <w:spacing w:val="-2"/>
                <w:sz w:val="24"/>
                <w:u w:val="single"/>
              </w:rPr>
              <w:t>Weakness</w:t>
            </w:r>
          </w:p>
        </w:tc>
        <w:tc>
          <w:tcPr>
            <w:tcW w:w="1745" w:type="dxa"/>
          </w:tcPr>
          <w:p>
            <w:pPr>
              <w:pStyle w:val="TableParagraph"/>
              <w:spacing w:line="266" w:lineRule="exact"/>
              <w:ind w:left="526"/>
              <w:rPr>
                <w:b/>
                <w:sz w:val="24"/>
              </w:rPr>
            </w:pPr>
            <w:r>
              <w:rPr>
                <w:b/>
                <w:spacing w:val="-4"/>
                <w:sz w:val="24"/>
              </w:rPr>
              <w:t>Mean</w:t>
            </w:r>
          </w:p>
        </w:tc>
        <w:tc>
          <w:tcPr>
            <w:tcW w:w="1172" w:type="dxa"/>
          </w:tcPr>
          <w:p>
            <w:pPr>
              <w:pStyle w:val="TableParagraph"/>
              <w:spacing w:line="266" w:lineRule="exact"/>
              <w:ind w:left="106"/>
              <w:rPr>
                <w:b/>
                <w:sz w:val="24"/>
              </w:rPr>
            </w:pPr>
            <w:r>
              <w:rPr>
                <w:b/>
                <w:spacing w:val="-4"/>
                <w:sz w:val="24"/>
              </w:rPr>
              <w:t>SDev</w:t>
            </w:r>
          </w:p>
        </w:tc>
      </w:tr>
      <w:tr>
        <w:trPr>
          <w:trHeight w:val="415" w:hRule="atLeast"/>
        </w:trPr>
        <w:tc>
          <w:tcPr>
            <w:tcW w:w="591" w:type="dxa"/>
            <w:shd w:val="clear" w:color="auto" w:fill="D5DCE4"/>
          </w:tcPr>
          <w:p>
            <w:pPr>
              <w:pStyle w:val="TableParagraph"/>
              <w:spacing w:line="270" w:lineRule="exact"/>
              <w:ind w:left="108"/>
              <w:rPr>
                <w:sz w:val="24"/>
              </w:rPr>
            </w:pPr>
            <w:r>
              <w:rPr>
                <w:spacing w:val="-10"/>
                <w:sz w:val="24"/>
              </w:rPr>
              <w:t>1</w:t>
            </w:r>
          </w:p>
        </w:tc>
        <w:tc>
          <w:tcPr>
            <w:tcW w:w="5967" w:type="dxa"/>
            <w:shd w:val="clear" w:color="auto" w:fill="D5DCE4"/>
          </w:tcPr>
          <w:p>
            <w:pPr>
              <w:pStyle w:val="TableParagraph"/>
              <w:spacing w:line="270" w:lineRule="exact"/>
              <w:ind w:left="107"/>
              <w:rPr>
                <w:sz w:val="24"/>
              </w:rPr>
            </w:pPr>
            <w:r>
              <w:rPr>
                <w:sz w:val="24"/>
              </w:rPr>
              <w:t>Poor</w:t>
            </w:r>
            <w:r>
              <w:rPr>
                <w:spacing w:val="-1"/>
                <w:sz w:val="24"/>
              </w:rPr>
              <w:t> </w:t>
            </w:r>
            <w:r>
              <w:rPr>
                <w:spacing w:val="-2"/>
                <w:sz w:val="24"/>
              </w:rPr>
              <w:t>Capitalization</w:t>
            </w:r>
          </w:p>
        </w:tc>
        <w:tc>
          <w:tcPr>
            <w:tcW w:w="1745" w:type="dxa"/>
            <w:shd w:val="clear" w:color="auto" w:fill="D5DCE4"/>
          </w:tcPr>
          <w:p>
            <w:pPr>
              <w:pStyle w:val="TableParagraph"/>
              <w:spacing w:line="270" w:lineRule="exact"/>
              <w:ind w:right="107"/>
              <w:jc w:val="right"/>
              <w:rPr>
                <w:sz w:val="24"/>
              </w:rPr>
            </w:pPr>
            <w:r>
              <w:rPr>
                <w:spacing w:val="-2"/>
                <w:sz w:val="24"/>
              </w:rPr>
              <w:t>3.9868</w:t>
            </w:r>
          </w:p>
        </w:tc>
        <w:tc>
          <w:tcPr>
            <w:tcW w:w="1172" w:type="dxa"/>
            <w:shd w:val="clear" w:color="auto" w:fill="D5DCE4"/>
          </w:tcPr>
          <w:p>
            <w:pPr>
              <w:pStyle w:val="TableParagraph"/>
              <w:spacing w:line="270" w:lineRule="exact"/>
              <w:ind w:right="110"/>
              <w:jc w:val="right"/>
              <w:rPr>
                <w:sz w:val="24"/>
              </w:rPr>
            </w:pPr>
            <w:r>
              <w:rPr>
                <w:spacing w:val="-2"/>
                <w:sz w:val="24"/>
              </w:rPr>
              <w:t>1.28922</w:t>
            </w:r>
          </w:p>
        </w:tc>
      </w:tr>
      <w:tr>
        <w:trPr>
          <w:trHeight w:val="412" w:hRule="atLeast"/>
        </w:trPr>
        <w:tc>
          <w:tcPr>
            <w:tcW w:w="591" w:type="dxa"/>
          </w:tcPr>
          <w:p>
            <w:pPr>
              <w:pStyle w:val="TableParagraph"/>
              <w:spacing w:line="270" w:lineRule="exact"/>
              <w:ind w:left="108"/>
              <w:rPr>
                <w:sz w:val="24"/>
              </w:rPr>
            </w:pPr>
            <w:r>
              <w:rPr>
                <w:spacing w:val="-10"/>
                <w:sz w:val="24"/>
              </w:rPr>
              <w:t>2</w:t>
            </w:r>
          </w:p>
        </w:tc>
        <w:tc>
          <w:tcPr>
            <w:tcW w:w="5967" w:type="dxa"/>
          </w:tcPr>
          <w:p>
            <w:pPr>
              <w:pStyle w:val="TableParagraph"/>
              <w:spacing w:line="270" w:lineRule="exact"/>
              <w:ind w:left="107"/>
              <w:rPr>
                <w:sz w:val="24"/>
              </w:rPr>
            </w:pPr>
            <w:r>
              <w:rPr>
                <w:sz w:val="24"/>
              </w:rPr>
              <w:t>Poor</w:t>
            </w:r>
            <w:r>
              <w:rPr>
                <w:spacing w:val="-3"/>
                <w:sz w:val="24"/>
              </w:rPr>
              <w:t> </w:t>
            </w:r>
            <w:r>
              <w:rPr>
                <w:sz w:val="24"/>
              </w:rPr>
              <w:t>information</w:t>
            </w:r>
            <w:r>
              <w:rPr>
                <w:spacing w:val="-1"/>
                <w:sz w:val="24"/>
              </w:rPr>
              <w:t> </w:t>
            </w:r>
            <w:r>
              <w:rPr>
                <w:spacing w:val="-2"/>
                <w:sz w:val="24"/>
              </w:rPr>
              <w:t>Systems</w:t>
            </w:r>
          </w:p>
        </w:tc>
        <w:tc>
          <w:tcPr>
            <w:tcW w:w="1745" w:type="dxa"/>
          </w:tcPr>
          <w:p>
            <w:pPr>
              <w:pStyle w:val="TableParagraph"/>
              <w:spacing w:line="270" w:lineRule="exact"/>
              <w:ind w:right="107"/>
              <w:jc w:val="right"/>
              <w:rPr>
                <w:sz w:val="24"/>
              </w:rPr>
            </w:pPr>
            <w:r>
              <w:rPr>
                <w:spacing w:val="-2"/>
                <w:sz w:val="24"/>
              </w:rPr>
              <w:t>3.7426</w:t>
            </w:r>
          </w:p>
        </w:tc>
        <w:tc>
          <w:tcPr>
            <w:tcW w:w="1172" w:type="dxa"/>
          </w:tcPr>
          <w:p>
            <w:pPr>
              <w:pStyle w:val="TableParagraph"/>
              <w:spacing w:line="270" w:lineRule="exact"/>
              <w:ind w:right="110"/>
              <w:jc w:val="right"/>
              <w:rPr>
                <w:sz w:val="24"/>
              </w:rPr>
            </w:pPr>
            <w:r>
              <w:rPr>
                <w:spacing w:val="-2"/>
                <w:sz w:val="24"/>
              </w:rPr>
              <w:t>1.43504</w:t>
            </w:r>
          </w:p>
        </w:tc>
      </w:tr>
      <w:tr>
        <w:trPr>
          <w:trHeight w:val="415" w:hRule="atLeast"/>
        </w:trPr>
        <w:tc>
          <w:tcPr>
            <w:tcW w:w="591" w:type="dxa"/>
            <w:shd w:val="clear" w:color="auto" w:fill="D5DCE4"/>
          </w:tcPr>
          <w:p>
            <w:pPr>
              <w:pStyle w:val="TableParagraph"/>
              <w:spacing w:line="270" w:lineRule="exact"/>
              <w:ind w:left="108"/>
              <w:rPr>
                <w:sz w:val="24"/>
              </w:rPr>
            </w:pPr>
            <w:r>
              <w:rPr>
                <w:spacing w:val="-10"/>
                <w:sz w:val="24"/>
              </w:rPr>
              <w:t>3</w:t>
            </w:r>
          </w:p>
        </w:tc>
        <w:tc>
          <w:tcPr>
            <w:tcW w:w="5967" w:type="dxa"/>
            <w:shd w:val="clear" w:color="auto" w:fill="D5DCE4"/>
          </w:tcPr>
          <w:p>
            <w:pPr>
              <w:pStyle w:val="TableParagraph"/>
              <w:spacing w:line="270" w:lineRule="exact"/>
              <w:ind w:left="107"/>
              <w:rPr>
                <w:sz w:val="24"/>
              </w:rPr>
            </w:pPr>
            <w:r>
              <w:rPr>
                <w:sz w:val="24"/>
              </w:rPr>
              <w:t>Poor</w:t>
            </w:r>
            <w:r>
              <w:rPr>
                <w:spacing w:val="-4"/>
                <w:sz w:val="24"/>
              </w:rPr>
              <w:t> </w:t>
            </w:r>
            <w:r>
              <w:rPr>
                <w:sz w:val="24"/>
              </w:rPr>
              <w:t>Management</w:t>
            </w:r>
            <w:r>
              <w:rPr>
                <w:spacing w:val="-2"/>
                <w:sz w:val="24"/>
              </w:rPr>
              <w:t> Strategy</w:t>
            </w:r>
          </w:p>
        </w:tc>
        <w:tc>
          <w:tcPr>
            <w:tcW w:w="1745" w:type="dxa"/>
            <w:shd w:val="clear" w:color="auto" w:fill="D5DCE4"/>
          </w:tcPr>
          <w:p>
            <w:pPr>
              <w:pStyle w:val="TableParagraph"/>
              <w:spacing w:line="270" w:lineRule="exact"/>
              <w:ind w:right="107"/>
              <w:jc w:val="right"/>
              <w:rPr>
                <w:sz w:val="24"/>
              </w:rPr>
            </w:pPr>
            <w:r>
              <w:rPr>
                <w:spacing w:val="-2"/>
                <w:sz w:val="24"/>
              </w:rPr>
              <w:t>3.6304</w:t>
            </w:r>
          </w:p>
        </w:tc>
        <w:tc>
          <w:tcPr>
            <w:tcW w:w="1172" w:type="dxa"/>
            <w:shd w:val="clear" w:color="auto" w:fill="D5DCE4"/>
          </w:tcPr>
          <w:p>
            <w:pPr>
              <w:pStyle w:val="TableParagraph"/>
              <w:spacing w:line="270" w:lineRule="exact"/>
              <w:ind w:right="110"/>
              <w:jc w:val="right"/>
              <w:rPr>
                <w:sz w:val="24"/>
              </w:rPr>
            </w:pPr>
            <w:r>
              <w:rPr>
                <w:spacing w:val="-2"/>
                <w:sz w:val="24"/>
              </w:rPr>
              <w:t>1.39844</w:t>
            </w:r>
          </w:p>
        </w:tc>
      </w:tr>
      <w:tr>
        <w:trPr>
          <w:trHeight w:val="412" w:hRule="atLeast"/>
        </w:trPr>
        <w:tc>
          <w:tcPr>
            <w:tcW w:w="591" w:type="dxa"/>
          </w:tcPr>
          <w:p>
            <w:pPr>
              <w:pStyle w:val="TableParagraph"/>
              <w:spacing w:line="270" w:lineRule="exact"/>
              <w:ind w:left="108"/>
              <w:rPr>
                <w:sz w:val="24"/>
              </w:rPr>
            </w:pPr>
            <w:r>
              <w:rPr>
                <w:spacing w:val="-10"/>
                <w:sz w:val="24"/>
              </w:rPr>
              <w:t>4</w:t>
            </w:r>
          </w:p>
        </w:tc>
        <w:tc>
          <w:tcPr>
            <w:tcW w:w="5967" w:type="dxa"/>
          </w:tcPr>
          <w:p>
            <w:pPr>
              <w:pStyle w:val="TableParagraph"/>
              <w:spacing w:line="270" w:lineRule="exact"/>
              <w:ind w:left="107"/>
              <w:rPr>
                <w:sz w:val="24"/>
              </w:rPr>
            </w:pPr>
            <w:r>
              <w:rPr>
                <w:sz w:val="24"/>
              </w:rPr>
              <w:t>Lack</w:t>
            </w:r>
            <w:r>
              <w:rPr>
                <w:spacing w:val="-1"/>
                <w:sz w:val="24"/>
              </w:rPr>
              <w:t> </w:t>
            </w:r>
            <w:r>
              <w:rPr>
                <w:sz w:val="24"/>
              </w:rPr>
              <w:t>of</w:t>
            </w:r>
            <w:r>
              <w:rPr>
                <w:spacing w:val="-2"/>
                <w:sz w:val="24"/>
              </w:rPr>
              <w:t> </w:t>
            </w:r>
            <w:r>
              <w:rPr>
                <w:sz w:val="24"/>
              </w:rPr>
              <w:t>Procedures</w:t>
            </w:r>
            <w:r>
              <w:rPr>
                <w:spacing w:val="-1"/>
                <w:sz w:val="24"/>
              </w:rPr>
              <w:t> </w:t>
            </w:r>
            <w:r>
              <w:rPr>
                <w:sz w:val="24"/>
              </w:rPr>
              <w:t>for</w:t>
            </w:r>
            <w:r>
              <w:rPr>
                <w:spacing w:val="-2"/>
                <w:sz w:val="24"/>
              </w:rPr>
              <w:t> </w:t>
            </w:r>
            <w:r>
              <w:rPr>
                <w:sz w:val="24"/>
              </w:rPr>
              <w:t>monitoring</w:t>
            </w:r>
            <w:r>
              <w:rPr>
                <w:spacing w:val="-3"/>
                <w:sz w:val="24"/>
              </w:rPr>
              <w:t> </w:t>
            </w:r>
            <w:r>
              <w:rPr>
                <w:spacing w:val="-2"/>
                <w:sz w:val="24"/>
              </w:rPr>
              <w:t>Quality</w:t>
            </w:r>
          </w:p>
        </w:tc>
        <w:tc>
          <w:tcPr>
            <w:tcW w:w="1745" w:type="dxa"/>
          </w:tcPr>
          <w:p>
            <w:pPr>
              <w:pStyle w:val="TableParagraph"/>
              <w:spacing w:line="270" w:lineRule="exact"/>
              <w:ind w:right="107"/>
              <w:jc w:val="right"/>
              <w:rPr>
                <w:sz w:val="24"/>
              </w:rPr>
            </w:pPr>
            <w:r>
              <w:rPr>
                <w:spacing w:val="-2"/>
                <w:sz w:val="24"/>
              </w:rPr>
              <w:t>3.9208</w:t>
            </w:r>
          </w:p>
        </w:tc>
        <w:tc>
          <w:tcPr>
            <w:tcW w:w="1172" w:type="dxa"/>
          </w:tcPr>
          <w:p>
            <w:pPr>
              <w:pStyle w:val="TableParagraph"/>
              <w:spacing w:line="270" w:lineRule="exact"/>
              <w:ind w:right="110"/>
              <w:jc w:val="right"/>
              <w:rPr>
                <w:sz w:val="24"/>
              </w:rPr>
            </w:pPr>
            <w:r>
              <w:rPr>
                <w:spacing w:val="-2"/>
                <w:sz w:val="24"/>
              </w:rPr>
              <w:t>1.23966</w:t>
            </w:r>
          </w:p>
        </w:tc>
      </w:tr>
      <w:tr>
        <w:trPr>
          <w:trHeight w:val="415" w:hRule="atLeast"/>
        </w:trPr>
        <w:tc>
          <w:tcPr>
            <w:tcW w:w="591" w:type="dxa"/>
            <w:shd w:val="clear" w:color="auto" w:fill="D5DCE4"/>
          </w:tcPr>
          <w:p>
            <w:pPr>
              <w:pStyle w:val="TableParagraph"/>
              <w:spacing w:line="270" w:lineRule="exact"/>
              <w:ind w:left="108"/>
              <w:rPr>
                <w:sz w:val="24"/>
              </w:rPr>
            </w:pPr>
            <w:r>
              <w:rPr>
                <w:spacing w:val="-10"/>
                <w:sz w:val="24"/>
              </w:rPr>
              <w:t>5</w:t>
            </w:r>
          </w:p>
        </w:tc>
        <w:tc>
          <w:tcPr>
            <w:tcW w:w="5967" w:type="dxa"/>
            <w:shd w:val="clear" w:color="auto" w:fill="D5DCE4"/>
          </w:tcPr>
          <w:p>
            <w:pPr>
              <w:pStyle w:val="TableParagraph"/>
              <w:spacing w:line="270" w:lineRule="exact"/>
              <w:ind w:left="107"/>
              <w:rPr>
                <w:sz w:val="24"/>
              </w:rPr>
            </w:pPr>
            <w:r>
              <w:rPr>
                <w:sz w:val="24"/>
              </w:rPr>
              <w:t>Low</w:t>
            </w:r>
            <w:r>
              <w:rPr>
                <w:spacing w:val="-3"/>
                <w:sz w:val="24"/>
              </w:rPr>
              <w:t> </w:t>
            </w:r>
            <w:r>
              <w:rPr>
                <w:sz w:val="24"/>
              </w:rPr>
              <w:t>managerial</w:t>
            </w:r>
            <w:r>
              <w:rPr>
                <w:spacing w:val="-1"/>
                <w:sz w:val="24"/>
              </w:rPr>
              <w:t> </w:t>
            </w:r>
            <w:r>
              <w:rPr>
                <w:sz w:val="24"/>
              </w:rPr>
              <w:t>and</w:t>
            </w:r>
            <w:r>
              <w:rPr>
                <w:spacing w:val="-2"/>
                <w:sz w:val="24"/>
              </w:rPr>
              <w:t> </w:t>
            </w:r>
            <w:r>
              <w:rPr>
                <w:sz w:val="24"/>
              </w:rPr>
              <w:t>technical</w:t>
            </w:r>
            <w:r>
              <w:rPr>
                <w:spacing w:val="-1"/>
                <w:sz w:val="24"/>
              </w:rPr>
              <w:t> </w:t>
            </w:r>
            <w:r>
              <w:rPr>
                <w:spacing w:val="-2"/>
                <w:sz w:val="24"/>
              </w:rPr>
              <w:t>Skills</w:t>
            </w:r>
          </w:p>
        </w:tc>
        <w:tc>
          <w:tcPr>
            <w:tcW w:w="1745" w:type="dxa"/>
            <w:shd w:val="clear" w:color="auto" w:fill="D5DCE4"/>
          </w:tcPr>
          <w:p>
            <w:pPr>
              <w:pStyle w:val="TableParagraph"/>
              <w:spacing w:line="270" w:lineRule="exact"/>
              <w:ind w:right="107"/>
              <w:jc w:val="right"/>
              <w:rPr>
                <w:sz w:val="24"/>
              </w:rPr>
            </w:pPr>
            <w:r>
              <w:rPr>
                <w:spacing w:val="-2"/>
                <w:sz w:val="24"/>
              </w:rPr>
              <w:t>3.2673</w:t>
            </w:r>
          </w:p>
        </w:tc>
        <w:tc>
          <w:tcPr>
            <w:tcW w:w="1172" w:type="dxa"/>
            <w:shd w:val="clear" w:color="auto" w:fill="D5DCE4"/>
          </w:tcPr>
          <w:p>
            <w:pPr>
              <w:pStyle w:val="TableParagraph"/>
              <w:spacing w:line="270" w:lineRule="exact"/>
              <w:ind w:right="110"/>
              <w:jc w:val="right"/>
              <w:rPr>
                <w:sz w:val="24"/>
              </w:rPr>
            </w:pPr>
            <w:r>
              <w:rPr>
                <w:spacing w:val="-2"/>
                <w:sz w:val="24"/>
              </w:rPr>
              <w:t>1.44816</w:t>
            </w:r>
          </w:p>
        </w:tc>
      </w:tr>
      <w:tr>
        <w:trPr>
          <w:trHeight w:val="412" w:hRule="atLeast"/>
        </w:trPr>
        <w:tc>
          <w:tcPr>
            <w:tcW w:w="591" w:type="dxa"/>
          </w:tcPr>
          <w:p>
            <w:pPr>
              <w:pStyle w:val="TableParagraph"/>
              <w:rPr>
                <w:sz w:val="24"/>
              </w:rPr>
            </w:pPr>
          </w:p>
        </w:tc>
        <w:tc>
          <w:tcPr>
            <w:tcW w:w="5967" w:type="dxa"/>
          </w:tcPr>
          <w:p>
            <w:pPr>
              <w:pStyle w:val="TableParagraph"/>
              <w:spacing w:line="275" w:lineRule="exact"/>
              <w:ind w:left="107"/>
              <w:rPr>
                <w:b/>
                <w:sz w:val="24"/>
              </w:rPr>
            </w:pPr>
            <w:r>
              <w:rPr>
                <w:b/>
                <w:spacing w:val="-2"/>
                <w:sz w:val="24"/>
                <w:u w:val="single"/>
              </w:rPr>
              <w:t>Threats</w:t>
            </w:r>
          </w:p>
        </w:tc>
        <w:tc>
          <w:tcPr>
            <w:tcW w:w="1745" w:type="dxa"/>
          </w:tcPr>
          <w:p>
            <w:pPr>
              <w:pStyle w:val="TableParagraph"/>
              <w:rPr>
                <w:sz w:val="24"/>
              </w:rPr>
            </w:pPr>
          </w:p>
        </w:tc>
        <w:tc>
          <w:tcPr>
            <w:tcW w:w="1172" w:type="dxa"/>
          </w:tcPr>
          <w:p>
            <w:pPr>
              <w:pStyle w:val="TableParagraph"/>
              <w:rPr>
                <w:sz w:val="24"/>
              </w:rPr>
            </w:pPr>
          </w:p>
        </w:tc>
      </w:tr>
      <w:tr>
        <w:trPr>
          <w:trHeight w:val="415" w:hRule="atLeast"/>
        </w:trPr>
        <w:tc>
          <w:tcPr>
            <w:tcW w:w="591" w:type="dxa"/>
            <w:shd w:val="clear" w:color="auto" w:fill="D5DCE4"/>
          </w:tcPr>
          <w:p>
            <w:pPr>
              <w:pStyle w:val="TableParagraph"/>
              <w:spacing w:line="270" w:lineRule="exact"/>
              <w:ind w:left="108"/>
              <w:rPr>
                <w:sz w:val="24"/>
              </w:rPr>
            </w:pPr>
            <w:r>
              <w:rPr>
                <w:spacing w:val="-10"/>
                <w:sz w:val="24"/>
              </w:rPr>
              <w:t>6</w:t>
            </w:r>
          </w:p>
        </w:tc>
        <w:tc>
          <w:tcPr>
            <w:tcW w:w="5967" w:type="dxa"/>
            <w:shd w:val="clear" w:color="auto" w:fill="D5DCE4"/>
          </w:tcPr>
          <w:p>
            <w:pPr>
              <w:pStyle w:val="TableParagraph"/>
              <w:spacing w:line="270" w:lineRule="exact"/>
              <w:ind w:left="107"/>
              <w:rPr>
                <w:sz w:val="24"/>
              </w:rPr>
            </w:pPr>
            <w:r>
              <w:rPr>
                <w:sz w:val="24"/>
              </w:rPr>
              <w:t>Government</w:t>
            </w:r>
            <w:r>
              <w:rPr>
                <w:spacing w:val="-1"/>
                <w:sz w:val="24"/>
              </w:rPr>
              <w:t> </w:t>
            </w:r>
            <w:r>
              <w:rPr>
                <w:sz w:val="24"/>
              </w:rPr>
              <w:t>Laws</w:t>
            </w:r>
            <w:r>
              <w:rPr>
                <w:spacing w:val="-3"/>
                <w:sz w:val="24"/>
              </w:rPr>
              <w:t> </w:t>
            </w:r>
            <w:r>
              <w:rPr>
                <w:sz w:val="24"/>
              </w:rPr>
              <w:t>and</w:t>
            </w:r>
            <w:r>
              <w:rPr>
                <w:spacing w:val="-2"/>
                <w:sz w:val="24"/>
              </w:rPr>
              <w:t> Regulations</w:t>
            </w:r>
          </w:p>
        </w:tc>
        <w:tc>
          <w:tcPr>
            <w:tcW w:w="1745" w:type="dxa"/>
            <w:shd w:val="clear" w:color="auto" w:fill="D5DCE4"/>
          </w:tcPr>
          <w:p>
            <w:pPr>
              <w:pStyle w:val="TableParagraph"/>
              <w:spacing w:line="270" w:lineRule="exact"/>
              <w:ind w:right="107"/>
              <w:jc w:val="right"/>
              <w:rPr>
                <w:sz w:val="24"/>
              </w:rPr>
            </w:pPr>
            <w:r>
              <w:rPr>
                <w:spacing w:val="-2"/>
                <w:sz w:val="24"/>
              </w:rPr>
              <w:t>3.4653</w:t>
            </w:r>
          </w:p>
        </w:tc>
        <w:tc>
          <w:tcPr>
            <w:tcW w:w="1172" w:type="dxa"/>
            <w:shd w:val="clear" w:color="auto" w:fill="D5DCE4"/>
          </w:tcPr>
          <w:p>
            <w:pPr>
              <w:pStyle w:val="TableParagraph"/>
              <w:spacing w:line="270" w:lineRule="exact"/>
              <w:ind w:right="110"/>
              <w:jc w:val="right"/>
              <w:rPr>
                <w:sz w:val="24"/>
              </w:rPr>
            </w:pPr>
            <w:r>
              <w:rPr>
                <w:spacing w:val="-2"/>
                <w:sz w:val="24"/>
              </w:rPr>
              <w:t>1.48211</w:t>
            </w:r>
          </w:p>
        </w:tc>
      </w:tr>
      <w:tr>
        <w:trPr>
          <w:trHeight w:val="827" w:hRule="atLeast"/>
        </w:trPr>
        <w:tc>
          <w:tcPr>
            <w:tcW w:w="591" w:type="dxa"/>
          </w:tcPr>
          <w:p>
            <w:pPr>
              <w:pStyle w:val="TableParagraph"/>
              <w:spacing w:line="270" w:lineRule="exact"/>
              <w:ind w:left="108"/>
              <w:rPr>
                <w:sz w:val="24"/>
              </w:rPr>
            </w:pPr>
            <w:r>
              <w:rPr>
                <w:spacing w:val="-10"/>
                <w:sz w:val="24"/>
              </w:rPr>
              <w:t>7</w:t>
            </w:r>
          </w:p>
        </w:tc>
        <w:tc>
          <w:tcPr>
            <w:tcW w:w="5967" w:type="dxa"/>
          </w:tcPr>
          <w:p>
            <w:pPr>
              <w:pStyle w:val="TableParagraph"/>
              <w:spacing w:line="270" w:lineRule="exact"/>
              <w:ind w:left="107"/>
              <w:rPr>
                <w:sz w:val="24"/>
              </w:rPr>
            </w:pPr>
            <w:r>
              <w:rPr>
                <w:sz w:val="24"/>
              </w:rPr>
              <w:t>Discouragement</w:t>
            </w:r>
            <w:r>
              <w:rPr>
                <w:spacing w:val="-4"/>
                <w:sz w:val="24"/>
              </w:rPr>
              <w:t> </w:t>
            </w:r>
            <w:r>
              <w:rPr>
                <w:sz w:val="24"/>
              </w:rPr>
              <w:t>on</w:t>
            </w:r>
            <w:r>
              <w:rPr>
                <w:spacing w:val="-2"/>
                <w:sz w:val="24"/>
              </w:rPr>
              <w:t> </w:t>
            </w:r>
            <w:r>
              <w:rPr>
                <w:sz w:val="24"/>
              </w:rPr>
              <w:t>investments</w:t>
            </w:r>
            <w:r>
              <w:rPr>
                <w:spacing w:val="-2"/>
                <w:sz w:val="24"/>
              </w:rPr>
              <w:t> </w:t>
            </w:r>
            <w:r>
              <w:rPr>
                <w:sz w:val="24"/>
              </w:rPr>
              <w:t>through</w:t>
            </w:r>
            <w:r>
              <w:rPr>
                <w:spacing w:val="-2"/>
                <w:sz w:val="24"/>
              </w:rPr>
              <w:t> </w:t>
            </w:r>
            <w:r>
              <w:rPr>
                <w:sz w:val="24"/>
              </w:rPr>
              <w:t>credit</w:t>
            </w:r>
            <w:r>
              <w:rPr>
                <w:spacing w:val="-2"/>
                <w:sz w:val="24"/>
              </w:rPr>
              <w:t> </w:t>
            </w:r>
            <w:r>
              <w:rPr>
                <w:sz w:val="24"/>
              </w:rPr>
              <w:t>terms</w:t>
            </w:r>
            <w:r>
              <w:rPr>
                <w:spacing w:val="-2"/>
                <w:sz w:val="24"/>
              </w:rPr>
              <w:t> </w:t>
            </w:r>
            <w:r>
              <w:rPr>
                <w:spacing w:val="-10"/>
                <w:sz w:val="24"/>
              </w:rPr>
              <w:t>&amp;</w:t>
            </w:r>
          </w:p>
          <w:p>
            <w:pPr>
              <w:pStyle w:val="TableParagraph"/>
              <w:spacing w:before="137"/>
              <w:ind w:left="107"/>
              <w:rPr>
                <w:sz w:val="24"/>
              </w:rPr>
            </w:pPr>
            <w:r>
              <w:rPr>
                <w:sz w:val="24"/>
              </w:rPr>
              <w:t>conditions</w:t>
            </w:r>
            <w:r>
              <w:rPr>
                <w:spacing w:val="-2"/>
                <w:sz w:val="24"/>
              </w:rPr>
              <w:t> </w:t>
            </w:r>
            <w:r>
              <w:rPr>
                <w:sz w:val="24"/>
              </w:rPr>
              <w:t>of</w:t>
            </w:r>
            <w:r>
              <w:rPr>
                <w:spacing w:val="-3"/>
                <w:sz w:val="24"/>
              </w:rPr>
              <w:t> </w:t>
            </w:r>
            <w:r>
              <w:rPr>
                <w:sz w:val="24"/>
              </w:rPr>
              <w:t>commercial </w:t>
            </w:r>
            <w:r>
              <w:rPr>
                <w:spacing w:val="-2"/>
                <w:sz w:val="24"/>
              </w:rPr>
              <w:t>Banks.</w:t>
            </w:r>
          </w:p>
        </w:tc>
        <w:tc>
          <w:tcPr>
            <w:tcW w:w="1745" w:type="dxa"/>
          </w:tcPr>
          <w:p>
            <w:pPr>
              <w:pStyle w:val="TableParagraph"/>
              <w:spacing w:before="200"/>
              <w:ind w:right="107"/>
              <w:jc w:val="right"/>
              <w:rPr>
                <w:sz w:val="24"/>
              </w:rPr>
            </w:pPr>
            <w:r>
              <w:rPr>
                <w:spacing w:val="-2"/>
                <w:sz w:val="24"/>
              </w:rPr>
              <w:t>3.4620</w:t>
            </w:r>
          </w:p>
        </w:tc>
        <w:tc>
          <w:tcPr>
            <w:tcW w:w="1172" w:type="dxa"/>
          </w:tcPr>
          <w:p>
            <w:pPr>
              <w:pStyle w:val="TableParagraph"/>
              <w:spacing w:before="200"/>
              <w:ind w:right="110"/>
              <w:jc w:val="right"/>
              <w:rPr>
                <w:sz w:val="24"/>
              </w:rPr>
            </w:pPr>
            <w:r>
              <w:rPr>
                <w:spacing w:val="-2"/>
                <w:sz w:val="24"/>
              </w:rPr>
              <w:t>1.39217</w:t>
            </w:r>
          </w:p>
        </w:tc>
      </w:tr>
      <w:tr>
        <w:trPr>
          <w:trHeight w:val="412" w:hRule="atLeast"/>
        </w:trPr>
        <w:tc>
          <w:tcPr>
            <w:tcW w:w="591" w:type="dxa"/>
            <w:shd w:val="clear" w:color="auto" w:fill="D5DCE4"/>
          </w:tcPr>
          <w:p>
            <w:pPr>
              <w:pStyle w:val="TableParagraph"/>
              <w:spacing w:line="270" w:lineRule="exact"/>
              <w:ind w:left="108"/>
              <w:rPr>
                <w:sz w:val="24"/>
              </w:rPr>
            </w:pPr>
            <w:r>
              <w:rPr>
                <w:spacing w:val="-10"/>
                <w:sz w:val="24"/>
              </w:rPr>
              <w:t>8</w:t>
            </w:r>
          </w:p>
        </w:tc>
        <w:tc>
          <w:tcPr>
            <w:tcW w:w="5967" w:type="dxa"/>
            <w:shd w:val="clear" w:color="auto" w:fill="D5DCE4"/>
          </w:tcPr>
          <w:p>
            <w:pPr>
              <w:pStyle w:val="TableParagraph"/>
              <w:spacing w:line="270" w:lineRule="exact"/>
              <w:ind w:left="107"/>
              <w:rPr>
                <w:sz w:val="24"/>
              </w:rPr>
            </w:pPr>
            <w:r>
              <w:rPr>
                <w:sz w:val="24"/>
              </w:rPr>
              <w:t>Strong</w:t>
            </w:r>
            <w:r>
              <w:rPr>
                <w:spacing w:val="-5"/>
                <w:sz w:val="24"/>
              </w:rPr>
              <w:t> </w:t>
            </w:r>
            <w:r>
              <w:rPr>
                <w:sz w:val="24"/>
              </w:rPr>
              <w:t>competition</w:t>
            </w:r>
            <w:r>
              <w:rPr>
                <w:spacing w:val="-2"/>
                <w:sz w:val="24"/>
              </w:rPr>
              <w:t> </w:t>
            </w:r>
            <w:r>
              <w:rPr>
                <w:sz w:val="24"/>
              </w:rPr>
              <w:t>from</w:t>
            </w:r>
            <w:r>
              <w:rPr>
                <w:spacing w:val="1"/>
                <w:sz w:val="24"/>
              </w:rPr>
              <w:t> </w:t>
            </w:r>
            <w:r>
              <w:rPr>
                <w:sz w:val="24"/>
              </w:rPr>
              <w:t>the</w:t>
            </w:r>
            <w:r>
              <w:rPr>
                <w:spacing w:val="-3"/>
                <w:sz w:val="24"/>
              </w:rPr>
              <w:t> </w:t>
            </w:r>
            <w:r>
              <w:rPr>
                <w:sz w:val="24"/>
              </w:rPr>
              <w:t>large</w:t>
            </w:r>
            <w:r>
              <w:rPr>
                <w:spacing w:val="-2"/>
                <w:sz w:val="24"/>
              </w:rPr>
              <w:t> </w:t>
            </w:r>
            <w:r>
              <w:rPr>
                <w:spacing w:val="-4"/>
                <w:sz w:val="24"/>
              </w:rPr>
              <w:t>firms</w:t>
            </w:r>
          </w:p>
        </w:tc>
        <w:tc>
          <w:tcPr>
            <w:tcW w:w="1745" w:type="dxa"/>
            <w:shd w:val="clear" w:color="auto" w:fill="D5DCE4"/>
          </w:tcPr>
          <w:p>
            <w:pPr>
              <w:pStyle w:val="TableParagraph"/>
              <w:spacing w:line="270" w:lineRule="exact"/>
              <w:ind w:right="107"/>
              <w:jc w:val="right"/>
              <w:rPr>
                <w:sz w:val="24"/>
              </w:rPr>
            </w:pPr>
            <w:r>
              <w:rPr>
                <w:spacing w:val="-2"/>
                <w:sz w:val="24"/>
              </w:rPr>
              <w:t>3.9769</w:t>
            </w:r>
          </w:p>
        </w:tc>
        <w:tc>
          <w:tcPr>
            <w:tcW w:w="1172" w:type="dxa"/>
            <w:shd w:val="clear" w:color="auto" w:fill="D5DCE4"/>
          </w:tcPr>
          <w:p>
            <w:pPr>
              <w:pStyle w:val="TableParagraph"/>
              <w:spacing w:line="270" w:lineRule="exact"/>
              <w:ind w:right="110"/>
              <w:jc w:val="right"/>
              <w:rPr>
                <w:sz w:val="24"/>
              </w:rPr>
            </w:pPr>
            <w:r>
              <w:rPr>
                <w:spacing w:val="-2"/>
                <w:sz w:val="24"/>
              </w:rPr>
              <w:t>1.27227</w:t>
            </w:r>
          </w:p>
        </w:tc>
      </w:tr>
      <w:tr>
        <w:trPr>
          <w:trHeight w:val="415" w:hRule="atLeast"/>
        </w:trPr>
        <w:tc>
          <w:tcPr>
            <w:tcW w:w="591" w:type="dxa"/>
          </w:tcPr>
          <w:p>
            <w:pPr>
              <w:pStyle w:val="TableParagraph"/>
              <w:spacing w:line="270" w:lineRule="exact"/>
              <w:ind w:left="108"/>
              <w:rPr>
                <w:sz w:val="24"/>
              </w:rPr>
            </w:pPr>
            <w:r>
              <w:rPr>
                <w:spacing w:val="-10"/>
                <w:sz w:val="24"/>
              </w:rPr>
              <w:t>9</w:t>
            </w:r>
          </w:p>
        </w:tc>
        <w:tc>
          <w:tcPr>
            <w:tcW w:w="5967" w:type="dxa"/>
          </w:tcPr>
          <w:p>
            <w:pPr>
              <w:pStyle w:val="TableParagraph"/>
              <w:spacing w:line="270" w:lineRule="exact"/>
              <w:ind w:left="107"/>
              <w:rPr>
                <w:sz w:val="24"/>
              </w:rPr>
            </w:pPr>
            <w:r>
              <w:rPr>
                <w:sz w:val="24"/>
              </w:rPr>
              <w:t>Multiple</w:t>
            </w:r>
            <w:r>
              <w:rPr>
                <w:spacing w:val="-1"/>
                <w:sz w:val="24"/>
              </w:rPr>
              <w:t> </w:t>
            </w:r>
            <w:r>
              <w:rPr>
                <w:spacing w:val="-2"/>
                <w:sz w:val="24"/>
              </w:rPr>
              <w:t>taxes</w:t>
            </w:r>
          </w:p>
        </w:tc>
        <w:tc>
          <w:tcPr>
            <w:tcW w:w="1745" w:type="dxa"/>
          </w:tcPr>
          <w:p>
            <w:pPr>
              <w:pStyle w:val="TableParagraph"/>
              <w:spacing w:line="270" w:lineRule="exact"/>
              <w:ind w:right="107"/>
              <w:jc w:val="right"/>
              <w:rPr>
                <w:sz w:val="24"/>
              </w:rPr>
            </w:pPr>
            <w:r>
              <w:rPr>
                <w:spacing w:val="-2"/>
                <w:sz w:val="24"/>
              </w:rPr>
              <w:t>3.3432</w:t>
            </w:r>
          </w:p>
        </w:tc>
        <w:tc>
          <w:tcPr>
            <w:tcW w:w="1172" w:type="dxa"/>
          </w:tcPr>
          <w:p>
            <w:pPr>
              <w:pStyle w:val="TableParagraph"/>
              <w:spacing w:line="270" w:lineRule="exact"/>
              <w:ind w:right="110"/>
              <w:jc w:val="right"/>
              <w:rPr>
                <w:sz w:val="24"/>
              </w:rPr>
            </w:pPr>
            <w:r>
              <w:rPr>
                <w:spacing w:val="-2"/>
                <w:sz w:val="24"/>
              </w:rPr>
              <w:t>1.41457</w:t>
            </w:r>
          </w:p>
        </w:tc>
      </w:tr>
      <w:tr>
        <w:trPr>
          <w:trHeight w:val="412" w:hRule="atLeast"/>
        </w:trPr>
        <w:tc>
          <w:tcPr>
            <w:tcW w:w="591" w:type="dxa"/>
            <w:shd w:val="clear" w:color="auto" w:fill="D5DCE4"/>
          </w:tcPr>
          <w:p>
            <w:pPr>
              <w:pStyle w:val="TableParagraph"/>
              <w:spacing w:line="270" w:lineRule="exact"/>
              <w:ind w:left="108"/>
              <w:rPr>
                <w:sz w:val="24"/>
              </w:rPr>
            </w:pPr>
            <w:r>
              <w:rPr>
                <w:spacing w:val="-5"/>
                <w:sz w:val="24"/>
              </w:rPr>
              <w:t>10</w:t>
            </w:r>
          </w:p>
        </w:tc>
        <w:tc>
          <w:tcPr>
            <w:tcW w:w="5967" w:type="dxa"/>
            <w:shd w:val="clear" w:color="auto" w:fill="D5DCE4"/>
          </w:tcPr>
          <w:p>
            <w:pPr>
              <w:pStyle w:val="TableParagraph"/>
              <w:spacing w:line="270" w:lineRule="exact"/>
              <w:ind w:left="107"/>
              <w:rPr>
                <w:sz w:val="24"/>
              </w:rPr>
            </w:pPr>
            <w:r>
              <w:rPr>
                <w:sz w:val="24"/>
              </w:rPr>
              <w:t>Excessive</w:t>
            </w:r>
            <w:r>
              <w:rPr>
                <w:spacing w:val="-3"/>
                <w:sz w:val="24"/>
              </w:rPr>
              <w:t> </w:t>
            </w:r>
            <w:r>
              <w:rPr>
                <w:sz w:val="24"/>
              </w:rPr>
              <w:t>corruption</w:t>
            </w:r>
            <w:r>
              <w:rPr>
                <w:spacing w:val="-1"/>
                <w:sz w:val="24"/>
              </w:rPr>
              <w:t> </w:t>
            </w:r>
            <w:r>
              <w:rPr>
                <w:sz w:val="24"/>
              </w:rPr>
              <w:t>and lack</w:t>
            </w:r>
            <w:r>
              <w:rPr>
                <w:spacing w:val="-1"/>
                <w:sz w:val="24"/>
              </w:rPr>
              <w:t> </w:t>
            </w:r>
            <w:r>
              <w:rPr>
                <w:sz w:val="24"/>
              </w:rPr>
              <w:t>of</w:t>
            </w:r>
            <w:r>
              <w:rPr>
                <w:spacing w:val="-2"/>
                <w:sz w:val="24"/>
              </w:rPr>
              <w:t> transparencies</w:t>
            </w:r>
          </w:p>
        </w:tc>
        <w:tc>
          <w:tcPr>
            <w:tcW w:w="1745" w:type="dxa"/>
            <w:shd w:val="clear" w:color="auto" w:fill="D5DCE4"/>
          </w:tcPr>
          <w:p>
            <w:pPr>
              <w:pStyle w:val="TableParagraph"/>
              <w:spacing w:line="270" w:lineRule="exact"/>
              <w:ind w:right="107"/>
              <w:jc w:val="right"/>
              <w:rPr>
                <w:sz w:val="24"/>
              </w:rPr>
            </w:pPr>
            <w:r>
              <w:rPr>
                <w:spacing w:val="-2"/>
                <w:sz w:val="24"/>
              </w:rPr>
              <w:t>3.9538</w:t>
            </w:r>
          </w:p>
        </w:tc>
        <w:tc>
          <w:tcPr>
            <w:tcW w:w="1172" w:type="dxa"/>
            <w:shd w:val="clear" w:color="auto" w:fill="D5DCE4"/>
          </w:tcPr>
          <w:p>
            <w:pPr>
              <w:pStyle w:val="TableParagraph"/>
              <w:spacing w:line="270" w:lineRule="exact"/>
              <w:ind w:right="110"/>
              <w:jc w:val="right"/>
              <w:rPr>
                <w:sz w:val="24"/>
              </w:rPr>
            </w:pPr>
            <w:r>
              <w:rPr>
                <w:spacing w:val="-2"/>
                <w:sz w:val="24"/>
              </w:rPr>
              <w:t>1.19789</w:t>
            </w:r>
          </w:p>
        </w:tc>
      </w:tr>
    </w:tbl>
    <w:p>
      <w:pPr>
        <w:spacing w:before="3"/>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3"/>
          <w:sz w:val="24"/>
        </w:rPr>
        <w:t> </w:t>
      </w:r>
      <w:r>
        <w:rPr>
          <w:b/>
          <w:sz w:val="24"/>
        </w:rPr>
        <w:t>survey</w:t>
      </w:r>
      <w:r>
        <w:rPr>
          <w:b/>
          <w:spacing w:val="-2"/>
          <w:sz w:val="24"/>
        </w:rPr>
        <w:t> (2018)</w:t>
      </w:r>
    </w:p>
    <w:p>
      <w:pPr>
        <w:spacing w:after="0"/>
        <w:jc w:val="left"/>
        <w:rPr>
          <w:sz w:val="24"/>
        </w:rPr>
        <w:sectPr>
          <w:pgSz w:w="12240" w:h="15840"/>
          <w:pgMar w:header="0" w:footer="1017" w:top="1360" w:bottom="1200" w:left="1040" w:right="120"/>
        </w:sectPr>
      </w:pPr>
    </w:p>
    <w:p>
      <w:pPr>
        <w:pStyle w:val="BodyText"/>
        <w:spacing w:before="72"/>
        <w:ind w:left="460"/>
        <w:rPr>
          <w:i/>
        </w:rPr>
      </w:pPr>
      <w:r>
        <w:rPr/>
        <w:t>Table</w:t>
      </w:r>
      <w:r>
        <w:rPr>
          <w:spacing w:val="18"/>
        </w:rPr>
        <w:t> </w:t>
      </w:r>
      <w:r>
        <w:rPr/>
        <w:t>5.10</w:t>
      </w:r>
      <w:r>
        <w:rPr>
          <w:spacing w:val="20"/>
        </w:rPr>
        <w:t> </w:t>
      </w:r>
      <w:r>
        <w:rPr/>
        <w:t>shows</w:t>
      </w:r>
      <w:r>
        <w:rPr>
          <w:spacing w:val="19"/>
        </w:rPr>
        <w:t> </w:t>
      </w:r>
      <w:r>
        <w:rPr/>
        <w:t>that</w:t>
      </w:r>
      <w:r>
        <w:rPr>
          <w:spacing w:val="21"/>
        </w:rPr>
        <w:t> </w:t>
      </w:r>
      <w:r>
        <w:rPr/>
        <w:t>poor</w:t>
      </w:r>
      <w:r>
        <w:rPr>
          <w:spacing w:val="18"/>
        </w:rPr>
        <w:t> </w:t>
      </w:r>
      <w:r>
        <w:rPr/>
        <w:t>capitalization</w:t>
      </w:r>
      <w:r>
        <w:rPr>
          <w:spacing w:val="20"/>
        </w:rPr>
        <w:t> </w:t>
      </w:r>
      <w:r>
        <w:rPr/>
        <w:t>was</w:t>
      </w:r>
      <w:r>
        <w:rPr>
          <w:spacing w:val="20"/>
        </w:rPr>
        <w:t> </w:t>
      </w:r>
      <w:r>
        <w:rPr/>
        <w:t>ranked</w:t>
      </w:r>
      <w:r>
        <w:rPr>
          <w:spacing w:val="19"/>
        </w:rPr>
        <w:t> </w:t>
      </w:r>
      <w:r>
        <w:rPr/>
        <w:t>highest</w:t>
      </w:r>
      <w:r>
        <w:rPr>
          <w:spacing w:val="21"/>
        </w:rPr>
        <w:t> </w:t>
      </w:r>
      <w:r>
        <w:rPr/>
        <w:t>with</w:t>
      </w:r>
      <w:r>
        <w:rPr>
          <w:spacing w:val="19"/>
        </w:rPr>
        <w:t> </w:t>
      </w:r>
      <w:r>
        <w:rPr/>
        <w:t>mean</w:t>
      </w:r>
      <w:r>
        <w:rPr>
          <w:spacing w:val="23"/>
        </w:rPr>
        <w:t> </w:t>
      </w:r>
      <w:r>
        <w:rPr/>
        <w:t>score</w:t>
      </w:r>
      <w:r>
        <w:rPr>
          <w:spacing w:val="18"/>
        </w:rPr>
        <w:t> </w:t>
      </w:r>
      <w:r>
        <w:rPr/>
        <w:t>(</w:t>
      </w:r>
      <w:r>
        <w:rPr>
          <w:i/>
        </w:rPr>
        <w:t>M=</w:t>
      </w:r>
      <w:r>
        <w:rPr>
          <w:i/>
          <w:spacing w:val="19"/>
        </w:rPr>
        <w:t> </w:t>
      </w:r>
      <w:r>
        <w:rPr/>
        <w:t>3.99,</w:t>
      </w:r>
      <w:r>
        <w:rPr>
          <w:spacing w:val="20"/>
        </w:rPr>
        <w:t> </w:t>
      </w:r>
      <w:r>
        <w:rPr>
          <w:i/>
          <w:spacing w:val="-4"/>
        </w:rPr>
        <w:t>S.D.</w:t>
      </w:r>
    </w:p>
    <w:p>
      <w:pPr>
        <w:pStyle w:val="BodyText"/>
        <w:spacing w:line="480" w:lineRule="auto" w:before="276"/>
        <w:ind w:left="400" w:right="1318"/>
        <w:jc w:val="both"/>
      </w:pPr>
      <w:r>
        <w:rPr>
          <w:i/>
        </w:rPr>
        <w:t>=</w:t>
      </w:r>
      <w:r>
        <w:rPr/>
        <w:t>1.289). This is one</w:t>
      </w:r>
      <w:r>
        <w:rPr>
          <w:spacing w:val="-1"/>
        </w:rPr>
        <w:t> </w:t>
      </w:r>
      <w:r>
        <w:rPr/>
        <w:t>of</w:t>
      </w:r>
      <w:r>
        <w:rPr>
          <w:spacing w:val="-1"/>
        </w:rPr>
        <w:t> </w:t>
      </w:r>
      <w:r>
        <w:rPr/>
        <w:t>the</w:t>
      </w:r>
      <w:r>
        <w:rPr>
          <w:spacing w:val="-1"/>
        </w:rPr>
        <w:t> </w:t>
      </w:r>
      <w:r>
        <w:rPr/>
        <w:t>major</w:t>
      </w:r>
      <w:r>
        <w:rPr>
          <w:spacing w:val="-1"/>
        </w:rPr>
        <w:t> </w:t>
      </w:r>
      <w:r>
        <w:rPr/>
        <w:t>weaknesses that Ihua</w:t>
      </w:r>
      <w:r>
        <w:rPr>
          <w:spacing w:val="-1"/>
        </w:rPr>
        <w:t> </w:t>
      </w:r>
      <w:r>
        <w:rPr/>
        <w:t>and Siyanbola (2012)</w:t>
      </w:r>
      <w:r>
        <w:rPr>
          <w:spacing w:val="-1"/>
        </w:rPr>
        <w:t> </w:t>
      </w:r>
      <w:r>
        <w:rPr/>
        <w:t>stated in their</w:t>
      </w:r>
      <w:r>
        <w:rPr>
          <w:spacing w:val="-1"/>
        </w:rPr>
        <w:t> </w:t>
      </w:r>
      <w:r>
        <w:rPr/>
        <w:t>work that hinders small and medium contractors. The next ranked was lack of procedures for monitoring quality </w:t>
      </w:r>
      <w:r>
        <w:rPr>
          <w:i/>
        </w:rPr>
        <w:t>(M= </w:t>
      </w:r>
      <w:r>
        <w:rPr/>
        <w:t>3.92, </w:t>
      </w:r>
      <w:r>
        <w:rPr>
          <w:i/>
        </w:rPr>
        <w:t>S.D. =</w:t>
      </w:r>
      <w:r>
        <w:rPr/>
        <w:t>1.240). The last was low managerial and technical skills.</w:t>
      </w:r>
    </w:p>
    <w:p>
      <w:pPr>
        <w:pStyle w:val="BodyText"/>
        <w:spacing w:line="480" w:lineRule="auto" w:before="161"/>
        <w:ind w:left="400" w:right="1318"/>
        <w:jc w:val="both"/>
      </w:pPr>
      <w:r>
        <w:rPr/>
        <w:t>On</w:t>
      </w:r>
      <w:r>
        <w:rPr>
          <w:spacing w:val="-2"/>
        </w:rPr>
        <w:t> </w:t>
      </w:r>
      <w:r>
        <w:rPr/>
        <w:t>the</w:t>
      </w:r>
      <w:r>
        <w:rPr>
          <w:spacing w:val="-3"/>
        </w:rPr>
        <w:t> </w:t>
      </w:r>
      <w:r>
        <w:rPr/>
        <w:t>issue</w:t>
      </w:r>
      <w:r>
        <w:rPr>
          <w:spacing w:val="-1"/>
        </w:rPr>
        <w:t> </w:t>
      </w:r>
      <w:r>
        <w:rPr/>
        <w:t>of</w:t>
      </w:r>
      <w:r>
        <w:rPr>
          <w:spacing w:val="-3"/>
        </w:rPr>
        <w:t> </w:t>
      </w:r>
      <w:r>
        <w:rPr/>
        <w:t>threats</w:t>
      </w:r>
      <w:r>
        <w:rPr>
          <w:spacing w:val="-2"/>
        </w:rPr>
        <w:t> </w:t>
      </w:r>
      <w:r>
        <w:rPr/>
        <w:t>to SMCFs,</w:t>
      </w:r>
      <w:r>
        <w:rPr>
          <w:spacing w:val="-2"/>
        </w:rPr>
        <w:t> </w:t>
      </w:r>
      <w:r>
        <w:rPr/>
        <w:t>Strong</w:t>
      </w:r>
      <w:r>
        <w:rPr>
          <w:spacing w:val="-2"/>
        </w:rPr>
        <w:t> </w:t>
      </w:r>
      <w:r>
        <w:rPr/>
        <w:t>competition</w:t>
      </w:r>
      <w:r>
        <w:rPr>
          <w:spacing w:val="-2"/>
        </w:rPr>
        <w:t> </w:t>
      </w:r>
      <w:r>
        <w:rPr/>
        <w:t>from</w:t>
      </w:r>
      <w:r>
        <w:rPr>
          <w:spacing w:val="-2"/>
        </w:rPr>
        <w:t> </w:t>
      </w:r>
      <w:r>
        <w:rPr/>
        <w:t>the</w:t>
      </w:r>
      <w:r>
        <w:rPr>
          <w:spacing w:val="-3"/>
        </w:rPr>
        <w:t> </w:t>
      </w:r>
      <w:r>
        <w:rPr/>
        <w:t>large</w:t>
      </w:r>
      <w:r>
        <w:rPr>
          <w:spacing w:val="-1"/>
        </w:rPr>
        <w:t> </w:t>
      </w:r>
      <w:r>
        <w:rPr/>
        <w:t>firms was</w:t>
      </w:r>
      <w:r>
        <w:rPr>
          <w:spacing w:val="-2"/>
        </w:rPr>
        <w:t> </w:t>
      </w:r>
      <w:r>
        <w:rPr/>
        <w:t>strongly</w:t>
      </w:r>
      <w:r>
        <w:rPr>
          <w:spacing w:val="-5"/>
        </w:rPr>
        <w:t> </w:t>
      </w:r>
      <w:r>
        <w:rPr/>
        <w:t>endorsed by the greater participants with (</w:t>
      </w:r>
      <w:r>
        <w:rPr>
          <w:i/>
        </w:rPr>
        <w:t>M= </w:t>
      </w:r>
      <w:r>
        <w:rPr/>
        <w:t>3.98, </w:t>
      </w:r>
      <w:r>
        <w:rPr>
          <w:i/>
        </w:rPr>
        <w:t>S.D. =</w:t>
      </w:r>
      <w:r>
        <w:rPr/>
        <w:t>1.272). No wonder that Idoro (2010) opined</w:t>
      </w:r>
      <w:r>
        <w:rPr>
          <w:spacing w:val="40"/>
        </w:rPr>
        <w:t> </w:t>
      </w:r>
      <w:r>
        <w:rPr/>
        <w:t>that multinational and large construction firms have however continued to succeed in Nigeria as the preferred type of Construction Company. Next is excessive corruption and lack of transparencies with (</w:t>
      </w:r>
      <w:r>
        <w:rPr>
          <w:i/>
        </w:rPr>
        <w:t>M= </w:t>
      </w:r>
      <w:r>
        <w:rPr/>
        <w:t>3.96, </w:t>
      </w:r>
      <w:r>
        <w:rPr>
          <w:i/>
        </w:rPr>
        <w:t>S.D. =</w:t>
      </w:r>
      <w:r>
        <w:rPr/>
        <w:t>1.20). The least was discouragement from investments through credit terms and conditions of commercial banks.</w:t>
      </w:r>
    </w:p>
    <w:p>
      <w:pPr>
        <w:pStyle w:val="Heading2"/>
        <w:numPr>
          <w:ilvl w:val="2"/>
          <w:numId w:val="46"/>
        </w:numPr>
        <w:tabs>
          <w:tab w:pos="940" w:val="left" w:leader="none"/>
        </w:tabs>
        <w:spacing w:line="480" w:lineRule="auto" w:before="254" w:after="0"/>
        <w:ind w:left="400" w:right="8566" w:firstLine="0"/>
        <w:jc w:val="left"/>
      </w:pPr>
      <w:r>
        <w:rPr/>
        <w:t>Hypothesis</w:t>
      </w:r>
      <w:r>
        <w:rPr>
          <w:spacing w:val="-15"/>
        </w:rPr>
        <w:t> </w:t>
      </w:r>
      <w:r>
        <w:rPr/>
        <w:t>two Hypotheses two</w:t>
      </w:r>
    </w:p>
    <w:p>
      <w:pPr>
        <w:spacing w:line="480" w:lineRule="auto" w:before="94"/>
        <w:ind w:left="399" w:right="1315" w:firstLine="0"/>
        <w:jc w:val="left"/>
        <w:rPr>
          <w:b/>
          <w:sz w:val="24"/>
        </w:rPr>
      </w:pPr>
      <w:r>
        <w:rPr>
          <w:b/>
          <w:sz w:val="24"/>
        </w:rPr>
        <w:t>Critical success factors of TQM does not significantly affect SMCFs’ strategies in South-</w:t>
      </w:r>
      <w:r>
        <w:rPr>
          <w:b/>
          <w:spacing w:val="80"/>
          <w:sz w:val="24"/>
        </w:rPr>
        <w:t> </w:t>
      </w:r>
      <w:r>
        <w:rPr>
          <w:b/>
          <w:sz w:val="24"/>
        </w:rPr>
        <w:t>East Nigeria.</w:t>
      </w:r>
    </w:p>
    <w:p>
      <w:pPr>
        <w:spacing w:before="178"/>
        <w:ind w:left="400" w:right="0" w:firstLine="0"/>
        <w:jc w:val="left"/>
        <w:rPr>
          <w:sz w:val="24"/>
        </w:rPr>
      </w:pPr>
      <w:r>
        <w:rPr>
          <w:b/>
          <w:sz w:val="24"/>
        </w:rPr>
        <w:t>Statistical</w:t>
      </w:r>
      <w:r>
        <w:rPr>
          <w:b/>
          <w:spacing w:val="-5"/>
          <w:sz w:val="24"/>
        </w:rPr>
        <w:t> </w:t>
      </w:r>
      <w:r>
        <w:rPr>
          <w:b/>
          <w:sz w:val="24"/>
        </w:rPr>
        <w:t>tool</w:t>
      </w:r>
      <w:r>
        <w:rPr>
          <w:b/>
          <w:spacing w:val="-2"/>
          <w:sz w:val="24"/>
        </w:rPr>
        <w:t> </w:t>
      </w:r>
      <w:r>
        <w:rPr>
          <w:b/>
          <w:sz w:val="24"/>
        </w:rPr>
        <w:t>used:</w:t>
      </w:r>
      <w:r>
        <w:rPr>
          <w:b/>
          <w:spacing w:val="-3"/>
          <w:sz w:val="24"/>
        </w:rPr>
        <w:t> </w:t>
      </w:r>
      <w:r>
        <w:rPr>
          <w:sz w:val="24"/>
        </w:rPr>
        <w:t>Pearson</w:t>
      </w:r>
      <w:r>
        <w:rPr>
          <w:spacing w:val="-3"/>
          <w:sz w:val="24"/>
        </w:rPr>
        <w:t> </w:t>
      </w:r>
      <w:r>
        <w:rPr>
          <w:sz w:val="24"/>
        </w:rPr>
        <w:t>product</w:t>
      </w:r>
      <w:r>
        <w:rPr>
          <w:spacing w:val="-2"/>
          <w:sz w:val="24"/>
        </w:rPr>
        <w:t> </w:t>
      </w:r>
      <w:r>
        <w:rPr>
          <w:sz w:val="24"/>
        </w:rPr>
        <w:t>moment</w:t>
      </w:r>
      <w:r>
        <w:rPr>
          <w:spacing w:val="-2"/>
          <w:sz w:val="24"/>
        </w:rPr>
        <w:t> </w:t>
      </w:r>
      <w:r>
        <w:rPr>
          <w:sz w:val="24"/>
        </w:rPr>
        <w:t>correlation</w:t>
      </w:r>
      <w:r>
        <w:rPr>
          <w:spacing w:val="-2"/>
          <w:sz w:val="24"/>
        </w:rPr>
        <w:t> coefficient</w:t>
      </w:r>
    </w:p>
    <w:p>
      <w:pPr>
        <w:pStyle w:val="BodyText"/>
      </w:pPr>
    </w:p>
    <w:p>
      <w:pPr>
        <w:spacing w:before="0"/>
        <w:ind w:left="400" w:right="0" w:firstLine="0"/>
        <w:jc w:val="left"/>
        <w:rPr>
          <w:sz w:val="24"/>
        </w:rPr>
      </w:pPr>
      <w:r>
        <w:rPr>
          <w:b/>
          <w:sz w:val="24"/>
        </w:rPr>
        <w:t>Statistical</w:t>
      </w:r>
      <w:r>
        <w:rPr>
          <w:b/>
          <w:spacing w:val="-2"/>
          <w:sz w:val="24"/>
        </w:rPr>
        <w:t> </w:t>
      </w:r>
      <w:r>
        <w:rPr>
          <w:b/>
          <w:sz w:val="24"/>
        </w:rPr>
        <w:t>package</w:t>
      </w:r>
      <w:r>
        <w:rPr>
          <w:b/>
          <w:spacing w:val="-3"/>
          <w:sz w:val="24"/>
        </w:rPr>
        <w:t> </w:t>
      </w:r>
      <w:r>
        <w:rPr>
          <w:b/>
          <w:sz w:val="24"/>
        </w:rPr>
        <w:t>used:</w:t>
      </w:r>
      <w:r>
        <w:rPr>
          <w:b/>
          <w:spacing w:val="-3"/>
          <w:sz w:val="24"/>
        </w:rPr>
        <w:t> </w:t>
      </w:r>
      <w:r>
        <w:rPr>
          <w:sz w:val="24"/>
        </w:rPr>
        <w:t>Statistical</w:t>
      </w:r>
      <w:r>
        <w:rPr>
          <w:spacing w:val="-2"/>
          <w:sz w:val="24"/>
        </w:rPr>
        <w:t> </w:t>
      </w:r>
      <w:r>
        <w:rPr>
          <w:sz w:val="24"/>
        </w:rPr>
        <w:t>package</w:t>
      </w:r>
      <w:r>
        <w:rPr>
          <w:spacing w:val="-1"/>
          <w:sz w:val="24"/>
        </w:rPr>
        <w:t> </w:t>
      </w:r>
      <w:r>
        <w:rPr>
          <w:sz w:val="24"/>
        </w:rPr>
        <w:t>for</w:t>
      </w:r>
      <w:r>
        <w:rPr>
          <w:spacing w:val="-3"/>
          <w:sz w:val="24"/>
        </w:rPr>
        <w:t> </w:t>
      </w:r>
      <w:r>
        <w:rPr>
          <w:sz w:val="24"/>
        </w:rPr>
        <w:t>social</w:t>
      </w:r>
      <w:r>
        <w:rPr>
          <w:spacing w:val="-2"/>
          <w:sz w:val="24"/>
        </w:rPr>
        <w:t> </w:t>
      </w:r>
      <w:r>
        <w:rPr>
          <w:sz w:val="24"/>
        </w:rPr>
        <w:t>science</w:t>
      </w:r>
      <w:r>
        <w:rPr>
          <w:spacing w:val="-3"/>
          <w:sz w:val="24"/>
        </w:rPr>
        <w:t> </w:t>
      </w:r>
      <w:r>
        <w:rPr>
          <w:sz w:val="24"/>
        </w:rPr>
        <w:t>(SPSS</w:t>
      </w:r>
      <w:r>
        <w:rPr>
          <w:spacing w:val="-1"/>
          <w:sz w:val="24"/>
        </w:rPr>
        <w:t> </w:t>
      </w:r>
      <w:r>
        <w:rPr>
          <w:spacing w:val="-2"/>
          <w:sz w:val="24"/>
        </w:rPr>
        <w:t>v.22)</w:t>
      </w:r>
    </w:p>
    <w:p>
      <w:pPr>
        <w:spacing w:after="0"/>
        <w:jc w:val="left"/>
        <w:rPr>
          <w:sz w:val="24"/>
        </w:rPr>
        <w:sectPr>
          <w:pgSz w:w="12240" w:h="15840"/>
          <w:pgMar w:header="0" w:footer="1017" w:top="1360" w:bottom="1200" w:left="1040" w:right="120"/>
        </w:sectPr>
      </w:pPr>
    </w:p>
    <w:p>
      <w:pPr>
        <w:pStyle w:val="Heading2"/>
        <w:tabs>
          <w:tab w:pos="1839" w:val="left" w:leader="none"/>
        </w:tabs>
        <w:spacing w:line="273" w:lineRule="auto" w:before="79"/>
        <w:ind w:left="1840" w:right="1904" w:hanging="1440"/>
        <w:jc w:val="left"/>
      </w:pPr>
      <w:r>
        <w:rPr/>
        <w:t>Table 5.11</w:t>
        <w:tab/>
        <w:t>Correlations</w:t>
      </w:r>
      <w:r>
        <w:rPr>
          <w:spacing w:val="-4"/>
        </w:rPr>
        <w:t> </w:t>
      </w:r>
      <w:r>
        <w:rPr/>
        <w:t>results</w:t>
      </w:r>
      <w:r>
        <w:rPr>
          <w:spacing w:val="-4"/>
        </w:rPr>
        <w:t> </w:t>
      </w:r>
      <w:r>
        <w:rPr/>
        <w:t>of</w:t>
      </w:r>
      <w:r>
        <w:rPr>
          <w:spacing w:val="-5"/>
        </w:rPr>
        <w:t> </w:t>
      </w:r>
      <w:r>
        <w:rPr/>
        <w:t>critical</w:t>
      </w:r>
      <w:r>
        <w:rPr>
          <w:spacing w:val="-4"/>
        </w:rPr>
        <w:t> </w:t>
      </w:r>
      <w:r>
        <w:rPr/>
        <w:t>success</w:t>
      </w:r>
      <w:r>
        <w:rPr>
          <w:spacing w:val="-4"/>
        </w:rPr>
        <w:t> </w:t>
      </w:r>
      <w:r>
        <w:rPr/>
        <w:t>factors</w:t>
      </w:r>
      <w:r>
        <w:rPr>
          <w:spacing w:val="-2"/>
        </w:rPr>
        <w:t> </w:t>
      </w:r>
      <w:r>
        <w:rPr/>
        <w:t>of</w:t>
      </w:r>
      <w:r>
        <w:rPr>
          <w:spacing w:val="-3"/>
        </w:rPr>
        <w:t> </w:t>
      </w:r>
      <w:r>
        <w:rPr/>
        <w:t>TQM</w:t>
      </w:r>
      <w:r>
        <w:rPr>
          <w:spacing w:val="-5"/>
        </w:rPr>
        <w:t> </w:t>
      </w:r>
      <w:r>
        <w:rPr/>
        <w:t>and</w:t>
      </w:r>
      <w:r>
        <w:rPr>
          <w:spacing w:val="-4"/>
        </w:rPr>
        <w:t> </w:t>
      </w:r>
      <w:r>
        <w:rPr/>
        <w:t>strength</w:t>
      </w:r>
      <w:r>
        <w:rPr>
          <w:spacing w:val="-4"/>
        </w:rPr>
        <w:t> </w:t>
      </w:r>
      <w:r>
        <w:rPr/>
        <w:t>and </w:t>
      </w:r>
      <w:r>
        <w:rPr>
          <w:spacing w:val="-2"/>
        </w:rPr>
        <w:t>opportunity</w:t>
      </w:r>
    </w:p>
    <w:p>
      <w:pPr>
        <w:pStyle w:val="BodyText"/>
        <w:spacing w:before="10"/>
        <w:rPr>
          <w:b/>
          <w:sz w:val="15"/>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6"/>
        <w:gridCol w:w="2707"/>
        <w:gridCol w:w="1503"/>
        <w:gridCol w:w="1036"/>
        <w:gridCol w:w="1470"/>
      </w:tblGrid>
      <w:tr>
        <w:trPr>
          <w:trHeight w:val="633" w:hRule="atLeast"/>
        </w:trPr>
        <w:tc>
          <w:tcPr>
            <w:tcW w:w="6136" w:type="dxa"/>
            <w:gridSpan w:val="3"/>
            <w:tcBorders>
              <w:top w:val="single" w:sz="4" w:space="0" w:color="000000"/>
              <w:bottom w:val="single" w:sz="4" w:space="0" w:color="000000"/>
            </w:tcBorders>
          </w:tcPr>
          <w:p>
            <w:pPr>
              <w:pStyle w:val="TableParagraph"/>
              <w:spacing w:line="270" w:lineRule="exact"/>
              <w:ind w:left="4188"/>
              <w:jc w:val="center"/>
              <w:rPr>
                <w:sz w:val="24"/>
              </w:rPr>
            </w:pPr>
            <w:r>
              <w:rPr>
                <w:sz w:val="24"/>
              </w:rPr>
              <w:t>Critical</w:t>
            </w:r>
            <w:r>
              <w:rPr>
                <w:spacing w:val="-3"/>
                <w:sz w:val="24"/>
              </w:rPr>
              <w:t> </w:t>
            </w:r>
            <w:r>
              <w:rPr>
                <w:spacing w:val="-2"/>
                <w:sz w:val="24"/>
              </w:rPr>
              <w:t>success</w:t>
            </w:r>
          </w:p>
          <w:p>
            <w:pPr>
              <w:pStyle w:val="TableParagraph"/>
              <w:spacing w:before="41"/>
              <w:ind w:left="4188" w:right="2"/>
              <w:jc w:val="center"/>
              <w:rPr>
                <w:sz w:val="24"/>
              </w:rPr>
            </w:pPr>
            <w:r>
              <w:rPr>
                <w:spacing w:val="-2"/>
                <w:sz w:val="24"/>
              </w:rPr>
              <w:t>factors</w:t>
            </w:r>
          </w:p>
        </w:tc>
        <w:tc>
          <w:tcPr>
            <w:tcW w:w="1036" w:type="dxa"/>
            <w:tcBorders>
              <w:top w:val="single" w:sz="4" w:space="0" w:color="000000"/>
              <w:bottom w:val="single" w:sz="4" w:space="0" w:color="000000"/>
            </w:tcBorders>
          </w:tcPr>
          <w:p>
            <w:pPr>
              <w:pStyle w:val="TableParagraph"/>
              <w:spacing w:line="270" w:lineRule="exact"/>
              <w:ind w:right="149"/>
              <w:jc w:val="right"/>
              <w:rPr>
                <w:sz w:val="24"/>
              </w:rPr>
            </w:pPr>
            <w:r>
              <w:rPr>
                <w:spacing w:val="-2"/>
                <w:sz w:val="24"/>
              </w:rPr>
              <w:t>Strength</w:t>
            </w:r>
          </w:p>
        </w:tc>
        <w:tc>
          <w:tcPr>
            <w:tcW w:w="1470" w:type="dxa"/>
            <w:tcBorders>
              <w:top w:val="single" w:sz="4" w:space="0" w:color="000000"/>
              <w:bottom w:val="single" w:sz="4" w:space="0" w:color="000000"/>
            </w:tcBorders>
          </w:tcPr>
          <w:p>
            <w:pPr>
              <w:pStyle w:val="TableParagraph"/>
              <w:spacing w:line="270" w:lineRule="exact"/>
              <w:ind w:left="116"/>
              <w:rPr>
                <w:sz w:val="24"/>
              </w:rPr>
            </w:pPr>
            <w:r>
              <w:rPr>
                <w:spacing w:val="-2"/>
                <w:sz w:val="24"/>
              </w:rPr>
              <w:t>Opportunity</w:t>
            </w:r>
          </w:p>
        </w:tc>
      </w:tr>
      <w:tr>
        <w:trPr>
          <w:trHeight w:val="614" w:hRule="atLeast"/>
        </w:trPr>
        <w:tc>
          <w:tcPr>
            <w:tcW w:w="1926" w:type="dxa"/>
            <w:vMerge w:val="restart"/>
            <w:tcBorders>
              <w:top w:val="single" w:sz="4" w:space="0" w:color="000000"/>
            </w:tcBorders>
          </w:tcPr>
          <w:p>
            <w:pPr>
              <w:pStyle w:val="TableParagraph"/>
              <w:spacing w:before="3"/>
              <w:rPr>
                <w:b/>
                <w:sz w:val="24"/>
              </w:rPr>
            </w:pPr>
          </w:p>
          <w:p>
            <w:pPr>
              <w:pStyle w:val="TableParagraph"/>
              <w:spacing w:line="310" w:lineRule="atLeast"/>
              <w:ind w:left="60" w:right="361"/>
              <w:rPr>
                <w:sz w:val="24"/>
              </w:rPr>
            </w:pPr>
            <w:r>
              <w:rPr>
                <w:sz w:val="24"/>
              </w:rPr>
              <w:t>Critical</w:t>
            </w:r>
            <w:r>
              <w:rPr>
                <w:spacing w:val="-15"/>
                <w:sz w:val="24"/>
              </w:rPr>
              <w:t> </w:t>
            </w:r>
            <w:r>
              <w:rPr>
                <w:sz w:val="24"/>
              </w:rPr>
              <w:t>success </w:t>
            </w:r>
            <w:r>
              <w:rPr>
                <w:spacing w:val="-2"/>
                <w:sz w:val="24"/>
              </w:rPr>
              <w:t>factors</w:t>
            </w:r>
          </w:p>
        </w:tc>
        <w:tc>
          <w:tcPr>
            <w:tcW w:w="2707" w:type="dxa"/>
            <w:tcBorders>
              <w:top w:val="single" w:sz="4" w:space="0" w:color="000000"/>
            </w:tcBorders>
          </w:tcPr>
          <w:p>
            <w:pPr>
              <w:pStyle w:val="TableParagraph"/>
              <w:spacing w:line="273" w:lineRule="exact"/>
              <w:ind w:left="368"/>
              <w:rPr>
                <w:sz w:val="24"/>
              </w:rPr>
            </w:pPr>
            <w:r>
              <w:rPr>
                <w:spacing w:val="-2"/>
                <w:sz w:val="24"/>
              </w:rPr>
              <w:t>Pearson</w:t>
            </w:r>
          </w:p>
          <w:p>
            <w:pPr>
              <w:pStyle w:val="TableParagraph"/>
              <w:spacing w:before="41"/>
              <w:ind w:left="368"/>
              <w:rPr>
                <w:sz w:val="24"/>
              </w:rPr>
            </w:pPr>
            <w:r>
              <w:rPr>
                <w:spacing w:val="-2"/>
                <w:sz w:val="24"/>
              </w:rPr>
              <w:t>Correlation</w:t>
            </w:r>
          </w:p>
        </w:tc>
        <w:tc>
          <w:tcPr>
            <w:tcW w:w="1503" w:type="dxa"/>
            <w:tcBorders>
              <w:top w:val="single" w:sz="4" w:space="0" w:color="000000"/>
            </w:tcBorders>
          </w:tcPr>
          <w:p>
            <w:pPr>
              <w:pStyle w:val="TableParagraph"/>
              <w:spacing w:before="155"/>
              <w:ind w:right="75"/>
              <w:jc w:val="right"/>
              <w:rPr>
                <w:sz w:val="24"/>
              </w:rPr>
            </w:pPr>
            <w:r>
              <w:rPr>
                <w:spacing w:val="-10"/>
                <w:sz w:val="24"/>
              </w:rPr>
              <w:t>1</w:t>
            </w:r>
          </w:p>
        </w:tc>
        <w:tc>
          <w:tcPr>
            <w:tcW w:w="1036" w:type="dxa"/>
            <w:tcBorders>
              <w:top w:val="single" w:sz="4" w:space="0" w:color="000000"/>
            </w:tcBorders>
          </w:tcPr>
          <w:p>
            <w:pPr>
              <w:pStyle w:val="TableParagraph"/>
              <w:spacing w:before="155"/>
              <w:ind w:right="118"/>
              <w:jc w:val="right"/>
              <w:rPr>
                <w:sz w:val="24"/>
              </w:rPr>
            </w:pPr>
            <w:r>
              <w:rPr>
                <w:spacing w:val="-4"/>
                <w:sz w:val="24"/>
              </w:rPr>
              <w:t>.403</w:t>
            </w:r>
          </w:p>
        </w:tc>
        <w:tc>
          <w:tcPr>
            <w:tcW w:w="1470" w:type="dxa"/>
            <w:tcBorders>
              <w:top w:val="single" w:sz="4" w:space="0" w:color="000000"/>
            </w:tcBorders>
          </w:tcPr>
          <w:p>
            <w:pPr>
              <w:pStyle w:val="TableParagraph"/>
              <w:spacing w:before="155"/>
              <w:ind w:right="57"/>
              <w:jc w:val="right"/>
              <w:rPr>
                <w:sz w:val="24"/>
              </w:rPr>
            </w:pPr>
            <w:r>
              <w:rPr>
                <w:spacing w:val="-4"/>
                <w:sz w:val="24"/>
              </w:rPr>
              <w:t>.460</w:t>
            </w:r>
          </w:p>
        </w:tc>
      </w:tr>
      <w:tr>
        <w:trPr>
          <w:trHeight w:val="316" w:hRule="atLeast"/>
        </w:trPr>
        <w:tc>
          <w:tcPr>
            <w:tcW w:w="1926" w:type="dxa"/>
            <w:vMerge/>
            <w:tcBorders>
              <w:top w:val="nil"/>
            </w:tcBorders>
          </w:tcPr>
          <w:p>
            <w:pPr>
              <w:rPr>
                <w:sz w:val="2"/>
                <w:szCs w:val="2"/>
              </w:rPr>
            </w:pPr>
          </w:p>
        </w:tc>
        <w:tc>
          <w:tcPr>
            <w:tcW w:w="2707" w:type="dxa"/>
          </w:tcPr>
          <w:p>
            <w:pPr>
              <w:pStyle w:val="TableParagraph"/>
              <w:spacing w:before="15"/>
              <w:ind w:left="368"/>
              <w:rPr>
                <w:sz w:val="24"/>
              </w:rPr>
            </w:pPr>
            <w:r>
              <w:rPr>
                <w:sz w:val="24"/>
              </w:rPr>
              <w:t>Sig.</w:t>
            </w:r>
            <w:r>
              <w:rPr>
                <w:spacing w:val="-5"/>
                <w:sz w:val="24"/>
              </w:rPr>
              <w:t> </w:t>
            </w:r>
            <w:r>
              <w:rPr>
                <w:sz w:val="24"/>
              </w:rPr>
              <w:t>(2-</w:t>
            </w:r>
            <w:r>
              <w:rPr>
                <w:spacing w:val="-2"/>
                <w:sz w:val="24"/>
              </w:rPr>
              <w:t>tailed)</w:t>
            </w:r>
          </w:p>
        </w:tc>
        <w:tc>
          <w:tcPr>
            <w:tcW w:w="1503" w:type="dxa"/>
          </w:tcPr>
          <w:p>
            <w:pPr>
              <w:pStyle w:val="TableParagraph"/>
              <w:rPr>
                <w:sz w:val="24"/>
              </w:rPr>
            </w:pPr>
          </w:p>
        </w:tc>
        <w:tc>
          <w:tcPr>
            <w:tcW w:w="1036" w:type="dxa"/>
          </w:tcPr>
          <w:p>
            <w:pPr>
              <w:pStyle w:val="TableParagraph"/>
              <w:spacing w:before="15"/>
              <w:ind w:right="118"/>
              <w:jc w:val="right"/>
              <w:rPr>
                <w:sz w:val="24"/>
              </w:rPr>
            </w:pPr>
            <w:r>
              <w:rPr>
                <w:spacing w:val="-4"/>
                <w:sz w:val="24"/>
              </w:rPr>
              <w:t>.048</w:t>
            </w:r>
          </w:p>
        </w:tc>
        <w:tc>
          <w:tcPr>
            <w:tcW w:w="1470" w:type="dxa"/>
          </w:tcPr>
          <w:p>
            <w:pPr>
              <w:pStyle w:val="TableParagraph"/>
              <w:spacing w:before="15"/>
              <w:ind w:right="57"/>
              <w:jc w:val="right"/>
              <w:rPr>
                <w:sz w:val="24"/>
              </w:rPr>
            </w:pPr>
            <w:r>
              <w:rPr>
                <w:spacing w:val="-4"/>
                <w:sz w:val="24"/>
              </w:rPr>
              <w:t>.020</w:t>
            </w:r>
          </w:p>
        </w:tc>
      </w:tr>
      <w:tr>
        <w:trPr>
          <w:trHeight w:val="318" w:hRule="atLeast"/>
        </w:trPr>
        <w:tc>
          <w:tcPr>
            <w:tcW w:w="1926" w:type="dxa"/>
          </w:tcPr>
          <w:p>
            <w:pPr>
              <w:pStyle w:val="TableParagraph"/>
              <w:rPr>
                <w:sz w:val="24"/>
              </w:rPr>
            </w:pPr>
          </w:p>
        </w:tc>
        <w:tc>
          <w:tcPr>
            <w:tcW w:w="2707" w:type="dxa"/>
          </w:tcPr>
          <w:p>
            <w:pPr>
              <w:pStyle w:val="TableParagraph"/>
              <w:spacing w:before="15"/>
              <w:ind w:left="368"/>
              <w:rPr>
                <w:sz w:val="24"/>
              </w:rPr>
            </w:pPr>
            <w:r>
              <w:rPr>
                <w:spacing w:val="-10"/>
                <w:sz w:val="24"/>
              </w:rPr>
              <w:t>N</w:t>
            </w:r>
          </w:p>
        </w:tc>
        <w:tc>
          <w:tcPr>
            <w:tcW w:w="1503" w:type="dxa"/>
          </w:tcPr>
          <w:p>
            <w:pPr>
              <w:pStyle w:val="TableParagraph"/>
              <w:spacing w:before="15"/>
              <w:ind w:right="75"/>
              <w:jc w:val="right"/>
              <w:rPr>
                <w:sz w:val="24"/>
              </w:rPr>
            </w:pPr>
            <w:r>
              <w:rPr>
                <w:spacing w:val="-5"/>
                <w:sz w:val="24"/>
              </w:rPr>
              <w:t>10</w:t>
            </w:r>
          </w:p>
        </w:tc>
        <w:tc>
          <w:tcPr>
            <w:tcW w:w="1036" w:type="dxa"/>
          </w:tcPr>
          <w:p>
            <w:pPr>
              <w:pStyle w:val="TableParagraph"/>
              <w:spacing w:before="15"/>
              <w:ind w:right="118"/>
              <w:jc w:val="right"/>
              <w:rPr>
                <w:sz w:val="24"/>
              </w:rPr>
            </w:pPr>
            <w:r>
              <w:rPr>
                <w:spacing w:val="-5"/>
                <w:sz w:val="24"/>
              </w:rPr>
              <w:t>10</w:t>
            </w:r>
          </w:p>
        </w:tc>
        <w:tc>
          <w:tcPr>
            <w:tcW w:w="1470" w:type="dxa"/>
          </w:tcPr>
          <w:p>
            <w:pPr>
              <w:pStyle w:val="TableParagraph"/>
              <w:spacing w:before="15"/>
              <w:ind w:right="57"/>
              <w:jc w:val="right"/>
              <w:rPr>
                <w:sz w:val="24"/>
              </w:rPr>
            </w:pPr>
            <w:r>
              <w:rPr>
                <w:spacing w:val="-5"/>
                <w:sz w:val="24"/>
              </w:rPr>
              <w:t>10</w:t>
            </w:r>
          </w:p>
        </w:tc>
      </w:tr>
      <w:tr>
        <w:trPr>
          <w:trHeight w:val="476" w:hRule="atLeast"/>
        </w:trPr>
        <w:tc>
          <w:tcPr>
            <w:tcW w:w="1926" w:type="dxa"/>
          </w:tcPr>
          <w:p>
            <w:pPr>
              <w:pStyle w:val="TableParagraph"/>
              <w:rPr>
                <w:sz w:val="24"/>
              </w:rPr>
            </w:pPr>
          </w:p>
        </w:tc>
        <w:tc>
          <w:tcPr>
            <w:tcW w:w="2707" w:type="dxa"/>
            <w:vMerge w:val="restart"/>
          </w:tcPr>
          <w:p>
            <w:pPr>
              <w:pStyle w:val="TableParagraph"/>
              <w:spacing w:before="16"/>
              <w:ind w:left="368"/>
              <w:rPr>
                <w:sz w:val="24"/>
              </w:rPr>
            </w:pPr>
            <w:r>
              <w:rPr>
                <w:spacing w:val="-2"/>
                <w:sz w:val="24"/>
              </w:rPr>
              <w:t>Pearson</w:t>
            </w:r>
          </w:p>
          <w:p>
            <w:pPr>
              <w:pStyle w:val="TableParagraph"/>
              <w:spacing w:before="41"/>
              <w:ind w:left="368"/>
              <w:rPr>
                <w:sz w:val="24"/>
              </w:rPr>
            </w:pPr>
            <w:r>
              <w:rPr>
                <w:spacing w:val="-2"/>
                <w:sz w:val="24"/>
              </w:rPr>
              <w:t>Correlation</w:t>
            </w:r>
          </w:p>
        </w:tc>
        <w:tc>
          <w:tcPr>
            <w:tcW w:w="1503" w:type="dxa"/>
          </w:tcPr>
          <w:p>
            <w:pPr>
              <w:pStyle w:val="TableParagraph"/>
              <w:spacing w:before="175"/>
              <w:ind w:right="75"/>
              <w:jc w:val="right"/>
              <w:rPr>
                <w:sz w:val="24"/>
              </w:rPr>
            </w:pPr>
            <w:r>
              <w:rPr>
                <w:spacing w:val="-4"/>
                <w:sz w:val="24"/>
              </w:rPr>
              <w:t>.403</w:t>
            </w:r>
          </w:p>
        </w:tc>
        <w:tc>
          <w:tcPr>
            <w:tcW w:w="1036" w:type="dxa"/>
          </w:tcPr>
          <w:p>
            <w:pPr>
              <w:pStyle w:val="TableParagraph"/>
              <w:spacing w:before="175"/>
              <w:ind w:right="118"/>
              <w:jc w:val="right"/>
              <w:rPr>
                <w:sz w:val="24"/>
              </w:rPr>
            </w:pPr>
            <w:r>
              <w:rPr>
                <w:spacing w:val="-10"/>
                <w:sz w:val="24"/>
              </w:rPr>
              <w:t>1</w:t>
            </w:r>
          </w:p>
        </w:tc>
        <w:tc>
          <w:tcPr>
            <w:tcW w:w="1470" w:type="dxa"/>
          </w:tcPr>
          <w:p>
            <w:pPr>
              <w:pStyle w:val="TableParagraph"/>
              <w:spacing w:before="175"/>
              <w:ind w:right="57"/>
              <w:jc w:val="right"/>
              <w:rPr>
                <w:sz w:val="24"/>
              </w:rPr>
            </w:pPr>
            <w:r>
              <w:rPr>
                <w:spacing w:val="-4"/>
                <w:sz w:val="24"/>
              </w:rPr>
              <w:t>.002</w:t>
            </w:r>
          </w:p>
        </w:tc>
      </w:tr>
      <w:tr>
        <w:trPr>
          <w:trHeight w:val="158" w:hRule="atLeast"/>
        </w:trPr>
        <w:tc>
          <w:tcPr>
            <w:tcW w:w="1926" w:type="dxa"/>
            <w:vMerge w:val="restart"/>
          </w:tcPr>
          <w:p>
            <w:pPr>
              <w:pStyle w:val="TableParagraph"/>
              <w:spacing w:before="15"/>
              <w:ind w:left="60"/>
              <w:rPr>
                <w:sz w:val="24"/>
              </w:rPr>
            </w:pPr>
            <w:r>
              <w:rPr>
                <w:spacing w:val="-2"/>
                <w:sz w:val="24"/>
              </w:rPr>
              <w:t>Strength</w:t>
            </w:r>
          </w:p>
        </w:tc>
        <w:tc>
          <w:tcPr>
            <w:tcW w:w="2707" w:type="dxa"/>
            <w:vMerge/>
            <w:tcBorders>
              <w:top w:val="nil"/>
            </w:tcBorders>
          </w:tcPr>
          <w:p>
            <w:pPr>
              <w:rPr>
                <w:sz w:val="2"/>
                <w:szCs w:val="2"/>
              </w:rPr>
            </w:pPr>
          </w:p>
        </w:tc>
        <w:tc>
          <w:tcPr>
            <w:tcW w:w="1503" w:type="dxa"/>
          </w:tcPr>
          <w:p>
            <w:pPr>
              <w:pStyle w:val="TableParagraph"/>
              <w:rPr>
                <w:sz w:val="10"/>
              </w:rPr>
            </w:pPr>
          </w:p>
        </w:tc>
        <w:tc>
          <w:tcPr>
            <w:tcW w:w="1036" w:type="dxa"/>
          </w:tcPr>
          <w:p>
            <w:pPr>
              <w:pStyle w:val="TableParagraph"/>
              <w:rPr>
                <w:sz w:val="10"/>
              </w:rPr>
            </w:pPr>
          </w:p>
        </w:tc>
        <w:tc>
          <w:tcPr>
            <w:tcW w:w="1470" w:type="dxa"/>
          </w:tcPr>
          <w:p>
            <w:pPr>
              <w:pStyle w:val="TableParagraph"/>
              <w:rPr>
                <w:sz w:val="10"/>
              </w:rPr>
            </w:pPr>
          </w:p>
        </w:tc>
      </w:tr>
      <w:tr>
        <w:trPr>
          <w:trHeight w:val="316" w:hRule="atLeast"/>
        </w:trPr>
        <w:tc>
          <w:tcPr>
            <w:tcW w:w="1926" w:type="dxa"/>
            <w:vMerge/>
            <w:tcBorders>
              <w:top w:val="nil"/>
            </w:tcBorders>
          </w:tcPr>
          <w:p>
            <w:pPr>
              <w:rPr>
                <w:sz w:val="2"/>
                <w:szCs w:val="2"/>
              </w:rPr>
            </w:pPr>
          </w:p>
        </w:tc>
        <w:tc>
          <w:tcPr>
            <w:tcW w:w="2707" w:type="dxa"/>
          </w:tcPr>
          <w:p>
            <w:pPr>
              <w:pStyle w:val="TableParagraph"/>
              <w:spacing w:before="15"/>
              <w:ind w:left="368"/>
              <w:rPr>
                <w:sz w:val="24"/>
              </w:rPr>
            </w:pPr>
            <w:r>
              <w:rPr>
                <w:sz w:val="24"/>
              </w:rPr>
              <w:t>Sig.</w:t>
            </w:r>
            <w:r>
              <w:rPr>
                <w:spacing w:val="-5"/>
                <w:sz w:val="24"/>
              </w:rPr>
              <w:t> </w:t>
            </w:r>
            <w:r>
              <w:rPr>
                <w:sz w:val="24"/>
              </w:rPr>
              <w:t>(2-</w:t>
            </w:r>
            <w:r>
              <w:rPr>
                <w:spacing w:val="-2"/>
                <w:sz w:val="24"/>
              </w:rPr>
              <w:t>tailed)</w:t>
            </w:r>
          </w:p>
        </w:tc>
        <w:tc>
          <w:tcPr>
            <w:tcW w:w="1503" w:type="dxa"/>
          </w:tcPr>
          <w:p>
            <w:pPr>
              <w:pStyle w:val="TableParagraph"/>
              <w:spacing w:before="15"/>
              <w:ind w:right="75"/>
              <w:jc w:val="right"/>
              <w:rPr>
                <w:sz w:val="24"/>
              </w:rPr>
            </w:pPr>
            <w:r>
              <w:rPr>
                <w:spacing w:val="-4"/>
                <w:sz w:val="24"/>
              </w:rPr>
              <w:t>.048</w:t>
            </w:r>
          </w:p>
        </w:tc>
        <w:tc>
          <w:tcPr>
            <w:tcW w:w="1036" w:type="dxa"/>
          </w:tcPr>
          <w:p>
            <w:pPr>
              <w:pStyle w:val="TableParagraph"/>
              <w:rPr>
                <w:sz w:val="24"/>
              </w:rPr>
            </w:pPr>
          </w:p>
        </w:tc>
        <w:tc>
          <w:tcPr>
            <w:tcW w:w="1470" w:type="dxa"/>
          </w:tcPr>
          <w:p>
            <w:pPr>
              <w:pStyle w:val="TableParagraph"/>
              <w:spacing w:before="15"/>
              <w:ind w:right="57"/>
              <w:jc w:val="right"/>
              <w:rPr>
                <w:sz w:val="24"/>
              </w:rPr>
            </w:pPr>
            <w:r>
              <w:rPr>
                <w:spacing w:val="-4"/>
                <w:sz w:val="24"/>
              </w:rPr>
              <w:t>.995</w:t>
            </w:r>
          </w:p>
        </w:tc>
      </w:tr>
      <w:tr>
        <w:trPr>
          <w:trHeight w:val="318" w:hRule="atLeast"/>
        </w:trPr>
        <w:tc>
          <w:tcPr>
            <w:tcW w:w="1926" w:type="dxa"/>
          </w:tcPr>
          <w:p>
            <w:pPr>
              <w:pStyle w:val="TableParagraph"/>
              <w:rPr>
                <w:sz w:val="24"/>
              </w:rPr>
            </w:pPr>
          </w:p>
        </w:tc>
        <w:tc>
          <w:tcPr>
            <w:tcW w:w="2707" w:type="dxa"/>
          </w:tcPr>
          <w:p>
            <w:pPr>
              <w:pStyle w:val="TableParagraph"/>
              <w:spacing w:before="15"/>
              <w:ind w:left="368"/>
              <w:rPr>
                <w:sz w:val="24"/>
              </w:rPr>
            </w:pPr>
            <w:r>
              <w:rPr>
                <w:spacing w:val="-10"/>
                <w:sz w:val="24"/>
              </w:rPr>
              <w:t>N</w:t>
            </w:r>
          </w:p>
        </w:tc>
        <w:tc>
          <w:tcPr>
            <w:tcW w:w="1503" w:type="dxa"/>
          </w:tcPr>
          <w:p>
            <w:pPr>
              <w:pStyle w:val="TableParagraph"/>
              <w:spacing w:before="15"/>
              <w:ind w:right="75"/>
              <w:jc w:val="right"/>
              <w:rPr>
                <w:sz w:val="24"/>
              </w:rPr>
            </w:pPr>
            <w:r>
              <w:rPr>
                <w:spacing w:val="-5"/>
                <w:sz w:val="24"/>
              </w:rPr>
              <w:t>10</w:t>
            </w:r>
          </w:p>
        </w:tc>
        <w:tc>
          <w:tcPr>
            <w:tcW w:w="1036" w:type="dxa"/>
          </w:tcPr>
          <w:p>
            <w:pPr>
              <w:pStyle w:val="TableParagraph"/>
              <w:spacing w:before="15"/>
              <w:ind w:right="118"/>
              <w:jc w:val="right"/>
              <w:rPr>
                <w:sz w:val="24"/>
              </w:rPr>
            </w:pPr>
            <w:r>
              <w:rPr>
                <w:spacing w:val="-5"/>
                <w:sz w:val="24"/>
              </w:rPr>
              <w:t>10</w:t>
            </w:r>
          </w:p>
        </w:tc>
        <w:tc>
          <w:tcPr>
            <w:tcW w:w="1470" w:type="dxa"/>
          </w:tcPr>
          <w:p>
            <w:pPr>
              <w:pStyle w:val="TableParagraph"/>
              <w:spacing w:before="15"/>
              <w:ind w:right="57"/>
              <w:jc w:val="right"/>
              <w:rPr>
                <w:sz w:val="24"/>
              </w:rPr>
            </w:pPr>
            <w:r>
              <w:rPr>
                <w:spacing w:val="-5"/>
                <w:sz w:val="24"/>
              </w:rPr>
              <w:t>10</w:t>
            </w:r>
          </w:p>
        </w:tc>
      </w:tr>
      <w:tr>
        <w:trPr>
          <w:trHeight w:val="476" w:hRule="atLeast"/>
        </w:trPr>
        <w:tc>
          <w:tcPr>
            <w:tcW w:w="1926" w:type="dxa"/>
          </w:tcPr>
          <w:p>
            <w:pPr>
              <w:pStyle w:val="TableParagraph"/>
              <w:rPr>
                <w:sz w:val="24"/>
              </w:rPr>
            </w:pPr>
          </w:p>
        </w:tc>
        <w:tc>
          <w:tcPr>
            <w:tcW w:w="2707" w:type="dxa"/>
            <w:vMerge w:val="restart"/>
          </w:tcPr>
          <w:p>
            <w:pPr>
              <w:pStyle w:val="TableParagraph"/>
              <w:spacing w:before="16"/>
              <w:ind w:left="368"/>
              <w:rPr>
                <w:sz w:val="24"/>
              </w:rPr>
            </w:pPr>
            <w:r>
              <w:rPr>
                <w:spacing w:val="-2"/>
                <w:sz w:val="24"/>
              </w:rPr>
              <w:t>Pearson</w:t>
            </w:r>
          </w:p>
          <w:p>
            <w:pPr>
              <w:pStyle w:val="TableParagraph"/>
              <w:spacing w:before="41"/>
              <w:ind w:left="368"/>
              <w:rPr>
                <w:sz w:val="24"/>
              </w:rPr>
            </w:pPr>
            <w:r>
              <w:rPr>
                <w:spacing w:val="-2"/>
                <w:sz w:val="24"/>
              </w:rPr>
              <w:t>Correlation</w:t>
            </w:r>
          </w:p>
        </w:tc>
        <w:tc>
          <w:tcPr>
            <w:tcW w:w="1503" w:type="dxa"/>
          </w:tcPr>
          <w:p>
            <w:pPr>
              <w:pStyle w:val="TableParagraph"/>
              <w:spacing w:before="175"/>
              <w:ind w:right="75"/>
              <w:jc w:val="right"/>
              <w:rPr>
                <w:sz w:val="24"/>
              </w:rPr>
            </w:pPr>
            <w:r>
              <w:rPr>
                <w:spacing w:val="-4"/>
                <w:sz w:val="24"/>
              </w:rPr>
              <w:t>.460</w:t>
            </w:r>
          </w:p>
        </w:tc>
        <w:tc>
          <w:tcPr>
            <w:tcW w:w="1036" w:type="dxa"/>
          </w:tcPr>
          <w:p>
            <w:pPr>
              <w:pStyle w:val="TableParagraph"/>
              <w:spacing w:before="175"/>
              <w:ind w:right="118"/>
              <w:jc w:val="right"/>
              <w:rPr>
                <w:sz w:val="24"/>
              </w:rPr>
            </w:pPr>
            <w:r>
              <w:rPr>
                <w:spacing w:val="-4"/>
                <w:sz w:val="24"/>
              </w:rPr>
              <w:t>.002</w:t>
            </w:r>
          </w:p>
        </w:tc>
        <w:tc>
          <w:tcPr>
            <w:tcW w:w="1470" w:type="dxa"/>
          </w:tcPr>
          <w:p>
            <w:pPr>
              <w:pStyle w:val="TableParagraph"/>
              <w:spacing w:before="175"/>
              <w:ind w:right="57"/>
              <w:jc w:val="right"/>
              <w:rPr>
                <w:sz w:val="24"/>
              </w:rPr>
            </w:pPr>
            <w:r>
              <w:rPr>
                <w:spacing w:val="-10"/>
                <w:sz w:val="24"/>
              </w:rPr>
              <w:t>1</w:t>
            </w:r>
          </w:p>
        </w:tc>
      </w:tr>
      <w:tr>
        <w:trPr>
          <w:trHeight w:val="158" w:hRule="atLeast"/>
        </w:trPr>
        <w:tc>
          <w:tcPr>
            <w:tcW w:w="1926" w:type="dxa"/>
            <w:vMerge w:val="restart"/>
          </w:tcPr>
          <w:p>
            <w:pPr>
              <w:pStyle w:val="TableParagraph"/>
              <w:spacing w:before="15"/>
              <w:ind w:left="60"/>
              <w:rPr>
                <w:sz w:val="24"/>
              </w:rPr>
            </w:pPr>
            <w:r>
              <w:rPr>
                <w:spacing w:val="-2"/>
                <w:sz w:val="24"/>
              </w:rPr>
              <w:t>Opportunity</w:t>
            </w:r>
          </w:p>
        </w:tc>
        <w:tc>
          <w:tcPr>
            <w:tcW w:w="2707" w:type="dxa"/>
            <w:vMerge/>
            <w:tcBorders>
              <w:top w:val="nil"/>
            </w:tcBorders>
          </w:tcPr>
          <w:p>
            <w:pPr>
              <w:rPr>
                <w:sz w:val="2"/>
                <w:szCs w:val="2"/>
              </w:rPr>
            </w:pPr>
          </w:p>
        </w:tc>
        <w:tc>
          <w:tcPr>
            <w:tcW w:w="1503" w:type="dxa"/>
          </w:tcPr>
          <w:p>
            <w:pPr>
              <w:pStyle w:val="TableParagraph"/>
              <w:rPr>
                <w:sz w:val="10"/>
              </w:rPr>
            </w:pPr>
          </w:p>
        </w:tc>
        <w:tc>
          <w:tcPr>
            <w:tcW w:w="1036" w:type="dxa"/>
          </w:tcPr>
          <w:p>
            <w:pPr>
              <w:pStyle w:val="TableParagraph"/>
              <w:rPr>
                <w:sz w:val="10"/>
              </w:rPr>
            </w:pPr>
          </w:p>
        </w:tc>
        <w:tc>
          <w:tcPr>
            <w:tcW w:w="1470" w:type="dxa"/>
          </w:tcPr>
          <w:p>
            <w:pPr>
              <w:pStyle w:val="TableParagraph"/>
              <w:rPr>
                <w:sz w:val="10"/>
              </w:rPr>
            </w:pPr>
          </w:p>
        </w:tc>
      </w:tr>
      <w:tr>
        <w:trPr>
          <w:trHeight w:val="316" w:hRule="atLeast"/>
        </w:trPr>
        <w:tc>
          <w:tcPr>
            <w:tcW w:w="1926" w:type="dxa"/>
            <w:vMerge/>
            <w:tcBorders>
              <w:top w:val="nil"/>
            </w:tcBorders>
          </w:tcPr>
          <w:p>
            <w:pPr>
              <w:rPr>
                <w:sz w:val="2"/>
                <w:szCs w:val="2"/>
              </w:rPr>
            </w:pPr>
          </w:p>
        </w:tc>
        <w:tc>
          <w:tcPr>
            <w:tcW w:w="2707" w:type="dxa"/>
          </w:tcPr>
          <w:p>
            <w:pPr>
              <w:pStyle w:val="TableParagraph"/>
              <w:spacing w:before="15"/>
              <w:ind w:left="368"/>
              <w:rPr>
                <w:sz w:val="24"/>
              </w:rPr>
            </w:pPr>
            <w:r>
              <w:rPr>
                <w:sz w:val="24"/>
              </w:rPr>
              <w:t>Sig.</w:t>
            </w:r>
            <w:r>
              <w:rPr>
                <w:spacing w:val="-5"/>
                <w:sz w:val="24"/>
              </w:rPr>
              <w:t> </w:t>
            </w:r>
            <w:r>
              <w:rPr>
                <w:sz w:val="24"/>
              </w:rPr>
              <w:t>(2-</w:t>
            </w:r>
            <w:r>
              <w:rPr>
                <w:spacing w:val="-2"/>
                <w:sz w:val="24"/>
              </w:rPr>
              <w:t>tailed)</w:t>
            </w:r>
          </w:p>
        </w:tc>
        <w:tc>
          <w:tcPr>
            <w:tcW w:w="1503" w:type="dxa"/>
          </w:tcPr>
          <w:p>
            <w:pPr>
              <w:pStyle w:val="TableParagraph"/>
              <w:spacing w:before="15"/>
              <w:ind w:right="75"/>
              <w:jc w:val="right"/>
              <w:rPr>
                <w:sz w:val="24"/>
              </w:rPr>
            </w:pPr>
            <w:r>
              <w:rPr>
                <w:spacing w:val="-4"/>
                <w:sz w:val="24"/>
              </w:rPr>
              <w:t>.020</w:t>
            </w:r>
          </w:p>
        </w:tc>
        <w:tc>
          <w:tcPr>
            <w:tcW w:w="1036" w:type="dxa"/>
          </w:tcPr>
          <w:p>
            <w:pPr>
              <w:pStyle w:val="TableParagraph"/>
              <w:spacing w:before="15"/>
              <w:ind w:right="118"/>
              <w:jc w:val="right"/>
              <w:rPr>
                <w:sz w:val="24"/>
              </w:rPr>
            </w:pPr>
            <w:r>
              <w:rPr>
                <w:spacing w:val="-4"/>
                <w:sz w:val="24"/>
              </w:rPr>
              <w:t>.995</w:t>
            </w:r>
          </w:p>
        </w:tc>
        <w:tc>
          <w:tcPr>
            <w:tcW w:w="1470" w:type="dxa"/>
          </w:tcPr>
          <w:p>
            <w:pPr>
              <w:pStyle w:val="TableParagraph"/>
              <w:rPr>
                <w:sz w:val="24"/>
              </w:rPr>
            </w:pPr>
          </w:p>
        </w:tc>
      </w:tr>
      <w:tr>
        <w:trPr>
          <w:trHeight w:val="339" w:hRule="atLeast"/>
        </w:trPr>
        <w:tc>
          <w:tcPr>
            <w:tcW w:w="1926" w:type="dxa"/>
            <w:tcBorders>
              <w:bottom w:val="single" w:sz="4" w:space="0" w:color="000000"/>
            </w:tcBorders>
          </w:tcPr>
          <w:p>
            <w:pPr>
              <w:pStyle w:val="TableParagraph"/>
              <w:rPr>
                <w:sz w:val="24"/>
              </w:rPr>
            </w:pPr>
          </w:p>
        </w:tc>
        <w:tc>
          <w:tcPr>
            <w:tcW w:w="2707" w:type="dxa"/>
            <w:tcBorders>
              <w:bottom w:val="single" w:sz="4" w:space="0" w:color="000000"/>
            </w:tcBorders>
          </w:tcPr>
          <w:p>
            <w:pPr>
              <w:pStyle w:val="TableParagraph"/>
              <w:spacing w:before="15"/>
              <w:ind w:left="368"/>
              <w:rPr>
                <w:sz w:val="24"/>
              </w:rPr>
            </w:pPr>
            <w:r>
              <w:rPr>
                <w:spacing w:val="-10"/>
                <w:sz w:val="24"/>
              </w:rPr>
              <w:t>N</w:t>
            </w:r>
          </w:p>
        </w:tc>
        <w:tc>
          <w:tcPr>
            <w:tcW w:w="1503" w:type="dxa"/>
            <w:tcBorders>
              <w:bottom w:val="single" w:sz="4" w:space="0" w:color="000000"/>
            </w:tcBorders>
          </w:tcPr>
          <w:p>
            <w:pPr>
              <w:pStyle w:val="TableParagraph"/>
              <w:spacing w:before="15"/>
              <w:ind w:right="75"/>
              <w:jc w:val="right"/>
              <w:rPr>
                <w:sz w:val="24"/>
              </w:rPr>
            </w:pPr>
            <w:r>
              <w:rPr>
                <w:spacing w:val="-5"/>
                <w:sz w:val="24"/>
              </w:rPr>
              <w:t>10</w:t>
            </w:r>
          </w:p>
        </w:tc>
        <w:tc>
          <w:tcPr>
            <w:tcW w:w="1036" w:type="dxa"/>
            <w:tcBorders>
              <w:bottom w:val="single" w:sz="4" w:space="0" w:color="000000"/>
            </w:tcBorders>
          </w:tcPr>
          <w:p>
            <w:pPr>
              <w:pStyle w:val="TableParagraph"/>
              <w:spacing w:before="15"/>
              <w:ind w:right="118"/>
              <w:jc w:val="right"/>
              <w:rPr>
                <w:sz w:val="24"/>
              </w:rPr>
            </w:pPr>
            <w:r>
              <w:rPr>
                <w:spacing w:val="-5"/>
                <w:sz w:val="24"/>
              </w:rPr>
              <w:t>10</w:t>
            </w:r>
          </w:p>
        </w:tc>
        <w:tc>
          <w:tcPr>
            <w:tcW w:w="1470" w:type="dxa"/>
            <w:tcBorders>
              <w:bottom w:val="single" w:sz="4" w:space="0" w:color="000000"/>
            </w:tcBorders>
          </w:tcPr>
          <w:p>
            <w:pPr>
              <w:pStyle w:val="TableParagraph"/>
              <w:spacing w:before="15"/>
              <w:ind w:right="57"/>
              <w:jc w:val="right"/>
              <w:rPr>
                <w:sz w:val="24"/>
              </w:rPr>
            </w:pPr>
            <w:r>
              <w:rPr>
                <w:spacing w:val="-5"/>
                <w:sz w:val="24"/>
              </w:rPr>
              <w:t>10</w:t>
            </w:r>
          </w:p>
        </w:tc>
      </w:tr>
    </w:tbl>
    <w:p>
      <w:pPr>
        <w:pStyle w:val="BodyText"/>
        <w:rPr>
          <w:b/>
        </w:rPr>
      </w:pPr>
    </w:p>
    <w:p>
      <w:pPr>
        <w:pStyle w:val="BodyText"/>
        <w:spacing w:before="11"/>
        <w:rPr>
          <w:b/>
        </w:rPr>
      </w:pPr>
    </w:p>
    <w:p>
      <w:pPr>
        <w:pStyle w:val="BodyText"/>
        <w:spacing w:line="480" w:lineRule="auto" w:before="1"/>
        <w:ind w:left="400" w:right="1315"/>
        <w:jc w:val="both"/>
      </w:pPr>
      <w:r>
        <w:rPr/>
        <w:t>The result of the model indicates that strength having the correlation coefficient of (0.403) implies that strength positively impact on the critical success factor also opportunity having the correlation coefficient of (0.460) implies that opportunity positively impact on the critical</w:t>
      </w:r>
      <w:r>
        <w:rPr>
          <w:spacing w:val="40"/>
        </w:rPr>
        <w:t> </w:t>
      </w:r>
      <w:r>
        <w:rPr/>
        <w:t>success factor, That is an increase in strength and opportunity will lead to increase in critical success factor</w:t>
      </w:r>
      <w:r>
        <w:rPr>
          <w:spacing w:val="-1"/>
        </w:rPr>
        <w:t> </w:t>
      </w:r>
      <w:r>
        <w:rPr/>
        <w:t>on the</w:t>
      </w:r>
      <w:r>
        <w:rPr>
          <w:spacing w:val="-1"/>
        </w:rPr>
        <w:t> </w:t>
      </w:r>
      <w:r>
        <w:rPr/>
        <w:t>average. Also from the</w:t>
      </w:r>
      <w:r>
        <w:rPr>
          <w:spacing w:val="-1"/>
        </w:rPr>
        <w:t> </w:t>
      </w:r>
      <w:r>
        <w:rPr/>
        <w:t>result, the</w:t>
      </w:r>
      <w:r>
        <w:rPr>
          <w:spacing w:val="-1"/>
        </w:rPr>
        <w:t> </w:t>
      </w:r>
      <w:r>
        <w:rPr/>
        <w:t>probability</w:t>
      </w:r>
      <w:r>
        <w:rPr>
          <w:spacing w:val="-7"/>
        </w:rPr>
        <w:t> </w:t>
      </w:r>
      <w:r>
        <w:rPr/>
        <w:t>value</w:t>
      </w:r>
      <w:r>
        <w:rPr>
          <w:spacing w:val="-1"/>
        </w:rPr>
        <w:t> </w:t>
      </w:r>
      <w:r>
        <w:rPr/>
        <w:t>is less than 0.05 on both strength and opportunity indicates that strength and opportunity are significant variables to determine critical success factors hence we reject null hypothesis.</w:t>
      </w:r>
    </w:p>
    <w:p>
      <w:pPr>
        <w:spacing w:after="0" w:line="480" w:lineRule="auto"/>
        <w:jc w:val="both"/>
        <w:sectPr>
          <w:pgSz w:w="12240" w:h="15840"/>
          <w:pgMar w:header="0" w:footer="1017" w:top="1360" w:bottom="1200" w:left="1040" w:right="120"/>
        </w:sectPr>
      </w:pPr>
    </w:p>
    <w:p>
      <w:pPr>
        <w:pStyle w:val="Heading2"/>
        <w:tabs>
          <w:tab w:pos="1839" w:val="left" w:leader="none"/>
        </w:tabs>
        <w:spacing w:line="480" w:lineRule="auto" w:before="76"/>
        <w:ind w:left="1840" w:right="1795" w:hanging="1440"/>
        <w:jc w:val="left"/>
      </w:pPr>
      <w:r>
        <w:rPr/>
        <w:t>Table 5.12</w:t>
        <w:tab/>
        <w:t>Correlations</w:t>
      </w:r>
      <w:r>
        <w:rPr>
          <w:spacing w:val="-4"/>
        </w:rPr>
        <w:t> </w:t>
      </w:r>
      <w:r>
        <w:rPr/>
        <w:t>results</w:t>
      </w:r>
      <w:r>
        <w:rPr>
          <w:spacing w:val="-4"/>
        </w:rPr>
        <w:t> </w:t>
      </w:r>
      <w:r>
        <w:rPr/>
        <w:t>of</w:t>
      </w:r>
      <w:r>
        <w:rPr>
          <w:spacing w:val="-5"/>
        </w:rPr>
        <w:t> </w:t>
      </w:r>
      <w:r>
        <w:rPr/>
        <w:t>critical</w:t>
      </w:r>
      <w:r>
        <w:rPr>
          <w:spacing w:val="-4"/>
        </w:rPr>
        <w:t> </w:t>
      </w:r>
      <w:r>
        <w:rPr/>
        <w:t>success</w:t>
      </w:r>
      <w:r>
        <w:rPr>
          <w:spacing w:val="-4"/>
        </w:rPr>
        <w:t> </w:t>
      </w:r>
      <w:r>
        <w:rPr/>
        <w:t>factors</w:t>
      </w:r>
      <w:r>
        <w:rPr>
          <w:spacing w:val="-2"/>
        </w:rPr>
        <w:t> </w:t>
      </w:r>
      <w:r>
        <w:rPr/>
        <w:t>of</w:t>
      </w:r>
      <w:r>
        <w:rPr>
          <w:spacing w:val="-3"/>
        </w:rPr>
        <w:t> </w:t>
      </w:r>
      <w:r>
        <w:rPr/>
        <w:t>TQM</w:t>
      </w:r>
      <w:r>
        <w:rPr>
          <w:spacing w:val="-5"/>
        </w:rPr>
        <w:t> </w:t>
      </w:r>
      <w:r>
        <w:rPr/>
        <w:t>and</w:t>
      </w:r>
      <w:r>
        <w:rPr>
          <w:spacing w:val="-4"/>
        </w:rPr>
        <w:t> </w:t>
      </w:r>
      <w:r>
        <w:rPr/>
        <w:t>weakness</w:t>
      </w:r>
      <w:r>
        <w:rPr>
          <w:spacing w:val="-4"/>
        </w:rPr>
        <w:t> </w:t>
      </w:r>
      <w:r>
        <w:rPr/>
        <w:t>and </w:t>
      </w:r>
      <w:r>
        <w:rPr>
          <w:spacing w:val="-2"/>
        </w:rPr>
        <w:t>threats</w:t>
      </w:r>
    </w:p>
    <w:p>
      <w:pPr>
        <w:pStyle w:val="BodyText"/>
        <w:spacing w:before="3" w:after="1"/>
        <w:rPr>
          <w:b/>
          <w:sz w:val="14"/>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2997"/>
        <w:gridCol w:w="1295"/>
        <w:gridCol w:w="1365"/>
        <w:gridCol w:w="1198"/>
      </w:tblGrid>
      <w:tr>
        <w:trPr>
          <w:trHeight w:val="741" w:hRule="atLeast"/>
        </w:trPr>
        <w:tc>
          <w:tcPr>
            <w:tcW w:w="6266" w:type="dxa"/>
            <w:gridSpan w:val="3"/>
            <w:tcBorders>
              <w:top w:val="single" w:sz="4" w:space="0" w:color="000000"/>
              <w:bottom w:val="single" w:sz="4" w:space="0" w:color="000000"/>
            </w:tcBorders>
          </w:tcPr>
          <w:p>
            <w:pPr>
              <w:pStyle w:val="TableParagraph"/>
              <w:ind w:left="4965" w:right="223" w:hanging="423"/>
              <w:rPr>
                <w:sz w:val="24"/>
              </w:rPr>
            </w:pPr>
            <w:r>
              <w:rPr>
                <w:sz w:val="24"/>
              </w:rPr>
              <w:t>Critical</w:t>
            </w:r>
            <w:r>
              <w:rPr>
                <w:spacing w:val="-15"/>
                <w:sz w:val="24"/>
              </w:rPr>
              <w:t> </w:t>
            </w:r>
            <w:r>
              <w:rPr>
                <w:sz w:val="24"/>
              </w:rPr>
              <w:t>success </w:t>
            </w:r>
            <w:r>
              <w:rPr>
                <w:spacing w:val="-2"/>
                <w:sz w:val="24"/>
              </w:rPr>
              <w:t>factors</w:t>
            </w:r>
          </w:p>
        </w:tc>
        <w:tc>
          <w:tcPr>
            <w:tcW w:w="1365" w:type="dxa"/>
            <w:tcBorders>
              <w:top w:val="single" w:sz="4" w:space="0" w:color="000000"/>
              <w:bottom w:val="single" w:sz="4" w:space="0" w:color="000000"/>
            </w:tcBorders>
          </w:tcPr>
          <w:p>
            <w:pPr>
              <w:pStyle w:val="TableParagraph"/>
              <w:spacing w:line="268" w:lineRule="exact"/>
              <w:ind w:left="127"/>
              <w:rPr>
                <w:sz w:val="24"/>
              </w:rPr>
            </w:pPr>
            <w:r>
              <w:rPr>
                <w:spacing w:val="-2"/>
                <w:sz w:val="24"/>
              </w:rPr>
              <w:t>weakness</w:t>
            </w:r>
          </w:p>
        </w:tc>
        <w:tc>
          <w:tcPr>
            <w:tcW w:w="1198" w:type="dxa"/>
            <w:tcBorders>
              <w:top w:val="single" w:sz="4" w:space="0" w:color="000000"/>
              <w:bottom w:val="single" w:sz="4" w:space="0" w:color="000000"/>
            </w:tcBorders>
          </w:tcPr>
          <w:p>
            <w:pPr>
              <w:pStyle w:val="TableParagraph"/>
              <w:spacing w:line="268" w:lineRule="exact"/>
              <w:ind w:left="178"/>
              <w:rPr>
                <w:sz w:val="24"/>
              </w:rPr>
            </w:pPr>
            <w:r>
              <w:rPr>
                <w:spacing w:val="-2"/>
                <w:sz w:val="24"/>
              </w:rPr>
              <w:t>Threats</w:t>
            </w:r>
          </w:p>
        </w:tc>
      </w:tr>
      <w:tr>
        <w:trPr>
          <w:trHeight w:val="637" w:hRule="atLeast"/>
        </w:trPr>
        <w:tc>
          <w:tcPr>
            <w:tcW w:w="1974" w:type="dxa"/>
            <w:tcBorders>
              <w:top w:val="single" w:sz="4" w:space="0" w:color="000000"/>
            </w:tcBorders>
          </w:tcPr>
          <w:p>
            <w:pPr>
              <w:pStyle w:val="TableParagraph"/>
              <w:rPr>
                <w:sz w:val="24"/>
              </w:rPr>
            </w:pPr>
          </w:p>
        </w:tc>
        <w:tc>
          <w:tcPr>
            <w:tcW w:w="2997" w:type="dxa"/>
            <w:tcBorders>
              <w:top w:val="single" w:sz="4" w:space="0" w:color="000000"/>
            </w:tcBorders>
          </w:tcPr>
          <w:p>
            <w:pPr>
              <w:pStyle w:val="TableParagraph"/>
              <w:spacing w:before="39"/>
              <w:rPr>
                <w:b/>
                <w:sz w:val="24"/>
              </w:rPr>
            </w:pPr>
          </w:p>
          <w:p>
            <w:pPr>
              <w:pStyle w:val="TableParagraph"/>
              <w:ind w:left="416"/>
              <w:rPr>
                <w:sz w:val="24"/>
              </w:rPr>
            </w:pPr>
            <w:r>
              <w:rPr>
                <w:sz w:val="24"/>
              </w:rPr>
              <w:t>Pearson</w:t>
            </w:r>
            <w:r>
              <w:rPr>
                <w:spacing w:val="-3"/>
                <w:sz w:val="24"/>
              </w:rPr>
              <w:t> </w:t>
            </w:r>
            <w:r>
              <w:rPr>
                <w:spacing w:val="-2"/>
                <w:sz w:val="24"/>
              </w:rPr>
              <w:t>Correlation</w:t>
            </w:r>
          </w:p>
        </w:tc>
        <w:tc>
          <w:tcPr>
            <w:tcW w:w="1295" w:type="dxa"/>
            <w:tcBorders>
              <w:top w:val="single" w:sz="4" w:space="0" w:color="000000"/>
            </w:tcBorders>
          </w:tcPr>
          <w:p>
            <w:pPr>
              <w:pStyle w:val="TableParagraph"/>
              <w:spacing w:before="39"/>
              <w:rPr>
                <w:b/>
                <w:sz w:val="24"/>
              </w:rPr>
            </w:pPr>
          </w:p>
          <w:p>
            <w:pPr>
              <w:pStyle w:val="TableParagraph"/>
              <w:ind w:right="127"/>
              <w:jc w:val="right"/>
              <w:rPr>
                <w:sz w:val="24"/>
              </w:rPr>
            </w:pPr>
            <w:r>
              <w:rPr>
                <w:spacing w:val="-10"/>
                <w:sz w:val="24"/>
              </w:rPr>
              <w:t>1</w:t>
            </w:r>
          </w:p>
        </w:tc>
        <w:tc>
          <w:tcPr>
            <w:tcW w:w="1365" w:type="dxa"/>
            <w:tcBorders>
              <w:top w:val="single" w:sz="4" w:space="0" w:color="000000"/>
            </w:tcBorders>
          </w:tcPr>
          <w:p>
            <w:pPr>
              <w:pStyle w:val="TableParagraph"/>
              <w:spacing w:before="39"/>
              <w:rPr>
                <w:b/>
                <w:sz w:val="24"/>
              </w:rPr>
            </w:pPr>
          </w:p>
          <w:p>
            <w:pPr>
              <w:pStyle w:val="TableParagraph"/>
              <w:ind w:right="179"/>
              <w:jc w:val="right"/>
              <w:rPr>
                <w:sz w:val="24"/>
              </w:rPr>
            </w:pPr>
            <w:r>
              <w:rPr>
                <w:spacing w:val="-2"/>
                <w:sz w:val="24"/>
              </w:rPr>
              <w:t>-</w:t>
            </w:r>
            <w:r>
              <w:rPr>
                <w:spacing w:val="-4"/>
                <w:sz w:val="24"/>
              </w:rPr>
              <w:t>.400</w:t>
            </w:r>
          </w:p>
        </w:tc>
        <w:tc>
          <w:tcPr>
            <w:tcW w:w="1198" w:type="dxa"/>
            <w:tcBorders>
              <w:top w:val="single" w:sz="4" w:space="0" w:color="000000"/>
            </w:tcBorders>
          </w:tcPr>
          <w:p>
            <w:pPr>
              <w:pStyle w:val="TableParagraph"/>
              <w:spacing w:before="39"/>
              <w:rPr>
                <w:b/>
                <w:sz w:val="24"/>
              </w:rPr>
            </w:pPr>
          </w:p>
          <w:p>
            <w:pPr>
              <w:pStyle w:val="TableParagraph"/>
              <w:ind w:right="59"/>
              <w:jc w:val="right"/>
              <w:rPr>
                <w:sz w:val="24"/>
              </w:rPr>
            </w:pPr>
            <w:r>
              <w:rPr>
                <w:spacing w:val="-2"/>
                <w:sz w:val="24"/>
              </w:rPr>
              <w:t>-</w:t>
            </w:r>
            <w:r>
              <w:rPr>
                <w:spacing w:val="-4"/>
                <w:sz w:val="24"/>
              </w:rPr>
              <w:t>.353</w:t>
            </w:r>
          </w:p>
        </w:tc>
      </w:tr>
      <w:tr>
        <w:trPr>
          <w:trHeight w:val="781" w:hRule="atLeast"/>
        </w:trPr>
        <w:tc>
          <w:tcPr>
            <w:tcW w:w="1974" w:type="dxa"/>
          </w:tcPr>
          <w:p>
            <w:pPr>
              <w:pStyle w:val="TableParagraph"/>
              <w:spacing w:before="35"/>
              <w:ind w:left="60" w:right="409"/>
              <w:rPr>
                <w:sz w:val="24"/>
              </w:rPr>
            </w:pPr>
            <w:r>
              <w:rPr>
                <w:sz w:val="24"/>
              </w:rPr>
              <w:t>Critical</w:t>
            </w:r>
            <w:r>
              <w:rPr>
                <w:spacing w:val="-15"/>
                <w:sz w:val="24"/>
              </w:rPr>
              <w:t> </w:t>
            </w:r>
            <w:r>
              <w:rPr>
                <w:sz w:val="24"/>
              </w:rPr>
              <w:t>success </w:t>
            </w:r>
            <w:r>
              <w:rPr>
                <w:spacing w:val="-2"/>
                <w:sz w:val="24"/>
              </w:rPr>
              <w:t>factors</w:t>
            </w:r>
          </w:p>
        </w:tc>
        <w:tc>
          <w:tcPr>
            <w:tcW w:w="2997" w:type="dxa"/>
          </w:tcPr>
          <w:p>
            <w:pPr>
              <w:pStyle w:val="TableParagraph"/>
              <w:spacing w:before="114"/>
              <w:rPr>
                <w:b/>
                <w:sz w:val="24"/>
              </w:rPr>
            </w:pPr>
          </w:p>
          <w:p>
            <w:pPr>
              <w:pStyle w:val="TableParagraph"/>
              <w:spacing w:before="1"/>
              <w:ind w:left="416"/>
              <w:rPr>
                <w:sz w:val="24"/>
              </w:rPr>
            </w:pPr>
            <w:r>
              <w:rPr>
                <w:sz w:val="24"/>
              </w:rPr>
              <w:t>Sig.</w:t>
            </w:r>
            <w:r>
              <w:rPr>
                <w:spacing w:val="-5"/>
                <w:sz w:val="24"/>
              </w:rPr>
              <w:t> </w:t>
            </w:r>
            <w:r>
              <w:rPr>
                <w:sz w:val="24"/>
              </w:rPr>
              <w:t>(2-</w:t>
            </w:r>
            <w:r>
              <w:rPr>
                <w:spacing w:val="-2"/>
                <w:sz w:val="24"/>
              </w:rPr>
              <w:t>tailed)</w:t>
            </w:r>
          </w:p>
        </w:tc>
        <w:tc>
          <w:tcPr>
            <w:tcW w:w="1295" w:type="dxa"/>
          </w:tcPr>
          <w:p>
            <w:pPr>
              <w:pStyle w:val="TableParagraph"/>
              <w:rPr>
                <w:sz w:val="24"/>
              </w:rPr>
            </w:pPr>
          </w:p>
        </w:tc>
        <w:tc>
          <w:tcPr>
            <w:tcW w:w="1365" w:type="dxa"/>
          </w:tcPr>
          <w:p>
            <w:pPr>
              <w:pStyle w:val="TableParagraph"/>
              <w:spacing w:before="114"/>
              <w:rPr>
                <w:b/>
                <w:sz w:val="24"/>
              </w:rPr>
            </w:pPr>
          </w:p>
          <w:p>
            <w:pPr>
              <w:pStyle w:val="TableParagraph"/>
              <w:spacing w:before="1"/>
              <w:ind w:right="179"/>
              <w:jc w:val="right"/>
              <w:rPr>
                <w:sz w:val="24"/>
              </w:rPr>
            </w:pPr>
            <w:r>
              <w:rPr>
                <w:spacing w:val="-4"/>
                <w:sz w:val="24"/>
              </w:rPr>
              <w:t>.022</w:t>
            </w:r>
          </w:p>
        </w:tc>
        <w:tc>
          <w:tcPr>
            <w:tcW w:w="1198" w:type="dxa"/>
          </w:tcPr>
          <w:p>
            <w:pPr>
              <w:pStyle w:val="TableParagraph"/>
              <w:spacing w:before="114"/>
              <w:rPr>
                <w:b/>
                <w:sz w:val="24"/>
              </w:rPr>
            </w:pPr>
          </w:p>
          <w:p>
            <w:pPr>
              <w:pStyle w:val="TableParagraph"/>
              <w:spacing w:before="1"/>
              <w:ind w:right="59"/>
              <w:jc w:val="right"/>
              <w:rPr>
                <w:sz w:val="24"/>
              </w:rPr>
            </w:pPr>
            <w:r>
              <w:rPr>
                <w:spacing w:val="-2"/>
                <w:sz w:val="24"/>
              </w:rPr>
              <w:t>-</w:t>
            </w:r>
            <w:r>
              <w:rPr>
                <w:spacing w:val="-4"/>
                <w:sz w:val="24"/>
              </w:rPr>
              <w:t>.002</w:t>
            </w:r>
          </w:p>
        </w:tc>
      </w:tr>
      <w:tr>
        <w:trPr>
          <w:trHeight w:val="600" w:hRule="atLeast"/>
        </w:trPr>
        <w:tc>
          <w:tcPr>
            <w:tcW w:w="1974" w:type="dxa"/>
          </w:tcPr>
          <w:p>
            <w:pPr>
              <w:pStyle w:val="TableParagraph"/>
              <w:rPr>
                <w:sz w:val="24"/>
              </w:rPr>
            </w:pPr>
          </w:p>
        </w:tc>
        <w:tc>
          <w:tcPr>
            <w:tcW w:w="2997" w:type="dxa"/>
          </w:tcPr>
          <w:p>
            <w:pPr>
              <w:pStyle w:val="TableParagraph"/>
              <w:spacing w:before="104"/>
              <w:ind w:left="416"/>
              <w:rPr>
                <w:sz w:val="24"/>
              </w:rPr>
            </w:pPr>
            <w:r>
              <w:rPr>
                <w:spacing w:val="-10"/>
                <w:sz w:val="24"/>
              </w:rPr>
              <w:t>N</w:t>
            </w:r>
          </w:p>
        </w:tc>
        <w:tc>
          <w:tcPr>
            <w:tcW w:w="1295" w:type="dxa"/>
          </w:tcPr>
          <w:p>
            <w:pPr>
              <w:pStyle w:val="TableParagraph"/>
              <w:spacing w:before="104"/>
              <w:ind w:right="127"/>
              <w:jc w:val="right"/>
              <w:rPr>
                <w:sz w:val="24"/>
              </w:rPr>
            </w:pPr>
            <w:r>
              <w:rPr>
                <w:spacing w:val="-5"/>
                <w:sz w:val="24"/>
              </w:rPr>
              <w:t>10</w:t>
            </w:r>
          </w:p>
        </w:tc>
        <w:tc>
          <w:tcPr>
            <w:tcW w:w="1365" w:type="dxa"/>
          </w:tcPr>
          <w:p>
            <w:pPr>
              <w:pStyle w:val="TableParagraph"/>
              <w:spacing w:before="104"/>
              <w:ind w:right="179"/>
              <w:jc w:val="right"/>
              <w:rPr>
                <w:sz w:val="24"/>
              </w:rPr>
            </w:pPr>
            <w:r>
              <w:rPr>
                <w:spacing w:val="-5"/>
                <w:sz w:val="24"/>
              </w:rPr>
              <w:t>10</w:t>
            </w:r>
          </w:p>
        </w:tc>
        <w:tc>
          <w:tcPr>
            <w:tcW w:w="1198" w:type="dxa"/>
          </w:tcPr>
          <w:p>
            <w:pPr>
              <w:pStyle w:val="TableParagraph"/>
              <w:spacing w:before="104"/>
              <w:ind w:right="59"/>
              <w:jc w:val="right"/>
              <w:rPr>
                <w:sz w:val="24"/>
              </w:rPr>
            </w:pPr>
            <w:r>
              <w:rPr>
                <w:spacing w:val="-5"/>
                <w:sz w:val="24"/>
              </w:rPr>
              <w:t>10</w:t>
            </w:r>
          </w:p>
        </w:tc>
      </w:tr>
      <w:tr>
        <w:trPr>
          <w:trHeight w:val="583" w:hRule="atLeast"/>
        </w:trPr>
        <w:tc>
          <w:tcPr>
            <w:tcW w:w="1974" w:type="dxa"/>
          </w:tcPr>
          <w:p>
            <w:pPr>
              <w:pStyle w:val="TableParagraph"/>
              <w:rPr>
                <w:sz w:val="24"/>
              </w:rPr>
            </w:pPr>
          </w:p>
        </w:tc>
        <w:tc>
          <w:tcPr>
            <w:tcW w:w="2997" w:type="dxa"/>
          </w:tcPr>
          <w:p>
            <w:pPr>
              <w:pStyle w:val="TableParagraph"/>
              <w:spacing w:before="209"/>
              <w:ind w:left="416"/>
              <w:rPr>
                <w:sz w:val="24"/>
              </w:rPr>
            </w:pPr>
            <w:r>
              <w:rPr>
                <w:sz w:val="24"/>
              </w:rPr>
              <w:t>Pearson</w:t>
            </w:r>
            <w:r>
              <w:rPr>
                <w:spacing w:val="-3"/>
                <w:sz w:val="24"/>
              </w:rPr>
              <w:t> </w:t>
            </w:r>
            <w:r>
              <w:rPr>
                <w:spacing w:val="-2"/>
                <w:sz w:val="24"/>
              </w:rPr>
              <w:t>Correlation</w:t>
            </w:r>
          </w:p>
        </w:tc>
        <w:tc>
          <w:tcPr>
            <w:tcW w:w="1295" w:type="dxa"/>
          </w:tcPr>
          <w:p>
            <w:pPr>
              <w:pStyle w:val="TableParagraph"/>
              <w:spacing w:before="209"/>
              <w:ind w:right="127"/>
              <w:jc w:val="right"/>
              <w:rPr>
                <w:sz w:val="24"/>
              </w:rPr>
            </w:pPr>
            <w:r>
              <w:rPr>
                <w:spacing w:val="-2"/>
                <w:sz w:val="24"/>
              </w:rPr>
              <w:t>-</w:t>
            </w:r>
            <w:r>
              <w:rPr>
                <w:spacing w:val="-4"/>
                <w:sz w:val="24"/>
              </w:rPr>
              <w:t>.400</w:t>
            </w:r>
          </w:p>
        </w:tc>
        <w:tc>
          <w:tcPr>
            <w:tcW w:w="1365" w:type="dxa"/>
          </w:tcPr>
          <w:p>
            <w:pPr>
              <w:pStyle w:val="TableParagraph"/>
              <w:spacing w:before="209"/>
              <w:ind w:right="179"/>
              <w:jc w:val="right"/>
              <w:rPr>
                <w:sz w:val="24"/>
              </w:rPr>
            </w:pPr>
            <w:r>
              <w:rPr>
                <w:spacing w:val="-10"/>
                <w:sz w:val="24"/>
              </w:rPr>
              <w:t>1</w:t>
            </w:r>
          </w:p>
        </w:tc>
        <w:tc>
          <w:tcPr>
            <w:tcW w:w="1198" w:type="dxa"/>
          </w:tcPr>
          <w:p>
            <w:pPr>
              <w:pStyle w:val="TableParagraph"/>
              <w:spacing w:before="209"/>
              <w:ind w:right="59"/>
              <w:jc w:val="right"/>
              <w:rPr>
                <w:sz w:val="24"/>
              </w:rPr>
            </w:pPr>
            <w:r>
              <w:rPr>
                <w:spacing w:val="-2"/>
                <w:sz w:val="24"/>
              </w:rPr>
              <w:t>-</w:t>
            </w:r>
            <w:r>
              <w:rPr>
                <w:spacing w:val="-4"/>
                <w:sz w:val="24"/>
              </w:rPr>
              <w:t>.104</w:t>
            </w:r>
          </w:p>
        </w:tc>
      </w:tr>
      <w:tr>
        <w:trPr>
          <w:trHeight w:val="345" w:hRule="atLeast"/>
        </w:trPr>
        <w:tc>
          <w:tcPr>
            <w:tcW w:w="1974" w:type="dxa"/>
          </w:tcPr>
          <w:p>
            <w:pPr>
              <w:pStyle w:val="TableParagraph"/>
              <w:spacing w:line="238" w:lineRule="exact" w:before="87"/>
              <w:ind w:left="60"/>
              <w:rPr>
                <w:sz w:val="24"/>
              </w:rPr>
            </w:pPr>
            <w:r>
              <w:rPr>
                <w:spacing w:val="-2"/>
                <w:sz w:val="24"/>
              </w:rPr>
              <w:t>Weakness</w:t>
            </w:r>
          </w:p>
        </w:tc>
        <w:tc>
          <w:tcPr>
            <w:tcW w:w="2997" w:type="dxa"/>
          </w:tcPr>
          <w:p>
            <w:pPr>
              <w:pStyle w:val="TableParagraph"/>
              <w:rPr>
                <w:sz w:val="24"/>
              </w:rPr>
            </w:pPr>
          </w:p>
        </w:tc>
        <w:tc>
          <w:tcPr>
            <w:tcW w:w="1295" w:type="dxa"/>
          </w:tcPr>
          <w:p>
            <w:pPr>
              <w:pStyle w:val="TableParagraph"/>
              <w:rPr>
                <w:sz w:val="24"/>
              </w:rPr>
            </w:pPr>
          </w:p>
        </w:tc>
        <w:tc>
          <w:tcPr>
            <w:tcW w:w="1365" w:type="dxa"/>
          </w:tcPr>
          <w:p>
            <w:pPr>
              <w:pStyle w:val="TableParagraph"/>
              <w:rPr>
                <w:sz w:val="24"/>
              </w:rPr>
            </w:pPr>
          </w:p>
        </w:tc>
        <w:tc>
          <w:tcPr>
            <w:tcW w:w="1198" w:type="dxa"/>
          </w:tcPr>
          <w:p>
            <w:pPr>
              <w:pStyle w:val="TableParagraph"/>
              <w:rPr>
                <w:sz w:val="24"/>
              </w:rPr>
            </w:pPr>
          </w:p>
        </w:tc>
      </w:tr>
      <w:tr>
        <w:trPr>
          <w:trHeight w:val="345" w:hRule="atLeast"/>
        </w:trPr>
        <w:tc>
          <w:tcPr>
            <w:tcW w:w="1974" w:type="dxa"/>
          </w:tcPr>
          <w:p>
            <w:pPr>
              <w:pStyle w:val="TableParagraph"/>
              <w:rPr>
                <w:sz w:val="24"/>
              </w:rPr>
            </w:pPr>
          </w:p>
        </w:tc>
        <w:tc>
          <w:tcPr>
            <w:tcW w:w="2997" w:type="dxa"/>
          </w:tcPr>
          <w:p>
            <w:pPr>
              <w:pStyle w:val="TableParagraph"/>
              <w:spacing w:line="248" w:lineRule="exact"/>
              <w:ind w:left="416"/>
              <w:rPr>
                <w:sz w:val="24"/>
              </w:rPr>
            </w:pPr>
            <w:r>
              <w:rPr>
                <w:sz w:val="24"/>
              </w:rPr>
              <w:t>Sig.</w:t>
            </w:r>
            <w:r>
              <w:rPr>
                <w:spacing w:val="-5"/>
                <w:sz w:val="24"/>
              </w:rPr>
              <w:t> </w:t>
            </w:r>
            <w:r>
              <w:rPr>
                <w:sz w:val="24"/>
              </w:rPr>
              <w:t>(2-</w:t>
            </w:r>
            <w:r>
              <w:rPr>
                <w:spacing w:val="-2"/>
                <w:sz w:val="24"/>
              </w:rPr>
              <w:t>tailed)</w:t>
            </w:r>
          </w:p>
        </w:tc>
        <w:tc>
          <w:tcPr>
            <w:tcW w:w="1295" w:type="dxa"/>
          </w:tcPr>
          <w:p>
            <w:pPr>
              <w:pStyle w:val="TableParagraph"/>
              <w:spacing w:line="248" w:lineRule="exact"/>
              <w:ind w:right="127"/>
              <w:jc w:val="right"/>
              <w:rPr>
                <w:sz w:val="24"/>
              </w:rPr>
            </w:pPr>
            <w:r>
              <w:rPr>
                <w:spacing w:val="-4"/>
                <w:sz w:val="24"/>
              </w:rPr>
              <w:t>.022</w:t>
            </w:r>
          </w:p>
        </w:tc>
        <w:tc>
          <w:tcPr>
            <w:tcW w:w="1365" w:type="dxa"/>
          </w:tcPr>
          <w:p>
            <w:pPr>
              <w:pStyle w:val="TableParagraph"/>
              <w:rPr>
                <w:sz w:val="24"/>
              </w:rPr>
            </w:pPr>
          </w:p>
        </w:tc>
        <w:tc>
          <w:tcPr>
            <w:tcW w:w="1198" w:type="dxa"/>
          </w:tcPr>
          <w:p>
            <w:pPr>
              <w:pStyle w:val="TableParagraph"/>
              <w:spacing w:line="248" w:lineRule="exact"/>
              <w:ind w:right="59"/>
              <w:jc w:val="right"/>
              <w:rPr>
                <w:sz w:val="24"/>
              </w:rPr>
            </w:pPr>
            <w:r>
              <w:rPr>
                <w:spacing w:val="-4"/>
                <w:sz w:val="24"/>
              </w:rPr>
              <w:t>.775</w:t>
            </w:r>
          </w:p>
        </w:tc>
      </w:tr>
      <w:tr>
        <w:trPr>
          <w:trHeight w:val="575" w:hRule="atLeast"/>
        </w:trPr>
        <w:tc>
          <w:tcPr>
            <w:tcW w:w="1974" w:type="dxa"/>
          </w:tcPr>
          <w:p>
            <w:pPr>
              <w:pStyle w:val="TableParagraph"/>
              <w:rPr>
                <w:sz w:val="24"/>
              </w:rPr>
            </w:pPr>
          </w:p>
        </w:tc>
        <w:tc>
          <w:tcPr>
            <w:tcW w:w="2997" w:type="dxa"/>
          </w:tcPr>
          <w:p>
            <w:pPr>
              <w:pStyle w:val="TableParagraph"/>
              <w:spacing w:before="87"/>
              <w:ind w:left="416"/>
              <w:rPr>
                <w:sz w:val="24"/>
              </w:rPr>
            </w:pPr>
            <w:r>
              <w:rPr>
                <w:spacing w:val="-10"/>
                <w:sz w:val="24"/>
              </w:rPr>
              <w:t>N</w:t>
            </w:r>
          </w:p>
        </w:tc>
        <w:tc>
          <w:tcPr>
            <w:tcW w:w="1295" w:type="dxa"/>
          </w:tcPr>
          <w:p>
            <w:pPr>
              <w:pStyle w:val="TableParagraph"/>
              <w:spacing w:before="87"/>
              <w:ind w:right="127"/>
              <w:jc w:val="right"/>
              <w:rPr>
                <w:sz w:val="24"/>
              </w:rPr>
            </w:pPr>
            <w:r>
              <w:rPr>
                <w:spacing w:val="-5"/>
                <w:sz w:val="24"/>
              </w:rPr>
              <w:t>10</w:t>
            </w:r>
          </w:p>
        </w:tc>
        <w:tc>
          <w:tcPr>
            <w:tcW w:w="1365" w:type="dxa"/>
          </w:tcPr>
          <w:p>
            <w:pPr>
              <w:pStyle w:val="TableParagraph"/>
              <w:spacing w:before="87"/>
              <w:ind w:right="179"/>
              <w:jc w:val="right"/>
              <w:rPr>
                <w:sz w:val="24"/>
              </w:rPr>
            </w:pPr>
            <w:r>
              <w:rPr>
                <w:spacing w:val="-5"/>
                <w:sz w:val="24"/>
              </w:rPr>
              <w:t>10</w:t>
            </w:r>
          </w:p>
        </w:tc>
        <w:tc>
          <w:tcPr>
            <w:tcW w:w="1198" w:type="dxa"/>
          </w:tcPr>
          <w:p>
            <w:pPr>
              <w:pStyle w:val="TableParagraph"/>
              <w:spacing w:before="87"/>
              <w:ind w:right="59"/>
              <w:jc w:val="right"/>
              <w:rPr>
                <w:sz w:val="24"/>
              </w:rPr>
            </w:pPr>
            <w:r>
              <w:rPr>
                <w:spacing w:val="-5"/>
                <w:sz w:val="24"/>
              </w:rPr>
              <w:t>10</w:t>
            </w:r>
          </w:p>
        </w:tc>
      </w:tr>
      <w:tr>
        <w:trPr>
          <w:trHeight w:val="592" w:hRule="atLeast"/>
        </w:trPr>
        <w:tc>
          <w:tcPr>
            <w:tcW w:w="1974" w:type="dxa"/>
          </w:tcPr>
          <w:p>
            <w:pPr>
              <w:pStyle w:val="TableParagraph"/>
              <w:rPr>
                <w:sz w:val="24"/>
              </w:rPr>
            </w:pPr>
          </w:p>
        </w:tc>
        <w:tc>
          <w:tcPr>
            <w:tcW w:w="2997" w:type="dxa"/>
          </w:tcPr>
          <w:p>
            <w:pPr>
              <w:pStyle w:val="TableParagraph"/>
              <w:spacing w:before="202"/>
              <w:ind w:left="416"/>
              <w:rPr>
                <w:sz w:val="24"/>
              </w:rPr>
            </w:pPr>
            <w:r>
              <w:rPr>
                <w:sz w:val="24"/>
              </w:rPr>
              <w:t>Pearson</w:t>
            </w:r>
            <w:r>
              <w:rPr>
                <w:spacing w:val="-3"/>
                <w:sz w:val="24"/>
              </w:rPr>
              <w:t> </w:t>
            </w:r>
            <w:r>
              <w:rPr>
                <w:spacing w:val="-2"/>
                <w:sz w:val="24"/>
              </w:rPr>
              <w:t>Correlation</w:t>
            </w:r>
          </w:p>
        </w:tc>
        <w:tc>
          <w:tcPr>
            <w:tcW w:w="1295" w:type="dxa"/>
          </w:tcPr>
          <w:p>
            <w:pPr>
              <w:pStyle w:val="TableParagraph"/>
              <w:spacing w:before="202"/>
              <w:ind w:right="127"/>
              <w:jc w:val="right"/>
              <w:rPr>
                <w:sz w:val="24"/>
              </w:rPr>
            </w:pPr>
            <w:r>
              <w:rPr>
                <w:spacing w:val="-2"/>
                <w:sz w:val="24"/>
              </w:rPr>
              <w:t>-</w:t>
            </w:r>
            <w:r>
              <w:rPr>
                <w:spacing w:val="-4"/>
                <w:sz w:val="24"/>
              </w:rPr>
              <w:t>.353</w:t>
            </w:r>
          </w:p>
        </w:tc>
        <w:tc>
          <w:tcPr>
            <w:tcW w:w="1365" w:type="dxa"/>
          </w:tcPr>
          <w:p>
            <w:pPr>
              <w:pStyle w:val="TableParagraph"/>
              <w:spacing w:before="202"/>
              <w:ind w:right="179"/>
              <w:jc w:val="right"/>
              <w:rPr>
                <w:sz w:val="24"/>
              </w:rPr>
            </w:pPr>
            <w:r>
              <w:rPr>
                <w:spacing w:val="-2"/>
                <w:sz w:val="24"/>
              </w:rPr>
              <w:t>-</w:t>
            </w:r>
            <w:r>
              <w:rPr>
                <w:spacing w:val="-4"/>
                <w:sz w:val="24"/>
              </w:rPr>
              <w:t>.104</w:t>
            </w:r>
          </w:p>
        </w:tc>
        <w:tc>
          <w:tcPr>
            <w:tcW w:w="1198" w:type="dxa"/>
          </w:tcPr>
          <w:p>
            <w:pPr>
              <w:pStyle w:val="TableParagraph"/>
              <w:spacing w:before="202"/>
              <w:ind w:right="59"/>
              <w:jc w:val="right"/>
              <w:rPr>
                <w:sz w:val="24"/>
              </w:rPr>
            </w:pPr>
            <w:r>
              <w:rPr>
                <w:spacing w:val="-10"/>
                <w:sz w:val="24"/>
              </w:rPr>
              <w:t>1</w:t>
            </w:r>
          </w:p>
        </w:tc>
      </w:tr>
      <w:tr>
        <w:trPr>
          <w:trHeight w:val="704" w:hRule="atLeast"/>
        </w:trPr>
        <w:tc>
          <w:tcPr>
            <w:tcW w:w="1974" w:type="dxa"/>
          </w:tcPr>
          <w:p>
            <w:pPr>
              <w:pStyle w:val="TableParagraph"/>
              <w:spacing w:before="104"/>
              <w:ind w:left="60"/>
              <w:rPr>
                <w:sz w:val="24"/>
              </w:rPr>
            </w:pPr>
            <w:r>
              <w:rPr>
                <w:spacing w:val="-2"/>
                <w:sz w:val="24"/>
              </w:rPr>
              <w:t>Threats</w:t>
            </w:r>
          </w:p>
        </w:tc>
        <w:tc>
          <w:tcPr>
            <w:tcW w:w="2997" w:type="dxa"/>
          </w:tcPr>
          <w:p>
            <w:pPr>
              <w:pStyle w:val="TableParagraph"/>
              <w:spacing w:before="36"/>
              <w:rPr>
                <w:b/>
                <w:sz w:val="24"/>
              </w:rPr>
            </w:pPr>
          </w:p>
          <w:p>
            <w:pPr>
              <w:pStyle w:val="TableParagraph"/>
              <w:spacing w:before="1"/>
              <w:ind w:left="416"/>
              <w:rPr>
                <w:sz w:val="24"/>
              </w:rPr>
            </w:pPr>
            <w:r>
              <w:rPr>
                <w:sz w:val="24"/>
              </w:rPr>
              <w:t>Sig.</w:t>
            </w:r>
            <w:r>
              <w:rPr>
                <w:spacing w:val="-5"/>
                <w:sz w:val="24"/>
              </w:rPr>
              <w:t> </w:t>
            </w:r>
            <w:r>
              <w:rPr>
                <w:sz w:val="24"/>
              </w:rPr>
              <w:t>(2-</w:t>
            </w:r>
            <w:r>
              <w:rPr>
                <w:spacing w:val="-2"/>
                <w:sz w:val="24"/>
              </w:rPr>
              <w:t>tailed)</w:t>
            </w:r>
          </w:p>
        </w:tc>
        <w:tc>
          <w:tcPr>
            <w:tcW w:w="1295" w:type="dxa"/>
          </w:tcPr>
          <w:p>
            <w:pPr>
              <w:pStyle w:val="TableParagraph"/>
              <w:spacing w:before="36"/>
              <w:rPr>
                <w:b/>
                <w:sz w:val="24"/>
              </w:rPr>
            </w:pPr>
          </w:p>
          <w:p>
            <w:pPr>
              <w:pStyle w:val="TableParagraph"/>
              <w:spacing w:before="1"/>
              <w:ind w:right="127"/>
              <w:jc w:val="right"/>
              <w:rPr>
                <w:sz w:val="24"/>
              </w:rPr>
            </w:pPr>
            <w:r>
              <w:rPr>
                <w:spacing w:val="-2"/>
                <w:sz w:val="24"/>
              </w:rPr>
              <w:t>-</w:t>
            </w:r>
            <w:r>
              <w:rPr>
                <w:spacing w:val="-4"/>
                <w:sz w:val="24"/>
              </w:rPr>
              <w:t>.002</w:t>
            </w:r>
          </w:p>
        </w:tc>
        <w:tc>
          <w:tcPr>
            <w:tcW w:w="1365" w:type="dxa"/>
          </w:tcPr>
          <w:p>
            <w:pPr>
              <w:pStyle w:val="TableParagraph"/>
              <w:spacing w:before="36"/>
              <w:rPr>
                <w:b/>
                <w:sz w:val="24"/>
              </w:rPr>
            </w:pPr>
          </w:p>
          <w:p>
            <w:pPr>
              <w:pStyle w:val="TableParagraph"/>
              <w:spacing w:before="1"/>
              <w:ind w:right="179"/>
              <w:jc w:val="right"/>
              <w:rPr>
                <w:sz w:val="24"/>
              </w:rPr>
            </w:pPr>
            <w:r>
              <w:rPr>
                <w:spacing w:val="-4"/>
                <w:sz w:val="24"/>
              </w:rPr>
              <w:t>.775</w:t>
            </w:r>
          </w:p>
        </w:tc>
        <w:tc>
          <w:tcPr>
            <w:tcW w:w="1198" w:type="dxa"/>
          </w:tcPr>
          <w:p>
            <w:pPr>
              <w:pStyle w:val="TableParagraph"/>
              <w:rPr>
                <w:sz w:val="24"/>
              </w:rPr>
            </w:pPr>
          </w:p>
        </w:tc>
      </w:tr>
      <w:tr>
        <w:trPr>
          <w:trHeight w:val="501" w:hRule="atLeast"/>
        </w:trPr>
        <w:tc>
          <w:tcPr>
            <w:tcW w:w="1974" w:type="dxa"/>
            <w:tcBorders>
              <w:bottom w:val="single" w:sz="4" w:space="0" w:color="000000"/>
            </w:tcBorders>
          </w:tcPr>
          <w:p>
            <w:pPr>
              <w:pStyle w:val="TableParagraph"/>
              <w:rPr>
                <w:sz w:val="24"/>
              </w:rPr>
            </w:pPr>
          </w:p>
        </w:tc>
        <w:tc>
          <w:tcPr>
            <w:tcW w:w="2997" w:type="dxa"/>
            <w:tcBorders>
              <w:bottom w:val="single" w:sz="4" w:space="0" w:color="000000"/>
            </w:tcBorders>
          </w:tcPr>
          <w:p>
            <w:pPr>
              <w:pStyle w:val="TableParagraph"/>
              <w:spacing w:before="105"/>
              <w:ind w:left="416"/>
              <w:rPr>
                <w:sz w:val="24"/>
              </w:rPr>
            </w:pPr>
            <w:r>
              <w:rPr>
                <w:spacing w:val="-10"/>
                <w:sz w:val="24"/>
              </w:rPr>
              <w:t>N</w:t>
            </w:r>
          </w:p>
        </w:tc>
        <w:tc>
          <w:tcPr>
            <w:tcW w:w="1295" w:type="dxa"/>
            <w:tcBorders>
              <w:bottom w:val="single" w:sz="4" w:space="0" w:color="000000"/>
            </w:tcBorders>
          </w:tcPr>
          <w:p>
            <w:pPr>
              <w:pStyle w:val="TableParagraph"/>
              <w:spacing w:before="105"/>
              <w:ind w:right="127"/>
              <w:jc w:val="right"/>
              <w:rPr>
                <w:sz w:val="24"/>
              </w:rPr>
            </w:pPr>
            <w:r>
              <w:rPr>
                <w:spacing w:val="-5"/>
                <w:sz w:val="24"/>
              </w:rPr>
              <w:t>10</w:t>
            </w:r>
          </w:p>
        </w:tc>
        <w:tc>
          <w:tcPr>
            <w:tcW w:w="1365" w:type="dxa"/>
            <w:tcBorders>
              <w:bottom w:val="single" w:sz="4" w:space="0" w:color="000000"/>
            </w:tcBorders>
          </w:tcPr>
          <w:p>
            <w:pPr>
              <w:pStyle w:val="TableParagraph"/>
              <w:spacing w:before="105"/>
              <w:ind w:right="179"/>
              <w:jc w:val="right"/>
              <w:rPr>
                <w:sz w:val="24"/>
              </w:rPr>
            </w:pPr>
            <w:r>
              <w:rPr>
                <w:spacing w:val="-5"/>
                <w:sz w:val="24"/>
              </w:rPr>
              <w:t>10</w:t>
            </w:r>
          </w:p>
        </w:tc>
        <w:tc>
          <w:tcPr>
            <w:tcW w:w="1198" w:type="dxa"/>
            <w:tcBorders>
              <w:bottom w:val="single" w:sz="4" w:space="0" w:color="000000"/>
            </w:tcBorders>
          </w:tcPr>
          <w:p>
            <w:pPr>
              <w:pStyle w:val="TableParagraph"/>
              <w:spacing w:before="105"/>
              <w:ind w:right="59"/>
              <w:jc w:val="right"/>
              <w:rPr>
                <w:sz w:val="24"/>
              </w:rPr>
            </w:pPr>
            <w:r>
              <w:rPr>
                <w:spacing w:val="-5"/>
                <w:sz w:val="24"/>
              </w:rPr>
              <w:t>10</w:t>
            </w:r>
          </w:p>
        </w:tc>
      </w:tr>
    </w:tbl>
    <w:p>
      <w:pPr>
        <w:pStyle w:val="BodyText"/>
        <w:rPr>
          <w:b/>
        </w:rPr>
      </w:pPr>
    </w:p>
    <w:p>
      <w:pPr>
        <w:pStyle w:val="BodyText"/>
        <w:spacing w:before="196"/>
        <w:rPr>
          <w:b/>
        </w:rPr>
      </w:pPr>
    </w:p>
    <w:p>
      <w:pPr>
        <w:pStyle w:val="BodyText"/>
        <w:spacing w:line="480" w:lineRule="auto"/>
        <w:ind w:left="399" w:right="1317"/>
        <w:jc w:val="both"/>
      </w:pPr>
      <w:r>
        <w:rPr/>
        <w:t>From the result, weakness having the correlation coefficient of (-0.400) indicates that weakness negatively</w:t>
      </w:r>
      <w:r>
        <w:rPr>
          <w:spacing w:val="-2"/>
        </w:rPr>
        <w:t> </w:t>
      </w:r>
      <w:r>
        <w:rPr/>
        <w:t>impact on the critical success factor and threats also having the correlation coefficient to be (-0.353) negative coefficient indicating decrease in critical success factors as a result of increase in weakness and threats, a unit increase in weakness and threats will lead to decrease in critical social factor on the average.</w:t>
      </w:r>
    </w:p>
    <w:p>
      <w:pPr>
        <w:pStyle w:val="BodyText"/>
        <w:spacing w:line="480" w:lineRule="auto" w:before="202"/>
        <w:ind w:left="399" w:right="1320"/>
        <w:jc w:val="both"/>
      </w:pPr>
      <w:r>
        <w:rPr/>
        <w:t>More so, the result of the probability value in the above table having the P-value less than 0.05 indicates that weakness and threats have significant impact on critical success factor.</w:t>
      </w:r>
    </w:p>
    <w:p>
      <w:pPr>
        <w:spacing w:after="0" w:line="480" w:lineRule="auto"/>
        <w:jc w:val="both"/>
        <w:sectPr>
          <w:pgSz w:w="12240" w:h="15840"/>
          <w:pgMar w:header="0" w:footer="1017" w:top="1360" w:bottom="1200" w:left="1040" w:right="120"/>
        </w:sectPr>
      </w:pPr>
    </w:p>
    <w:p>
      <w:pPr>
        <w:pStyle w:val="Heading2"/>
        <w:numPr>
          <w:ilvl w:val="1"/>
          <w:numId w:val="46"/>
        </w:numPr>
        <w:tabs>
          <w:tab w:pos="1180" w:val="left" w:leader="none"/>
        </w:tabs>
        <w:spacing w:line="480" w:lineRule="auto" w:before="76" w:after="0"/>
        <w:ind w:left="400" w:right="1319" w:firstLine="0"/>
        <w:jc w:val="both"/>
      </w:pPr>
      <w:r>
        <w:rPr/>
        <w:t>Identify the Relationship between Implementation of TQM and Competitive </w:t>
      </w:r>
      <w:r>
        <w:rPr>
          <w:spacing w:val="-2"/>
        </w:rPr>
        <w:t>advantage.</w:t>
      </w:r>
    </w:p>
    <w:p>
      <w:pPr>
        <w:pStyle w:val="BodyText"/>
        <w:spacing w:line="480" w:lineRule="auto" w:before="157"/>
        <w:ind w:left="400" w:right="1317"/>
        <w:jc w:val="both"/>
      </w:pPr>
      <w:r>
        <w:rPr/>
        <w:t>Another objective of the study was to identify the relationship between implementation of TQM and Competitive advantage.</w:t>
      </w:r>
      <w:r>
        <w:rPr>
          <w:spacing w:val="40"/>
        </w:rPr>
        <w:t> </w:t>
      </w:r>
      <w:r>
        <w:rPr/>
        <w:t>In other to achieve this objective, a hypothesis was postulated. To test the hypothesis, a simple linear Regression and correlation was used. Then, the results were presented using the model summary ANOVA and coefficients model.</w:t>
      </w:r>
    </w:p>
    <w:p>
      <w:pPr>
        <w:pStyle w:val="BodyText"/>
        <w:spacing w:before="72"/>
      </w:pPr>
    </w:p>
    <w:p>
      <w:pPr>
        <w:pStyle w:val="Heading2"/>
        <w:numPr>
          <w:ilvl w:val="2"/>
          <w:numId w:val="46"/>
        </w:numPr>
        <w:tabs>
          <w:tab w:pos="940" w:val="left" w:leader="none"/>
        </w:tabs>
        <w:spacing w:line="240" w:lineRule="auto" w:before="0" w:after="0"/>
        <w:ind w:left="940" w:right="0" w:hanging="540"/>
        <w:jc w:val="left"/>
      </w:pPr>
      <w:r>
        <w:rPr/>
        <w:t>Hypothesis</w:t>
      </w:r>
      <w:r>
        <w:rPr>
          <w:spacing w:val="-2"/>
        </w:rPr>
        <w:t> three</w:t>
      </w:r>
    </w:p>
    <w:p>
      <w:pPr>
        <w:pStyle w:val="BodyText"/>
        <w:spacing w:line="480" w:lineRule="auto" w:before="271"/>
        <w:ind w:left="400" w:right="1315"/>
      </w:pPr>
      <w:r>
        <w:rPr/>
        <w:t>There</w:t>
      </w:r>
      <w:r>
        <w:rPr>
          <w:spacing w:val="80"/>
        </w:rPr>
        <w:t> </w:t>
      </w:r>
      <w:r>
        <w:rPr/>
        <w:t>is</w:t>
      </w:r>
      <w:r>
        <w:rPr>
          <w:spacing w:val="80"/>
        </w:rPr>
        <w:t> </w:t>
      </w:r>
      <w:r>
        <w:rPr/>
        <w:t>no</w:t>
      </w:r>
      <w:r>
        <w:rPr>
          <w:spacing w:val="80"/>
        </w:rPr>
        <w:t> </w:t>
      </w:r>
      <w:r>
        <w:rPr/>
        <w:t>significant</w:t>
      </w:r>
      <w:r>
        <w:rPr>
          <w:spacing w:val="80"/>
        </w:rPr>
        <w:t> </w:t>
      </w:r>
      <w:r>
        <w:rPr/>
        <w:t>relationship</w:t>
      </w:r>
      <w:r>
        <w:rPr>
          <w:spacing w:val="80"/>
        </w:rPr>
        <w:t> </w:t>
      </w:r>
      <w:r>
        <w:rPr/>
        <w:t>between</w:t>
      </w:r>
      <w:r>
        <w:rPr>
          <w:spacing w:val="80"/>
        </w:rPr>
        <w:t> </w:t>
      </w:r>
      <w:r>
        <w:rPr/>
        <w:t>implementation</w:t>
      </w:r>
      <w:r>
        <w:rPr>
          <w:spacing w:val="80"/>
        </w:rPr>
        <w:t> </w:t>
      </w:r>
      <w:r>
        <w:rPr/>
        <w:t>of</w:t>
      </w:r>
      <w:r>
        <w:rPr>
          <w:spacing w:val="80"/>
        </w:rPr>
        <w:t> </w:t>
      </w:r>
      <w:r>
        <w:rPr/>
        <w:t>TQM</w:t>
      </w:r>
      <w:r>
        <w:rPr>
          <w:spacing w:val="80"/>
        </w:rPr>
        <w:t> </w:t>
      </w:r>
      <w:r>
        <w:rPr/>
        <w:t>and</w:t>
      </w:r>
      <w:r>
        <w:rPr>
          <w:spacing w:val="80"/>
        </w:rPr>
        <w:t> </w:t>
      </w:r>
      <w:r>
        <w:rPr/>
        <w:t>Competitive</w:t>
      </w:r>
      <w:r>
        <w:rPr>
          <w:spacing w:val="80"/>
        </w:rPr>
        <w:t> </w:t>
      </w:r>
      <w:r>
        <w:rPr>
          <w:spacing w:val="-2"/>
        </w:rPr>
        <w:t>Advantages</w:t>
      </w:r>
    </w:p>
    <w:p>
      <w:pPr>
        <w:pStyle w:val="Heading2"/>
        <w:spacing w:before="5"/>
        <w:ind w:left="399"/>
        <w:jc w:val="left"/>
      </w:pPr>
      <w:r>
        <w:rPr/>
        <w:t>Data</w:t>
      </w:r>
      <w:r>
        <w:rPr>
          <w:spacing w:val="-2"/>
        </w:rPr>
        <w:t> </w:t>
      </w:r>
      <w:r>
        <w:rPr/>
        <w:t>Used:</w:t>
      </w:r>
      <w:r>
        <w:rPr>
          <w:spacing w:val="-2"/>
        </w:rPr>
        <w:t> </w:t>
      </w:r>
      <w:r>
        <w:rPr/>
        <w:t>Table</w:t>
      </w:r>
      <w:r>
        <w:rPr>
          <w:spacing w:val="-2"/>
        </w:rPr>
        <w:t> </w:t>
      </w:r>
      <w:r>
        <w:rPr>
          <w:spacing w:val="-4"/>
        </w:rPr>
        <w:t>5.13</w:t>
      </w:r>
    </w:p>
    <w:p>
      <w:pPr>
        <w:spacing w:before="271"/>
        <w:ind w:left="399" w:right="0" w:firstLine="0"/>
        <w:jc w:val="left"/>
        <w:rPr>
          <w:sz w:val="24"/>
        </w:rPr>
      </w:pPr>
      <w:r>
        <w:rPr>
          <w:b/>
          <w:sz w:val="24"/>
        </w:rPr>
        <w:t>Statistical</w:t>
      </w:r>
      <w:r>
        <w:rPr>
          <w:b/>
          <w:spacing w:val="-2"/>
          <w:sz w:val="24"/>
        </w:rPr>
        <w:t> </w:t>
      </w:r>
      <w:r>
        <w:rPr>
          <w:b/>
          <w:sz w:val="24"/>
        </w:rPr>
        <w:t>tool:</w:t>
      </w:r>
      <w:r>
        <w:rPr>
          <w:b/>
          <w:spacing w:val="-3"/>
          <w:sz w:val="24"/>
        </w:rPr>
        <w:t> </w:t>
      </w:r>
      <w:r>
        <w:rPr>
          <w:sz w:val="24"/>
        </w:rPr>
        <w:t>Simple</w:t>
      </w:r>
      <w:r>
        <w:rPr>
          <w:spacing w:val="-3"/>
          <w:sz w:val="24"/>
        </w:rPr>
        <w:t> </w:t>
      </w:r>
      <w:r>
        <w:rPr>
          <w:sz w:val="24"/>
        </w:rPr>
        <w:t>Linear</w:t>
      </w:r>
      <w:r>
        <w:rPr>
          <w:spacing w:val="-3"/>
          <w:sz w:val="24"/>
        </w:rPr>
        <w:t> </w:t>
      </w:r>
      <w:r>
        <w:rPr>
          <w:sz w:val="24"/>
        </w:rPr>
        <w:t>Regression</w:t>
      </w:r>
      <w:r>
        <w:rPr>
          <w:spacing w:val="-2"/>
          <w:sz w:val="24"/>
        </w:rPr>
        <w:t> </w:t>
      </w:r>
      <w:r>
        <w:rPr>
          <w:sz w:val="24"/>
        </w:rPr>
        <w:t>and</w:t>
      </w:r>
      <w:r>
        <w:rPr>
          <w:spacing w:val="-1"/>
          <w:sz w:val="24"/>
        </w:rPr>
        <w:t> </w:t>
      </w:r>
      <w:r>
        <w:rPr>
          <w:spacing w:val="-2"/>
          <w:sz w:val="24"/>
        </w:rPr>
        <w:t>Correlation</w:t>
      </w:r>
    </w:p>
    <w:p>
      <w:pPr>
        <w:pStyle w:val="BodyText"/>
      </w:pPr>
    </w:p>
    <w:p>
      <w:pPr>
        <w:spacing w:before="0"/>
        <w:ind w:left="460" w:right="0" w:firstLine="0"/>
        <w:jc w:val="left"/>
        <w:rPr>
          <w:sz w:val="24"/>
        </w:rPr>
      </w:pPr>
      <w:r>
        <w:rPr>
          <w:b/>
          <w:sz w:val="24"/>
        </w:rPr>
        <w:t>Data</w:t>
      </w:r>
      <w:r>
        <w:rPr>
          <w:b/>
          <w:spacing w:val="-3"/>
          <w:sz w:val="24"/>
        </w:rPr>
        <w:t> </w:t>
      </w:r>
      <w:r>
        <w:rPr>
          <w:b/>
          <w:sz w:val="24"/>
        </w:rPr>
        <w:t>analysis</w:t>
      </w:r>
      <w:r>
        <w:rPr>
          <w:b/>
          <w:spacing w:val="-2"/>
          <w:sz w:val="24"/>
        </w:rPr>
        <w:t> </w:t>
      </w:r>
      <w:r>
        <w:rPr>
          <w:b/>
          <w:sz w:val="24"/>
        </w:rPr>
        <w:t>software</w:t>
      </w:r>
      <w:r>
        <w:rPr>
          <w:sz w:val="24"/>
        </w:rPr>
        <w:t>:</w:t>
      </w:r>
      <w:r>
        <w:rPr>
          <w:spacing w:val="-2"/>
          <w:sz w:val="24"/>
        </w:rPr>
        <w:t> </w:t>
      </w:r>
      <w:r>
        <w:rPr>
          <w:sz w:val="24"/>
        </w:rPr>
        <w:t>SPSS</w:t>
      </w:r>
      <w:r>
        <w:rPr>
          <w:spacing w:val="-2"/>
          <w:sz w:val="24"/>
        </w:rPr>
        <w:t> </w:t>
      </w:r>
      <w:r>
        <w:rPr>
          <w:sz w:val="24"/>
        </w:rPr>
        <w:t>version</w:t>
      </w:r>
      <w:r>
        <w:rPr>
          <w:spacing w:val="-2"/>
          <w:sz w:val="24"/>
        </w:rPr>
        <w:t> </w:t>
      </w:r>
      <w:r>
        <w:rPr>
          <w:spacing w:val="-5"/>
          <w:sz w:val="24"/>
        </w:rPr>
        <w:t>22</w:t>
      </w:r>
    </w:p>
    <w:p>
      <w:pPr>
        <w:pStyle w:val="BodyText"/>
      </w:pPr>
    </w:p>
    <w:p>
      <w:pPr>
        <w:pStyle w:val="BodyText"/>
        <w:spacing w:line="480" w:lineRule="auto"/>
        <w:ind w:left="399" w:right="1315"/>
      </w:pPr>
      <w:r>
        <w:rPr>
          <w:b/>
        </w:rPr>
        <w:t>Decision</w:t>
      </w:r>
      <w:r>
        <w:rPr>
          <w:b/>
          <w:spacing w:val="40"/>
        </w:rPr>
        <w:t> </w:t>
      </w:r>
      <w:r>
        <w:rPr>
          <w:b/>
        </w:rPr>
        <w:t>Rule:</w:t>
      </w:r>
      <w:r>
        <w:rPr>
          <w:b/>
          <w:spacing w:val="40"/>
        </w:rPr>
        <w:t> </w:t>
      </w:r>
      <w:r>
        <w:rPr/>
        <w:t>Reject</w:t>
      </w:r>
      <w:r>
        <w:rPr>
          <w:spacing w:val="40"/>
        </w:rPr>
        <w:t> </w:t>
      </w:r>
      <w:r>
        <w:rPr/>
        <w:t>the</w:t>
      </w:r>
      <w:r>
        <w:rPr>
          <w:spacing w:val="40"/>
        </w:rPr>
        <w:t> </w:t>
      </w:r>
      <w:r>
        <w:rPr/>
        <w:t>null</w:t>
      </w:r>
      <w:r>
        <w:rPr>
          <w:spacing w:val="40"/>
        </w:rPr>
        <w:t> </w:t>
      </w:r>
      <w:r>
        <w:rPr/>
        <w:t>hypothesis</w:t>
      </w:r>
      <w:r>
        <w:rPr>
          <w:spacing w:val="40"/>
        </w:rPr>
        <w:t> </w:t>
      </w:r>
      <w:r>
        <w:rPr/>
        <w:t>if</w:t>
      </w:r>
      <w:r>
        <w:rPr>
          <w:spacing w:val="40"/>
        </w:rPr>
        <w:t> </w:t>
      </w:r>
      <w:r>
        <w:rPr/>
        <w:t>p-value</w:t>
      </w:r>
      <w:r>
        <w:rPr>
          <w:spacing w:val="40"/>
        </w:rPr>
        <w:t> </w:t>
      </w:r>
      <w:r>
        <w:rPr/>
        <w:t>is</w:t>
      </w:r>
      <w:r>
        <w:rPr>
          <w:spacing w:val="40"/>
        </w:rPr>
        <w:t> </w:t>
      </w:r>
      <w:r>
        <w:rPr/>
        <w:t>less</w:t>
      </w:r>
      <w:r>
        <w:rPr>
          <w:spacing w:val="40"/>
        </w:rPr>
        <w:t> </w:t>
      </w:r>
      <w:r>
        <w:rPr/>
        <w:t>than</w:t>
      </w:r>
      <w:r>
        <w:rPr>
          <w:spacing w:val="40"/>
        </w:rPr>
        <w:t> </w:t>
      </w:r>
      <w:r>
        <w:rPr/>
        <w:t>or</w:t>
      </w:r>
      <w:r>
        <w:rPr>
          <w:spacing w:val="40"/>
        </w:rPr>
        <w:t> </w:t>
      </w:r>
      <w:r>
        <w:rPr/>
        <w:t>equal</w:t>
      </w:r>
      <w:r>
        <w:rPr>
          <w:spacing w:val="40"/>
        </w:rPr>
        <w:t> </w:t>
      </w:r>
      <w:r>
        <w:rPr/>
        <w:t>to</w:t>
      </w:r>
      <w:r>
        <w:rPr>
          <w:spacing w:val="40"/>
        </w:rPr>
        <w:t> </w:t>
      </w:r>
      <w:r>
        <w:rPr/>
        <w:t>0.05</w:t>
      </w:r>
      <w:r>
        <w:rPr>
          <w:spacing w:val="40"/>
        </w:rPr>
        <w:t> </w:t>
      </w:r>
      <w:r>
        <w:rPr/>
        <w:t>[Level</w:t>
      </w:r>
      <w:r>
        <w:rPr>
          <w:spacing w:val="40"/>
        </w:rPr>
        <w:t> </w:t>
      </w:r>
      <w:r>
        <w:rPr/>
        <w:t>of significance (α)]; otherwise do not reject.</w:t>
      </w:r>
    </w:p>
    <w:p>
      <w:pPr>
        <w:spacing w:after="0" w:line="480" w:lineRule="auto"/>
        <w:sectPr>
          <w:pgSz w:w="12240" w:h="15840"/>
          <w:pgMar w:header="0" w:footer="1017" w:top="1360" w:bottom="1200" w:left="1040" w:right="120"/>
        </w:sectPr>
      </w:pPr>
    </w:p>
    <w:p>
      <w:pPr>
        <w:spacing w:before="76"/>
        <w:ind w:left="400" w:right="0" w:firstLine="0"/>
        <w:jc w:val="left"/>
        <w:rPr>
          <w:b/>
          <w:sz w:val="24"/>
        </w:rPr>
      </w:pPr>
      <w:r>
        <w:rPr>
          <w:b/>
          <w:sz w:val="24"/>
        </w:rPr>
        <w:t>Table</w:t>
      </w:r>
      <w:r>
        <w:rPr>
          <w:b/>
          <w:spacing w:val="-5"/>
          <w:sz w:val="24"/>
        </w:rPr>
        <w:t> </w:t>
      </w:r>
      <w:r>
        <w:rPr>
          <w:b/>
          <w:sz w:val="24"/>
        </w:rPr>
        <w:t>5.13</w:t>
      </w:r>
      <w:r>
        <w:rPr>
          <w:b/>
          <w:spacing w:val="-2"/>
          <w:sz w:val="24"/>
        </w:rPr>
        <w:t> </w:t>
      </w:r>
      <w:r>
        <w:rPr>
          <w:b/>
          <w:sz w:val="24"/>
        </w:rPr>
        <w:t>Questions</w:t>
      </w:r>
      <w:r>
        <w:rPr>
          <w:b/>
          <w:spacing w:val="-2"/>
          <w:sz w:val="24"/>
        </w:rPr>
        <w:t> </w:t>
      </w:r>
      <w:r>
        <w:rPr>
          <w:b/>
          <w:sz w:val="24"/>
        </w:rPr>
        <w:t>related</w:t>
      </w:r>
      <w:r>
        <w:rPr>
          <w:b/>
          <w:spacing w:val="-2"/>
          <w:sz w:val="24"/>
        </w:rPr>
        <w:t> </w:t>
      </w:r>
      <w:r>
        <w:rPr>
          <w:b/>
          <w:sz w:val="24"/>
        </w:rPr>
        <w:t>to</w:t>
      </w:r>
      <w:r>
        <w:rPr>
          <w:b/>
          <w:spacing w:val="-2"/>
          <w:sz w:val="24"/>
        </w:rPr>
        <w:t> </w:t>
      </w:r>
      <w:r>
        <w:rPr>
          <w:b/>
          <w:sz w:val="24"/>
        </w:rPr>
        <w:t>Competitive</w:t>
      </w:r>
      <w:r>
        <w:rPr>
          <w:b/>
          <w:spacing w:val="-2"/>
          <w:sz w:val="24"/>
        </w:rPr>
        <w:t> Advantage</w:t>
      </w:r>
    </w:p>
    <w:p>
      <w:pPr>
        <w:pStyle w:val="BodyText"/>
        <w:spacing w:before="5"/>
        <w:rPr>
          <w:b/>
          <w:sz w:val="18"/>
        </w:rPr>
      </w:pPr>
    </w:p>
    <w:tbl>
      <w:tblPr>
        <w:tblW w:w="0" w:type="auto"/>
        <w:jc w:val="left"/>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
        <w:gridCol w:w="6351"/>
        <w:gridCol w:w="1494"/>
        <w:gridCol w:w="1171"/>
      </w:tblGrid>
      <w:tr>
        <w:trPr>
          <w:trHeight w:val="1097" w:hRule="atLeast"/>
        </w:trPr>
        <w:tc>
          <w:tcPr>
            <w:tcW w:w="456" w:type="dxa"/>
          </w:tcPr>
          <w:p>
            <w:pPr>
              <w:pStyle w:val="TableParagraph"/>
              <w:rPr>
                <w:sz w:val="24"/>
              </w:rPr>
            </w:pPr>
          </w:p>
        </w:tc>
        <w:tc>
          <w:tcPr>
            <w:tcW w:w="6351" w:type="dxa"/>
          </w:tcPr>
          <w:p>
            <w:pPr>
              <w:pStyle w:val="TableParagraph"/>
              <w:spacing w:line="266" w:lineRule="exact"/>
              <w:ind w:left="87"/>
              <w:jc w:val="center"/>
              <w:rPr>
                <w:b/>
                <w:sz w:val="24"/>
              </w:rPr>
            </w:pPr>
            <w:r>
              <w:rPr>
                <w:b/>
                <w:spacing w:val="-2"/>
                <w:sz w:val="24"/>
              </w:rPr>
              <w:t>PROFITABILITY</w:t>
            </w:r>
          </w:p>
          <w:p>
            <w:pPr>
              <w:pStyle w:val="TableParagraph"/>
              <w:rPr>
                <w:b/>
                <w:sz w:val="24"/>
              </w:rPr>
            </w:pPr>
          </w:p>
          <w:p>
            <w:pPr>
              <w:pStyle w:val="TableParagraph"/>
              <w:ind w:left="108"/>
              <w:rPr>
                <w:b/>
                <w:sz w:val="24"/>
              </w:rPr>
            </w:pPr>
            <w:r>
              <w:rPr>
                <w:b/>
                <w:spacing w:val="-2"/>
                <w:sz w:val="24"/>
                <w:u w:val="single"/>
              </w:rPr>
              <w:t>Price</w:t>
            </w:r>
          </w:p>
        </w:tc>
        <w:tc>
          <w:tcPr>
            <w:tcW w:w="1494" w:type="dxa"/>
          </w:tcPr>
          <w:p>
            <w:pPr>
              <w:pStyle w:val="TableParagraph"/>
              <w:spacing w:line="266" w:lineRule="exact"/>
              <w:ind w:left="193"/>
              <w:rPr>
                <w:b/>
                <w:sz w:val="24"/>
              </w:rPr>
            </w:pPr>
            <w:r>
              <w:rPr>
                <w:b/>
                <w:spacing w:val="-4"/>
                <w:sz w:val="24"/>
              </w:rPr>
              <w:t>Mean</w:t>
            </w:r>
          </w:p>
        </w:tc>
        <w:tc>
          <w:tcPr>
            <w:tcW w:w="1171" w:type="dxa"/>
          </w:tcPr>
          <w:p>
            <w:pPr>
              <w:pStyle w:val="TableParagraph"/>
              <w:spacing w:line="266" w:lineRule="exact"/>
              <w:ind w:left="108"/>
              <w:rPr>
                <w:b/>
                <w:sz w:val="24"/>
              </w:rPr>
            </w:pPr>
            <w:r>
              <w:rPr>
                <w:b/>
                <w:spacing w:val="-4"/>
                <w:sz w:val="24"/>
              </w:rPr>
              <w:t>SDev</w:t>
            </w:r>
          </w:p>
        </w:tc>
      </w:tr>
      <w:tr>
        <w:trPr>
          <w:trHeight w:val="551" w:hRule="atLeast"/>
        </w:trPr>
        <w:tc>
          <w:tcPr>
            <w:tcW w:w="456" w:type="dxa"/>
            <w:shd w:val="clear" w:color="auto" w:fill="D5DCE4"/>
          </w:tcPr>
          <w:p>
            <w:pPr>
              <w:pStyle w:val="TableParagraph"/>
              <w:spacing w:line="268" w:lineRule="exact"/>
              <w:ind w:right="119"/>
              <w:jc w:val="center"/>
              <w:rPr>
                <w:sz w:val="24"/>
              </w:rPr>
            </w:pPr>
            <w:r>
              <w:rPr>
                <w:spacing w:val="-10"/>
                <w:sz w:val="24"/>
              </w:rPr>
              <w:t>1</w:t>
            </w:r>
          </w:p>
        </w:tc>
        <w:tc>
          <w:tcPr>
            <w:tcW w:w="6351" w:type="dxa"/>
            <w:shd w:val="clear" w:color="auto" w:fill="D5DCE4"/>
          </w:tcPr>
          <w:p>
            <w:pPr>
              <w:pStyle w:val="TableParagraph"/>
              <w:spacing w:line="268" w:lineRule="exact"/>
              <w:ind w:left="108"/>
              <w:rPr>
                <w:sz w:val="24"/>
              </w:rPr>
            </w:pPr>
            <w:r>
              <w:rPr>
                <w:sz w:val="24"/>
              </w:rPr>
              <w:t>Financial</w:t>
            </w:r>
            <w:r>
              <w:rPr>
                <w:spacing w:val="-4"/>
                <w:sz w:val="24"/>
              </w:rPr>
              <w:t> </w:t>
            </w:r>
            <w:r>
              <w:rPr>
                <w:sz w:val="24"/>
              </w:rPr>
              <w:t>performance</w:t>
            </w:r>
            <w:r>
              <w:rPr>
                <w:spacing w:val="-1"/>
                <w:sz w:val="24"/>
              </w:rPr>
              <w:t> </w:t>
            </w:r>
            <w:r>
              <w:rPr>
                <w:sz w:val="24"/>
              </w:rPr>
              <w:t>will</w:t>
            </w:r>
            <w:r>
              <w:rPr>
                <w:spacing w:val="-1"/>
                <w:sz w:val="24"/>
              </w:rPr>
              <w:t> </w:t>
            </w:r>
            <w:r>
              <w:rPr>
                <w:sz w:val="24"/>
              </w:rPr>
              <w:t>be</w:t>
            </w:r>
            <w:r>
              <w:rPr>
                <w:spacing w:val="-2"/>
                <w:sz w:val="24"/>
              </w:rPr>
              <w:t> outstanding</w:t>
            </w:r>
          </w:p>
        </w:tc>
        <w:tc>
          <w:tcPr>
            <w:tcW w:w="1494" w:type="dxa"/>
            <w:shd w:val="clear" w:color="auto" w:fill="D5DCE4"/>
          </w:tcPr>
          <w:p>
            <w:pPr>
              <w:pStyle w:val="TableParagraph"/>
              <w:spacing w:line="268" w:lineRule="exact"/>
              <w:ind w:right="105"/>
              <w:jc w:val="right"/>
              <w:rPr>
                <w:sz w:val="24"/>
              </w:rPr>
            </w:pPr>
            <w:r>
              <w:rPr>
                <w:spacing w:val="-2"/>
                <w:sz w:val="24"/>
              </w:rPr>
              <w:t>3.9736</w:t>
            </w:r>
          </w:p>
        </w:tc>
        <w:tc>
          <w:tcPr>
            <w:tcW w:w="1171" w:type="dxa"/>
            <w:shd w:val="clear" w:color="auto" w:fill="D5DCE4"/>
          </w:tcPr>
          <w:p>
            <w:pPr>
              <w:pStyle w:val="TableParagraph"/>
              <w:spacing w:line="268" w:lineRule="exact"/>
              <w:ind w:right="107"/>
              <w:jc w:val="right"/>
              <w:rPr>
                <w:sz w:val="24"/>
              </w:rPr>
            </w:pPr>
            <w:r>
              <w:rPr>
                <w:spacing w:val="-2"/>
                <w:sz w:val="24"/>
              </w:rPr>
              <w:t>1.26044</w:t>
            </w:r>
          </w:p>
        </w:tc>
      </w:tr>
      <w:tr>
        <w:trPr>
          <w:trHeight w:val="552" w:hRule="atLeast"/>
        </w:trPr>
        <w:tc>
          <w:tcPr>
            <w:tcW w:w="456" w:type="dxa"/>
          </w:tcPr>
          <w:p>
            <w:pPr>
              <w:pStyle w:val="TableParagraph"/>
              <w:spacing w:line="268" w:lineRule="exact"/>
              <w:ind w:right="119"/>
              <w:jc w:val="center"/>
              <w:rPr>
                <w:sz w:val="24"/>
              </w:rPr>
            </w:pPr>
            <w:r>
              <w:rPr>
                <w:spacing w:val="-10"/>
                <w:sz w:val="24"/>
              </w:rPr>
              <w:t>2</w:t>
            </w:r>
          </w:p>
        </w:tc>
        <w:tc>
          <w:tcPr>
            <w:tcW w:w="6351" w:type="dxa"/>
          </w:tcPr>
          <w:p>
            <w:pPr>
              <w:pStyle w:val="TableParagraph"/>
              <w:spacing w:line="268" w:lineRule="exact"/>
              <w:ind w:left="108"/>
              <w:rPr>
                <w:sz w:val="24"/>
              </w:rPr>
            </w:pPr>
            <w:r>
              <w:rPr>
                <w:sz w:val="24"/>
              </w:rPr>
              <w:t>Revenue</w:t>
            </w:r>
            <w:r>
              <w:rPr>
                <w:spacing w:val="-5"/>
                <w:sz w:val="24"/>
              </w:rPr>
              <w:t> </w:t>
            </w:r>
            <w:r>
              <w:rPr>
                <w:sz w:val="24"/>
              </w:rPr>
              <w:t>(sales)</w:t>
            </w:r>
            <w:r>
              <w:rPr>
                <w:spacing w:val="-1"/>
                <w:sz w:val="24"/>
              </w:rPr>
              <w:t> </w:t>
            </w:r>
            <w:r>
              <w:rPr>
                <w:sz w:val="24"/>
              </w:rPr>
              <w:t>growth will</w:t>
            </w:r>
            <w:r>
              <w:rPr>
                <w:spacing w:val="-2"/>
                <w:sz w:val="24"/>
              </w:rPr>
              <w:t> </w:t>
            </w:r>
            <w:r>
              <w:rPr>
                <w:sz w:val="24"/>
              </w:rPr>
              <w:t>be</w:t>
            </w:r>
            <w:r>
              <w:rPr>
                <w:spacing w:val="-2"/>
                <w:sz w:val="24"/>
              </w:rPr>
              <w:t> outstanding</w:t>
            </w:r>
          </w:p>
        </w:tc>
        <w:tc>
          <w:tcPr>
            <w:tcW w:w="1494" w:type="dxa"/>
          </w:tcPr>
          <w:p>
            <w:pPr>
              <w:pStyle w:val="TableParagraph"/>
              <w:spacing w:line="268" w:lineRule="exact"/>
              <w:ind w:right="105"/>
              <w:jc w:val="right"/>
              <w:rPr>
                <w:sz w:val="24"/>
              </w:rPr>
            </w:pPr>
            <w:r>
              <w:rPr>
                <w:spacing w:val="-2"/>
                <w:sz w:val="24"/>
              </w:rPr>
              <w:t>4.0000</w:t>
            </w:r>
          </w:p>
        </w:tc>
        <w:tc>
          <w:tcPr>
            <w:tcW w:w="1171" w:type="dxa"/>
          </w:tcPr>
          <w:p>
            <w:pPr>
              <w:pStyle w:val="TableParagraph"/>
              <w:spacing w:line="268" w:lineRule="exact"/>
              <w:ind w:right="107"/>
              <w:jc w:val="right"/>
              <w:rPr>
                <w:sz w:val="24"/>
              </w:rPr>
            </w:pPr>
            <w:r>
              <w:rPr>
                <w:spacing w:val="-2"/>
                <w:sz w:val="24"/>
              </w:rPr>
              <w:t>1.30206</w:t>
            </w:r>
          </w:p>
        </w:tc>
      </w:tr>
      <w:tr>
        <w:trPr>
          <w:trHeight w:val="551" w:hRule="atLeast"/>
        </w:trPr>
        <w:tc>
          <w:tcPr>
            <w:tcW w:w="456" w:type="dxa"/>
            <w:shd w:val="clear" w:color="auto" w:fill="D5DCE4"/>
          </w:tcPr>
          <w:p>
            <w:pPr>
              <w:pStyle w:val="TableParagraph"/>
              <w:spacing w:line="268" w:lineRule="exact"/>
              <w:ind w:right="119"/>
              <w:jc w:val="center"/>
              <w:rPr>
                <w:sz w:val="24"/>
              </w:rPr>
            </w:pPr>
            <w:r>
              <w:rPr>
                <w:spacing w:val="-10"/>
                <w:sz w:val="24"/>
              </w:rPr>
              <w:t>3</w:t>
            </w:r>
          </w:p>
        </w:tc>
        <w:tc>
          <w:tcPr>
            <w:tcW w:w="6351" w:type="dxa"/>
            <w:shd w:val="clear" w:color="auto" w:fill="D5DCE4"/>
          </w:tcPr>
          <w:p>
            <w:pPr>
              <w:pStyle w:val="TableParagraph"/>
              <w:spacing w:line="268" w:lineRule="exact"/>
              <w:ind w:left="108"/>
              <w:rPr>
                <w:sz w:val="24"/>
              </w:rPr>
            </w:pPr>
            <w:r>
              <w:rPr>
                <w:sz w:val="24"/>
              </w:rPr>
              <w:t>Financial</w:t>
            </w:r>
            <w:r>
              <w:rPr>
                <w:spacing w:val="-4"/>
                <w:sz w:val="24"/>
              </w:rPr>
              <w:t> </w:t>
            </w:r>
            <w:r>
              <w:rPr>
                <w:sz w:val="24"/>
              </w:rPr>
              <w:t>performance</w:t>
            </w:r>
            <w:r>
              <w:rPr>
                <w:spacing w:val="-2"/>
                <w:sz w:val="24"/>
              </w:rPr>
              <w:t> </w:t>
            </w:r>
            <w:r>
              <w:rPr>
                <w:sz w:val="24"/>
              </w:rPr>
              <w:t>will</w:t>
            </w:r>
            <w:r>
              <w:rPr>
                <w:spacing w:val="-2"/>
                <w:sz w:val="24"/>
              </w:rPr>
              <w:t> </w:t>
            </w:r>
            <w:r>
              <w:rPr>
                <w:sz w:val="24"/>
              </w:rPr>
              <w:t>exceed</w:t>
            </w:r>
            <w:r>
              <w:rPr>
                <w:spacing w:val="-2"/>
                <w:sz w:val="24"/>
              </w:rPr>
              <w:t> competitors</w:t>
            </w:r>
          </w:p>
        </w:tc>
        <w:tc>
          <w:tcPr>
            <w:tcW w:w="1494" w:type="dxa"/>
            <w:shd w:val="clear" w:color="auto" w:fill="D5DCE4"/>
          </w:tcPr>
          <w:p>
            <w:pPr>
              <w:pStyle w:val="TableParagraph"/>
              <w:spacing w:line="268" w:lineRule="exact"/>
              <w:ind w:right="105"/>
              <w:jc w:val="right"/>
              <w:rPr>
                <w:sz w:val="24"/>
              </w:rPr>
            </w:pPr>
            <w:r>
              <w:rPr>
                <w:spacing w:val="-2"/>
                <w:sz w:val="24"/>
              </w:rPr>
              <w:t>3.8317</w:t>
            </w:r>
          </w:p>
        </w:tc>
        <w:tc>
          <w:tcPr>
            <w:tcW w:w="1171" w:type="dxa"/>
            <w:shd w:val="clear" w:color="auto" w:fill="D5DCE4"/>
          </w:tcPr>
          <w:p>
            <w:pPr>
              <w:pStyle w:val="TableParagraph"/>
              <w:spacing w:line="268" w:lineRule="exact"/>
              <w:ind w:right="107"/>
              <w:jc w:val="right"/>
              <w:rPr>
                <w:sz w:val="24"/>
              </w:rPr>
            </w:pPr>
            <w:r>
              <w:rPr>
                <w:spacing w:val="-2"/>
                <w:sz w:val="24"/>
              </w:rPr>
              <w:t>1.19660</w:t>
            </w:r>
          </w:p>
        </w:tc>
      </w:tr>
      <w:tr>
        <w:trPr>
          <w:trHeight w:val="413" w:hRule="atLeast"/>
        </w:trPr>
        <w:tc>
          <w:tcPr>
            <w:tcW w:w="456" w:type="dxa"/>
          </w:tcPr>
          <w:p>
            <w:pPr>
              <w:pStyle w:val="TableParagraph"/>
              <w:spacing w:line="268" w:lineRule="exact"/>
              <w:ind w:right="119"/>
              <w:jc w:val="center"/>
              <w:rPr>
                <w:sz w:val="24"/>
              </w:rPr>
            </w:pPr>
            <w:r>
              <w:rPr>
                <w:spacing w:val="-10"/>
                <w:sz w:val="24"/>
              </w:rPr>
              <w:t>4</w:t>
            </w:r>
          </w:p>
        </w:tc>
        <w:tc>
          <w:tcPr>
            <w:tcW w:w="6351" w:type="dxa"/>
          </w:tcPr>
          <w:p>
            <w:pPr>
              <w:pStyle w:val="TableParagraph"/>
              <w:spacing w:line="268" w:lineRule="exact"/>
              <w:ind w:left="108"/>
              <w:rPr>
                <w:sz w:val="24"/>
              </w:rPr>
            </w:pPr>
            <w:r>
              <w:rPr>
                <w:sz w:val="24"/>
              </w:rPr>
              <w:t>Revenue</w:t>
            </w:r>
            <w:r>
              <w:rPr>
                <w:spacing w:val="-2"/>
                <w:sz w:val="24"/>
              </w:rPr>
              <w:t> </w:t>
            </w:r>
            <w:r>
              <w:rPr>
                <w:sz w:val="24"/>
              </w:rPr>
              <w:t>growth</w:t>
            </w:r>
            <w:r>
              <w:rPr>
                <w:spacing w:val="-2"/>
                <w:sz w:val="24"/>
              </w:rPr>
              <w:t> </w:t>
            </w:r>
            <w:r>
              <w:rPr>
                <w:sz w:val="24"/>
              </w:rPr>
              <w:t>will</w:t>
            </w:r>
            <w:r>
              <w:rPr>
                <w:spacing w:val="-1"/>
                <w:sz w:val="24"/>
              </w:rPr>
              <w:t> </w:t>
            </w:r>
            <w:r>
              <w:rPr>
                <w:sz w:val="24"/>
              </w:rPr>
              <w:t>exceed</w:t>
            </w:r>
            <w:r>
              <w:rPr>
                <w:spacing w:val="-2"/>
                <w:sz w:val="24"/>
              </w:rPr>
              <w:t> competitors</w:t>
            </w:r>
          </w:p>
        </w:tc>
        <w:tc>
          <w:tcPr>
            <w:tcW w:w="1494" w:type="dxa"/>
          </w:tcPr>
          <w:p>
            <w:pPr>
              <w:pStyle w:val="TableParagraph"/>
              <w:spacing w:line="268" w:lineRule="exact"/>
              <w:ind w:right="105"/>
              <w:jc w:val="right"/>
              <w:rPr>
                <w:sz w:val="24"/>
              </w:rPr>
            </w:pPr>
            <w:r>
              <w:rPr>
                <w:spacing w:val="-2"/>
                <w:sz w:val="24"/>
              </w:rPr>
              <w:t>3.5743</w:t>
            </w:r>
          </w:p>
        </w:tc>
        <w:tc>
          <w:tcPr>
            <w:tcW w:w="1171" w:type="dxa"/>
          </w:tcPr>
          <w:p>
            <w:pPr>
              <w:pStyle w:val="TableParagraph"/>
              <w:spacing w:line="268" w:lineRule="exact"/>
              <w:ind w:right="107"/>
              <w:jc w:val="right"/>
              <w:rPr>
                <w:sz w:val="24"/>
              </w:rPr>
            </w:pPr>
            <w:r>
              <w:rPr>
                <w:spacing w:val="-2"/>
                <w:sz w:val="24"/>
              </w:rPr>
              <w:t>1.31984</w:t>
            </w:r>
          </w:p>
        </w:tc>
      </w:tr>
      <w:tr>
        <w:trPr>
          <w:trHeight w:val="690" w:hRule="atLeast"/>
        </w:trPr>
        <w:tc>
          <w:tcPr>
            <w:tcW w:w="456" w:type="dxa"/>
          </w:tcPr>
          <w:p>
            <w:pPr>
              <w:pStyle w:val="TableParagraph"/>
              <w:rPr>
                <w:sz w:val="24"/>
              </w:rPr>
            </w:pPr>
          </w:p>
        </w:tc>
        <w:tc>
          <w:tcPr>
            <w:tcW w:w="6351" w:type="dxa"/>
          </w:tcPr>
          <w:p>
            <w:pPr>
              <w:pStyle w:val="TableParagraph"/>
              <w:spacing w:before="135"/>
              <w:ind w:left="108"/>
              <w:rPr>
                <w:b/>
                <w:sz w:val="24"/>
              </w:rPr>
            </w:pPr>
            <w:r>
              <w:rPr>
                <w:b/>
                <w:sz w:val="24"/>
                <w:u w:val="single"/>
              </w:rPr>
              <w:t>Market</w:t>
            </w:r>
            <w:r>
              <w:rPr>
                <w:b/>
                <w:spacing w:val="-4"/>
                <w:sz w:val="24"/>
                <w:u w:val="single"/>
              </w:rPr>
              <w:t> </w:t>
            </w:r>
            <w:r>
              <w:rPr>
                <w:b/>
                <w:spacing w:val="-2"/>
                <w:sz w:val="24"/>
                <w:u w:val="single"/>
              </w:rPr>
              <w:t>share</w:t>
            </w:r>
          </w:p>
        </w:tc>
        <w:tc>
          <w:tcPr>
            <w:tcW w:w="1494" w:type="dxa"/>
          </w:tcPr>
          <w:p>
            <w:pPr>
              <w:pStyle w:val="TableParagraph"/>
              <w:rPr>
                <w:sz w:val="24"/>
              </w:rPr>
            </w:pPr>
          </w:p>
        </w:tc>
        <w:tc>
          <w:tcPr>
            <w:tcW w:w="1171" w:type="dxa"/>
          </w:tcPr>
          <w:p>
            <w:pPr>
              <w:pStyle w:val="TableParagraph"/>
              <w:rPr>
                <w:sz w:val="24"/>
              </w:rPr>
            </w:pPr>
          </w:p>
        </w:tc>
      </w:tr>
      <w:tr>
        <w:trPr>
          <w:trHeight w:val="552" w:hRule="atLeast"/>
        </w:trPr>
        <w:tc>
          <w:tcPr>
            <w:tcW w:w="456" w:type="dxa"/>
            <w:shd w:val="clear" w:color="auto" w:fill="D5DCE4"/>
          </w:tcPr>
          <w:p>
            <w:pPr>
              <w:pStyle w:val="TableParagraph"/>
              <w:spacing w:line="268" w:lineRule="exact"/>
              <w:ind w:right="119"/>
              <w:jc w:val="center"/>
              <w:rPr>
                <w:sz w:val="24"/>
              </w:rPr>
            </w:pPr>
            <w:r>
              <w:rPr>
                <w:spacing w:val="-10"/>
                <w:sz w:val="24"/>
              </w:rPr>
              <w:t>5</w:t>
            </w:r>
          </w:p>
        </w:tc>
        <w:tc>
          <w:tcPr>
            <w:tcW w:w="6351" w:type="dxa"/>
            <w:shd w:val="clear" w:color="auto" w:fill="D5DCE4"/>
          </w:tcPr>
          <w:p>
            <w:pPr>
              <w:pStyle w:val="TableParagraph"/>
              <w:spacing w:line="268" w:lineRule="exact"/>
              <w:ind w:left="108"/>
              <w:rPr>
                <w:sz w:val="24"/>
              </w:rPr>
            </w:pPr>
            <w:r>
              <w:rPr>
                <w:sz w:val="24"/>
              </w:rPr>
              <w:t>Firm’s</w:t>
            </w:r>
            <w:r>
              <w:rPr>
                <w:spacing w:val="-2"/>
                <w:sz w:val="24"/>
              </w:rPr>
              <w:t> </w:t>
            </w:r>
            <w:r>
              <w:rPr>
                <w:sz w:val="24"/>
              </w:rPr>
              <w:t>market</w:t>
            </w:r>
            <w:r>
              <w:rPr>
                <w:spacing w:val="-1"/>
                <w:sz w:val="24"/>
              </w:rPr>
              <w:t> </w:t>
            </w:r>
            <w:r>
              <w:rPr>
                <w:sz w:val="24"/>
              </w:rPr>
              <w:t>share</w:t>
            </w:r>
            <w:r>
              <w:rPr>
                <w:spacing w:val="-2"/>
                <w:sz w:val="24"/>
              </w:rPr>
              <w:t> </w:t>
            </w:r>
            <w:r>
              <w:rPr>
                <w:sz w:val="24"/>
              </w:rPr>
              <w:t>improve</w:t>
            </w:r>
            <w:r>
              <w:rPr>
                <w:spacing w:val="-3"/>
                <w:sz w:val="24"/>
              </w:rPr>
              <w:t> </w:t>
            </w:r>
            <w:r>
              <w:rPr>
                <w:sz w:val="24"/>
              </w:rPr>
              <w:t>on</w:t>
            </w:r>
            <w:r>
              <w:rPr>
                <w:spacing w:val="-1"/>
                <w:sz w:val="24"/>
              </w:rPr>
              <w:t> </w:t>
            </w:r>
            <w:r>
              <w:rPr>
                <w:sz w:val="24"/>
              </w:rPr>
              <w:t>implementation</w:t>
            </w:r>
            <w:r>
              <w:rPr>
                <w:spacing w:val="-1"/>
                <w:sz w:val="24"/>
              </w:rPr>
              <w:t> </w:t>
            </w:r>
            <w:r>
              <w:rPr>
                <w:sz w:val="24"/>
              </w:rPr>
              <w:t>of</w:t>
            </w:r>
            <w:r>
              <w:rPr>
                <w:spacing w:val="-2"/>
                <w:sz w:val="24"/>
              </w:rPr>
              <w:t> </w:t>
            </w:r>
            <w:r>
              <w:rPr>
                <w:spacing w:val="-5"/>
                <w:sz w:val="24"/>
              </w:rPr>
              <w:t>TQM</w:t>
            </w:r>
          </w:p>
        </w:tc>
        <w:tc>
          <w:tcPr>
            <w:tcW w:w="1494" w:type="dxa"/>
            <w:shd w:val="clear" w:color="auto" w:fill="D5DCE4"/>
          </w:tcPr>
          <w:p>
            <w:pPr>
              <w:pStyle w:val="TableParagraph"/>
              <w:spacing w:line="268" w:lineRule="exact"/>
              <w:ind w:right="105"/>
              <w:jc w:val="right"/>
              <w:rPr>
                <w:sz w:val="24"/>
              </w:rPr>
            </w:pPr>
            <w:r>
              <w:rPr>
                <w:spacing w:val="-2"/>
                <w:sz w:val="24"/>
              </w:rPr>
              <w:t>3.7921</w:t>
            </w:r>
          </w:p>
        </w:tc>
        <w:tc>
          <w:tcPr>
            <w:tcW w:w="1171" w:type="dxa"/>
            <w:shd w:val="clear" w:color="auto" w:fill="D5DCE4"/>
          </w:tcPr>
          <w:p>
            <w:pPr>
              <w:pStyle w:val="TableParagraph"/>
              <w:spacing w:line="268" w:lineRule="exact"/>
              <w:ind w:right="107"/>
              <w:jc w:val="right"/>
              <w:rPr>
                <w:sz w:val="24"/>
              </w:rPr>
            </w:pPr>
            <w:r>
              <w:rPr>
                <w:spacing w:val="-2"/>
                <w:sz w:val="24"/>
              </w:rPr>
              <w:t>1.38093</w:t>
            </w:r>
          </w:p>
        </w:tc>
      </w:tr>
      <w:tr>
        <w:trPr>
          <w:trHeight w:val="273" w:hRule="atLeast"/>
        </w:trPr>
        <w:tc>
          <w:tcPr>
            <w:tcW w:w="456" w:type="dxa"/>
          </w:tcPr>
          <w:p>
            <w:pPr>
              <w:pStyle w:val="TableParagraph"/>
              <w:spacing w:line="253" w:lineRule="exact"/>
              <w:ind w:right="119"/>
              <w:jc w:val="center"/>
              <w:rPr>
                <w:sz w:val="24"/>
              </w:rPr>
            </w:pPr>
            <w:r>
              <w:rPr>
                <w:spacing w:val="-10"/>
                <w:sz w:val="24"/>
              </w:rPr>
              <w:t>6</w:t>
            </w:r>
          </w:p>
        </w:tc>
        <w:tc>
          <w:tcPr>
            <w:tcW w:w="6351" w:type="dxa"/>
            <w:vMerge w:val="restart"/>
          </w:tcPr>
          <w:p>
            <w:pPr>
              <w:pStyle w:val="TableParagraph"/>
              <w:spacing w:line="268" w:lineRule="exact"/>
              <w:ind w:left="108"/>
              <w:rPr>
                <w:sz w:val="24"/>
              </w:rPr>
            </w:pPr>
            <w:r>
              <w:rPr>
                <w:sz w:val="24"/>
              </w:rPr>
              <w:t>Market</w:t>
            </w:r>
            <w:r>
              <w:rPr>
                <w:spacing w:val="-3"/>
                <w:sz w:val="24"/>
              </w:rPr>
              <w:t> </w:t>
            </w:r>
            <w:r>
              <w:rPr>
                <w:sz w:val="24"/>
              </w:rPr>
              <w:t>share</w:t>
            </w:r>
            <w:r>
              <w:rPr>
                <w:spacing w:val="-2"/>
                <w:sz w:val="24"/>
              </w:rPr>
              <w:t> </w:t>
            </w:r>
            <w:r>
              <w:rPr>
                <w:sz w:val="24"/>
              </w:rPr>
              <w:t>will</w:t>
            </w:r>
            <w:r>
              <w:rPr>
                <w:spacing w:val="-1"/>
                <w:sz w:val="24"/>
              </w:rPr>
              <w:t> </w:t>
            </w:r>
            <w:r>
              <w:rPr>
                <w:sz w:val="24"/>
              </w:rPr>
              <w:t>be</w:t>
            </w:r>
            <w:r>
              <w:rPr>
                <w:spacing w:val="-2"/>
                <w:sz w:val="24"/>
              </w:rPr>
              <w:t> </w:t>
            </w:r>
            <w:r>
              <w:rPr>
                <w:sz w:val="24"/>
              </w:rPr>
              <w:t>higher</w:t>
            </w:r>
            <w:r>
              <w:rPr>
                <w:spacing w:val="-2"/>
                <w:sz w:val="24"/>
              </w:rPr>
              <w:t> </w:t>
            </w:r>
            <w:r>
              <w:rPr>
                <w:sz w:val="24"/>
              </w:rPr>
              <w:t>than</w:t>
            </w:r>
            <w:r>
              <w:rPr>
                <w:spacing w:val="-1"/>
                <w:sz w:val="24"/>
              </w:rPr>
              <w:t> </w:t>
            </w:r>
            <w:r>
              <w:rPr>
                <w:sz w:val="24"/>
              </w:rPr>
              <w:t>competitors</w:t>
            </w:r>
            <w:r>
              <w:rPr>
                <w:spacing w:val="-1"/>
                <w:sz w:val="24"/>
              </w:rPr>
              <w:t> </w:t>
            </w:r>
            <w:r>
              <w:rPr>
                <w:spacing w:val="-2"/>
                <w:sz w:val="24"/>
              </w:rPr>
              <w:t>after</w:t>
            </w:r>
          </w:p>
          <w:p>
            <w:pPr>
              <w:pStyle w:val="TableParagraph"/>
              <w:rPr>
                <w:b/>
                <w:sz w:val="24"/>
              </w:rPr>
            </w:pPr>
          </w:p>
          <w:p>
            <w:pPr>
              <w:pStyle w:val="TableParagraph"/>
              <w:ind w:left="108"/>
              <w:rPr>
                <w:sz w:val="24"/>
              </w:rPr>
            </w:pPr>
            <w:r>
              <w:rPr>
                <w:spacing w:val="-2"/>
                <w:sz w:val="24"/>
              </w:rPr>
              <w:t>implementation</w:t>
            </w:r>
          </w:p>
        </w:tc>
        <w:tc>
          <w:tcPr>
            <w:tcW w:w="1494" w:type="dxa"/>
          </w:tcPr>
          <w:p>
            <w:pPr>
              <w:pStyle w:val="TableParagraph"/>
              <w:rPr>
                <w:sz w:val="20"/>
              </w:rPr>
            </w:pPr>
          </w:p>
        </w:tc>
        <w:tc>
          <w:tcPr>
            <w:tcW w:w="1171" w:type="dxa"/>
          </w:tcPr>
          <w:p>
            <w:pPr>
              <w:pStyle w:val="TableParagraph"/>
              <w:rPr>
                <w:sz w:val="20"/>
              </w:rPr>
            </w:pPr>
          </w:p>
        </w:tc>
      </w:tr>
      <w:tr>
        <w:trPr>
          <w:trHeight w:val="830" w:hRule="atLeast"/>
        </w:trPr>
        <w:tc>
          <w:tcPr>
            <w:tcW w:w="456" w:type="dxa"/>
          </w:tcPr>
          <w:p>
            <w:pPr>
              <w:pStyle w:val="TableParagraph"/>
              <w:rPr>
                <w:sz w:val="24"/>
              </w:rPr>
            </w:pPr>
          </w:p>
        </w:tc>
        <w:tc>
          <w:tcPr>
            <w:tcW w:w="6351" w:type="dxa"/>
            <w:vMerge/>
            <w:tcBorders>
              <w:top w:val="nil"/>
            </w:tcBorders>
          </w:tcPr>
          <w:p>
            <w:pPr>
              <w:rPr>
                <w:sz w:val="2"/>
                <w:szCs w:val="2"/>
              </w:rPr>
            </w:pPr>
          </w:p>
        </w:tc>
        <w:tc>
          <w:tcPr>
            <w:tcW w:w="1494" w:type="dxa"/>
          </w:tcPr>
          <w:p>
            <w:pPr>
              <w:pStyle w:val="TableParagraph"/>
              <w:spacing w:line="271" w:lineRule="exact"/>
              <w:ind w:right="105"/>
              <w:jc w:val="right"/>
              <w:rPr>
                <w:sz w:val="24"/>
              </w:rPr>
            </w:pPr>
            <w:r>
              <w:rPr>
                <w:spacing w:val="-2"/>
                <w:sz w:val="24"/>
              </w:rPr>
              <w:t>3.5908</w:t>
            </w:r>
          </w:p>
        </w:tc>
        <w:tc>
          <w:tcPr>
            <w:tcW w:w="1171" w:type="dxa"/>
          </w:tcPr>
          <w:p>
            <w:pPr>
              <w:pStyle w:val="TableParagraph"/>
              <w:spacing w:line="271" w:lineRule="exact"/>
              <w:ind w:right="107"/>
              <w:jc w:val="right"/>
              <w:rPr>
                <w:sz w:val="24"/>
              </w:rPr>
            </w:pPr>
            <w:r>
              <w:rPr>
                <w:spacing w:val="-2"/>
                <w:sz w:val="24"/>
              </w:rPr>
              <w:t>1.30873</w:t>
            </w:r>
          </w:p>
        </w:tc>
      </w:tr>
      <w:tr>
        <w:trPr>
          <w:trHeight w:val="552" w:hRule="atLeast"/>
        </w:trPr>
        <w:tc>
          <w:tcPr>
            <w:tcW w:w="456" w:type="dxa"/>
            <w:shd w:val="clear" w:color="auto" w:fill="D5DCE4"/>
          </w:tcPr>
          <w:p>
            <w:pPr>
              <w:pStyle w:val="TableParagraph"/>
              <w:spacing w:line="268" w:lineRule="exact"/>
              <w:ind w:right="119"/>
              <w:jc w:val="center"/>
              <w:rPr>
                <w:sz w:val="24"/>
              </w:rPr>
            </w:pPr>
            <w:r>
              <w:rPr>
                <w:spacing w:val="-10"/>
                <w:sz w:val="24"/>
              </w:rPr>
              <w:t>7</w:t>
            </w:r>
          </w:p>
        </w:tc>
        <w:tc>
          <w:tcPr>
            <w:tcW w:w="6351" w:type="dxa"/>
            <w:shd w:val="clear" w:color="auto" w:fill="D5DCE4"/>
          </w:tcPr>
          <w:p>
            <w:pPr>
              <w:pStyle w:val="TableParagraph"/>
              <w:spacing w:line="268" w:lineRule="exact"/>
              <w:ind w:left="108"/>
              <w:rPr>
                <w:sz w:val="24"/>
              </w:rPr>
            </w:pPr>
            <w:r>
              <w:rPr>
                <w:sz w:val="24"/>
              </w:rPr>
              <w:t>Volume</w:t>
            </w:r>
            <w:r>
              <w:rPr>
                <w:spacing w:val="-2"/>
                <w:sz w:val="24"/>
              </w:rPr>
              <w:t> </w:t>
            </w:r>
            <w:r>
              <w:rPr>
                <w:sz w:val="24"/>
              </w:rPr>
              <w:t>of</w:t>
            </w:r>
            <w:r>
              <w:rPr>
                <w:spacing w:val="-2"/>
                <w:sz w:val="24"/>
              </w:rPr>
              <w:t> </w:t>
            </w:r>
            <w:r>
              <w:rPr>
                <w:sz w:val="24"/>
              </w:rPr>
              <w:t>sales</w:t>
            </w:r>
            <w:r>
              <w:rPr>
                <w:spacing w:val="-1"/>
                <w:sz w:val="24"/>
              </w:rPr>
              <w:t> </w:t>
            </w:r>
            <w:r>
              <w:rPr>
                <w:sz w:val="24"/>
              </w:rPr>
              <w:t>will</w:t>
            </w:r>
            <w:r>
              <w:rPr>
                <w:spacing w:val="-1"/>
                <w:sz w:val="24"/>
              </w:rPr>
              <w:t> </w:t>
            </w:r>
            <w:r>
              <w:rPr>
                <w:spacing w:val="-2"/>
                <w:sz w:val="24"/>
              </w:rPr>
              <w:t>increase</w:t>
            </w:r>
          </w:p>
        </w:tc>
        <w:tc>
          <w:tcPr>
            <w:tcW w:w="1494" w:type="dxa"/>
            <w:shd w:val="clear" w:color="auto" w:fill="D5DCE4"/>
          </w:tcPr>
          <w:p>
            <w:pPr>
              <w:pStyle w:val="TableParagraph"/>
              <w:spacing w:line="268" w:lineRule="exact"/>
              <w:ind w:right="105"/>
              <w:jc w:val="right"/>
              <w:rPr>
                <w:sz w:val="24"/>
              </w:rPr>
            </w:pPr>
            <w:r>
              <w:rPr>
                <w:spacing w:val="-2"/>
                <w:sz w:val="24"/>
              </w:rPr>
              <w:t>3.5347</w:t>
            </w:r>
          </w:p>
        </w:tc>
        <w:tc>
          <w:tcPr>
            <w:tcW w:w="1171" w:type="dxa"/>
            <w:shd w:val="clear" w:color="auto" w:fill="D5DCE4"/>
          </w:tcPr>
          <w:p>
            <w:pPr>
              <w:pStyle w:val="TableParagraph"/>
              <w:spacing w:line="268" w:lineRule="exact"/>
              <w:ind w:right="107"/>
              <w:jc w:val="right"/>
              <w:rPr>
                <w:sz w:val="24"/>
              </w:rPr>
            </w:pPr>
            <w:r>
              <w:rPr>
                <w:spacing w:val="-2"/>
                <w:sz w:val="24"/>
              </w:rPr>
              <w:t>1.36584</w:t>
            </w:r>
          </w:p>
        </w:tc>
      </w:tr>
      <w:tr>
        <w:trPr>
          <w:trHeight w:val="551" w:hRule="atLeast"/>
        </w:trPr>
        <w:tc>
          <w:tcPr>
            <w:tcW w:w="456" w:type="dxa"/>
          </w:tcPr>
          <w:p>
            <w:pPr>
              <w:pStyle w:val="TableParagraph"/>
              <w:spacing w:line="268" w:lineRule="exact"/>
              <w:ind w:right="119"/>
              <w:jc w:val="center"/>
              <w:rPr>
                <w:sz w:val="24"/>
              </w:rPr>
            </w:pPr>
            <w:r>
              <w:rPr>
                <w:spacing w:val="-10"/>
                <w:sz w:val="24"/>
              </w:rPr>
              <w:t>8</w:t>
            </w:r>
          </w:p>
        </w:tc>
        <w:tc>
          <w:tcPr>
            <w:tcW w:w="6351" w:type="dxa"/>
          </w:tcPr>
          <w:p>
            <w:pPr>
              <w:pStyle w:val="TableParagraph"/>
              <w:spacing w:line="268" w:lineRule="exact"/>
              <w:ind w:left="108"/>
              <w:rPr>
                <w:sz w:val="24"/>
              </w:rPr>
            </w:pPr>
            <w:r>
              <w:rPr>
                <w:sz w:val="24"/>
              </w:rPr>
              <w:t>Customers</w:t>
            </w:r>
            <w:r>
              <w:rPr>
                <w:spacing w:val="-2"/>
                <w:sz w:val="24"/>
              </w:rPr>
              <w:t> </w:t>
            </w:r>
            <w:r>
              <w:rPr>
                <w:sz w:val="24"/>
              </w:rPr>
              <w:t>are</w:t>
            </w:r>
            <w:r>
              <w:rPr>
                <w:spacing w:val="-2"/>
                <w:sz w:val="24"/>
              </w:rPr>
              <w:t> </w:t>
            </w:r>
            <w:r>
              <w:rPr>
                <w:sz w:val="24"/>
              </w:rPr>
              <w:t>more</w:t>
            </w:r>
            <w:r>
              <w:rPr>
                <w:spacing w:val="-2"/>
                <w:sz w:val="24"/>
              </w:rPr>
              <w:t> </w:t>
            </w:r>
            <w:r>
              <w:rPr>
                <w:sz w:val="24"/>
              </w:rPr>
              <w:t>satisfied</w:t>
            </w:r>
            <w:r>
              <w:rPr>
                <w:spacing w:val="-1"/>
                <w:sz w:val="24"/>
              </w:rPr>
              <w:t> </w:t>
            </w:r>
            <w:r>
              <w:rPr>
                <w:sz w:val="24"/>
              </w:rPr>
              <w:t>with</w:t>
            </w:r>
            <w:r>
              <w:rPr>
                <w:spacing w:val="-1"/>
                <w:sz w:val="24"/>
              </w:rPr>
              <w:t> </w:t>
            </w:r>
            <w:r>
              <w:rPr>
                <w:sz w:val="24"/>
              </w:rPr>
              <w:t>the</w:t>
            </w:r>
            <w:r>
              <w:rPr>
                <w:spacing w:val="-2"/>
                <w:sz w:val="24"/>
              </w:rPr>
              <w:t> products</w:t>
            </w:r>
          </w:p>
        </w:tc>
        <w:tc>
          <w:tcPr>
            <w:tcW w:w="1494" w:type="dxa"/>
          </w:tcPr>
          <w:p>
            <w:pPr>
              <w:pStyle w:val="TableParagraph"/>
              <w:spacing w:line="268" w:lineRule="exact"/>
              <w:ind w:right="105"/>
              <w:jc w:val="right"/>
              <w:rPr>
                <w:sz w:val="24"/>
              </w:rPr>
            </w:pPr>
            <w:r>
              <w:rPr>
                <w:spacing w:val="-2"/>
                <w:sz w:val="24"/>
              </w:rPr>
              <w:t>3.9406</w:t>
            </w:r>
          </w:p>
        </w:tc>
        <w:tc>
          <w:tcPr>
            <w:tcW w:w="1171" w:type="dxa"/>
          </w:tcPr>
          <w:p>
            <w:pPr>
              <w:pStyle w:val="TableParagraph"/>
              <w:spacing w:line="268" w:lineRule="exact"/>
              <w:ind w:right="107"/>
              <w:jc w:val="right"/>
              <w:rPr>
                <w:sz w:val="24"/>
              </w:rPr>
            </w:pPr>
            <w:r>
              <w:rPr>
                <w:spacing w:val="-2"/>
                <w:sz w:val="24"/>
              </w:rPr>
              <w:t>1.28791</w:t>
            </w:r>
          </w:p>
        </w:tc>
      </w:tr>
      <w:tr>
        <w:trPr>
          <w:trHeight w:val="552" w:hRule="atLeast"/>
        </w:trPr>
        <w:tc>
          <w:tcPr>
            <w:tcW w:w="456" w:type="dxa"/>
            <w:shd w:val="clear" w:color="auto" w:fill="D5DCE4"/>
          </w:tcPr>
          <w:p>
            <w:pPr>
              <w:pStyle w:val="TableParagraph"/>
              <w:spacing w:line="268" w:lineRule="exact"/>
              <w:ind w:right="119"/>
              <w:jc w:val="center"/>
              <w:rPr>
                <w:sz w:val="24"/>
              </w:rPr>
            </w:pPr>
            <w:r>
              <w:rPr>
                <w:spacing w:val="-10"/>
                <w:sz w:val="24"/>
              </w:rPr>
              <w:t>9</w:t>
            </w:r>
          </w:p>
        </w:tc>
        <w:tc>
          <w:tcPr>
            <w:tcW w:w="6351" w:type="dxa"/>
            <w:shd w:val="clear" w:color="auto" w:fill="D5DCE4"/>
          </w:tcPr>
          <w:p>
            <w:pPr>
              <w:pStyle w:val="TableParagraph"/>
              <w:spacing w:line="268" w:lineRule="exact"/>
              <w:ind w:left="108"/>
              <w:rPr>
                <w:sz w:val="24"/>
              </w:rPr>
            </w:pPr>
            <w:r>
              <w:rPr>
                <w:sz w:val="24"/>
              </w:rPr>
              <w:t>Share</w:t>
            </w:r>
            <w:r>
              <w:rPr>
                <w:spacing w:val="-2"/>
                <w:sz w:val="24"/>
              </w:rPr>
              <w:t> </w:t>
            </w:r>
            <w:r>
              <w:rPr>
                <w:sz w:val="24"/>
              </w:rPr>
              <w:t>of</w:t>
            </w:r>
            <w:r>
              <w:rPr>
                <w:spacing w:val="-2"/>
                <w:sz w:val="24"/>
              </w:rPr>
              <w:t> </w:t>
            </w:r>
            <w:r>
              <w:rPr>
                <w:sz w:val="24"/>
              </w:rPr>
              <w:t>distribution</w:t>
            </w:r>
            <w:r>
              <w:rPr>
                <w:spacing w:val="-1"/>
                <w:sz w:val="24"/>
              </w:rPr>
              <w:t> </w:t>
            </w:r>
            <w:r>
              <w:rPr>
                <w:sz w:val="24"/>
              </w:rPr>
              <w:t>is more</w:t>
            </w:r>
            <w:r>
              <w:rPr>
                <w:spacing w:val="-2"/>
                <w:sz w:val="24"/>
              </w:rPr>
              <w:t> </w:t>
            </w:r>
            <w:r>
              <w:rPr>
                <w:sz w:val="24"/>
              </w:rPr>
              <w:t>than</w:t>
            </w:r>
            <w:r>
              <w:rPr>
                <w:spacing w:val="-1"/>
                <w:sz w:val="24"/>
              </w:rPr>
              <w:t> </w:t>
            </w:r>
            <w:r>
              <w:rPr>
                <w:sz w:val="24"/>
              </w:rPr>
              <w:t>the</w:t>
            </w:r>
            <w:r>
              <w:rPr>
                <w:spacing w:val="-1"/>
                <w:sz w:val="24"/>
              </w:rPr>
              <w:t> </w:t>
            </w:r>
            <w:r>
              <w:rPr>
                <w:spacing w:val="-2"/>
                <w:sz w:val="24"/>
              </w:rPr>
              <w:t>competitors</w:t>
            </w:r>
          </w:p>
        </w:tc>
        <w:tc>
          <w:tcPr>
            <w:tcW w:w="1494" w:type="dxa"/>
            <w:shd w:val="clear" w:color="auto" w:fill="D5DCE4"/>
          </w:tcPr>
          <w:p>
            <w:pPr>
              <w:pStyle w:val="TableParagraph"/>
              <w:spacing w:line="268" w:lineRule="exact"/>
              <w:ind w:right="105"/>
              <w:jc w:val="right"/>
              <w:rPr>
                <w:sz w:val="24"/>
              </w:rPr>
            </w:pPr>
            <w:r>
              <w:rPr>
                <w:spacing w:val="-2"/>
                <w:sz w:val="24"/>
              </w:rPr>
              <w:t>3.3333</w:t>
            </w:r>
          </w:p>
        </w:tc>
        <w:tc>
          <w:tcPr>
            <w:tcW w:w="1171" w:type="dxa"/>
            <w:shd w:val="clear" w:color="auto" w:fill="D5DCE4"/>
          </w:tcPr>
          <w:p>
            <w:pPr>
              <w:pStyle w:val="TableParagraph"/>
              <w:spacing w:line="268" w:lineRule="exact"/>
              <w:ind w:right="107"/>
              <w:jc w:val="right"/>
              <w:rPr>
                <w:sz w:val="24"/>
              </w:rPr>
            </w:pPr>
            <w:r>
              <w:rPr>
                <w:spacing w:val="-2"/>
                <w:sz w:val="24"/>
              </w:rPr>
              <w:t>1.47083</w:t>
            </w:r>
          </w:p>
        </w:tc>
      </w:tr>
      <w:tr>
        <w:trPr>
          <w:trHeight w:val="413" w:hRule="atLeast"/>
        </w:trPr>
        <w:tc>
          <w:tcPr>
            <w:tcW w:w="456" w:type="dxa"/>
          </w:tcPr>
          <w:p>
            <w:pPr>
              <w:pStyle w:val="TableParagraph"/>
              <w:spacing w:line="268" w:lineRule="exact"/>
              <w:jc w:val="center"/>
              <w:rPr>
                <w:sz w:val="24"/>
              </w:rPr>
            </w:pPr>
            <w:r>
              <w:rPr>
                <w:spacing w:val="-5"/>
                <w:sz w:val="24"/>
              </w:rPr>
              <w:t>10</w:t>
            </w:r>
          </w:p>
        </w:tc>
        <w:tc>
          <w:tcPr>
            <w:tcW w:w="6351" w:type="dxa"/>
          </w:tcPr>
          <w:p>
            <w:pPr>
              <w:pStyle w:val="TableParagraph"/>
              <w:spacing w:line="268" w:lineRule="exact"/>
              <w:ind w:left="108"/>
              <w:rPr>
                <w:sz w:val="24"/>
              </w:rPr>
            </w:pPr>
            <w:r>
              <w:rPr>
                <w:sz w:val="24"/>
              </w:rPr>
              <w:t>Enter</w:t>
            </w:r>
            <w:r>
              <w:rPr>
                <w:spacing w:val="-3"/>
                <w:sz w:val="24"/>
              </w:rPr>
              <w:t> </w:t>
            </w:r>
            <w:r>
              <w:rPr>
                <w:sz w:val="24"/>
              </w:rPr>
              <w:t>new</w:t>
            </w:r>
            <w:r>
              <w:rPr>
                <w:spacing w:val="-2"/>
                <w:sz w:val="24"/>
              </w:rPr>
              <w:t> </w:t>
            </w:r>
            <w:r>
              <w:rPr>
                <w:sz w:val="24"/>
              </w:rPr>
              <w:t>Market,</w:t>
            </w:r>
            <w:r>
              <w:rPr>
                <w:spacing w:val="-1"/>
                <w:sz w:val="24"/>
              </w:rPr>
              <w:t> </w:t>
            </w:r>
            <w:r>
              <w:rPr>
                <w:sz w:val="24"/>
              </w:rPr>
              <w:t>improve</w:t>
            </w:r>
            <w:r>
              <w:rPr>
                <w:spacing w:val="-3"/>
                <w:sz w:val="24"/>
              </w:rPr>
              <w:t> </w:t>
            </w:r>
            <w:r>
              <w:rPr>
                <w:sz w:val="24"/>
              </w:rPr>
              <w:t>image</w:t>
            </w:r>
            <w:r>
              <w:rPr>
                <w:spacing w:val="-2"/>
                <w:sz w:val="24"/>
              </w:rPr>
              <w:t> </w:t>
            </w:r>
            <w:r>
              <w:rPr>
                <w:sz w:val="24"/>
              </w:rPr>
              <w:t>of</w:t>
            </w:r>
            <w:r>
              <w:rPr>
                <w:spacing w:val="3"/>
                <w:sz w:val="24"/>
              </w:rPr>
              <w:t> </w:t>
            </w:r>
            <w:r>
              <w:rPr>
                <w:sz w:val="24"/>
              </w:rPr>
              <w:t>your </w:t>
            </w:r>
            <w:r>
              <w:rPr>
                <w:spacing w:val="-2"/>
                <w:sz w:val="24"/>
              </w:rPr>
              <w:t>company</w:t>
            </w:r>
          </w:p>
        </w:tc>
        <w:tc>
          <w:tcPr>
            <w:tcW w:w="1494" w:type="dxa"/>
          </w:tcPr>
          <w:p>
            <w:pPr>
              <w:pStyle w:val="TableParagraph"/>
              <w:spacing w:line="268" w:lineRule="exact"/>
              <w:ind w:right="105"/>
              <w:jc w:val="right"/>
              <w:rPr>
                <w:sz w:val="24"/>
              </w:rPr>
            </w:pPr>
            <w:r>
              <w:rPr>
                <w:spacing w:val="-2"/>
                <w:sz w:val="24"/>
              </w:rPr>
              <w:t>3.5875</w:t>
            </w:r>
          </w:p>
        </w:tc>
        <w:tc>
          <w:tcPr>
            <w:tcW w:w="1171" w:type="dxa"/>
          </w:tcPr>
          <w:p>
            <w:pPr>
              <w:pStyle w:val="TableParagraph"/>
              <w:spacing w:line="268" w:lineRule="exact"/>
              <w:ind w:right="107"/>
              <w:jc w:val="right"/>
              <w:rPr>
                <w:sz w:val="24"/>
              </w:rPr>
            </w:pPr>
            <w:r>
              <w:rPr>
                <w:spacing w:val="-2"/>
                <w:sz w:val="24"/>
              </w:rPr>
              <w:t>1.38276</w:t>
            </w:r>
          </w:p>
        </w:tc>
      </w:tr>
      <w:tr>
        <w:trPr>
          <w:trHeight w:val="690" w:hRule="atLeast"/>
        </w:trPr>
        <w:tc>
          <w:tcPr>
            <w:tcW w:w="456" w:type="dxa"/>
          </w:tcPr>
          <w:p>
            <w:pPr>
              <w:pStyle w:val="TableParagraph"/>
              <w:rPr>
                <w:sz w:val="24"/>
              </w:rPr>
            </w:pPr>
          </w:p>
        </w:tc>
        <w:tc>
          <w:tcPr>
            <w:tcW w:w="6351" w:type="dxa"/>
          </w:tcPr>
          <w:p>
            <w:pPr>
              <w:pStyle w:val="TableParagraph"/>
              <w:spacing w:before="135"/>
              <w:ind w:left="108"/>
              <w:rPr>
                <w:b/>
                <w:sz w:val="24"/>
              </w:rPr>
            </w:pPr>
            <w:r>
              <w:rPr>
                <w:b/>
                <w:sz w:val="24"/>
                <w:u w:val="single"/>
              </w:rPr>
              <w:t>Quality</w:t>
            </w:r>
            <w:r>
              <w:rPr>
                <w:b/>
                <w:spacing w:val="-3"/>
                <w:sz w:val="24"/>
                <w:u w:val="single"/>
              </w:rPr>
              <w:t> </w:t>
            </w:r>
            <w:r>
              <w:rPr>
                <w:b/>
                <w:sz w:val="24"/>
                <w:u w:val="single"/>
              </w:rPr>
              <w:t>Service</w:t>
            </w:r>
            <w:r>
              <w:rPr>
                <w:b/>
                <w:spacing w:val="-4"/>
                <w:sz w:val="24"/>
                <w:u w:val="single"/>
              </w:rPr>
              <w:t> </w:t>
            </w:r>
            <w:r>
              <w:rPr>
                <w:b/>
                <w:sz w:val="24"/>
                <w:u w:val="single"/>
              </w:rPr>
              <w:t>(Product</w:t>
            </w:r>
            <w:r>
              <w:rPr>
                <w:b/>
                <w:spacing w:val="-3"/>
                <w:sz w:val="24"/>
                <w:u w:val="single"/>
              </w:rPr>
              <w:t> </w:t>
            </w:r>
            <w:r>
              <w:rPr>
                <w:b/>
                <w:spacing w:val="-2"/>
                <w:sz w:val="24"/>
                <w:u w:val="single"/>
              </w:rPr>
              <w:t>Quality)</w:t>
            </w:r>
          </w:p>
        </w:tc>
        <w:tc>
          <w:tcPr>
            <w:tcW w:w="1494" w:type="dxa"/>
          </w:tcPr>
          <w:p>
            <w:pPr>
              <w:pStyle w:val="TableParagraph"/>
              <w:rPr>
                <w:sz w:val="24"/>
              </w:rPr>
            </w:pPr>
          </w:p>
        </w:tc>
        <w:tc>
          <w:tcPr>
            <w:tcW w:w="1171" w:type="dxa"/>
          </w:tcPr>
          <w:p>
            <w:pPr>
              <w:pStyle w:val="TableParagraph"/>
              <w:rPr>
                <w:sz w:val="24"/>
              </w:rPr>
            </w:pPr>
          </w:p>
        </w:tc>
      </w:tr>
      <w:tr>
        <w:trPr>
          <w:trHeight w:val="552" w:hRule="atLeast"/>
        </w:trPr>
        <w:tc>
          <w:tcPr>
            <w:tcW w:w="456" w:type="dxa"/>
            <w:shd w:val="clear" w:color="auto" w:fill="D5DCE4"/>
          </w:tcPr>
          <w:p>
            <w:pPr>
              <w:pStyle w:val="TableParagraph"/>
              <w:spacing w:line="268" w:lineRule="exact"/>
              <w:jc w:val="center"/>
              <w:rPr>
                <w:sz w:val="24"/>
              </w:rPr>
            </w:pPr>
            <w:r>
              <w:rPr>
                <w:spacing w:val="-5"/>
                <w:sz w:val="24"/>
              </w:rPr>
              <w:t>10</w:t>
            </w:r>
          </w:p>
        </w:tc>
        <w:tc>
          <w:tcPr>
            <w:tcW w:w="6351" w:type="dxa"/>
            <w:shd w:val="clear" w:color="auto" w:fill="D5DCE4"/>
          </w:tcPr>
          <w:p>
            <w:pPr>
              <w:pStyle w:val="TableParagraph"/>
              <w:spacing w:line="268" w:lineRule="exact"/>
              <w:ind w:left="108"/>
              <w:rPr>
                <w:sz w:val="24"/>
              </w:rPr>
            </w:pPr>
            <w:r>
              <w:rPr>
                <w:sz w:val="24"/>
              </w:rPr>
              <w:t>Demand</w:t>
            </w:r>
            <w:r>
              <w:rPr>
                <w:spacing w:val="-2"/>
                <w:sz w:val="24"/>
              </w:rPr>
              <w:t> </w:t>
            </w:r>
            <w:r>
              <w:rPr>
                <w:sz w:val="24"/>
              </w:rPr>
              <w:t>for</w:t>
            </w:r>
            <w:r>
              <w:rPr>
                <w:spacing w:val="-2"/>
                <w:sz w:val="24"/>
              </w:rPr>
              <w:t> </w:t>
            </w:r>
            <w:r>
              <w:rPr>
                <w:sz w:val="24"/>
              </w:rPr>
              <w:t>the</w:t>
            </w:r>
            <w:r>
              <w:rPr>
                <w:spacing w:val="-3"/>
                <w:sz w:val="24"/>
              </w:rPr>
              <w:t> </w:t>
            </w:r>
            <w:r>
              <w:rPr>
                <w:sz w:val="24"/>
              </w:rPr>
              <w:t>product will</w:t>
            </w:r>
            <w:r>
              <w:rPr>
                <w:spacing w:val="-1"/>
                <w:sz w:val="24"/>
              </w:rPr>
              <w:t> </w:t>
            </w:r>
            <w:r>
              <w:rPr>
                <w:sz w:val="24"/>
              </w:rPr>
              <w:t>increase</w:t>
            </w:r>
            <w:r>
              <w:rPr>
                <w:spacing w:val="-2"/>
                <w:sz w:val="24"/>
              </w:rPr>
              <w:t> rapidly</w:t>
            </w:r>
          </w:p>
        </w:tc>
        <w:tc>
          <w:tcPr>
            <w:tcW w:w="1494" w:type="dxa"/>
            <w:shd w:val="clear" w:color="auto" w:fill="D5DCE4"/>
          </w:tcPr>
          <w:p>
            <w:pPr>
              <w:pStyle w:val="TableParagraph"/>
              <w:spacing w:line="268" w:lineRule="exact"/>
              <w:ind w:right="105"/>
              <w:jc w:val="right"/>
              <w:rPr>
                <w:sz w:val="24"/>
              </w:rPr>
            </w:pPr>
            <w:r>
              <w:rPr>
                <w:spacing w:val="-2"/>
                <w:sz w:val="24"/>
              </w:rPr>
              <w:t>4.0759</w:t>
            </w:r>
          </w:p>
        </w:tc>
        <w:tc>
          <w:tcPr>
            <w:tcW w:w="1171" w:type="dxa"/>
            <w:shd w:val="clear" w:color="auto" w:fill="D5DCE4"/>
          </w:tcPr>
          <w:p>
            <w:pPr>
              <w:pStyle w:val="TableParagraph"/>
              <w:spacing w:line="268" w:lineRule="exact"/>
              <w:ind w:right="107"/>
              <w:jc w:val="right"/>
              <w:rPr>
                <w:sz w:val="24"/>
              </w:rPr>
            </w:pPr>
            <w:r>
              <w:rPr>
                <w:spacing w:val="-2"/>
                <w:sz w:val="24"/>
              </w:rPr>
              <w:t>1.19499</w:t>
            </w:r>
          </w:p>
        </w:tc>
      </w:tr>
      <w:tr>
        <w:trPr>
          <w:trHeight w:val="273" w:hRule="atLeast"/>
        </w:trPr>
        <w:tc>
          <w:tcPr>
            <w:tcW w:w="456" w:type="dxa"/>
          </w:tcPr>
          <w:p>
            <w:pPr>
              <w:pStyle w:val="TableParagraph"/>
              <w:spacing w:line="253" w:lineRule="exact"/>
              <w:jc w:val="center"/>
              <w:rPr>
                <w:sz w:val="24"/>
              </w:rPr>
            </w:pPr>
            <w:r>
              <w:rPr>
                <w:spacing w:val="-5"/>
                <w:sz w:val="24"/>
              </w:rPr>
              <w:t>11</w:t>
            </w:r>
          </w:p>
        </w:tc>
        <w:tc>
          <w:tcPr>
            <w:tcW w:w="6351" w:type="dxa"/>
            <w:vMerge w:val="restart"/>
          </w:tcPr>
          <w:p>
            <w:pPr>
              <w:pStyle w:val="TableParagraph"/>
              <w:spacing w:line="268" w:lineRule="exact"/>
              <w:ind w:left="108"/>
              <w:rPr>
                <w:sz w:val="24"/>
              </w:rPr>
            </w:pPr>
            <w:r>
              <w:rPr>
                <w:sz w:val="24"/>
              </w:rPr>
              <w:t>Firm’s</w:t>
            </w:r>
            <w:r>
              <w:rPr>
                <w:spacing w:val="-3"/>
                <w:sz w:val="24"/>
              </w:rPr>
              <w:t> </w:t>
            </w:r>
            <w:r>
              <w:rPr>
                <w:sz w:val="24"/>
              </w:rPr>
              <w:t>level</w:t>
            </w:r>
            <w:r>
              <w:rPr>
                <w:spacing w:val="-1"/>
                <w:sz w:val="24"/>
              </w:rPr>
              <w:t> </w:t>
            </w:r>
            <w:r>
              <w:rPr>
                <w:sz w:val="24"/>
              </w:rPr>
              <w:t>of</w:t>
            </w:r>
            <w:r>
              <w:rPr>
                <w:spacing w:val="-2"/>
                <w:sz w:val="24"/>
              </w:rPr>
              <w:t> </w:t>
            </w:r>
            <w:r>
              <w:rPr>
                <w:sz w:val="24"/>
              </w:rPr>
              <w:t>product</w:t>
            </w:r>
            <w:r>
              <w:rPr>
                <w:spacing w:val="-1"/>
                <w:sz w:val="24"/>
              </w:rPr>
              <w:t> </w:t>
            </w:r>
            <w:r>
              <w:rPr>
                <w:sz w:val="24"/>
              </w:rPr>
              <w:t>quality</w:t>
            </w:r>
            <w:r>
              <w:rPr>
                <w:spacing w:val="-6"/>
                <w:sz w:val="24"/>
              </w:rPr>
              <w:t> </w:t>
            </w:r>
            <w:r>
              <w:rPr>
                <w:sz w:val="24"/>
              </w:rPr>
              <w:t>is</w:t>
            </w:r>
            <w:r>
              <w:rPr>
                <w:spacing w:val="-1"/>
                <w:sz w:val="24"/>
              </w:rPr>
              <w:t> </w:t>
            </w:r>
            <w:r>
              <w:rPr>
                <w:sz w:val="24"/>
              </w:rPr>
              <w:t>higher</w:t>
            </w:r>
            <w:r>
              <w:rPr>
                <w:spacing w:val="-2"/>
                <w:sz w:val="24"/>
              </w:rPr>
              <w:t> </w:t>
            </w:r>
            <w:r>
              <w:rPr>
                <w:sz w:val="24"/>
              </w:rPr>
              <w:t>compared</w:t>
            </w:r>
            <w:r>
              <w:rPr>
                <w:spacing w:val="2"/>
                <w:sz w:val="24"/>
              </w:rPr>
              <w:t> </w:t>
            </w:r>
            <w:r>
              <w:rPr>
                <w:spacing w:val="-4"/>
                <w:sz w:val="24"/>
              </w:rPr>
              <w:t>with</w:t>
            </w:r>
          </w:p>
          <w:p>
            <w:pPr>
              <w:pStyle w:val="TableParagraph"/>
              <w:rPr>
                <w:b/>
                <w:sz w:val="24"/>
              </w:rPr>
            </w:pPr>
          </w:p>
          <w:p>
            <w:pPr>
              <w:pStyle w:val="TableParagraph"/>
              <w:ind w:left="108"/>
              <w:rPr>
                <w:sz w:val="24"/>
              </w:rPr>
            </w:pPr>
            <w:r>
              <w:rPr>
                <w:spacing w:val="-2"/>
                <w:sz w:val="24"/>
              </w:rPr>
              <w:t>competitors’</w:t>
            </w:r>
          </w:p>
        </w:tc>
        <w:tc>
          <w:tcPr>
            <w:tcW w:w="1494" w:type="dxa"/>
          </w:tcPr>
          <w:p>
            <w:pPr>
              <w:pStyle w:val="TableParagraph"/>
              <w:rPr>
                <w:sz w:val="20"/>
              </w:rPr>
            </w:pPr>
          </w:p>
        </w:tc>
        <w:tc>
          <w:tcPr>
            <w:tcW w:w="1171" w:type="dxa"/>
          </w:tcPr>
          <w:p>
            <w:pPr>
              <w:pStyle w:val="TableParagraph"/>
              <w:rPr>
                <w:sz w:val="20"/>
              </w:rPr>
            </w:pPr>
          </w:p>
        </w:tc>
      </w:tr>
      <w:tr>
        <w:trPr>
          <w:trHeight w:val="830" w:hRule="atLeast"/>
        </w:trPr>
        <w:tc>
          <w:tcPr>
            <w:tcW w:w="456" w:type="dxa"/>
          </w:tcPr>
          <w:p>
            <w:pPr>
              <w:pStyle w:val="TableParagraph"/>
              <w:rPr>
                <w:sz w:val="24"/>
              </w:rPr>
            </w:pPr>
          </w:p>
        </w:tc>
        <w:tc>
          <w:tcPr>
            <w:tcW w:w="6351" w:type="dxa"/>
            <w:vMerge/>
            <w:tcBorders>
              <w:top w:val="nil"/>
            </w:tcBorders>
          </w:tcPr>
          <w:p>
            <w:pPr>
              <w:rPr>
                <w:sz w:val="2"/>
                <w:szCs w:val="2"/>
              </w:rPr>
            </w:pPr>
          </w:p>
        </w:tc>
        <w:tc>
          <w:tcPr>
            <w:tcW w:w="1494" w:type="dxa"/>
          </w:tcPr>
          <w:p>
            <w:pPr>
              <w:pStyle w:val="TableParagraph"/>
              <w:spacing w:line="271" w:lineRule="exact"/>
              <w:ind w:right="105"/>
              <w:jc w:val="right"/>
              <w:rPr>
                <w:sz w:val="24"/>
              </w:rPr>
            </w:pPr>
            <w:r>
              <w:rPr>
                <w:spacing w:val="-2"/>
                <w:sz w:val="24"/>
              </w:rPr>
              <w:t>4.0000</w:t>
            </w:r>
          </w:p>
        </w:tc>
        <w:tc>
          <w:tcPr>
            <w:tcW w:w="1171" w:type="dxa"/>
          </w:tcPr>
          <w:p>
            <w:pPr>
              <w:pStyle w:val="TableParagraph"/>
              <w:spacing w:line="271" w:lineRule="exact"/>
              <w:ind w:right="107"/>
              <w:jc w:val="right"/>
              <w:rPr>
                <w:sz w:val="24"/>
              </w:rPr>
            </w:pPr>
            <w:r>
              <w:rPr>
                <w:spacing w:val="-2"/>
                <w:sz w:val="24"/>
              </w:rPr>
              <w:t>1.30206</w:t>
            </w:r>
          </w:p>
        </w:tc>
      </w:tr>
      <w:tr>
        <w:trPr>
          <w:trHeight w:val="273" w:hRule="atLeast"/>
        </w:trPr>
        <w:tc>
          <w:tcPr>
            <w:tcW w:w="456" w:type="dxa"/>
            <w:shd w:val="clear" w:color="auto" w:fill="D5DCE4"/>
          </w:tcPr>
          <w:p>
            <w:pPr>
              <w:pStyle w:val="TableParagraph"/>
              <w:spacing w:line="253" w:lineRule="exact"/>
              <w:jc w:val="center"/>
              <w:rPr>
                <w:sz w:val="24"/>
              </w:rPr>
            </w:pPr>
            <w:r>
              <w:rPr>
                <w:spacing w:val="-5"/>
                <w:sz w:val="24"/>
              </w:rPr>
              <w:t>12</w:t>
            </w:r>
          </w:p>
        </w:tc>
        <w:tc>
          <w:tcPr>
            <w:tcW w:w="6351" w:type="dxa"/>
            <w:vMerge w:val="restart"/>
            <w:shd w:val="clear" w:color="auto" w:fill="D5DCE4"/>
          </w:tcPr>
          <w:p>
            <w:pPr>
              <w:pStyle w:val="TableParagraph"/>
              <w:spacing w:line="268" w:lineRule="exact"/>
              <w:ind w:left="108"/>
              <w:rPr>
                <w:sz w:val="24"/>
              </w:rPr>
            </w:pPr>
            <w:r>
              <w:rPr>
                <w:sz w:val="24"/>
              </w:rPr>
              <w:t>Competition</w:t>
            </w:r>
            <w:r>
              <w:rPr>
                <w:spacing w:val="-3"/>
                <w:sz w:val="24"/>
              </w:rPr>
              <w:t> </w:t>
            </w:r>
            <w:r>
              <w:rPr>
                <w:sz w:val="24"/>
              </w:rPr>
              <w:t>will</w:t>
            </w:r>
            <w:r>
              <w:rPr>
                <w:spacing w:val="-1"/>
                <w:sz w:val="24"/>
              </w:rPr>
              <w:t> </w:t>
            </w:r>
            <w:r>
              <w:rPr>
                <w:sz w:val="24"/>
              </w:rPr>
              <w:t>be</w:t>
            </w:r>
            <w:r>
              <w:rPr>
                <w:spacing w:val="-2"/>
                <w:sz w:val="24"/>
              </w:rPr>
              <w:t> </w:t>
            </w:r>
            <w:r>
              <w:rPr>
                <w:sz w:val="24"/>
              </w:rPr>
              <w:t>based</w:t>
            </w:r>
            <w:r>
              <w:rPr>
                <w:spacing w:val="-1"/>
                <w:sz w:val="24"/>
              </w:rPr>
              <w:t> </w:t>
            </w:r>
            <w:r>
              <w:rPr>
                <w:sz w:val="24"/>
              </w:rPr>
              <w:t>on</w:t>
            </w:r>
            <w:r>
              <w:rPr>
                <w:spacing w:val="-1"/>
                <w:sz w:val="24"/>
              </w:rPr>
              <w:t> </w:t>
            </w:r>
            <w:r>
              <w:rPr>
                <w:sz w:val="24"/>
              </w:rPr>
              <w:t>product</w:t>
            </w:r>
            <w:r>
              <w:rPr>
                <w:spacing w:val="-1"/>
                <w:sz w:val="24"/>
              </w:rPr>
              <w:t> </w:t>
            </w:r>
            <w:r>
              <w:rPr>
                <w:sz w:val="24"/>
              </w:rPr>
              <w:t>or</w:t>
            </w:r>
            <w:r>
              <w:rPr>
                <w:spacing w:val="-2"/>
                <w:sz w:val="24"/>
              </w:rPr>
              <w:t> </w:t>
            </w:r>
            <w:r>
              <w:rPr>
                <w:sz w:val="24"/>
              </w:rPr>
              <w:t>service</w:t>
            </w:r>
            <w:r>
              <w:rPr>
                <w:spacing w:val="-1"/>
                <w:sz w:val="24"/>
              </w:rPr>
              <w:t> </w:t>
            </w:r>
            <w:r>
              <w:rPr>
                <w:spacing w:val="-2"/>
                <w:sz w:val="24"/>
              </w:rPr>
              <w:t>differentiation</w:t>
            </w:r>
          </w:p>
          <w:p>
            <w:pPr>
              <w:pStyle w:val="TableParagraph"/>
              <w:rPr>
                <w:b/>
                <w:sz w:val="24"/>
              </w:rPr>
            </w:pPr>
          </w:p>
          <w:p>
            <w:pPr>
              <w:pStyle w:val="TableParagraph"/>
              <w:ind w:left="108"/>
              <w:rPr>
                <w:sz w:val="24"/>
              </w:rPr>
            </w:pPr>
            <w:r>
              <w:rPr>
                <w:sz w:val="24"/>
              </w:rPr>
              <w:t>and</w:t>
            </w:r>
            <w:r>
              <w:rPr>
                <w:spacing w:val="-3"/>
                <w:sz w:val="24"/>
              </w:rPr>
              <w:t> </w:t>
            </w:r>
            <w:r>
              <w:rPr>
                <w:sz w:val="24"/>
              </w:rPr>
              <w:t>not </w:t>
            </w:r>
            <w:r>
              <w:rPr>
                <w:spacing w:val="-2"/>
                <w:sz w:val="24"/>
              </w:rPr>
              <w:t>price</w:t>
            </w:r>
          </w:p>
        </w:tc>
        <w:tc>
          <w:tcPr>
            <w:tcW w:w="1494" w:type="dxa"/>
            <w:shd w:val="clear" w:color="auto" w:fill="D5DCE4"/>
          </w:tcPr>
          <w:p>
            <w:pPr>
              <w:pStyle w:val="TableParagraph"/>
              <w:rPr>
                <w:sz w:val="20"/>
              </w:rPr>
            </w:pPr>
          </w:p>
        </w:tc>
        <w:tc>
          <w:tcPr>
            <w:tcW w:w="1171" w:type="dxa"/>
            <w:shd w:val="clear" w:color="auto" w:fill="D5DCE4"/>
          </w:tcPr>
          <w:p>
            <w:pPr>
              <w:pStyle w:val="TableParagraph"/>
              <w:rPr>
                <w:sz w:val="20"/>
              </w:rPr>
            </w:pPr>
          </w:p>
        </w:tc>
      </w:tr>
      <w:tr>
        <w:trPr>
          <w:trHeight w:val="830" w:hRule="atLeast"/>
        </w:trPr>
        <w:tc>
          <w:tcPr>
            <w:tcW w:w="456" w:type="dxa"/>
            <w:shd w:val="clear" w:color="auto" w:fill="D5DCE4"/>
          </w:tcPr>
          <w:p>
            <w:pPr>
              <w:pStyle w:val="TableParagraph"/>
              <w:rPr>
                <w:sz w:val="24"/>
              </w:rPr>
            </w:pPr>
          </w:p>
        </w:tc>
        <w:tc>
          <w:tcPr>
            <w:tcW w:w="6351" w:type="dxa"/>
            <w:vMerge/>
            <w:tcBorders>
              <w:top w:val="nil"/>
            </w:tcBorders>
            <w:shd w:val="clear" w:color="auto" w:fill="D5DCE4"/>
          </w:tcPr>
          <w:p>
            <w:pPr>
              <w:rPr>
                <w:sz w:val="2"/>
                <w:szCs w:val="2"/>
              </w:rPr>
            </w:pPr>
          </w:p>
        </w:tc>
        <w:tc>
          <w:tcPr>
            <w:tcW w:w="1494" w:type="dxa"/>
            <w:shd w:val="clear" w:color="auto" w:fill="D5DCE4"/>
          </w:tcPr>
          <w:p>
            <w:pPr>
              <w:pStyle w:val="TableParagraph"/>
              <w:spacing w:line="271" w:lineRule="exact"/>
              <w:ind w:right="105"/>
              <w:jc w:val="right"/>
              <w:rPr>
                <w:sz w:val="24"/>
              </w:rPr>
            </w:pPr>
            <w:r>
              <w:rPr>
                <w:spacing w:val="-2"/>
                <w:sz w:val="24"/>
              </w:rPr>
              <w:t>3.8086</w:t>
            </w:r>
          </w:p>
        </w:tc>
        <w:tc>
          <w:tcPr>
            <w:tcW w:w="1171" w:type="dxa"/>
            <w:shd w:val="clear" w:color="auto" w:fill="D5DCE4"/>
          </w:tcPr>
          <w:p>
            <w:pPr>
              <w:pStyle w:val="TableParagraph"/>
              <w:spacing w:line="271" w:lineRule="exact"/>
              <w:ind w:right="107"/>
              <w:jc w:val="right"/>
              <w:rPr>
                <w:sz w:val="24"/>
              </w:rPr>
            </w:pPr>
            <w:r>
              <w:rPr>
                <w:spacing w:val="-2"/>
                <w:sz w:val="24"/>
              </w:rPr>
              <w:t>1.19449</w:t>
            </w:r>
          </w:p>
        </w:tc>
      </w:tr>
      <w:tr>
        <w:trPr>
          <w:trHeight w:val="549" w:hRule="atLeast"/>
        </w:trPr>
        <w:tc>
          <w:tcPr>
            <w:tcW w:w="456" w:type="dxa"/>
          </w:tcPr>
          <w:p>
            <w:pPr>
              <w:pStyle w:val="TableParagraph"/>
              <w:spacing w:line="268" w:lineRule="exact"/>
              <w:jc w:val="center"/>
              <w:rPr>
                <w:sz w:val="24"/>
              </w:rPr>
            </w:pPr>
            <w:r>
              <w:rPr>
                <w:spacing w:val="-5"/>
                <w:sz w:val="24"/>
              </w:rPr>
              <w:t>13</w:t>
            </w:r>
          </w:p>
        </w:tc>
        <w:tc>
          <w:tcPr>
            <w:tcW w:w="6351" w:type="dxa"/>
          </w:tcPr>
          <w:p>
            <w:pPr>
              <w:pStyle w:val="TableParagraph"/>
              <w:spacing w:line="268" w:lineRule="exact"/>
              <w:ind w:left="108"/>
              <w:rPr>
                <w:sz w:val="24"/>
              </w:rPr>
            </w:pPr>
            <w:r>
              <w:rPr>
                <w:sz w:val="24"/>
              </w:rPr>
              <w:t>Improve</w:t>
            </w:r>
            <w:r>
              <w:rPr>
                <w:spacing w:val="-1"/>
                <w:sz w:val="24"/>
              </w:rPr>
              <w:t> </w:t>
            </w:r>
            <w:r>
              <w:rPr>
                <w:sz w:val="24"/>
              </w:rPr>
              <w:t>Quality</w:t>
            </w:r>
            <w:r>
              <w:rPr>
                <w:spacing w:val="-5"/>
                <w:sz w:val="24"/>
              </w:rPr>
              <w:t> </w:t>
            </w:r>
            <w:r>
              <w:rPr>
                <w:sz w:val="24"/>
              </w:rPr>
              <w:t>of</w:t>
            </w:r>
            <w:r>
              <w:rPr>
                <w:spacing w:val="-1"/>
                <w:sz w:val="24"/>
              </w:rPr>
              <w:t> </w:t>
            </w:r>
            <w:r>
              <w:rPr>
                <w:spacing w:val="-2"/>
                <w:sz w:val="24"/>
              </w:rPr>
              <w:t>Product/Service</w:t>
            </w:r>
          </w:p>
        </w:tc>
        <w:tc>
          <w:tcPr>
            <w:tcW w:w="1494" w:type="dxa"/>
          </w:tcPr>
          <w:p>
            <w:pPr>
              <w:pStyle w:val="TableParagraph"/>
              <w:spacing w:line="268" w:lineRule="exact"/>
              <w:ind w:right="105"/>
              <w:jc w:val="right"/>
              <w:rPr>
                <w:sz w:val="24"/>
              </w:rPr>
            </w:pPr>
            <w:r>
              <w:rPr>
                <w:spacing w:val="-2"/>
                <w:sz w:val="24"/>
              </w:rPr>
              <w:t>4.1617</w:t>
            </w:r>
          </w:p>
        </w:tc>
        <w:tc>
          <w:tcPr>
            <w:tcW w:w="1171" w:type="dxa"/>
          </w:tcPr>
          <w:p>
            <w:pPr>
              <w:pStyle w:val="TableParagraph"/>
              <w:spacing w:line="268" w:lineRule="exact"/>
              <w:ind w:right="107"/>
              <w:jc w:val="right"/>
              <w:rPr>
                <w:sz w:val="24"/>
              </w:rPr>
            </w:pPr>
            <w:r>
              <w:rPr>
                <w:spacing w:val="-2"/>
                <w:sz w:val="24"/>
              </w:rPr>
              <w:t>1.14087</w:t>
            </w:r>
          </w:p>
        </w:tc>
      </w:tr>
      <w:tr>
        <w:trPr>
          <w:trHeight w:val="552" w:hRule="atLeast"/>
        </w:trPr>
        <w:tc>
          <w:tcPr>
            <w:tcW w:w="456" w:type="dxa"/>
            <w:shd w:val="clear" w:color="auto" w:fill="D5DCE4"/>
          </w:tcPr>
          <w:p>
            <w:pPr>
              <w:pStyle w:val="TableParagraph"/>
              <w:spacing w:line="268" w:lineRule="exact"/>
              <w:jc w:val="center"/>
              <w:rPr>
                <w:sz w:val="24"/>
              </w:rPr>
            </w:pPr>
            <w:r>
              <w:rPr>
                <w:spacing w:val="-5"/>
                <w:sz w:val="24"/>
              </w:rPr>
              <w:t>14</w:t>
            </w:r>
          </w:p>
        </w:tc>
        <w:tc>
          <w:tcPr>
            <w:tcW w:w="6351" w:type="dxa"/>
            <w:shd w:val="clear" w:color="auto" w:fill="D5DCE4"/>
          </w:tcPr>
          <w:p>
            <w:pPr>
              <w:pStyle w:val="TableParagraph"/>
              <w:spacing w:line="268" w:lineRule="exact"/>
              <w:ind w:left="108"/>
              <w:rPr>
                <w:sz w:val="24"/>
              </w:rPr>
            </w:pPr>
            <w:r>
              <w:rPr>
                <w:sz w:val="24"/>
              </w:rPr>
              <w:t>Increase your</w:t>
            </w:r>
            <w:r>
              <w:rPr>
                <w:spacing w:val="-1"/>
                <w:sz w:val="24"/>
              </w:rPr>
              <w:t> </w:t>
            </w:r>
            <w:r>
              <w:rPr>
                <w:sz w:val="24"/>
              </w:rPr>
              <w:t>ability</w:t>
            </w:r>
            <w:r>
              <w:rPr>
                <w:spacing w:val="-6"/>
                <w:sz w:val="24"/>
              </w:rPr>
              <w:t> </w:t>
            </w:r>
            <w:r>
              <w:rPr>
                <w:sz w:val="24"/>
              </w:rPr>
              <w:t>to</w:t>
            </w:r>
            <w:r>
              <w:rPr>
                <w:spacing w:val="-2"/>
                <w:sz w:val="24"/>
              </w:rPr>
              <w:t> innovate</w:t>
            </w:r>
          </w:p>
        </w:tc>
        <w:tc>
          <w:tcPr>
            <w:tcW w:w="1494" w:type="dxa"/>
            <w:shd w:val="clear" w:color="auto" w:fill="D5DCE4"/>
          </w:tcPr>
          <w:p>
            <w:pPr>
              <w:pStyle w:val="TableParagraph"/>
              <w:spacing w:line="268" w:lineRule="exact"/>
              <w:ind w:right="105"/>
              <w:jc w:val="right"/>
              <w:rPr>
                <w:sz w:val="24"/>
              </w:rPr>
            </w:pPr>
            <w:r>
              <w:rPr>
                <w:spacing w:val="-2"/>
                <w:sz w:val="24"/>
              </w:rPr>
              <w:t>3.7261</w:t>
            </w:r>
          </w:p>
        </w:tc>
        <w:tc>
          <w:tcPr>
            <w:tcW w:w="1171" w:type="dxa"/>
            <w:shd w:val="clear" w:color="auto" w:fill="D5DCE4"/>
          </w:tcPr>
          <w:p>
            <w:pPr>
              <w:pStyle w:val="TableParagraph"/>
              <w:spacing w:line="268" w:lineRule="exact"/>
              <w:ind w:right="107"/>
              <w:jc w:val="right"/>
              <w:rPr>
                <w:sz w:val="24"/>
              </w:rPr>
            </w:pPr>
            <w:r>
              <w:rPr>
                <w:spacing w:val="-2"/>
                <w:sz w:val="24"/>
              </w:rPr>
              <w:t>1.29475</w:t>
            </w:r>
          </w:p>
        </w:tc>
      </w:tr>
    </w:tbl>
    <w:p>
      <w:pPr>
        <w:spacing w:before="5"/>
        <w:ind w:left="400" w:right="0" w:firstLine="0"/>
        <w:jc w:val="left"/>
        <w:rPr>
          <w:b/>
          <w:sz w:val="24"/>
        </w:rPr>
      </w:pPr>
      <w:r>
        <w:rPr>
          <w:b/>
          <w:sz w:val="24"/>
        </w:rPr>
        <w:t>Source:</w:t>
      </w:r>
      <w:r>
        <w:rPr>
          <w:b/>
          <w:spacing w:val="-4"/>
          <w:sz w:val="24"/>
        </w:rPr>
        <w:t> </w:t>
      </w:r>
      <w:r>
        <w:rPr>
          <w:b/>
          <w:sz w:val="24"/>
        </w:rPr>
        <w:t>Researcher’s</w:t>
      </w:r>
      <w:r>
        <w:rPr>
          <w:b/>
          <w:spacing w:val="-2"/>
          <w:sz w:val="24"/>
        </w:rPr>
        <w:t> </w:t>
      </w:r>
      <w:r>
        <w:rPr>
          <w:b/>
          <w:sz w:val="24"/>
        </w:rPr>
        <w:t>field</w:t>
      </w:r>
      <w:r>
        <w:rPr>
          <w:b/>
          <w:spacing w:val="-2"/>
          <w:sz w:val="24"/>
        </w:rPr>
        <w:t> </w:t>
      </w:r>
      <w:r>
        <w:rPr>
          <w:b/>
          <w:sz w:val="24"/>
        </w:rPr>
        <w:t>survey</w:t>
      </w:r>
      <w:r>
        <w:rPr>
          <w:b/>
          <w:spacing w:val="-2"/>
          <w:sz w:val="24"/>
        </w:rPr>
        <w:t> (2018)</w:t>
      </w:r>
    </w:p>
    <w:p>
      <w:pPr>
        <w:spacing w:after="0"/>
        <w:jc w:val="left"/>
        <w:rPr>
          <w:sz w:val="24"/>
        </w:rPr>
        <w:sectPr>
          <w:pgSz w:w="12240" w:h="15840"/>
          <w:pgMar w:header="0" w:footer="1017" w:top="1360" w:bottom="1200" w:left="1040" w:right="120"/>
        </w:sectPr>
      </w:pPr>
    </w:p>
    <w:p>
      <w:pPr>
        <w:spacing w:line="504" w:lineRule="auto" w:before="76" w:after="11"/>
        <w:ind w:left="1897" w:right="1315" w:hanging="1498"/>
        <w:jc w:val="left"/>
        <w:rPr>
          <w:b/>
          <w:sz w:val="16"/>
        </w:rPr>
      </w:pPr>
      <w:r>
        <w:rPr>
          <w:b/>
          <w:sz w:val="24"/>
        </w:rPr>
        <w:t>Regression</w:t>
      </w:r>
      <w:r>
        <w:rPr>
          <w:b/>
          <w:spacing w:val="-4"/>
          <w:sz w:val="24"/>
        </w:rPr>
        <w:t> </w:t>
      </w:r>
      <w:r>
        <w:rPr>
          <w:b/>
          <w:sz w:val="24"/>
        </w:rPr>
        <w:t>of</w:t>
      </w:r>
      <w:r>
        <w:rPr>
          <w:b/>
          <w:spacing w:val="-3"/>
          <w:sz w:val="24"/>
        </w:rPr>
        <w:t> </w:t>
      </w:r>
      <w:r>
        <w:rPr>
          <w:b/>
          <w:sz w:val="24"/>
        </w:rPr>
        <w:t>level</w:t>
      </w:r>
      <w:r>
        <w:rPr>
          <w:b/>
          <w:spacing w:val="-4"/>
          <w:sz w:val="24"/>
        </w:rPr>
        <w:t> </w:t>
      </w:r>
      <w:r>
        <w:rPr>
          <w:b/>
          <w:sz w:val="24"/>
        </w:rPr>
        <w:t>of</w:t>
      </w:r>
      <w:r>
        <w:rPr>
          <w:b/>
          <w:spacing w:val="-3"/>
          <w:sz w:val="24"/>
        </w:rPr>
        <w:t> </w:t>
      </w:r>
      <w:r>
        <w:rPr>
          <w:b/>
          <w:sz w:val="24"/>
        </w:rPr>
        <w:t>implementation</w:t>
      </w:r>
      <w:r>
        <w:rPr>
          <w:b/>
          <w:spacing w:val="-4"/>
          <w:sz w:val="24"/>
        </w:rPr>
        <w:t> </w:t>
      </w:r>
      <w:r>
        <w:rPr>
          <w:b/>
          <w:sz w:val="24"/>
        </w:rPr>
        <w:t>of</w:t>
      </w:r>
      <w:r>
        <w:rPr>
          <w:b/>
          <w:spacing w:val="-3"/>
          <w:sz w:val="24"/>
        </w:rPr>
        <w:t> </w:t>
      </w:r>
      <w:r>
        <w:rPr>
          <w:b/>
          <w:sz w:val="24"/>
        </w:rPr>
        <w:t>TQM</w:t>
      </w:r>
      <w:r>
        <w:rPr>
          <w:b/>
          <w:spacing w:val="-5"/>
          <w:sz w:val="24"/>
        </w:rPr>
        <w:t> </w:t>
      </w:r>
      <w:r>
        <w:rPr>
          <w:b/>
          <w:sz w:val="24"/>
        </w:rPr>
        <w:t>and</w:t>
      </w:r>
      <w:r>
        <w:rPr>
          <w:b/>
          <w:spacing w:val="-4"/>
          <w:sz w:val="24"/>
        </w:rPr>
        <w:t> </w:t>
      </w:r>
      <w:r>
        <w:rPr>
          <w:b/>
          <w:sz w:val="24"/>
        </w:rPr>
        <w:t>measures</w:t>
      </w:r>
      <w:r>
        <w:rPr>
          <w:b/>
          <w:spacing w:val="-4"/>
          <w:sz w:val="24"/>
        </w:rPr>
        <w:t> </w:t>
      </w:r>
      <w:r>
        <w:rPr>
          <w:b/>
          <w:sz w:val="24"/>
        </w:rPr>
        <w:t>of</w:t>
      </w:r>
      <w:r>
        <w:rPr>
          <w:b/>
          <w:spacing w:val="-3"/>
          <w:sz w:val="24"/>
        </w:rPr>
        <w:t> </w:t>
      </w:r>
      <w:r>
        <w:rPr>
          <w:b/>
          <w:sz w:val="24"/>
        </w:rPr>
        <w:t>Competitive</w:t>
      </w:r>
      <w:r>
        <w:rPr>
          <w:b/>
          <w:spacing w:val="-5"/>
          <w:sz w:val="24"/>
        </w:rPr>
        <w:t> </w:t>
      </w:r>
      <w:r>
        <w:rPr>
          <w:b/>
          <w:sz w:val="24"/>
        </w:rPr>
        <w:t>Advantage Variables Entered/Removed</w:t>
      </w:r>
      <w:r>
        <w:rPr>
          <w:b/>
          <w:position w:val="8"/>
          <w:sz w:val="16"/>
        </w:rPr>
        <w:t>b</w:t>
      </w: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1872"/>
        <w:gridCol w:w="1874"/>
        <w:gridCol w:w="1300"/>
      </w:tblGrid>
      <w:tr>
        <w:trPr>
          <w:trHeight w:val="886" w:hRule="atLeast"/>
        </w:trPr>
        <w:tc>
          <w:tcPr>
            <w:tcW w:w="934" w:type="dxa"/>
          </w:tcPr>
          <w:p>
            <w:pPr>
              <w:pStyle w:val="TableParagraph"/>
              <w:spacing w:before="139"/>
              <w:rPr>
                <w:b/>
                <w:sz w:val="24"/>
              </w:rPr>
            </w:pPr>
          </w:p>
          <w:p>
            <w:pPr>
              <w:pStyle w:val="TableParagraph"/>
              <w:spacing w:before="1"/>
              <w:ind w:left="27"/>
              <w:rPr>
                <w:sz w:val="24"/>
              </w:rPr>
            </w:pPr>
            <w:r>
              <w:rPr>
                <w:spacing w:val="-2"/>
                <w:sz w:val="24"/>
              </w:rPr>
              <w:t>Model</w:t>
            </w:r>
          </w:p>
        </w:tc>
        <w:tc>
          <w:tcPr>
            <w:tcW w:w="1872" w:type="dxa"/>
            <w:tcBorders>
              <w:right w:val="single" w:sz="8" w:space="0" w:color="000000"/>
            </w:tcBorders>
          </w:tcPr>
          <w:p>
            <w:pPr>
              <w:pStyle w:val="TableParagraph"/>
              <w:spacing w:before="139"/>
              <w:rPr>
                <w:b/>
                <w:sz w:val="24"/>
              </w:rPr>
            </w:pPr>
          </w:p>
          <w:p>
            <w:pPr>
              <w:pStyle w:val="TableParagraph"/>
              <w:spacing w:before="1"/>
              <w:ind w:left="70"/>
              <w:rPr>
                <w:sz w:val="24"/>
              </w:rPr>
            </w:pPr>
            <w:r>
              <w:rPr>
                <w:sz w:val="24"/>
              </w:rPr>
              <w:t>Variables</w:t>
            </w:r>
            <w:r>
              <w:rPr>
                <w:spacing w:val="-5"/>
                <w:sz w:val="24"/>
              </w:rPr>
              <w:t> </w:t>
            </w:r>
            <w:r>
              <w:rPr>
                <w:spacing w:val="-2"/>
                <w:sz w:val="24"/>
              </w:rPr>
              <w:t>Entered</w:t>
            </w:r>
          </w:p>
        </w:tc>
        <w:tc>
          <w:tcPr>
            <w:tcW w:w="1874" w:type="dxa"/>
            <w:tcBorders>
              <w:left w:val="single" w:sz="8" w:space="0" w:color="000000"/>
              <w:right w:val="single" w:sz="8" w:space="0" w:color="000000"/>
            </w:tcBorders>
          </w:tcPr>
          <w:p>
            <w:pPr>
              <w:pStyle w:val="TableParagraph"/>
              <w:spacing w:before="140"/>
              <w:ind w:left="486" w:right="447" w:firstLine="2"/>
              <w:rPr>
                <w:sz w:val="24"/>
              </w:rPr>
            </w:pPr>
            <w:r>
              <w:rPr>
                <w:spacing w:val="-2"/>
                <w:sz w:val="24"/>
              </w:rPr>
              <w:t>Variables Removed</w:t>
            </w:r>
          </w:p>
        </w:tc>
        <w:tc>
          <w:tcPr>
            <w:tcW w:w="1300" w:type="dxa"/>
            <w:tcBorders>
              <w:left w:val="single" w:sz="8" w:space="0" w:color="000000"/>
            </w:tcBorders>
          </w:tcPr>
          <w:p>
            <w:pPr>
              <w:pStyle w:val="TableParagraph"/>
              <w:spacing w:before="139"/>
              <w:rPr>
                <w:b/>
                <w:sz w:val="24"/>
              </w:rPr>
            </w:pPr>
          </w:p>
          <w:p>
            <w:pPr>
              <w:pStyle w:val="TableParagraph"/>
              <w:spacing w:before="1"/>
              <w:ind w:left="287"/>
              <w:rPr>
                <w:sz w:val="24"/>
              </w:rPr>
            </w:pPr>
            <w:r>
              <w:rPr>
                <w:spacing w:val="-2"/>
                <w:sz w:val="24"/>
              </w:rPr>
              <w:t>Method</w:t>
            </w:r>
          </w:p>
        </w:tc>
      </w:tr>
      <w:tr>
        <w:trPr>
          <w:trHeight w:val="857" w:hRule="atLeast"/>
        </w:trPr>
        <w:tc>
          <w:tcPr>
            <w:tcW w:w="934" w:type="dxa"/>
          </w:tcPr>
          <w:p>
            <w:pPr>
              <w:pStyle w:val="TableParagraph"/>
              <w:spacing w:before="20"/>
              <w:ind w:left="27"/>
              <w:rPr>
                <w:sz w:val="24"/>
              </w:rPr>
            </w:pPr>
            <w:r>
              <w:rPr>
                <w:spacing w:val="-10"/>
                <w:sz w:val="24"/>
              </w:rPr>
              <w:t>1</w:t>
            </w:r>
          </w:p>
        </w:tc>
        <w:tc>
          <w:tcPr>
            <w:tcW w:w="1872" w:type="dxa"/>
            <w:tcBorders>
              <w:right w:val="single" w:sz="8" w:space="0" w:color="000000"/>
            </w:tcBorders>
          </w:tcPr>
          <w:p>
            <w:pPr>
              <w:pStyle w:val="TableParagraph"/>
              <w:spacing w:before="65"/>
              <w:ind w:left="27"/>
              <w:rPr>
                <w:sz w:val="24"/>
              </w:rPr>
            </w:pPr>
            <w:r>
              <w:rPr>
                <w:sz w:val="24"/>
              </w:rPr>
              <w:t>Measures</w:t>
            </w:r>
            <w:r>
              <w:rPr>
                <w:spacing w:val="-4"/>
                <w:sz w:val="24"/>
              </w:rPr>
              <w:t> </w:t>
            </w:r>
            <w:r>
              <w:rPr>
                <w:sz w:val="24"/>
              </w:rPr>
              <w:t>of </w:t>
            </w:r>
            <w:r>
              <w:rPr>
                <w:spacing w:val="-2"/>
                <w:sz w:val="24"/>
              </w:rPr>
              <w:t>profitability</w:t>
            </w:r>
            <w:r>
              <w:rPr>
                <w:spacing w:val="-2"/>
                <w:sz w:val="24"/>
                <w:vertAlign w:val="superscript"/>
              </w:rPr>
              <w:t>a</w:t>
            </w:r>
          </w:p>
        </w:tc>
        <w:tc>
          <w:tcPr>
            <w:tcW w:w="1874" w:type="dxa"/>
            <w:tcBorders>
              <w:left w:val="single" w:sz="8" w:space="0" w:color="000000"/>
              <w:right w:val="single" w:sz="8" w:space="0" w:color="000000"/>
            </w:tcBorders>
          </w:tcPr>
          <w:p>
            <w:pPr>
              <w:pStyle w:val="TableParagraph"/>
              <w:spacing w:before="202"/>
              <w:ind w:right="-15"/>
              <w:jc w:val="right"/>
              <w:rPr>
                <w:sz w:val="24"/>
              </w:rPr>
            </w:pPr>
            <w:r>
              <w:rPr>
                <w:spacing w:val="-10"/>
                <w:sz w:val="24"/>
              </w:rPr>
              <w:t>.</w:t>
            </w:r>
          </w:p>
        </w:tc>
        <w:tc>
          <w:tcPr>
            <w:tcW w:w="1300" w:type="dxa"/>
            <w:tcBorders>
              <w:left w:val="single" w:sz="8" w:space="0" w:color="000000"/>
            </w:tcBorders>
          </w:tcPr>
          <w:p>
            <w:pPr>
              <w:pStyle w:val="TableParagraph"/>
              <w:spacing w:before="202"/>
              <w:ind w:left="40"/>
              <w:rPr>
                <w:sz w:val="24"/>
              </w:rPr>
            </w:pPr>
            <w:r>
              <w:rPr>
                <w:spacing w:val="-4"/>
                <w:sz w:val="24"/>
              </w:rPr>
              <w:t>Enter</w:t>
            </w:r>
          </w:p>
        </w:tc>
      </w:tr>
    </w:tbl>
    <w:p>
      <w:pPr>
        <w:pStyle w:val="ListParagraph"/>
        <w:numPr>
          <w:ilvl w:val="0"/>
          <w:numId w:val="48"/>
        </w:numPr>
        <w:tabs>
          <w:tab w:pos="656" w:val="left" w:leader="none"/>
        </w:tabs>
        <w:spacing w:line="240" w:lineRule="auto" w:before="0" w:after="0"/>
        <w:ind w:left="656" w:right="0" w:hanging="225"/>
        <w:jc w:val="left"/>
        <w:rPr>
          <w:sz w:val="24"/>
        </w:rPr>
      </w:pPr>
      <w:r>
        <w:rPr>
          <w:sz w:val="24"/>
        </w:rPr>
        <w:t>All</w:t>
      </w:r>
      <w:r>
        <w:rPr>
          <w:spacing w:val="-3"/>
          <w:sz w:val="24"/>
        </w:rPr>
        <w:t> </w:t>
      </w:r>
      <w:r>
        <w:rPr>
          <w:sz w:val="24"/>
        </w:rPr>
        <w:t>requested</w:t>
      </w:r>
      <w:r>
        <w:rPr>
          <w:spacing w:val="-2"/>
          <w:sz w:val="24"/>
        </w:rPr>
        <w:t> </w:t>
      </w:r>
      <w:r>
        <w:rPr>
          <w:sz w:val="24"/>
        </w:rPr>
        <w:t>variables </w:t>
      </w:r>
      <w:r>
        <w:rPr>
          <w:spacing w:val="-2"/>
          <w:sz w:val="24"/>
        </w:rPr>
        <w:t>entered.</w:t>
      </w:r>
    </w:p>
    <w:p>
      <w:pPr>
        <w:pStyle w:val="ListParagraph"/>
        <w:numPr>
          <w:ilvl w:val="0"/>
          <w:numId w:val="48"/>
        </w:numPr>
        <w:tabs>
          <w:tab w:pos="671" w:val="left" w:leader="none"/>
        </w:tabs>
        <w:spacing w:line="240" w:lineRule="auto" w:before="245" w:after="0"/>
        <w:ind w:left="671" w:right="0" w:hanging="240"/>
        <w:jc w:val="left"/>
        <w:rPr>
          <w:sz w:val="24"/>
        </w:rPr>
      </w:pPr>
      <w:r>
        <w:rPr>
          <w:sz w:val="24"/>
        </w:rPr>
        <w:t>Dependent</w:t>
      </w:r>
      <w:r>
        <w:rPr>
          <w:spacing w:val="-4"/>
          <w:sz w:val="24"/>
        </w:rPr>
        <w:t> </w:t>
      </w:r>
      <w:r>
        <w:rPr>
          <w:sz w:val="24"/>
        </w:rPr>
        <w:t>Variable: Level</w:t>
      </w:r>
      <w:r>
        <w:rPr>
          <w:spacing w:val="-2"/>
          <w:sz w:val="24"/>
        </w:rPr>
        <w:t> </w:t>
      </w:r>
      <w:r>
        <w:rPr>
          <w:sz w:val="24"/>
        </w:rPr>
        <w:t>of</w:t>
      </w:r>
      <w:r>
        <w:rPr>
          <w:spacing w:val="-3"/>
          <w:sz w:val="24"/>
        </w:rPr>
        <w:t> </w:t>
      </w:r>
      <w:r>
        <w:rPr>
          <w:sz w:val="24"/>
        </w:rPr>
        <w:t>implementation</w:t>
      </w:r>
      <w:r>
        <w:rPr>
          <w:spacing w:val="-2"/>
          <w:sz w:val="24"/>
        </w:rPr>
        <w:t> </w:t>
      </w:r>
      <w:r>
        <w:rPr>
          <w:sz w:val="24"/>
        </w:rPr>
        <w:t>of</w:t>
      </w:r>
      <w:r>
        <w:rPr>
          <w:spacing w:val="-2"/>
          <w:sz w:val="24"/>
        </w:rPr>
        <w:t> </w:t>
      </w:r>
      <w:r>
        <w:rPr>
          <w:spacing w:val="-5"/>
          <w:sz w:val="24"/>
        </w:rPr>
        <w:t>TQM</w:t>
      </w:r>
    </w:p>
    <w:p>
      <w:pPr>
        <w:pStyle w:val="BodyText"/>
      </w:pPr>
    </w:p>
    <w:p>
      <w:pPr>
        <w:pStyle w:val="BodyText"/>
      </w:pPr>
    </w:p>
    <w:p>
      <w:pPr>
        <w:pStyle w:val="BodyText"/>
        <w:spacing w:before="146"/>
      </w:pPr>
    </w:p>
    <w:p>
      <w:pPr>
        <w:pStyle w:val="Heading2"/>
        <w:numPr>
          <w:ilvl w:val="1"/>
          <w:numId w:val="49"/>
        </w:numPr>
        <w:tabs>
          <w:tab w:pos="911" w:val="left" w:leader="none"/>
        </w:tabs>
        <w:spacing w:line="240" w:lineRule="auto" w:before="0" w:after="0"/>
        <w:ind w:left="911" w:right="0" w:hanging="480"/>
        <w:jc w:val="left"/>
      </w:pPr>
      <w:r>
        <w:rPr/>
        <w:t>Model</w:t>
      </w:r>
      <w:r>
        <w:rPr>
          <w:spacing w:val="-2"/>
        </w:rPr>
        <w:t> Summary</w:t>
      </w:r>
    </w:p>
    <w:p>
      <w:pPr>
        <w:pStyle w:val="BodyText"/>
        <w:rPr>
          <w:b/>
          <w:sz w:val="20"/>
        </w:rPr>
      </w:pPr>
    </w:p>
    <w:p>
      <w:pPr>
        <w:pStyle w:val="BodyText"/>
        <w:spacing w:before="9"/>
        <w:rPr>
          <w:b/>
          <w:sz w:val="20"/>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90"/>
        <w:gridCol w:w="1097"/>
        <w:gridCol w:w="1171"/>
        <w:gridCol w:w="1581"/>
        <w:gridCol w:w="1579"/>
      </w:tblGrid>
      <w:tr>
        <w:trPr>
          <w:trHeight w:val="1295" w:hRule="atLeast"/>
        </w:trPr>
        <w:tc>
          <w:tcPr>
            <w:tcW w:w="790" w:type="dxa"/>
          </w:tcPr>
          <w:p>
            <w:pPr>
              <w:pStyle w:val="TableParagraph"/>
              <w:rPr>
                <w:b/>
                <w:sz w:val="24"/>
              </w:rPr>
            </w:pPr>
          </w:p>
          <w:p>
            <w:pPr>
              <w:pStyle w:val="TableParagraph"/>
              <w:spacing w:before="19"/>
              <w:rPr>
                <w:b/>
                <w:sz w:val="24"/>
              </w:rPr>
            </w:pPr>
          </w:p>
          <w:p>
            <w:pPr>
              <w:pStyle w:val="TableParagraph"/>
              <w:spacing w:before="1"/>
              <w:ind w:left="27"/>
              <w:rPr>
                <w:sz w:val="24"/>
              </w:rPr>
            </w:pPr>
            <w:r>
              <w:rPr>
                <w:spacing w:val="-2"/>
                <w:sz w:val="24"/>
              </w:rPr>
              <w:t>Model</w:t>
            </w:r>
          </w:p>
        </w:tc>
        <w:tc>
          <w:tcPr>
            <w:tcW w:w="1097" w:type="dxa"/>
            <w:tcBorders>
              <w:bottom w:val="single" w:sz="36" w:space="0" w:color="000000"/>
              <w:right w:val="single" w:sz="8" w:space="0" w:color="000000"/>
            </w:tcBorders>
          </w:tcPr>
          <w:p>
            <w:pPr>
              <w:pStyle w:val="TableParagraph"/>
              <w:rPr>
                <w:b/>
                <w:sz w:val="24"/>
              </w:rPr>
            </w:pPr>
          </w:p>
          <w:p>
            <w:pPr>
              <w:pStyle w:val="TableParagraph"/>
              <w:spacing w:before="19"/>
              <w:rPr>
                <w:b/>
                <w:sz w:val="24"/>
              </w:rPr>
            </w:pPr>
          </w:p>
          <w:p>
            <w:pPr>
              <w:pStyle w:val="TableParagraph"/>
              <w:spacing w:before="1"/>
              <w:ind w:left="29" w:right="5"/>
              <w:jc w:val="center"/>
              <w:rPr>
                <w:sz w:val="24"/>
              </w:rPr>
            </w:pPr>
            <w:r>
              <w:rPr>
                <w:spacing w:val="-10"/>
                <w:sz w:val="24"/>
              </w:rPr>
              <w:t>R</w:t>
            </w:r>
          </w:p>
        </w:tc>
        <w:tc>
          <w:tcPr>
            <w:tcW w:w="1171" w:type="dxa"/>
            <w:tcBorders>
              <w:left w:val="single" w:sz="8" w:space="0" w:color="000000"/>
              <w:right w:val="single" w:sz="8" w:space="0" w:color="000000"/>
            </w:tcBorders>
          </w:tcPr>
          <w:p>
            <w:pPr>
              <w:pStyle w:val="TableParagraph"/>
              <w:rPr>
                <w:b/>
                <w:sz w:val="24"/>
              </w:rPr>
            </w:pPr>
          </w:p>
          <w:p>
            <w:pPr>
              <w:pStyle w:val="TableParagraph"/>
              <w:spacing w:before="19"/>
              <w:rPr>
                <w:b/>
                <w:sz w:val="24"/>
              </w:rPr>
            </w:pPr>
          </w:p>
          <w:p>
            <w:pPr>
              <w:pStyle w:val="TableParagraph"/>
              <w:spacing w:before="1"/>
              <w:ind w:left="152"/>
              <w:rPr>
                <w:sz w:val="24"/>
              </w:rPr>
            </w:pPr>
            <w:r>
              <w:rPr>
                <w:sz w:val="24"/>
              </w:rPr>
              <w:t>R</w:t>
            </w:r>
            <w:r>
              <w:rPr>
                <w:spacing w:val="-2"/>
                <w:sz w:val="24"/>
              </w:rPr>
              <w:t> Square</w:t>
            </w:r>
          </w:p>
        </w:tc>
        <w:tc>
          <w:tcPr>
            <w:tcW w:w="1581" w:type="dxa"/>
            <w:tcBorders>
              <w:left w:val="single" w:sz="8" w:space="0" w:color="000000"/>
              <w:right w:val="single" w:sz="8" w:space="0" w:color="000000"/>
            </w:tcBorders>
          </w:tcPr>
          <w:p>
            <w:pPr>
              <w:pStyle w:val="TableParagraph"/>
              <w:spacing w:line="480" w:lineRule="auto" w:before="20"/>
              <w:ind w:left="464" w:right="217" w:hanging="212"/>
              <w:rPr>
                <w:sz w:val="24"/>
              </w:rPr>
            </w:pPr>
            <w:r>
              <w:rPr>
                <w:sz w:val="24"/>
              </w:rPr>
              <w:t>Adjusted</w:t>
            </w:r>
            <w:r>
              <w:rPr>
                <w:spacing w:val="-15"/>
                <w:sz w:val="24"/>
              </w:rPr>
              <w:t> </w:t>
            </w:r>
            <w:r>
              <w:rPr>
                <w:sz w:val="24"/>
              </w:rPr>
              <w:t>R </w:t>
            </w:r>
            <w:r>
              <w:rPr>
                <w:spacing w:val="-2"/>
                <w:sz w:val="24"/>
              </w:rPr>
              <w:t>Square</w:t>
            </w:r>
          </w:p>
        </w:tc>
        <w:tc>
          <w:tcPr>
            <w:tcW w:w="1579" w:type="dxa"/>
            <w:tcBorders>
              <w:left w:val="single" w:sz="8" w:space="0" w:color="000000"/>
            </w:tcBorders>
          </w:tcPr>
          <w:p>
            <w:pPr>
              <w:pStyle w:val="TableParagraph"/>
              <w:spacing w:line="480" w:lineRule="auto" w:before="20"/>
              <w:ind w:left="201" w:right="-15" w:hanging="5"/>
              <w:rPr>
                <w:sz w:val="24"/>
              </w:rPr>
            </w:pPr>
            <w:r>
              <w:rPr>
                <w:sz w:val="24"/>
              </w:rPr>
              <w:t>Std.</w:t>
            </w:r>
            <w:r>
              <w:rPr>
                <w:spacing w:val="-15"/>
                <w:sz w:val="24"/>
              </w:rPr>
              <w:t> </w:t>
            </w:r>
            <w:r>
              <w:rPr>
                <w:sz w:val="24"/>
              </w:rPr>
              <w:t>Error</w:t>
            </w:r>
            <w:r>
              <w:rPr>
                <w:spacing w:val="-15"/>
                <w:sz w:val="24"/>
              </w:rPr>
              <w:t> </w:t>
            </w:r>
            <w:r>
              <w:rPr>
                <w:sz w:val="24"/>
              </w:rPr>
              <w:t>of the</w:t>
            </w:r>
            <w:r>
              <w:rPr>
                <w:spacing w:val="-1"/>
                <w:sz w:val="24"/>
              </w:rPr>
              <w:t> </w:t>
            </w:r>
            <w:r>
              <w:rPr>
                <w:spacing w:val="-2"/>
                <w:sz w:val="24"/>
              </w:rPr>
              <w:t>Estimate</w:t>
            </w:r>
          </w:p>
        </w:tc>
      </w:tr>
      <w:tr>
        <w:trPr>
          <w:trHeight w:val="743" w:hRule="atLeast"/>
        </w:trPr>
        <w:tc>
          <w:tcPr>
            <w:tcW w:w="790" w:type="dxa"/>
          </w:tcPr>
          <w:p>
            <w:pPr>
              <w:pStyle w:val="TableParagraph"/>
              <w:spacing w:line="273" w:lineRule="exact"/>
              <w:ind w:left="27"/>
              <w:rPr>
                <w:sz w:val="24"/>
              </w:rPr>
            </w:pPr>
            <w:r>
              <w:rPr>
                <w:spacing w:val="-10"/>
                <w:sz w:val="24"/>
              </w:rPr>
              <w:t>1</w:t>
            </w:r>
          </w:p>
        </w:tc>
        <w:tc>
          <w:tcPr>
            <w:tcW w:w="1097" w:type="dxa"/>
            <w:tcBorders>
              <w:top w:val="single" w:sz="36" w:space="0" w:color="000000"/>
              <w:right w:val="single" w:sz="8" w:space="0" w:color="000000"/>
            </w:tcBorders>
          </w:tcPr>
          <w:p>
            <w:pPr>
              <w:pStyle w:val="TableParagraph"/>
              <w:spacing w:line="273" w:lineRule="exact"/>
              <w:ind w:left="572"/>
              <w:rPr>
                <w:sz w:val="24"/>
              </w:rPr>
            </w:pPr>
            <w:r>
              <w:rPr>
                <w:spacing w:val="-2"/>
                <w:sz w:val="24"/>
              </w:rPr>
              <w:t>.807</w:t>
            </w:r>
            <w:r>
              <w:rPr>
                <w:spacing w:val="-2"/>
                <w:sz w:val="24"/>
                <w:vertAlign w:val="superscript"/>
              </w:rPr>
              <w:t>a</w:t>
            </w:r>
          </w:p>
        </w:tc>
        <w:tc>
          <w:tcPr>
            <w:tcW w:w="1171" w:type="dxa"/>
            <w:tcBorders>
              <w:left w:val="single" w:sz="8" w:space="0" w:color="000000"/>
              <w:right w:val="single" w:sz="8" w:space="0" w:color="000000"/>
            </w:tcBorders>
          </w:tcPr>
          <w:p>
            <w:pPr>
              <w:pStyle w:val="TableParagraph"/>
              <w:spacing w:line="273" w:lineRule="exact"/>
              <w:ind w:left="731" w:right="-15"/>
              <w:rPr>
                <w:sz w:val="24"/>
              </w:rPr>
            </w:pPr>
            <w:r>
              <w:rPr>
                <w:spacing w:val="-4"/>
                <w:sz w:val="24"/>
              </w:rPr>
              <w:t>.651</w:t>
            </w:r>
          </w:p>
        </w:tc>
        <w:tc>
          <w:tcPr>
            <w:tcW w:w="1581" w:type="dxa"/>
            <w:tcBorders>
              <w:left w:val="single" w:sz="8" w:space="0" w:color="000000"/>
              <w:right w:val="single" w:sz="8" w:space="0" w:color="000000"/>
            </w:tcBorders>
          </w:tcPr>
          <w:p>
            <w:pPr>
              <w:pStyle w:val="TableParagraph"/>
              <w:spacing w:line="273" w:lineRule="exact"/>
              <w:ind w:right="1"/>
              <w:jc w:val="right"/>
              <w:rPr>
                <w:sz w:val="24"/>
              </w:rPr>
            </w:pPr>
            <w:r>
              <w:rPr>
                <w:spacing w:val="-4"/>
                <w:sz w:val="24"/>
              </w:rPr>
              <w:t>.608</w:t>
            </w:r>
          </w:p>
        </w:tc>
        <w:tc>
          <w:tcPr>
            <w:tcW w:w="1579" w:type="dxa"/>
            <w:tcBorders>
              <w:left w:val="single" w:sz="8" w:space="0" w:color="000000"/>
            </w:tcBorders>
          </w:tcPr>
          <w:p>
            <w:pPr>
              <w:pStyle w:val="TableParagraph"/>
              <w:spacing w:line="273" w:lineRule="exact"/>
              <w:ind w:left="659" w:right="-15"/>
              <w:rPr>
                <w:sz w:val="24"/>
              </w:rPr>
            </w:pPr>
            <w:r>
              <w:rPr>
                <w:spacing w:val="-2"/>
                <w:sz w:val="24"/>
              </w:rPr>
              <w:t>.0800764</w:t>
            </w:r>
          </w:p>
        </w:tc>
      </w:tr>
    </w:tbl>
    <w:p>
      <w:pPr>
        <w:pStyle w:val="BodyText"/>
        <w:ind w:left="431"/>
      </w:pPr>
      <w:r>
        <w:rPr/>
        <w:t>a.</w:t>
      </w:r>
      <w:r>
        <w:rPr>
          <w:spacing w:val="-4"/>
        </w:rPr>
        <w:t> </w:t>
      </w:r>
      <w:r>
        <w:rPr/>
        <w:t>Predictors:</w:t>
      </w:r>
      <w:r>
        <w:rPr>
          <w:spacing w:val="-2"/>
        </w:rPr>
        <w:t> </w:t>
      </w:r>
      <w:r>
        <w:rPr/>
        <w:t>(Constant),</w:t>
      </w:r>
      <w:r>
        <w:rPr>
          <w:spacing w:val="-1"/>
        </w:rPr>
        <w:t> </w:t>
      </w:r>
      <w:r>
        <w:rPr/>
        <w:t>Measures</w:t>
      </w:r>
      <w:r>
        <w:rPr>
          <w:spacing w:val="-2"/>
        </w:rPr>
        <w:t> </w:t>
      </w:r>
      <w:r>
        <w:rPr/>
        <w:t>of</w:t>
      </w:r>
      <w:r>
        <w:rPr>
          <w:spacing w:val="-2"/>
        </w:rPr>
        <w:t> </w:t>
      </w:r>
      <w:r>
        <w:rPr/>
        <w:t>competitive</w:t>
      </w:r>
      <w:r>
        <w:rPr>
          <w:spacing w:val="-1"/>
        </w:rPr>
        <w:t> </w:t>
      </w:r>
      <w:r>
        <w:rPr>
          <w:spacing w:val="-2"/>
        </w:rPr>
        <w:t>advantage</w:t>
      </w:r>
    </w:p>
    <w:p>
      <w:pPr>
        <w:pStyle w:val="BodyText"/>
        <w:spacing w:before="178"/>
      </w:pPr>
    </w:p>
    <w:p>
      <w:pPr>
        <w:pStyle w:val="BodyText"/>
        <w:spacing w:line="480" w:lineRule="auto"/>
        <w:ind w:left="400" w:right="1316"/>
        <w:jc w:val="both"/>
      </w:pPr>
      <w:r>
        <w:rPr/>
        <w:t>We can observe from the table that the value of R (the correlation coefficient) between level of implementation of TQM and the measures of competitive advantage is 0.807 (which is about 80.7%); that is a strong positive relationship which is an increasing relationship between the two </w:t>
      </w:r>
      <w:r>
        <w:rPr>
          <w:spacing w:val="-2"/>
        </w:rPr>
        <w:t>variables.</w:t>
      </w:r>
    </w:p>
    <w:p>
      <w:pPr>
        <w:spacing w:after="0" w:line="480" w:lineRule="auto"/>
        <w:jc w:val="both"/>
        <w:sectPr>
          <w:pgSz w:w="12240" w:h="15840"/>
          <w:pgMar w:header="0" w:footer="1017" w:top="1360" w:bottom="1200" w:left="1040" w:right="120"/>
        </w:sectPr>
      </w:pPr>
    </w:p>
    <w:p>
      <w:pPr>
        <w:pStyle w:val="Heading2"/>
        <w:numPr>
          <w:ilvl w:val="1"/>
          <w:numId w:val="49"/>
        </w:numPr>
        <w:tabs>
          <w:tab w:pos="1031" w:val="left" w:leader="none"/>
        </w:tabs>
        <w:spacing w:line="240" w:lineRule="auto" w:before="82" w:after="0"/>
        <w:ind w:left="1031" w:right="0" w:hanging="600"/>
        <w:jc w:val="left"/>
        <w:rPr>
          <w:sz w:val="16"/>
        </w:rPr>
      </w:pPr>
      <w:r>
        <w:rPr>
          <w:spacing w:val="-2"/>
        </w:rPr>
        <w:t>ANOVA</w:t>
      </w:r>
      <w:r>
        <w:rPr>
          <w:spacing w:val="-2"/>
          <w:position w:val="8"/>
          <w:sz w:val="16"/>
        </w:rPr>
        <w:t>b</w:t>
      </w:r>
    </w:p>
    <w:p>
      <w:pPr>
        <w:pStyle w:val="BodyText"/>
        <w:spacing w:before="4"/>
        <w:rPr>
          <w:b/>
          <w:sz w:val="20"/>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5"/>
        <w:gridCol w:w="1685"/>
        <w:gridCol w:w="1582"/>
        <w:gridCol w:w="1097"/>
        <w:gridCol w:w="1517"/>
        <w:gridCol w:w="1099"/>
        <w:gridCol w:w="1097"/>
      </w:tblGrid>
      <w:tr>
        <w:trPr>
          <w:trHeight w:val="531" w:hRule="atLeast"/>
        </w:trPr>
        <w:tc>
          <w:tcPr>
            <w:tcW w:w="2170" w:type="dxa"/>
            <w:gridSpan w:val="2"/>
          </w:tcPr>
          <w:p>
            <w:pPr>
              <w:pStyle w:val="TableParagraph"/>
              <w:spacing w:before="20"/>
              <w:ind w:left="27"/>
              <w:rPr>
                <w:sz w:val="24"/>
              </w:rPr>
            </w:pPr>
            <w:r>
              <w:rPr>
                <w:spacing w:val="-2"/>
                <w:sz w:val="24"/>
              </w:rPr>
              <w:t>Model</w:t>
            </w:r>
          </w:p>
        </w:tc>
        <w:tc>
          <w:tcPr>
            <w:tcW w:w="1582" w:type="dxa"/>
            <w:tcBorders>
              <w:right w:val="single" w:sz="8" w:space="0" w:color="000000"/>
            </w:tcBorders>
          </w:tcPr>
          <w:p>
            <w:pPr>
              <w:pStyle w:val="TableParagraph"/>
              <w:spacing w:before="20"/>
              <w:ind w:right="1"/>
              <w:jc w:val="right"/>
              <w:rPr>
                <w:sz w:val="24"/>
              </w:rPr>
            </w:pPr>
            <w:r>
              <w:rPr>
                <w:sz w:val="24"/>
              </w:rPr>
              <w:t>Sum of</w:t>
            </w:r>
            <w:r>
              <w:rPr>
                <w:spacing w:val="-1"/>
                <w:sz w:val="24"/>
              </w:rPr>
              <w:t> </w:t>
            </w:r>
            <w:r>
              <w:rPr>
                <w:spacing w:val="-2"/>
                <w:sz w:val="24"/>
              </w:rPr>
              <w:t>Squares</w:t>
            </w:r>
          </w:p>
        </w:tc>
        <w:tc>
          <w:tcPr>
            <w:tcW w:w="1097" w:type="dxa"/>
            <w:tcBorders>
              <w:left w:val="single" w:sz="8" w:space="0" w:color="000000"/>
              <w:right w:val="single" w:sz="8" w:space="0" w:color="000000"/>
            </w:tcBorders>
          </w:tcPr>
          <w:p>
            <w:pPr>
              <w:pStyle w:val="TableParagraph"/>
              <w:spacing w:before="20"/>
              <w:ind w:left="32"/>
              <w:jc w:val="center"/>
              <w:rPr>
                <w:sz w:val="24"/>
              </w:rPr>
            </w:pPr>
            <w:r>
              <w:rPr>
                <w:spacing w:val="-5"/>
                <w:sz w:val="24"/>
              </w:rPr>
              <w:t>df</w:t>
            </w:r>
          </w:p>
        </w:tc>
        <w:tc>
          <w:tcPr>
            <w:tcW w:w="1517" w:type="dxa"/>
            <w:tcBorders>
              <w:left w:val="single" w:sz="8" w:space="0" w:color="000000"/>
              <w:right w:val="single" w:sz="8" w:space="0" w:color="000000"/>
            </w:tcBorders>
          </w:tcPr>
          <w:p>
            <w:pPr>
              <w:pStyle w:val="TableParagraph"/>
              <w:spacing w:before="20"/>
              <w:ind w:left="128"/>
              <w:rPr>
                <w:sz w:val="24"/>
              </w:rPr>
            </w:pPr>
            <w:r>
              <w:rPr>
                <w:sz w:val="24"/>
              </w:rPr>
              <w:t>Mean</w:t>
            </w:r>
            <w:r>
              <w:rPr>
                <w:spacing w:val="-4"/>
                <w:sz w:val="24"/>
              </w:rPr>
              <w:t> </w:t>
            </w:r>
            <w:r>
              <w:rPr>
                <w:spacing w:val="-2"/>
                <w:sz w:val="24"/>
              </w:rPr>
              <w:t>Square</w:t>
            </w:r>
          </w:p>
        </w:tc>
        <w:tc>
          <w:tcPr>
            <w:tcW w:w="1099" w:type="dxa"/>
            <w:tcBorders>
              <w:left w:val="single" w:sz="8" w:space="0" w:color="000000"/>
              <w:right w:val="single" w:sz="8" w:space="0" w:color="000000"/>
            </w:tcBorders>
          </w:tcPr>
          <w:p>
            <w:pPr>
              <w:pStyle w:val="TableParagraph"/>
              <w:spacing w:before="20"/>
              <w:ind w:left="35"/>
              <w:jc w:val="center"/>
              <w:rPr>
                <w:sz w:val="24"/>
              </w:rPr>
            </w:pPr>
            <w:r>
              <w:rPr>
                <w:spacing w:val="-10"/>
                <w:sz w:val="24"/>
              </w:rPr>
              <w:t>F</w:t>
            </w:r>
          </w:p>
        </w:tc>
        <w:tc>
          <w:tcPr>
            <w:tcW w:w="1097" w:type="dxa"/>
            <w:tcBorders>
              <w:left w:val="single" w:sz="8" w:space="0" w:color="000000"/>
            </w:tcBorders>
          </w:tcPr>
          <w:p>
            <w:pPr>
              <w:pStyle w:val="TableParagraph"/>
              <w:spacing w:before="20"/>
              <w:ind w:left="365"/>
              <w:rPr>
                <w:sz w:val="24"/>
              </w:rPr>
            </w:pPr>
            <w:r>
              <w:rPr>
                <w:spacing w:val="-4"/>
                <w:sz w:val="24"/>
              </w:rPr>
              <w:t>Sig.</w:t>
            </w:r>
          </w:p>
        </w:tc>
      </w:tr>
      <w:tr>
        <w:trPr>
          <w:trHeight w:val="430" w:hRule="atLeast"/>
        </w:trPr>
        <w:tc>
          <w:tcPr>
            <w:tcW w:w="485" w:type="dxa"/>
            <w:tcBorders>
              <w:bottom w:val="nil"/>
              <w:right w:val="nil"/>
            </w:tcBorders>
          </w:tcPr>
          <w:p>
            <w:pPr>
              <w:pStyle w:val="TableParagraph"/>
              <w:spacing w:before="22"/>
              <w:ind w:left="27"/>
              <w:rPr>
                <w:sz w:val="24"/>
              </w:rPr>
            </w:pPr>
            <w:r>
              <w:rPr>
                <w:spacing w:val="-10"/>
                <w:sz w:val="24"/>
              </w:rPr>
              <w:t>1</w:t>
            </w:r>
          </w:p>
        </w:tc>
        <w:tc>
          <w:tcPr>
            <w:tcW w:w="1685" w:type="dxa"/>
            <w:tcBorders>
              <w:left w:val="nil"/>
              <w:bottom w:val="nil"/>
            </w:tcBorders>
          </w:tcPr>
          <w:p>
            <w:pPr>
              <w:pStyle w:val="TableParagraph"/>
              <w:spacing w:before="22"/>
              <w:ind w:left="352"/>
              <w:rPr>
                <w:sz w:val="24"/>
              </w:rPr>
            </w:pPr>
            <w:r>
              <w:rPr>
                <w:spacing w:val="-2"/>
                <w:sz w:val="24"/>
              </w:rPr>
              <w:t>Regression</w:t>
            </w:r>
          </w:p>
        </w:tc>
        <w:tc>
          <w:tcPr>
            <w:tcW w:w="1582" w:type="dxa"/>
            <w:tcBorders>
              <w:bottom w:val="nil"/>
              <w:right w:val="single" w:sz="8" w:space="0" w:color="000000"/>
            </w:tcBorders>
          </w:tcPr>
          <w:p>
            <w:pPr>
              <w:pStyle w:val="TableParagraph"/>
              <w:spacing w:before="22"/>
              <w:jc w:val="right"/>
              <w:rPr>
                <w:sz w:val="24"/>
              </w:rPr>
            </w:pPr>
            <w:r>
              <w:rPr>
                <w:spacing w:val="-4"/>
                <w:sz w:val="24"/>
              </w:rPr>
              <w:t>.096</w:t>
            </w:r>
          </w:p>
        </w:tc>
        <w:tc>
          <w:tcPr>
            <w:tcW w:w="1097" w:type="dxa"/>
            <w:tcBorders>
              <w:left w:val="single" w:sz="8" w:space="0" w:color="000000"/>
              <w:bottom w:val="nil"/>
              <w:right w:val="single" w:sz="8" w:space="0" w:color="000000"/>
            </w:tcBorders>
          </w:tcPr>
          <w:p>
            <w:pPr>
              <w:pStyle w:val="TableParagraph"/>
              <w:spacing w:before="22"/>
              <w:ind w:right="2"/>
              <w:jc w:val="right"/>
              <w:rPr>
                <w:sz w:val="24"/>
              </w:rPr>
            </w:pPr>
            <w:r>
              <w:rPr>
                <w:spacing w:val="-10"/>
                <w:sz w:val="24"/>
              </w:rPr>
              <w:t>1</w:t>
            </w:r>
          </w:p>
        </w:tc>
        <w:tc>
          <w:tcPr>
            <w:tcW w:w="1517" w:type="dxa"/>
            <w:tcBorders>
              <w:left w:val="single" w:sz="8" w:space="0" w:color="000000"/>
              <w:bottom w:val="nil"/>
              <w:right w:val="single" w:sz="8" w:space="0" w:color="000000"/>
            </w:tcBorders>
          </w:tcPr>
          <w:p>
            <w:pPr>
              <w:pStyle w:val="TableParagraph"/>
              <w:spacing w:before="22"/>
              <w:ind w:right="1"/>
              <w:jc w:val="right"/>
              <w:rPr>
                <w:sz w:val="24"/>
              </w:rPr>
            </w:pPr>
            <w:r>
              <w:rPr>
                <w:spacing w:val="-4"/>
                <w:sz w:val="24"/>
              </w:rPr>
              <w:t>.096</w:t>
            </w:r>
          </w:p>
        </w:tc>
        <w:tc>
          <w:tcPr>
            <w:tcW w:w="1099" w:type="dxa"/>
            <w:vMerge w:val="restart"/>
            <w:tcBorders>
              <w:left w:val="single" w:sz="8" w:space="0" w:color="000000"/>
              <w:right w:val="single" w:sz="8" w:space="0" w:color="000000"/>
            </w:tcBorders>
          </w:tcPr>
          <w:p>
            <w:pPr>
              <w:pStyle w:val="TableParagraph"/>
              <w:spacing w:before="22"/>
              <w:ind w:left="415"/>
              <w:rPr>
                <w:sz w:val="24"/>
              </w:rPr>
            </w:pPr>
            <w:r>
              <w:rPr>
                <w:spacing w:val="-2"/>
                <w:sz w:val="24"/>
              </w:rPr>
              <w:t>14.953</w:t>
            </w:r>
          </w:p>
        </w:tc>
        <w:tc>
          <w:tcPr>
            <w:tcW w:w="1097" w:type="dxa"/>
            <w:vMerge w:val="restart"/>
            <w:tcBorders>
              <w:left w:val="single" w:sz="8" w:space="0" w:color="000000"/>
            </w:tcBorders>
          </w:tcPr>
          <w:p>
            <w:pPr>
              <w:pStyle w:val="TableParagraph"/>
              <w:spacing w:before="22"/>
              <w:ind w:left="581" w:right="-15"/>
              <w:rPr>
                <w:sz w:val="24"/>
              </w:rPr>
            </w:pPr>
            <w:r>
              <w:rPr>
                <w:spacing w:val="-2"/>
                <w:sz w:val="24"/>
              </w:rPr>
              <w:t>.005</w:t>
            </w:r>
            <w:r>
              <w:rPr>
                <w:spacing w:val="-2"/>
                <w:sz w:val="24"/>
                <w:vertAlign w:val="superscript"/>
              </w:rPr>
              <w:t>a</w:t>
            </w:r>
          </w:p>
        </w:tc>
      </w:tr>
      <w:tr>
        <w:trPr>
          <w:trHeight w:val="532" w:hRule="atLeast"/>
        </w:trPr>
        <w:tc>
          <w:tcPr>
            <w:tcW w:w="485" w:type="dxa"/>
            <w:tcBorders>
              <w:top w:val="nil"/>
              <w:bottom w:val="nil"/>
              <w:right w:val="nil"/>
            </w:tcBorders>
          </w:tcPr>
          <w:p>
            <w:pPr>
              <w:pStyle w:val="TableParagraph"/>
              <w:rPr>
                <w:sz w:val="22"/>
              </w:rPr>
            </w:pPr>
          </w:p>
        </w:tc>
        <w:tc>
          <w:tcPr>
            <w:tcW w:w="1685" w:type="dxa"/>
            <w:tcBorders>
              <w:top w:val="nil"/>
              <w:left w:val="nil"/>
              <w:bottom w:val="nil"/>
            </w:tcBorders>
          </w:tcPr>
          <w:p>
            <w:pPr>
              <w:pStyle w:val="TableParagraph"/>
              <w:spacing w:before="122"/>
              <w:ind w:left="352"/>
              <w:rPr>
                <w:sz w:val="24"/>
              </w:rPr>
            </w:pPr>
            <w:r>
              <w:rPr>
                <w:spacing w:val="-2"/>
                <w:sz w:val="24"/>
              </w:rPr>
              <w:t>Residual</w:t>
            </w:r>
          </w:p>
        </w:tc>
        <w:tc>
          <w:tcPr>
            <w:tcW w:w="1582" w:type="dxa"/>
            <w:tcBorders>
              <w:top w:val="nil"/>
              <w:bottom w:val="nil"/>
              <w:right w:val="single" w:sz="8" w:space="0" w:color="000000"/>
            </w:tcBorders>
          </w:tcPr>
          <w:p>
            <w:pPr>
              <w:pStyle w:val="TableParagraph"/>
              <w:spacing w:before="122"/>
              <w:jc w:val="right"/>
              <w:rPr>
                <w:sz w:val="24"/>
              </w:rPr>
            </w:pPr>
            <w:r>
              <w:rPr>
                <w:spacing w:val="-4"/>
                <w:sz w:val="24"/>
              </w:rPr>
              <w:t>.051</w:t>
            </w:r>
          </w:p>
        </w:tc>
        <w:tc>
          <w:tcPr>
            <w:tcW w:w="1097" w:type="dxa"/>
            <w:tcBorders>
              <w:top w:val="nil"/>
              <w:left w:val="single" w:sz="8" w:space="0" w:color="000000"/>
              <w:bottom w:val="nil"/>
              <w:right w:val="single" w:sz="8" w:space="0" w:color="000000"/>
            </w:tcBorders>
          </w:tcPr>
          <w:p>
            <w:pPr>
              <w:pStyle w:val="TableParagraph"/>
              <w:spacing w:before="122"/>
              <w:ind w:right="2"/>
              <w:jc w:val="right"/>
              <w:rPr>
                <w:sz w:val="24"/>
              </w:rPr>
            </w:pPr>
            <w:r>
              <w:rPr>
                <w:spacing w:val="-10"/>
                <w:sz w:val="24"/>
              </w:rPr>
              <w:t>8</w:t>
            </w:r>
          </w:p>
        </w:tc>
        <w:tc>
          <w:tcPr>
            <w:tcW w:w="1517" w:type="dxa"/>
            <w:tcBorders>
              <w:top w:val="nil"/>
              <w:left w:val="single" w:sz="8" w:space="0" w:color="000000"/>
              <w:bottom w:val="nil"/>
              <w:right w:val="single" w:sz="8" w:space="0" w:color="000000"/>
            </w:tcBorders>
          </w:tcPr>
          <w:p>
            <w:pPr>
              <w:pStyle w:val="TableParagraph"/>
              <w:spacing w:before="122"/>
              <w:ind w:right="1"/>
              <w:jc w:val="right"/>
              <w:rPr>
                <w:sz w:val="24"/>
              </w:rPr>
            </w:pPr>
            <w:r>
              <w:rPr>
                <w:spacing w:val="-4"/>
                <w:sz w:val="24"/>
              </w:rPr>
              <w:t>.006</w:t>
            </w:r>
          </w:p>
        </w:tc>
        <w:tc>
          <w:tcPr>
            <w:tcW w:w="1099" w:type="dxa"/>
            <w:vMerge/>
            <w:tcBorders>
              <w:top w:val="nil"/>
              <w:left w:val="single" w:sz="8" w:space="0" w:color="000000"/>
              <w:right w:val="single" w:sz="8" w:space="0" w:color="000000"/>
            </w:tcBorders>
          </w:tcPr>
          <w:p>
            <w:pPr>
              <w:rPr>
                <w:sz w:val="2"/>
                <w:szCs w:val="2"/>
              </w:rPr>
            </w:pPr>
          </w:p>
        </w:tc>
        <w:tc>
          <w:tcPr>
            <w:tcW w:w="1097" w:type="dxa"/>
            <w:vMerge/>
            <w:tcBorders>
              <w:top w:val="nil"/>
              <w:left w:val="single" w:sz="8" w:space="0" w:color="000000"/>
            </w:tcBorders>
          </w:tcPr>
          <w:p>
            <w:pPr>
              <w:rPr>
                <w:sz w:val="2"/>
                <w:szCs w:val="2"/>
              </w:rPr>
            </w:pPr>
          </w:p>
        </w:tc>
      </w:tr>
      <w:tr>
        <w:trPr>
          <w:trHeight w:val="634" w:hRule="atLeast"/>
        </w:trPr>
        <w:tc>
          <w:tcPr>
            <w:tcW w:w="485" w:type="dxa"/>
            <w:tcBorders>
              <w:top w:val="nil"/>
              <w:right w:val="nil"/>
            </w:tcBorders>
          </w:tcPr>
          <w:p>
            <w:pPr>
              <w:pStyle w:val="TableParagraph"/>
              <w:rPr>
                <w:sz w:val="22"/>
              </w:rPr>
            </w:pPr>
          </w:p>
        </w:tc>
        <w:tc>
          <w:tcPr>
            <w:tcW w:w="1685" w:type="dxa"/>
            <w:tcBorders>
              <w:top w:val="nil"/>
              <w:left w:val="nil"/>
            </w:tcBorders>
          </w:tcPr>
          <w:p>
            <w:pPr>
              <w:pStyle w:val="TableParagraph"/>
              <w:spacing w:before="123"/>
              <w:ind w:left="352"/>
              <w:rPr>
                <w:sz w:val="24"/>
              </w:rPr>
            </w:pPr>
            <w:r>
              <w:rPr>
                <w:spacing w:val="-4"/>
                <w:sz w:val="24"/>
              </w:rPr>
              <w:t>Total</w:t>
            </w:r>
          </w:p>
        </w:tc>
        <w:tc>
          <w:tcPr>
            <w:tcW w:w="1582" w:type="dxa"/>
            <w:tcBorders>
              <w:top w:val="nil"/>
              <w:right w:val="single" w:sz="8" w:space="0" w:color="000000"/>
            </w:tcBorders>
          </w:tcPr>
          <w:p>
            <w:pPr>
              <w:pStyle w:val="TableParagraph"/>
              <w:spacing w:before="123"/>
              <w:jc w:val="right"/>
              <w:rPr>
                <w:sz w:val="24"/>
              </w:rPr>
            </w:pPr>
            <w:r>
              <w:rPr>
                <w:spacing w:val="-4"/>
                <w:sz w:val="24"/>
              </w:rPr>
              <w:t>.147</w:t>
            </w:r>
          </w:p>
        </w:tc>
        <w:tc>
          <w:tcPr>
            <w:tcW w:w="1097" w:type="dxa"/>
            <w:tcBorders>
              <w:top w:val="nil"/>
              <w:left w:val="single" w:sz="8" w:space="0" w:color="000000"/>
              <w:right w:val="single" w:sz="8" w:space="0" w:color="000000"/>
            </w:tcBorders>
          </w:tcPr>
          <w:p>
            <w:pPr>
              <w:pStyle w:val="TableParagraph"/>
              <w:spacing w:before="123"/>
              <w:ind w:right="2"/>
              <w:jc w:val="right"/>
              <w:rPr>
                <w:sz w:val="24"/>
              </w:rPr>
            </w:pPr>
            <w:r>
              <w:rPr>
                <w:spacing w:val="-10"/>
                <w:sz w:val="24"/>
              </w:rPr>
              <w:t>9</w:t>
            </w:r>
          </w:p>
        </w:tc>
        <w:tc>
          <w:tcPr>
            <w:tcW w:w="1517" w:type="dxa"/>
            <w:tcBorders>
              <w:top w:val="nil"/>
              <w:left w:val="single" w:sz="8" w:space="0" w:color="000000"/>
              <w:right w:val="single" w:sz="8" w:space="0" w:color="000000"/>
            </w:tcBorders>
          </w:tcPr>
          <w:p>
            <w:pPr>
              <w:pStyle w:val="TableParagraph"/>
              <w:rPr>
                <w:sz w:val="22"/>
              </w:rPr>
            </w:pPr>
          </w:p>
        </w:tc>
        <w:tc>
          <w:tcPr>
            <w:tcW w:w="1099" w:type="dxa"/>
            <w:vMerge/>
            <w:tcBorders>
              <w:top w:val="nil"/>
              <w:left w:val="single" w:sz="8" w:space="0" w:color="000000"/>
              <w:right w:val="single" w:sz="8" w:space="0" w:color="000000"/>
            </w:tcBorders>
          </w:tcPr>
          <w:p>
            <w:pPr>
              <w:rPr>
                <w:sz w:val="2"/>
                <w:szCs w:val="2"/>
              </w:rPr>
            </w:pPr>
          </w:p>
        </w:tc>
        <w:tc>
          <w:tcPr>
            <w:tcW w:w="1097" w:type="dxa"/>
            <w:vMerge/>
            <w:tcBorders>
              <w:top w:val="nil"/>
              <w:left w:val="single" w:sz="8" w:space="0" w:color="000000"/>
            </w:tcBorders>
          </w:tcPr>
          <w:p>
            <w:pPr>
              <w:rPr>
                <w:sz w:val="2"/>
                <w:szCs w:val="2"/>
              </w:rPr>
            </w:pPr>
          </w:p>
        </w:tc>
      </w:tr>
    </w:tbl>
    <w:p>
      <w:pPr>
        <w:pStyle w:val="ListParagraph"/>
        <w:numPr>
          <w:ilvl w:val="0"/>
          <w:numId w:val="50"/>
        </w:numPr>
        <w:tabs>
          <w:tab w:pos="656" w:val="left" w:leader="none"/>
        </w:tabs>
        <w:spacing w:line="240" w:lineRule="auto" w:before="0" w:after="0"/>
        <w:ind w:left="656" w:right="0" w:hanging="225"/>
        <w:jc w:val="left"/>
        <w:rPr>
          <w:sz w:val="24"/>
        </w:rPr>
      </w:pPr>
      <w:r>
        <w:rPr>
          <w:sz w:val="24"/>
        </w:rPr>
        <w:t>Predictors:</w:t>
      </w:r>
      <w:r>
        <w:rPr>
          <w:spacing w:val="-3"/>
          <w:sz w:val="24"/>
        </w:rPr>
        <w:t> </w:t>
      </w:r>
      <w:r>
        <w:rPr>
          <w:sz w:val="24"/>
        </w:rPr>
        <w:t>(Constant), Measures</w:t>
      </w:r>
      <w:r>
        <w:rPr>
          <w:spacing w:val="-2"/>
          <w:sz w:val="24"/>
        </w:rPr>
        <w:t> </w:t>
      </w:r>
      <w:r>
        <w:rPr>
          <w:sz w:val="24"/>
        </w:rPr>
        <w:t>of</w:t>
      </w:r>
      <w:r>
        <w:rPr>
          <w:spacing w:val="-3"/>
          <w:sz w:val="24"/>
        </w:rPr>
        <w:t> </w:t>
      </w:r>
      <w:r>
        <w:rPr>
          <w:sz w:val="24"/>
        </w:rPr>
        <w:t>competitive</w:t>
      </w:r>
      <w:r>
        <w:rPr>
          <w:spacing w:val="-1"/>
          <w:sz w:val="24"/>
        </w:rPr>
        <w:t> </w:t>
      </w:r>
      <w:r>
        <w:rPr>
          <w:spacing w:val="-2"/>
          <w:sz w:val="24"/>
        </w:rPr>
        <w:t>Advantage</w:t>
      </w:r>
    </w:p>
    <w:p>
      <w:pPr>
        <w:pStyle w:val="ListParagraph"/>
        <w:numPr>
          <w:ilvl w:val="0"/>
          <w:numId w:val="50"/>
        </w:numPr>
        <w:tabs>
          <w:tab w:pos="671" w:val="left" w:leader="none"/>
        </w:tabs>
        <w:spacing w:line="240" w:lineRule="auto" w:before="251" w:after="0"/>
        <w:ind w:left="671" w:right="0" w:hanging="240"/>
        <w:jc w:val="left"/>
        <w:rPr>
          <w:sz w:val="24"/>
        </w:rPr>
      </w:pPr>
      <w:r>
        <w:rPr>
          <w:sz w:val="24"/>
        </w:rPr>
        <w:t>Dependent</w:t>
      </w:r>
      <w:r>
        <w:rPr>
          <w:spacing w:val="-4"/>
          <w:sz w:val="24"/>
        </w:rPr>
        <w:t> </w:t>
      </w:r>
      <w:r>
        <w:rPr>
          <w:sz w:val="24"/>
        </w:rPr>
        <w:t>Variable: Level</w:t>
      </w:r>
      <w:r>
        <w:rPr>
          <w:spacing w:val="-2"/>
          <w:sz w:val="24"/>
        </w:rPr>
        <w:t> </w:t>
      </w:r>
      <w:r>
        <w:rPr>
          <w:sz w:val="24"/>
        </w:rPr>
        <w:t>of</w:t>
      </w:r>
      <w:r>
        <w:rPr>
          <w:spacing w:val="-3"/>
          <w:sz w:val="24"/>
        </w:rPr>
        <w:t> </w:t>
      </w:r>
      <w:r>
        <w:rPr>
          <w:sz w:val="24"/>
        </w:rPr>
        <w:t>implementation</w:t>
      </w:r>
      <w:r>
        <w:rPr>
          <w:spacing w:val="-2"/>
          <w:sz w:val="24"/>
        </w:rPr>
        <w:t> </w:t>
      </w:r>
      <w:r>
        <w:rPr>
          <w:sz w:val="24"/>
        </w:rPr>
        <w:t>of</w:t>
      </w:r>
      <w:r>
        <w:rPr>
          <w:spacing w:val="-2"/>
          <w:sz w:val="24"/>
        </w:rPr>
        <w:t> </w:t>
      </w:r>
      <w:r>
        <w:rPr>
          <w:spacing w:val="-5"/>
          <w:sz w:val="24"/>
        </w:rPr>
        <w:t>TQM</w:t>
      </w:r>
    </w:p>
    <w:p>
      <w:pPr>
        <w:pStyle w:val="BodyText"/>
      </w:pPr>
    </w:p>
    <w:p>
      <w:pPr>
        <w:pStyle w:val="BodyText"/>
        <w:spacing w:before="115"/>
      </w:pPr>
    </w:p>
    <w:p>
      <w:pPr>
        <w:pStyle w:val="BodyText"/>
        <w:spacing w:line="480" w:lineRule="auto"/>
        <w:ind w:left="400" w:right="1316"/>
        <w:jc w:val="both"/>
      </w:pPr>
      <w:r>
        <w:rPr/>
        <w:t>The ANOVA table above shows that the result of the regression is significant because the p – value from the table is 0.005, a value which is less than 0.05. This implies that the regression model is good and can therefore be used.</w:t>
      </w:r>
    </w:p>
    <w:p>
      <w:pPr>
        <w:pStyle w:val="BodyText"/>
        <w:spacing w:before="120"/>
      </w:pPr>
    </w:p>
    <w:p>
      <w:pPr>
        <w:pStyle w:val="Heading2"/>
        <w:numPr>
          <w:ilvl w:val="1"/>
          <w:numId w:val="49"/>
        </w:numPr>
        <w:tabs>
          <w:tab w:pos="911" w:val="left" w:leader="none"/>
        </w:tabs>
        <w:spacing w:line="240" w:lineRule="auto" w:before="0" w:after="0"/>
        <w:ind w:left="911" w:right="0" w:hanging="480"/>
        <w:jc w:val="left"/>
        <w:rPr>
          <w:sz w:val="16"/>
        </w:rPr>
      </w:pPr>
      <w:r>
        <w:rPr>
          <w:spacing w:val="-2"/>
        </w:rPr>
        <w:t>Coefficients</w:t>
      </w:r>
      <w:r>
        <w:rPr>
          <w:spacing w:val="-2"/>
          <w:position w:val="8"/>
          <w:sz w:val="16"/>
        </w:rPr>
        <w:t>a</w:t>
      </w:r>
    </w:p>
    <w:p>
      <w:pPr>
        <w:pStyle w:val="BodyText"/>
        <w:spacing w:before="3"/>
        <w:rPr>
          <w:b/>
          <w:sz w:val="20"/>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6"/>
        <w:gridCol w:w="2752"/>
        <w:gridCol w:w="1428"/>
        <w:gridCol w:w="1435"/>
        <w:gridCol w:w="1574"/>
        <w:gridCol w:w="1104"/>
        <w:gridCol w:w="1097"/>
      </w:tblGrid>
      <w:tr>
        <w:trPr>
          <w:trHeight w:val="840" w:hRule="atLeast"/>
        </w:trPr>
        <w:tc>
          <w:tcPr>
            <w:tcW w:w="3238" w:type="dxa"/>
            <w:gridSpan w:val="2"/>
            <w:vMerge w:val="restart"/>
          </w:tcPr>
          <w:p>
            <w:pPr>
              <w:pStyle w:val="TableParagraph"/>
              <w:rPr>
                <w:b/>
                <w:sz w:val="24"/>
              </w:rPr>
            </w:pPr>
          </w:p>
          <w:p>
            <w:pPr>
              <w:pStyle w:val="TableParagraph"/>
              <w:rPr>
                <w:b/>
                <w:sz w:val="24"/>
              </w:rPr>
            </w:pPr>
          </w:p>
          <w:p>
            <w:pPr>
              <w:pStyle w:val="TableParagraph"/>
              <w:spacing w:before="87"/>
              <w:rPr>
                <w:b/>
                <w:sz w:val="24"/>
              </w:rPr>
            </w:pPr>
          </w:p>
          <w:p>
            <w:pPr>
              <w:pStyle w:val="TableParagraph"/>
              <w:ind w:left="27"/>
              <w:rPr>
                <w:sz w:val="24"/>
              </w:rPr>
            </w:pPr>
            <w:r>
              <w:rPr>
                <w:spacing w:val="-2"/>
                <w:sz w:val="24"/>
              </w:rPr>
              <w:t>Model</w:t>
            </w:r>
          </w:p>
        </w:tc>
        <w:tc>
          <w:tcPr>
            <w:tcW w:w="2863" w:type="dxa"/>
            <w:gridSpan w:val="2"/>
            <w:tcBorders>
              <w:bottom w:val="single" w:sz="8" w:space="0" w:color="000000"/>
              <w:right w:val="single" w:sz="8" w:space="0" w:color="000000"/>
            </w:tcBorders>
          </w:tcPr>
          <w:p>
            <w:pPr>
              <w:pStyle w:val="TableParagraph"/>
              <w:spacing w:before="63"/>
              <w:rPr>
                <w:b/>
                <w:sz w:val="24"/>
              </w:rPr>
            </w:pPr>
          </w:p>
          <w:p>
            <w:pPr>
              <w:pStyle w:val="TableParagraph"/>
              <w:ind w:left="51"/>
              <w:rPr>
                <w:sz w:val="24"/>
              </w:rPr>
            </w:pPr>
            <w:r>
              <w:rPr>
                <w:sz w:val="24"/>
              </w:rPr>
              <w:t>Unstandardized</w:t>
            </w:r>
            <w:r>
              <w:rPr>
                <w:spacing w:val="-4"/>
                <w:sz w:val="24"/>
              </w:rPr>
              <w:t> </w:t>
            </w:r>
            <w:r>
              <w:rPr>
                <w:spacing w:val="-2"/>
                <w:sz w:val="24"/>
              </w:rPr>
              <w:t>Coefficients</w:t>
            </w:r>
          </w:p>
        </w:tc>
        <w:tc>
          <w:tcPr>
            <w:tcW w:w="1574" w:type="dxa"/>
            <w:tcBorders>
              <w:left w:val="single" w:sz="8" w:space="0" w:color="000000"/>
              <w:bottom w:val="single" w:sz="8" w:space="0" w:color="000000"/>
              <w:right w:val="single" w:sz="8" w:space="0" w:color="000000"/>
            </w:tcBorders>
          </w:tcPr>
          <w:p>
            <w:pPr>
              <w:pStyle w:val="TableParagraph"/>
              <w:spacing w:line="276" w:lineRule="auto" w:before="22"/>
              <w:ind w:left="212" w:hanging="41"/>
              <w:rPr>
                <w:sz w:val="24"/>
              </w:rPr>
            </w:pPr>
            <w:r>
              <w:rPr>
                <w:spacing w:val="-2"/>
                <w:sz w:val="24"/>
              </w:rPr>
              <w:t>Standardized Coefficients</w:t>
            </w:r>
          </w:p>
        </w:tc>
        <w:tc>
          <w:tcPr>
            <w:tcW w:w="1104" w:type="dxa"/>
            <w:vMerge w:val="restart"/>
            <w:tcBorders>
              <w:left w:val="single" w:sz="8" w:space="0" w:color="000000"/>
              <w:right w:val="single" w:sz="8" w:space="0" w:color="000000"/>
            </w:tcBorders>
          </w:tcPr>
          <w:p>
            <w:pPr>
              <w:pStyle w:val="TableParagraph"/>
              <w:rPr>
                <w:b/>
                <w:sz w:val="24"/>
              </w:rPr>
            </w:pPr>
          </w:p>
          <w:p>
            <w:pPr>
              <w:pStyle w:val="TableParagraph"/>
              <w:rPr>
                <w:b/>
                <w:sz w:val="24"/>
              </w:rPr>
            </w:pPr>
          </w:p>
          <w:p>
            <w:pPr>
              <w:pStyle w:val="TableParagraph"/>
              <w:spacing w:before="87"/>
              <w:rPr>
                <w:b/>
                <w:sz w:val="24"/>
              </w:rPr>
            </w:pPr>
          </w:p>
          <w:p>
            <w:pPr>
              <w:pStyle w:val="TableParagraph"/>
              <w:ind w:left="41"/>
              <w:jc w:val="center"/>
              <w:rPr>
                <w:sz w:val="24"/>
              </w:rPr>
            </w:pPr>
            <w:r>
              <w:rPr>
                <w:spacing w:val="-10"/>
                <w:sz w:val="24"/>
              </w:rPr>
              <w:t>T</w:t>
            </w:r>
          </w:p>
        </w:tc>
        <w:tc>
          <w:tcPr>
            <w:tcW w:w="1097" w:type="dxa"/>
            <w:vMerge w:val="restart"/>
            <w:tcBorders>
              <w:left w:val="single" w:sz="8" w:space="0" w:color="000000"/>
            </w:tcBorders>
          </w:tcPr>
          <w:p>
            <w:pPr>
              <w:pStyle w:val="TableParagraph"/>
              <w:rPr>
                <w:b/>
                <w:sz w:val="24"/>
              </w:rPr>
            </w:pPr>
          </w:p>
          <w:p>
            <w:pPr>
              <w:pStyle w:val="TableParagraph"/>
              <w:rPr>
                <w:b/>
                <w:sz w:val="24"/>
              </w:rPr>
            </w:pPr>
          </w:p>
          <w:p>
            <w:pPr>
              <w:pStyle w:val="TableParagraph"/>
              <w:spacing w:before="87"/>
              <w:rPr>
                <w:b/>
                <w:sz w:val="24"/>
              </w:rPr>
            </w:pPr>
          </w:p>
          <w:p>
            <w:pPr>
              <w:pStyle w:val="TableParagraph"/>
              <w:ind w:left="367"/>
              <w:rPr>
                <w:sz w:val="24"/>
              </w:rPr>
            </w:pPr>
            <w:r>
              <w:rPr>
                <w:spacing w:val="-4"/>
                <w:sz w:val="24"/>
              </w:rPr>
              <w:t>Sig.</w:t>
            </w:r>
          </w:p>
        </w:tc>
      </w:tr>
      <w:tr>
        <w:trPr>
          <w:trHeight w:val="542" w:hRule="atLeast"/>
        </w:trPr>
        <w:tc>
          <w:tcPr>
            <w:tcW w:w="3238" w:type="dxa"/>
            <w:gridSpan w:val="2"/>
            <w:vMerge/>
            <w:tcBorders>
              <w:top w:val="nil"/>
            </w:tcBorders>
          </w:tcPr>
          <w:p>
            <w:pPr>
              <w:rPr>
                <w:sz w:val="2"/>
                <w:szCs w:val="2"/>
              </w:rPr>
            </w:pPr>
          </w:p>
        </w:tc>
        <w:tc>
          <w:tcPr>
            <w:tcW w:w="1428" w:type="dxa"/>
            <w:tcBorders>
              <w:top w:val="single" w:sz="8" w:space="0" w:color="000000"/>
              <w:right w:val="single" w:sz="8" w:space="0" w:color="000000"/>
            </w:tcBorders>
          </w:tcPr>
          <w:p>
            <w:pPr>
              <w:pStyle w:val="TableParagraph"/>
              <w:spacing w:before="29"/>
              <w:ind w:left="9"/>
              <w:jc w:val="center"/>
              <w:rPr>
                <w:sz w:val="24"/>
              </w:rPr>
            </w:pPr>
            <w:r>
              <w:rPr>
                <w:spacing w:val="-10"/>
                <w:sz w:val="24"/>
              </w:rPr>
              <w:t>B</w:t>
            </w:r>
          </w:p>
        </w:tc>
        <w:tc>
          <w:tcPr>
            <w:tcW w:w="1435" w:type="dxa"/>
            <w:tcBorders>
              <w:top w:val="single" w:sz="8" w:space="0" w:color="000000"/>
              <w:left w:val="single" w:sz="8" w:space="0" w:color="000000"/>
              <w:right w:val="single" w:sz="8" w:space="0" w:color="000000"/>
            </w:tcBorders>
          </w:tcPr>
          <w:p>
            <w:pPr>
              <w:pStyle w:val="TableParagraph"/>
              <w:spacing w:before="29"/>
              <w:ind w:left="251"/>
              <w:rPr>
                <w:sz w:val="24"/>
              </w:rPr>
            </w:pPr>
            <w:r>
              <w:rPr>
                <w:sz w:val="24"/>
              </w:rPr>
              <w:t>Std. </w:t>
            </w:r>
            <w:r>
              <w:rPr>
                <w:spacing w:val="-2"/>
                <w:sz w:val="24"/>
              </w:rPr>
              <w:t>Error</w:t>
            </w:r>
          </w:p>
        </w:tc>
        <w:tc>
          <w:tcPr>
            <w:tcW w:w="1574" w:type="dxa"/>
            <w:tcBorders>
              <w:top w:val="single" w:sz="8" w:space="0" w:color="000000"/>
              <w:left w:val="single" w:sz="8" w:space="0" w:color="000000"/>
              <w:right w:val="single" w:sz="8" w:space="0" w:color="000000"/>
            </w:tcBorders>
          </w:tcPr>
          <w:p>
            <w:pPr>
              <w:pStyle w:val="TableParagraph"/>
              <w:spacing w:before="29"/>
              <w:ind w:left="44"/>
              <w:jc w:val="center"/>
              <w:rPr>
                <w:sz w:val="24"/>
              </w:rPr>
            </w:pPr>
            <w:r>
              <w:rPr>
                <w:spacing w:val="-4"/>
                <w:sz w:val="24"/>
              </w:rPr>
              <w:t>Beta</w:t>
            </w:r>
          </w:p>
        </w:tc>
        <w:tc>
          <w:tcPr>
            <w:tcW w:w="1104" w:type="dxa"/>
            <w:vMerge/>
            <w:tcBorders>
              <w:top w:val="nil"/>
              <w:left w:val="single" w:sz="8" w:space="0" w:color="000000"/>
              <w:right w:val="single" w:sz="8" w:space="0" w:color="000000"/>
            </w:tcBorders>
          </w:tcPr>
          <w:p>
            <w:pPr>
              <w:rPr>
                <w:sz w:val="2"/>
                <w:szCs w:val="2"/>
              </w:rPr>
            </w:pPr>
          </w:p>
        </w:tc>
        <w:tc>
          <w:tcPr>
            <w:tcW w:w="1097" w:type="dxa"/>
            <w:vMerge/>
            <w:tcBorders>
              <w:top w:val="nil"/>
              <w:left w:val="single" w:sz="8" w:space="0" w:color="000000"/>
            </w:tcBorders>
          </w:tcPr>
          <w:p>
            <w:pPr>
              <w:rPr>
                <w:sz w:val="2"/>
                <w:szCs w:val="2"/>
              </w:rPr>
            </w:pPr>
          </w:p>
        </w:tc>
      </w:tr>
      <w:tr>
        <w:trPr>
          <w:trHeight w:val="429" w:hRule="atLeast"/>
        </w:trPr>
        <w:tc>
          <w:tcPr>
            <w:tcW w:w="486" w:type="dxa"/>
            <w:tcBorders>
              <w:bottom w:val="nil"/>
              <w:right w:val="nil"/>
            </w:tcBorders>
          </w:tcPr>
          <w:p>
            <w:pPr>
              <w:pStyle w:val="TableParagraph"/>
              <w:spacing w:before="20"/>
              <w:ind w:left="27"/>
              <w:rPr>
                <w:sz w:val="24"/>
              </w:rPr>
            </w:pPr>
            <w:r>
              <w:rPr>
                <w:spacing w:val="-10"/>
                <w:sz w:val="24"/>
              </w:rPr>
              <w:t>1</w:t>
            </w:r>
          </w:p>
        </w:tc>
        <w:tc>
          <w:tcPr>
            <w:tcW w:w="2752" w:type="dxa"/>
            <w:tcBorders>
              <w:left w:val="nil"/>
              <w:bottom w:val="nil"/>
            </w:tcBorders>
          </w:tcPr>
          <w:p>
            <w:pPr>
              <w:pStyle w:val="TableParagraph"/>
              <w:spacing w:before="20"/>
              <w:ind w:left="354"/>
              <w:rPr>
                <w:sz w:val="24"/>
              </w:rPr>
            </w:pPr>
            <w:r>
              <w:rPr>
                <w:spacing w:val="-2"/>
                <w:sz w:val="24"/>
              </w:rPr>
              <w:t>(Constant)</w:t>
            </w:r>
          </w:p>
        </w:tc>
        <w:tc>
          <w:tcPr>
            <w:tcW w:w="1428" w:type="dxa"/>
            <w:tcBorders>
              <w:bottom w:val="nil"/>
              <w:right w:val="single" w:sz="8" w:space="0" w:color="000000"/>
            </w:tcBorders>
          </w:tcPr>
          <w:p>
            <w:pPr>
              <w:pStyle w:val="TableParagraph"/>
              <w:spacing w:before="20"/>
              <w:jc w:val="right"/>
              <w:rPr>
                <w:sz w:val="24"/>
              </w:rPr>
            </w:pPr>
            <w:r>
              <w:rPr>
                <w:spacing w:val="-4"/>
                <w:sz w:val="24"/>
              </w:rPr>
              <w:t>.437</w:t>
            </w:r>
          </w:p>
        </w:tc>
        <w:tc>
          <w:tcPr>
            <w:tcW w:w="1435" w:type="dxa"/>
            <w:tcBorders>
              <w:left w:val="single" w:sz="8" w:space="0" w:color="000000"/>
              <w:bottom w:val="nil"/>
              <w:right w:val="single" w:sz="8" w:space="0" w:color="000000"/>
            </w:tcBorders>
          </w:tcPr>
          <w:p>
            <w:pPr>
              <w:pStyle w:val="TableParagraph"/>
              <w:spacing w:before="20"/>
              <w:jc w:val="right"/>
              <w:rPr>
                <w:sz w:val="24"/>
              </w:rPr>
            </w:pPr>
            <w:r>
              <w:rPr>
                <w:spacing w:val="-4"/>
                <w:sz w:val="24"/>
              </w:rPr>
              <w:t>.572</w:t>
            </w:r>
          </w:p>
        </w:tc>
        <w:tc>
          <w:tcPr>
            <w:tcW w:w="1574" w:type="dxa"/>
            <w:vMerge w:val="restart"/>
            <w:tcBorders>
              <w:left w:val="single" w:sz="8" w:space="0" w:color="000000"/>
              <w:right w:val="single" w:sz="8" w:space="0" w:color="000000"/>
            </w:tcBorders>
          </w:tcPr>
          <w:p>
            <w:pPr>
              <w:pStyle w:val="TableParagraph"/>
              <w:rPr>
                <w:b/>
                <w:sz w:val="24"/>
              </w:rPr>
            </w:pPr>
          </w:p>
          <w:p>
            <w:pPr>
              <w:pStyle w:val="TableParagraph"/>
              <w:spacing w:before="202"/>
              <w:rPr>
                <w:b/>
                <w:sz w:val="24"/>
              </w:rPr>
            </w:pPr>
          </w:p>
          <w:p>
            <w:pPr>
              <w:pStyle w:val="TableParagraph"/>
              <w:ind w:right="-15"/>
              <w:jc w:val="right"/>
              <w:rPr>
                <w:sz w:val="24"/>
              </w:rPr>
            </w:pPr>
            <w:r>
              <w:rPr>
                <w:spacing w:val="-4"/>
                <w:sz w:val="24"/>
              </w:rPr>
              <w:t>.807</w:t>
            </w:r>
          </w:p>
        </w:tc>
        <w:tc>
          <w:tcPr>
            <w:tcW w:w="1104" w:type="dxa"/>
            <w:tcBorders>
              <w:left w:val="single" w:sz="8" w:space="0" w:color="000000"/>
              <w:bottom w:val="nil"/>
              <w:right w:val="single" w:sz="8" w:space="0" w:color="000000"/>
            </w:tcBorders>
          </w:tcPr>
          <w:p>
            <w:pPr>
              <w:pStyle w:val="TableParagraph"/>
              <w:spacing w:before="20"/>
              <w:ind w:right="1"/>
              <w:jc w:val="right"/>
              <w:rPr>
                <w:sz w:val="24"/>
              </w:rPr>
            </w:pPr>
            <w:r>
              <w:rPr>
                <w:spacing w:val="-4"/>
                <w:sz w:val="24"/>
              </w:rPr>
              <w:t>.764</w:t>
            </w:r>
          </w:p>
        </w:tc>
        <w:tc>
          <w:tcPr>
            <w:tcW w:w="1097" w:type="dxa"/>
            <w:tcBorders>
              <w:left w:val="single" w:sz="8" w:space="0" w:color="000000"/>
              <w:bottom w:val="nil"/>
            </w:tcBorders>
          </w:tcPr>
          <w:p>
            <w:pPr>
              <w:pStyle w:val="TableParagraph"/>
              <w:spacing w:before="20"/>
              <w:ind w:right="-15"/>
              <w:jc w:val="right"/>
              <w:rPr>
                <w:sz w:val="24"/>
              </w:rPr>
            </w:pPr>
            <w:r>
              <w:rPr>
                <w:spacing w:val="-4"/>
                <w:sz w:val="24"/>
              </w:rPr>
              <w:t>.467</w:t>
            </w:r>
          </w:p>
        </w:tc>
      </w:tr>
      <w:tr>
        <w:trPr>
          <w:trHeight w:val="951" w:hRule="atLeast"/>
        </w:trPr>
        <w:tc>
          <w:tcPr>
            <w:tcW w:w="486" w:type="dxa"/>
            <w:tcBorders>
              <w:top w:val="nil"/>
              <w:right w:val="nil"/>
            </w:tcBorders>
          </w:tcPr>
          <w:p>
            <w:pPr>
              <w:pStyle w:val="TableParagraph"/>
              <w:rPr>
                <w:sz w:val="22"/>
              </w:rPr>
            </w:pPr>
          </w:p>
        </w:tc>
        <w:tc>
          <w:tcPr>
            <w:tcW w:w="2752" w:type="dxa"/>
            <w:tcBorders>
              <w:top w:val="nil"/>
              <w:left w:val="nil"/>
            </w:tcBorders>
          </w:tcPr>
          <w:p>
            <w:pPr>
              <w:pStyle w:val="TableParagraph"/>
              <w:spacing w:line="276" w:lineRule="auto" w:before="123"/>
              <w:ind w:left="354"/>
              <w:rPr>
                <w:sz w:val="24"/>
              </w:rPr>
            </w:pPr>
            <w:r>
              <w:rPr>
                <w:sz w:val="24"/>
              </w:rPr>
              <w:t>Measures</w:t>
            </w:r>
            <w:r>
              <w:rPr>
                <w:spacing w:val="-15"/>
                <w:sz w:val="24"/>
              </w:rPr>
              <w:t> </w:t>
            </w:r>
            <w:r>
              <w:rPr>
                <w:sz w:val="24"/>
              </w:rPr>
              <w:t>of</w:t>
            </w:r>
            <w:r>
              <w:rPr>
                <w:spacing w:val="-15"/>
                <w:sz w:val="24"/>
              </w:rPr>
              <w:t> </w:t>
            </w:r>
            <w:r>
              <w:rPr>
                <w:sz w:val="24"/>
              </w:rPr>
              <w:t>competitive </w:t>
            </w:r>
            <w:r>
              <w:rPr>
                <w:spacing w:val="-2"/>
                <w:sz w:val="24"/>
              </w:rPr>
              <w:t>advantage</w:t>
            </w:r>
          </w:p>
        </w:tc>
        <w:tc>
          <w:tcPr>
            <w:tcW w:w="1428" w:type="dxa"/>
            <w:tcBorders>
              <w:top w:val="nil"/>
              <w:right w:val="single" w:sz="8" w:space="0" w:color="000000"/>
            </w:tcBorders>
          </w:tcPr>
          <w:p>
            <w:pPr>
              <w:pStyle w:val="TableParagraph"/>
              <w:spacing w:before="3"/>
              <w:rPr>
                <w:b/>
                <w:sz w:val="24"/>
              </w:rPr>
            </w:pPr>
          </w:p>
          <w:p>
            <w:pPr>
              <w:pStyle w:val="TableParagraph"/>
              <w:jc w:val="right"/>
              <w:rPr>
                <w:sz w:val="24"/>
              </w:rPr>
            </w:pPr>
            <w:r>
              <w:rPr>
                <w:spacing w:val="-4"/>
                <w:sz w:val="24"/>
              </w:rPr>
              <w:t>.574</w:t>
            </w:r>
          </w:p>
        </w:tc>
        <w:tc>
          <w:tcPr>
            <w:tcW w:w="1435" w:type="dxa"/>
            <w:tcBorders>
              <w:top w:val="nil"/>
              <w:left w:val="single" w:sz="8" w:space="0" w:color="000000"/>
              <w:right w:val="single" w:sz="8" w:space="0" w:color="000000"/>
            </w:tcBorders>
          </w:tcPr>
          <w:p>
            <w:pPr>
              <w:pStyle w:val="TableParagraph"/>
              <w:spacing w:before="3"/>
              <w:rPr>
                <w:b/>
                <w:sz w:val="24"/>
              </w:rPr>
            </w:pPr>
          </w:p>
          <w:p>
            <w:pPr>
              <w:pStyle w:val="TableParagraph"/>
              <w:jc w:val="right"/>
              <w:rPr>
                <w:sz w:val="24"/>
              </w:rPr>
            </w:pPr>
            <w:r>
              <w:rPr>
                <w:spacing w:val="-4"/>
                <w:sz w:val="24"/>
              </w:rPr>
              <w:t>.148</w:t>
            </w:r>
          </w:p>
        </w:tc>
        <w:tc>
          <w:tcPr>
            <w:tcW w:w="1574" w:type="dxa"/>
            <w:vMerge/>
            <w:tcBorders>
              <w:top w:val="nil"/>
              <w:left w:val="single" w:sz="8" w:space="0" w:color="000000"/>
              <w:right w:val="single" w:sz="8" w:space="0" w:color="000000"/>
            </w:tcBorders>
          </w:tcPr>
          <w:p>
            <w:pPr>
              <w:rPr>
                <w:sz w:val="2"/>
                <w:szCs w:val="2"/>
              </w:rPr>
            </w:pPr>
          </w:p>
        </w:tc>
        <w:tc>
          <w:tcPr>
            <w:tcW w:w="1104" w:type="dxa"/>
            <w:tcBorders>
              <w:top w:val="nil"/>
              <w:left w:val="single" w:sz="8" w:space="0" w:color="000000"/>
              <w:right w:val="single" w:sz="8" w:space="0" w:color="000000"/>
            </w:tcBorders>
          </w:tcPr>
          <w:p>
            <w:pPr>
              <w:pStyle w:val="TableParagraph"/>
              <w:spacing w:before="3"/>
              <w:rPr>
                <w:b/>
                <w:sz w:val="24"/>
              </w:rPr>
            </w:pPr>
          </w:p>
          <w:p>
            <w:pPr>
              <w:pStyle w:val="TableParagraph"/>
              <w:ind w:right="1"/>
              <w:jc w:val="right"/>
              <w:rPr>
                <w:sz w:val="24"/>
              </w:rPr>
            </w:pPr>
            <w:r>
              <w:rPr>
                <w:spacing w:val="-2"/>
                <w:sz w:val="24"/>
              </w:rPr>
              <w:t>3.867</w:t>
            </w:r>
          </w:p>
        </w:tc>
        <w:tc>
          <w:tcPr>
            <w:tcW w:w="1097" w:type="dxa"/>
            <w:tcBorders>
              <w:top w:val="nil"/>
              <w:left w:val="single" w:sz="8" w:space="0" w:color="000000"/>
            </w:tcBorders>
          </w:tcPr>
          <w:p>
            <w:pPr>
              <w:pStyle w:val="TableParagraph"/>
              <w:spacing w:before="3"/>
              <w:rPr>
                <w:b/>
                <w:sz w:val="24"/>
              </w:rPr>
            </w:pPr>
          </w:p>
          <w:p>
            <w:pPr>
              <w:pStyle w:val="TableParagraph"/>
              <w:ind w:right="-15"/>
              <w:jc w:val="right"/>
              <w:rPr>
                <w:sz w:val="24"/>
              </w:rPr>
            </w:pPr>
            <w:r>
              <w:rPr>
                <w:spacing w:val="-4"/>
                <w:sz w:val="24"/>
              </w:rPr>
              <w:t>.005</w:t>
            </w:r>
          </w:p>
        </w:tc>
      </w:tr>
    </w:tbl>
    <w:p>
      <w:pPr>
        <w:pStyle w:val="BodyText"/>
        <w:ind w:left="431"/>
      </w:pPr>
      <w:r>
        <w:rPr/>
        <w:t>a.</w:t>
      </w:r>
      <w:r>
        <w:rPr>
          <w:spacing w:val="-4"/>
        </w:rPr>
        <w:t> </w:t>
      </w:r>
      <w:r>
        <w:rPr/>
        <w:t>Dependent</w:t>
      </w:r>
      <w:r>
        <w:rPr>
          <w:spacing w:val="-2"/>
        </w:rPr>
        <w:t> </w:t>
      </w:r>
      <w:r>
        <w:rPr/>
        <w:t>Variable:</w:t>
      </w:r>
      <w:r>
        <w:rPr>
          <w:spacing w:val="1"/>
        </w:rPr>
        <w:t> </w:t>
      </w:r>
      <w:r>
        <w:rPr/>
        <w:t>Level</w:t>
      </w:r>
      <w:r>
        <w:rPr>
          <w:spacing w:val="-2"/>
        </w:rPr>
        <w:t> </w:t>
      </w:r>
      <w:r>
        <w:rPr/>
        <w:t>of</w:t>
      </w:r>
      <w:r>
        <w:rPr>
          <w:spacing w:val="-2"/>
        </w:rPr>
        <w:t> </w:t>
      </w:r>
      <w:r>
        <w:rPr/>
        <w:t>implementation</w:t>
      </w:r>
      <w:r>
        <w:rPr>
          <w:spacing w:val="-2"/>
        </w:rPr>
        <w:t> </w:t>
      </w:r>
      <w:r>
        <w:rPr/>
        <w:t>of</w:t>
      </w:r>
      <w:r>
        <w:rPr>
          <w:spacing w:val="-2"/>
        </w:rPr>
        <w:t> </w:t>
      </w:r>
      <w:r>
        <w:rPr>
          <w:spacing w:val="-5"/>
        </w:rPr>
        <w:t>TQM</w:t>
      </w:r>
    </w:p>
    <w:p>
      <w:pPr>
        <w:pStyle w:val="BodyText"/>
        <w:spacing w:before="221"/>
        <w:ind w:left="400"/>
        <w:jc w:val="both"/>
      </w:pPr>
      <w:r>
        <w:rPr/>
        <w:t>From</w:t>
      </w:r>
      <w:r>
        <w:rPr>
          <w:spacing w:val="-1"/>
        </w:rPr>
        <w:t> </w:t>
      </w:r>
      <w:r>
        <w:rPr/>
        <w:t>the</w:t>
      </w:r>
      <w:r>
        <w:rPr>
          <w:spacing w:val="-2"/>
        </w:rPr>
        <w:t> </w:t>
      </w:r>
      <w:r>
        <w:rPr/>
        <w:t>table, we</w:t>
      </w:r>
      <w:r>
        <w:rPr>
          <w:spacing w:val="-2"/>
        </w:rPr>
        <w:t> </w:t>
      </w:r>
      <w:r>
        <w:rPr/>
        <w:t>can see</w:t>
      </w:r>
      <w:r>
        <w:rPr>
          <w:spacing w:val="-2"/>
        </w:rPr>
        <w:t> </w:t>
      </w:r>
      <w:r>
        <w:rPr/>
        <w:t>that</w:t>
      </w:r>
      <w:r>
        <w:rPr>
          <w:spacing w:val="-1"/>
        </w:rPr>
        <w:t> </w:t>
      </w:r>
      <w:r>
        <w:rPr/>
        <w:t>the</w:t>
      </w:r>
      <w:r>
        <w:rPr>
          <w:spacing w:val="-1"/>
        </w:rPr>
        <w:t> </w:t>
      </w:r>
      <w:r>
        <w:rPr/>
        <w:t>regression</w:t>
      </w:r>
      <w:r>
        <w:rPr>
          <w:spacing w:val="-1"/>
        </w:rPr>
        <w:t> </w:t>
      </w:r>
      <w:r>
        <w:rPr/>
        <w:t>equation is</w:t>
      </w:r>
      <w:r>
        <w:rPr>
          <w:spacing w:val="-1"/>
        </w:rPr>
        <w:t> </w:t>
      </w:r>
      <w:r>
        <w:rPr/>
        <w:t>as </w:t>
      </w:r>
      <w:r>
        <w:rPr>
          <w:spacing w:val="-2"/>
        </w:rPr>
        <w:t>follows:</w:t>
      </w:r>
    </w:p>
    <w:p>
      <w:pPr>
        <w:pStyle w:val="BodyText"/>
        <w:spacing w:before="188"/>
        <w:rPr>
          <w:sz w:val="20"/>
        </w:rPr>
      </w:pPr>
      <w:r>
        <w:rPr/>
        <w:drawing>
          <wp:anchor distT="0" distB="0" distL="0" distR="0" allowOverlap="1" layoutInCell="1" locked="0" behindDoc="1" simplePos="0" relativeHeight="487615488">
            <wp:simplePos x="0" y="0"/>
            <wp:positionH relativeFrom="page">
              <wp:posOffset>914399</wp:posOffset>
            </wp:positionH>
            <wp:positionV relativeFrom="paragraph">
              <wp:posOffset>280657</wp:posOffset>
            </wp:positionV>
            <wp:extent cx="5174795" cy="209550"/>
            <wp:effectExtent l="0" t="0" r="0" b="0"/>
            <wp:wrapTopAndBottom/>
            <wp:docPr id="289" name="Image 289" descr=""/>
            <wp:cNvGraphicFramePr>
              <a:graphicFrameLocks/>
            </wp:cNvGraphicFramePr>
            <a:graphic>
              <a:graphicData uri="http://schemas.openxmlformats.org/drawingml/2006/picture">
                <pic:pic>
                  <pic:nvPicPr>
                    <pic:cNvPr id="289" name="Image 289" descr=""/>
                    <pic:cNvPicPr/>
                  </pic:nvPicPr>
                  <pic:blipFill>
                    <a:blip r:embed="rId29" cstate="print"/>
                    <a:stretch>
                      <a:fillRect/>
                    </a:stretch>
                  </pic:blipFill>
                  <pic:spPr>
                    <a:xfrm>
                      <a:off x="0" y="0"/>
                      <a:ext cx="5174795" cy="209550"/>
                    </a:xfrm>
                    <a:prstGeom prst="rect">
                      <a:avLst/>
                    </a:prstGeom>
                  </pic:spPr>
                </pic:pic>
              </a:graphicData>
            </a:graphic>
          </wp:anchor>
        </w:drawing>
      </w:r>
    </w:p>
    <w:p>
      <w:pPr>
        <w:spacing w:after="0"/>
        <w:rPr>
          <w:sz w:val="20"/>
        </w:rPr>
        <w:sectPr>
          <w:pgSz w:w="12240" w:h="15840"/>
          <w:pgMar w:header="0" w:footer="1017" w:top="1380" w:bottom="1200" w:left="1040" w:right="120"/>
        </w:sectPr>
      </w:pPr>
    </w:p>
    <w:p>
      <w:pPr>
        <w:pStyle w:val="BodyText"/>
        <w:spacing w:line="480" w:lineRule="auto" w:before="72"/>
        <w:ind w:left="400" w:right="1317"/>
        <w:jc w:val="both"/>
      </w:pPr>
      <w:r>
        <w:rPr>
          <w:b/>
        </w:rPr>
        <w:t>Decision, Conclusion and Reason: </w:t>
      </w:r>
      <w:r>
        <w:rPr/>
        <w:t>The null hypothesis will be rejected; this is because the correlation is significant as seen above and since p-value of 0.005&lt; 0.05.</w:t>
      </w:r>
      <w:r>
        <w:rPr>
          <w:spacing w:val="80"/>
          <w:w w:val="150"/>
        </w:rPr>
        <w:t> </w:t>
      </w:r>
      <w:r>
        <w:rPr/>
        <w:t>Hence there is a significant relationship between implementation of TQM and Competitive Advantages.</w:t>
      </w:r>
    </w:p>
    <w:p>
      <w:pPr>
        <w:pStyle w:val="Heading2"/>
        <w:numPr>
          <w:ilvl w:val="1"/>
          <w:numId w:val="46"/>
        </w:numPr>
        <w:tabs>
          <w:tab w:pos="1180" w:val="left" w:leader="none"/>
        </w:tabs>
        <w:spacing w:line="240" w:lineRule="auto" w:before="211" w:after="0"/>
        <w:ind w:left="1180" w:right="0" w:hanging="780"/>
        <w:jc w:val="both"/>
      </w:pPr>
      <w:r>
        <w:rPr/>
        <w:t>Identify</w:t>
      </w:r>
      <w:r>
        <w:rPr>
          <w:spacing w:val="-3"/>
        </w:rPr>
        <w:t> </w:t>
      </w:r>
      <w:r>
        <w:rPr/>
        <w:t>the</w:t>
      </w:r>
      <w:r>
        <w:rPr>
          <w:spacing w:val="-3"/>
        </w:rPr>
        <w:t> </w:t>
      </w:r>
      <w:r>
        <w:rPr/>
        <w:t>Significant</w:t>
      </w:r>
      <w:r>
        <w:rPr>
          <w:spacing w:val="-7"/>
        </w:rPr>
        <w:t> </w:t>
      </w:r>
      <w:r>
        <w:rPr/>
        <w:t>Impact</w:t>
      </w:r>
      <w:r>
        <w:rPr>
          <w:spacing w:val="-3"/>
        </w:rPr>
        <w:t> </w:t>
      </w:r>
      <w:r>
        <w:rPr/>
        <w:t>of</w:t>
      </w:r>
      <w:r>
        <w:rPr>
          <w:spacing w:val="-2"/>
        </w:rPr>
        <w:t> </w:t>
      </w:r>
      <w:r>
        <w:rPr/>
        <w:t>SMCFs</w:t>
      </w:r>
      <w:r>
        <w:rPr>
          <w:spacing w:val="-2"/>
        </w:rPr>
        <w:t> </w:t>
      </w:r>
      <w:r>
        <w:rPr/>
        <w:t>Strategies’</w:t>
      </w:r>
      <w:r>
        <w:rPr>
          <w:spacing w:val="-3"/>
        </w:rPr>
        <w:t> </w:t>
      </w:r>
      <w:r>
        <w:rPr/>
        <w:t>on</w:t>
      </w:r>
      <w:r>
        <w:rPr>
          <w:spacing w:val="-2"/>
        </w:rPr>
        <w:t> </w:t>
      </w:r>
      <w:r>
        <w:rPr/>
        <w:t>Competitive</w:t>
      </w:r>
      <w:r>
        <w:rPr>
          <w:spacing w:val="-1"/>
        </w:rPr>
        <w:t> </w:t>
      </w:r>
      <w:r>
        <w:rPr>
          <w:spacing w:val="-2"/>
        </w:rPr>
        <w:t>Advantage.</w:t>
      </w:r>
    </w:p>
    <w:p>
      <w:pPr>
        <w:pStyle w:val="BodyText"/>
        <w:spacing w:before="153"/>
        <w:rPr>
          <w:b/>
        </w:rPr>
      </w:pPr>
    </w:p>
    <w:p>
      <w:pPr>
        <w:pStyle w:val="BodyText"/>
        <w:spacing w:line="480" w:lineRule="auto" w:before="1"/>
        <w:ind w:left="400" w:right="1317"/>
        <w:jc w:val="both"/>
      </w:pPr>
      <w:r>
        <w:rPr/>
        <w:t>The fifth objective of the study was to identify the significant impact of SMCFs’ strategies on competitive</w:t>
      </w:r>
      <w:r>
        <w:rPr>
          <w:spacing w:val="-1"/>
        </w:rPr>
        <w:t> </w:t>
      </w:r>
      <w:r>
        <w:rPr/>
        <w:t>advantage in South-East Nigeria. In other to achieve</w:t>
      </w:r>
      <w:r>
        <w:rPr>
          <w:spacing w:val="-1"/>
        </w:rPr>
        <w:t> </w:t>
      </w:r>
      <w:r>
        <w:rPr/>
        <w:t>this objective, a hypothesis was postulated. To test the hypothesis, a simple linear Regression was used. Then, the results were presented by using models.</w:t>
      </w:r>
    </w:p>
    <w:p>
      <w:pPr>
        <w:pStyle w:val="Heading2"/>
        <w:spacing w:before="165"/>
      </w:pPr>
      <w:r>
        <w:rPr/>
        <w:t>Hypotheses</w:t>
      </w:r>
      <w:r>
        <w:rPr>
          <w:spacing w:val="-3"/>
        </w:rPr>
        <w:t> </w:t>
      </w:r>
      <w:r>
        <w:rPr>
          <w:spacing w:val="-4"/>
        </w:rPr>
        <w:t>four</w:t>
      </w:r>
    </w:p>
    <w:p>
      <w:pPr>
        <w:pStyle w:val="BodyText"/>
        <w:spacing w:line="480" w:lineRule="auto" w:before="272"/>
        <w:ind w:left="400" w:right="1733"/>
        <w:jc w:val="both"/>
      </w:pPr>
      <w:r>
        <w:rPr/>
        <w:t>There</w:t>
      </w:r>
      <w:r>
        <w:rPr>
          <w:spacing w:val="-4"/>
        </w:rPr>
        <w:t> </w:t>
      </w:r>
      <w:r>
        <w:rPr/>
        <w:t>is</w:t>
      </w:r>
      <w:r>
        <w:rPr>
          <w:spacing w:val="-3"/>
        </w:rPr>
        <w:t> </w:t>
      </w:r>
      <w:r>
        <w:rPr/>
        <w:t>no</w:t>
      </w:r>
      <w:r>
        <w:rPr>
          <w:spacing w:val="-3"/>
        </w:rPr>
        <w:t> </w:t>
      </w:r>
      <w:r>
        <w:rPr/>
        <w:t>significant</w:t>
      </w:r>
      <w:r>
        <w:rPr>
          <w:spacing w:val="-3"/>
        </w:rPr>
        <w:t> </w:t>
      </w:r>
      <w:r>
        <w:rPr/>
        <w:t>impact</w:t>
      </w:r>
      <w:r>
        <w:rPr>
          <w:spacing w:val="-3"/>
        </w:rPr>
        <w:t> </w:t>
      </w:r>
      <w:r>
        <w:rPr/>
        <w:t>of</w:t>
      </w:r>
      <w:r>
        <w:rPr>
          <w:spacing w:val="-4"/>
        </w:rPr>
        <w:t> </w:t>
      </w:r>
      <w:r>
        <w:rPr/>
        <w:t>SMCFs’</w:t>
      </w:r>
      <w:r>
        <w:rPr>
          <w:spacing w:val="-4"/>
        </w:rPr>
        <w:t> </w:t>
      </w:r>
      <w:r>
        <w:rPr/>
        <w:t>strategies</w:t>
      </w:r>
      <w:r>
        <w:rPr>
          <w:spacing w:val="-3"/>
        </w:rPr>
        <w:t> </w:t>
      </w:r>
      <w:r>
        <w:rPr/>
        <w:t>on</w:t>
      </w:r>
      <w:r>
        <w:rPr>
          <w:spacing w:val="-3"/>
        </w:rPr>
        <w:t> </w:t>
      </w:r>
      <w:r>
        <w:rPr/>
        <w:t>competitive</w:t>
      </w:r>
      <w:r>
        <w:rPr>
          <w:spacing w:val="-4"/>
        </w:rPr>
        <w:t> </w:t>
      </w:r>
      <w:r>
        <w:rPr/>
        <w:t>advantages</w:t>
      </w:r>
      <w:r>
        <w:rPr>
          <w:spacing w:val="-3"/>
        </w:rPr>
        <w:t> </w:t>
      </w:r>
      <w:r>
        <w:rPr/>
        <w:t>in</w:t>
      </w:r>
      <w:r>
        <w:rPr>
          <w:spacing w:val="-3"/>
        </w:rPr>
        <w:t> </w:t>
      </w:r>
      <w:r>
        <w:rPr/>
        <w:t>South-East </w:t>
      </w:r>
      <w:r>
        <w:rPr>
          <w:spacing w:val="-2"/>
        </w:rPr>
        <w:t>Nigeria</w:t>
      </w:r>
    </w:p>
    <w:p>
      <w:pPr>
        <w:pStyle w:val="BodyText"/>
        <w:spacing w:before="45"/>
      </w:pPr>
    </w:p>
    <w:p>
      <w:pPr>
        <w:spacing w:before="0"/>
        <w:ind w:left="400" w:right="0" w:firstLine="0"/>
        <w:jc w:val="both"/>
        <w:rPr>
          <w:sz w:val="24"/>
        </w:rPr>
      </w:pPr>
      <w:r>
        <w:rPr>
          <w:b/>
          <w:sz w:val="24"/>
        </w:rPr>
        <w:t>Statistical</w:t>
      </w:r>
      <w:r>
        <w:rPr>
          <w:b/>
          <w:spacing w:val="-4"/>
          <w:sz w:val="24"/>
        </w:rPr>
        <w:t> </w:t>
      </w:r>
      <w:r>
        <w:rPr>
          <w:b/>
          <w:sz w:val="24"/>
        </w:rPr>
        <w:t>tool</w:t>
      </w:r>
      <w:r>
        <w:rPr>
          <w:b/>
          <w:spacing w:val="-1"/>
          <w:sz w:val="24"/>
        </w:rPr>
        <w:t> </w:t>
      </w:r>
      <w:r>
        <w:rPr>
          <w:b/>
          <w:sz w:val="24"/>
        </w:rPr>
        <w:t>used:</w:t>
      </w:r>
      <w:r>
        <w:rPr>
          <w:b/>
          <w:spacing w:val="-2"/>
          <w:sz w:val="24"/>
        </w:rPr>
        <w:t> </w:t>
      </w:r>
      <w:r>
        <w:rPr>
          <w:sz w:val="24"/>
        </w:rPr>
        <w:t>Ordinary</w:t>
      </w:r>
      <w:r>
        <w:rPr>
          <w:spacing w:val="-5"/>
          <w:sz w:val="24"/>
        </w:rPr>
        <w:t> </w:t>
      </w:r>
      <w:r>
        <w:rPr>
          <w:sz w:val="24"/>
        </w:rPr>
        <w:t>least</w:t>
      </w:r>
      <w:r>
        <w:rPr>
          <w:spacing w:val="-1"/>
          <w:sz w:val="24"/>
        </w:rPr>
        <w:t> </w:t>
      </w:r>
      <w:r>
        <w:rPr>
          <w:sz w:val="24"/>
        </w:rPr>
        <w:t>square</w:t>
      </w:r>
      <w:r>
        <w:rPr>
          <w:spacing w:val="-2"/>
          <w:sz w:val="24"/>
        </w:rPr>
        <w:t> </w:t>
      </w:r>
      <w:r>
        <w:rPr>
          <w:sz w:val="24"/>
        </w:rPr>
        <w:t>techniques</w:t>
      </w:r>
      <w:r>
        <w:rPr>
          <w:spacing w:val="-1"/>
          <w:sz w:val="24"/>
        </w:rPr>
        <w:t> </w:t>
      </w:r>
      <w:r>
        <w:rPr>
          <w:spacing w:val="-2"/>
          <w:sz w:val="24"/>
        </w:rPr>
        <w:t>(OLS)</w:t>
      </w:r>
    </w:p>
    <w:p>
      <w:pPr>
        <w:pStyle w:val="BodyText"/>
      </w:pPr>
    </w:p>
    <w:p>
      <w:pPr>
        <w:spacing w:before="0"/>
        <w:ind w:left="400" w:right="0" w:firstLine="0"/>
        <w:jc w:val="both"/>
        <w:rPr>
          <w:sz w:val="24"/>
        </w:rPr>
      </w:pPr>
      <w:r>
        <w:rPr>
          <w:b/>
          <w:sz w:val="24"/>
        </w:rPr>
        <w:t>Statistical</w:t>
      </w:r>
      <w:r>
        <w:rPr>
          <w:b/>
          <w:spacing w:val="-3"/>
          <w:sz w:val="24"/>
        </w:rPr>
        <w:t> </w:t>
      </w:r>
      <w:r>
        <w:rPr>
          <w:b/>
          <w:sz w:val="24"/>
        </w:rPr>
        <w:t>package</w:t>
      </w:r>
      <w:r>
        <w:rPr>
          <w:b/>
          <w:spacing w:val="-2"/>
          <w:sz w:val="24"/>
        </w:rPr>
        <w:t> </w:t>
      </w:r>
      <w:r>
        <w:rPr>
          <w:b/>
          <w:sz w:val="24"/>
        </w:rPr>
        <w:t>used:</w:t>
      </w:r>
      <w:r>
        <w:rPr>
          <w:b/>
          <w:spacing w:val="-3"/>
          <w:sz w:val="24"/>
        </w:rPr>
        <w:t> </w:t>
      </w:r>
      <w:r>
        <w:rPr>
          <w:sz w:val="24"/>
        </w:rPr>
        <w:t>Econometrics</w:t>
      </w:r>
      <w:r>
        <w:rPr>
          <w:spacing w:val="-2"/>
          <w:sz w:val="24"/>
        </w:rPr>
        <w:t> </w:t>
      </w:r>
      <w:r>
        <w:rPr>
          <w:sz w:val="24"/>
        </w:rPr>
        <w:t>views</w:t>
      </w:r>
      <w:r>
        <w:rPr>
          <w:spacing w:val="-2"/>
          <w:sz w:val="24"/>
        </w:rPr>
        <w:t> </w:t>
      </w:r>
      <w:r>
        <w:rPr>
          <w:sz w:val="24"/>
        </w:rPr>
        <w:t>(Eviews</w:t>
      </w:r>
      <w:r>
        <w:rPr>
          <w:spacing w:val="-2"/>
          <w:sz w:val="24"/>
        </w:rPr>
        <w:t> v.8.0)</w:t>
      </w:r>
    </w:p>
    <w:p>
      <w:pPr>
        <w:pStyle w:val="BodyText"/>
      </w:pPr>
    </w:p>
    <w:p>
      <w:pPr>
        <w:pStyle w:val="BodyText"/>
        <w:spacing w:before="51"/>
      </w:pPr>
    </w:p>
    <w:p>
      <w:pPr>
        <w:pStyle w:val="Heading2"/>
      </w:pPr>
      <w:r>
        <w:rPr/>
        <w:t>Regression</w:t>
      </w:r>
      <w:r>
        <w:rPr>
          <w:spacing w:val="-4"/>
        </w:rPr>
        <w:t> </w:t>
      </w:r>
      <w:r>
        <w:rPr/>
        <w:t>result</w:t>
      </w:r>
      <w:r>
        <w:rPr>
          <w:spacing w:val="-2"/>
        </w:rPr>
        <w:t> </w:t>
      </w:r>
      <w:r>
        <w:rPr/>
        <w:t>of</w:t>
      </w:r>
      <w:r>
        <w:rPr>
          <w:spacing w:val="-1"/>
        </w:rPr>
        <w:t> </w:t>
      </w:r>
      <w:r>
        <w:rPr/>
        <w:t>the first</w:t>
      </w:r>
      <w:r>
        <w:rPr>
          <w:spacing w:val="-2"/>
        </w:rPr>
        <w:t> </w:t>
      </w:r>
      <w:r>
        <w:rPr>
          <w:spacing w:val="-4"/>
        </w:rPr>
        <w:t>model</w:t>
      </w:r>
    </w:p>
    <w:p>
      <w:pPr>
        <w:pStyle w:val="BodyText"/>
        <w:rPr>
          <w:b/>
          <w:sz w:val="20"/>
        </w:rPr>
      </w:pPr>
    </w:p>
    <w:p>
      <w:pPr>
        <w:pStyle w:val="BodyText"/>
        <w:spacing w:before="52"/>
        <w:rPr>
          <w:b/>
          <w:sz w:val="20"/>
        </w:rPr>
      </w:pPr>
    </w:p>
    <w:tbl>
      <w:tblPr>
        <w:tblW w:w="0" w:type="auto"/>
        <w:jc w:val="left"/>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tblGrid>
      <w:tr>
        <w:trPr>
          <w:trHeight w:val="408" w:hRule="atLeast"/>
        </w:trPr>
        <w:tc>
          <w:tcPr>
            <w:tcW w:w="2893" w:type="dxa"/>
          </w:tcPr>
          <w:p>
            <w:pPr>
              <w:pStyle w:val="TableParagraph"/>
              <w:spacing w:line="266" w:lineRule="exact"/>
              <w:ind w:left="50"/>
              <w:rPr>
                <w:sz w:val="24"/>
              </w:rPr>
            </w:pPr>
            <w:r>
              <w:rPr>
                <w:sz w:val="24"/>
              </w:rPr>
              <w:t>Dependent</w:t>
            </w:r>
            <w:r>
              <w:rPr>
                <w:spacing w:val="-4"/>
                <w:sz w:val="24"/>
              </w:rPr>
              <w:t> </w:t>
            </w:r>
            <w:r>
              <w:rPr>
                <w:sz w:val="24"/>
              </w:rPr>
              <w:t>Variable:</w:t>
            </w:r>
            <w:r>
              <w:rPr>
                <w:spacing w:val="-3"/>
                <w:sz w:val="24"/>
              </w:rPr>
              <w:t> </w:t>
            </w:r>
            <w:r>
              <w:rPr>
                <w:spacing w:val="-5"/>
                <w:sz w:val="24"/>
              </w:rPr>
              <w:t>PR</w:t>
            </w:r>
          </w:p>
        </w:tc>
      </w:tr>
      <w:tr>
        <w:trPr>
          <w:trHeight w:val="552" w:hRule="atLeast"/>
        </w:trPr>
        <w:tc>
          <w:tcPr>
            <w:tcW w:w="2893" w:type="dxa"/>
          </w:tcPr>
          <w:p>
            <w:pPr>
              <w:pStyle w:val="TableParagraph"/>
              <w:spacing w:before="133"/>
              <w:ind w:left="50"/>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2" w:hRule="atLeast"/>
        </w:trPr>
        <w:tc>
          <w:tcPr>
            <w:tcW w:w="2893" w:type="dxa"/>
          </w:tcPr>
          <w:p>
            <w:pPr>
              <w:pStyle w:val="TableParagraph"/>
              <w:spacing w:before="133"/>
              <w:ind w:left="50"/>
              <w:rPr>
                <w:sz w:val="24"/>
              </w:rPr>
            </w:pPr>
            <w:r>
              <w:rPr>
                <w:sz w:val="24"/>
              </w:rPr>
              <w:t>Date:</w:t>
            </w:r>
            <w:r>
              <w:rPr>
                <w:spacing w:val="-1"/>
                <w:sz w:val="24"/>
              </w:rPr>
              <w:t> </w:t>
            </w:r>
            <w:r>
              <w:rPr>
                <w:sz w:val="24"/>
              </w:rPr>
              <w:t>08/07/18</w:t>
            </w:r>
            <w:r>
              <w:rPr>
                <w:spacing w:val="28"/>
                <w:sz w:val="24"/>
              </w:rPr>
              <w:t>  </w:t>
            </w:r>
            <w:r>
              <w:rPr>
                <w:sz w:val="24"/>
              </w:rPr>
              <w:t>Time: </w:t>
            </w:r>
            <w:r>
              <w:rPr>
                <w:spacing w:val="-2"/>
                <w:sz w:val="24"/>
              </w:rPr>
              <w:t>07:47</w:t>
            </w:r>
          </w:p>
        </w:tc>
      </w:tr>
      <w:tr>
        <w:trPr>
          <w:trHeight w:val="408" w:hRule="atLeast"/>
        </w:trPr>
        <w:tc>
          <w:tcPr>
            <w:tcW w:w="2893" w:type="dxa"/>
          </w:tcPr>
          <w:p>
            <w:pPr>
              <w:pStyle w:val="TableParagraph"/>
              <w:spacing w:line="256" w:lineRule="exact" w:before="133"/>
              <w:ind w:left="50"/>
              <w:rPr>
                <w:sz w:val="24"/>
              </w:rPr>
            </w:pPr>
            <w:r>
              <w:rPr>
                <w:sz w:val="24"/>
              </w:rPr>
              <w:t>Sample:</w:t>
            </w:r>
            <w:r>
              <w:rPr>
                <w:spacing w:val="-3"/>
                <w:sz w:val="24"/>
              </w:rPr>
              <w:t> </w:t>
            </w:r>
            <w:r>
              <w:rPr>
                <w:sz w:val="24"/>
              </w:rPr>
              <w:t>1</w:t>
            </w:r>
            <w:r>
              <w:rPr>
                <w:spacing w:val="-1"/>
                <w:sz w:val="24"/>
              </w:rPr>
              <w:t> </w:t>
            </w:r>
            <w:r>
              <w:rPr>
                <w:spacing w:val="-10"/>
                <w:sz w:val="24"/>
              </w:rPr>
              <w:t>5</w:t>
            </w:r>
          </w:p>
        </w:tc>
      </w:tr>
    </w:tbl>
    <w:p>
      <w:pPr>
        <w:spacing w:after="0" w:line="256" w:lineRule="exact"/>
        <w:rPr>
          <w:sz w:val="24"/>
        </w:rPr>
        <w:sectPr>
          <w:pgSz w:w="12240" w:h="15840"/>
          <w:pgMar w:header="0" w:footer="1017" w:top="1360" w:bottom="1200" w:left="1040" w:right="120"/>
        </w:sect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227"/>
        <w:gridCol w:w="1113"/>
        <w:gridCol w:w="957"/>
      </w:tblGrid>
      <w:tr>
        <w:trPr>
          <w:trHeight w:val="637" w:hRule="atLeast"/>
        </w:trPr>
        <w:tc>
          <w:tcPr>
            <w:tcW w:w="6532" w:type="dxa"/>
            <w:gridSpan w:val="5"/>
            <w:tcBorders>
              <w:bottom w:val="double" w:sz="6" w:space="0" w:color="000000"/>
            </w:tcBorders>
          </w:tcPr>
          <w:p>
            <w:pPr>
              <w:pStyle w:val="TableParagraph"/>
              <w:spacing w:line="266" w:lineRule="exact"/>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4"/>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4"/>
              <w:ind w:right="128"/>
              <w:jc w:val="right"/>
              <w:rPr>
                <w:sz w:val="24"/>
              </w:rPr>
            </w:pPr>
            <w:r>
              <w:rPr>
                <w:spacing w:val="-2"/>
                <w:sz w:val="24"/>
              </w:rPr>
              <w:t>Coefficient</w:t>
            </w:r>
          </w:p>
        </w:tc>
        <w:tc>
          <w:tcPr>
            <w:tcW w:w="1227" w:type="dxa"/>
            <w:tcBorders>
              <w:top w:val="double" w:sz="6" w:space="0" w:color="000000"/>
              <w:bottom w:val="double" w:sz="6" w:space="0" w:color="000000"/>
            </w:tcBorders>
          </w:tcPr>
          <w:p>
            <w:pPr>
              <w:pStyle w:val="TableParagraph"/>
              <w:spacing w:before="84"/>
              <w:ind w:left="38" w:right="42"/>
              <w:jc w:val="center"/>
              <w:rPr>
                <w:sz w:val="24"/>
              </w:rPr>
            </w:pPr>
            <w:r>
              <w:rPr>
                <w:sz w:val="24"/>
              </w:rPr>
              <w:t>Std. </w:t>
            </w:r>
            <w:r>
              <w:rPr>
                <w:spacing w:val="-2"/>
                <w:sz w:val="24"/>
              </w:rPr>
              <w:t>Error</w:t>
            </w:r>
          </w:p>
        </w:tc>
        <w:tc>
          <w:tcPr>
            <w:tcW w:w="1113" w:type="dxa"/>
            <w:tcBorders>
              <w:top w:val="double" w:sz="6" w:space="0" w:color="000000"/>
              <w:bottom w:val="double" w:sz="6" w:space="0" w:color="000000"/>
            </w:tcBorders>
          </w:tcPr>
          <w:p>
            <w:pPr>
              <w:pStyle w:val="TableParagraph"/>
              <w:spacing w:before="84"/>
              <w:ind w:left="10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4"/>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173163.1</w:t>
            </w:r>
          </w:p>
        </w:tc>
        <w:tc>
          <w:tcPr>
            <w:tcW w:w="1227" w:type="dxa"/>
            <w:tcBorders>
              <w:top w:val="double" w:sz="6" w:space="0" w:color="000000"/>
            </w:tcBorders>
          </w:tcPr>
          <w:p>
            <w:pPr>
              <w:pStyle w:val="TableParagraph"/>
              <w:spacing w:before="82"/>
              <w:ind w:left="42" w:right="4"/>
              <w:jc w:val="center"/>
              <w:rPr>
                <w:sz w:val="24"/>
              </w:rPr>
            </w:pPr>
            <w:r>
              <w:rPr>
                <w:spacing w:val="-2"/>
                <w:sz w:val="24"/>
              </w:rPr>
              <w:t>452737.0</w:t>
            </w:r>
          </w:p>
        </w:tc>
        <w:tc>
          <w:tcPr>
            <w:tcW w:w="1113" w:type="dxa"/>
            <w:tcBorders>
              <w:top w:val="double" w:sz="6" w:space="0" w:color="000000"/>
            </w:tcBorders>
          </w:tcPr>
          <w:p>
            <w:pPr>
              <w:pStyle w:val="TableParagraph"/>
              <w:spacing w:before="82"/>
              <w:ind w:left="107"/>
              <w:jc w:val="center"/>
              <w:rPr>
                <w:sz w:val="24"/>
              </w:rPr>
            </w:pPr>
            <w:r>
              <w:rPr>
                <w:spacing w:val="-2"/>
                <w:sz w:val="24"/>
              </w:rPr>
              <w:t>0.382481</w:t>
            </w:r>
          </w:p>
        </w:tc>
        <w:tc>
          <w:tcPr>
            <w:tcW w:w="957" w:type="dxa"/>
            <w:tcBorders>
              <w:top w:val="double" w:sz="6" w:space="0" w:color="000000"/>
            </w:tcBorders>
          </w:tcPr>
          <w:p>
            <w:pPr>
              <w:pStyle w:val="TableParagraph"/>
              <w:spacing w:before="82"/>
              <w:ind w:right="9"/>
              <w:jc w:val="right"/>
              <w:rPr>
                <w:sz w:val="24"/>
              </w:rPr>
            </w:pPr>
            <w:r>
              <w:rPr>
                <w:spacing w:val="-2"/>
                <w:sz w:val="24"/>
              </w:rPr>
              <w:t>0.7389</w:t>
            </w:r>
          </w:p>
        </w:tc>
      </w:tr>
      <w:tr>
        <w:trPr>
          <w:trHeight w:val="551" w:hRule="atLeast"/>
        </w:trPr>
        <w:tc>
          <w:tcPr>
            <w:tcW w:w="1969" w:type="dxa"/>
          </w:tcPr>
          <w:p>
            <w:pPr>
              <w:pStyle w:val="TableParagraph"/>
              <w:spacing w:before="133"/>
              <w:ind w:left="46" w:right="1"/>
              <w:jc w:val="center"/>
              <w:rPr>
                <w:sz w:val="24"/>
              </w:rPr>
            </w:pPr>
            <w:r>
              <w:rPr>
                <w:spacing w:val="-5"/>
                <w:sz w:val="24"/>
              </w:rPr>
              <w:t>ST</w:t>
            </w:r>
          </w:p>
        </w:tc>
        <w:tc>
          <w:tcPr>
            <w:tcW w:w="1266" w:type="dxa"/>
          </w:tcPr>
          <w:p>
            <w:pPr>
              <w:pStyle w:val="TableParagraph"/>
              <w:spacing w:before="133"/>
              <w:ind w:right="126"/>
              <w:jc w:val="right"/>
              <w:rPr>
                <w:sz w:val="24"/>
              </w:rPr>
            </w:pPr>
            <w:r>
              <w:rPr>
                <w:spacing w:val="-2"/>
                <w:sz w:val="24"/>
              </w:rPr>
              <w:t>40.06387</w:t>
            </w:r>
          </w:p>
        </w:tc>
        <w:tc>
          <w:tcPr>
            <w:tcW w:w="1227" w:type="dxa"/>
          </w:tcPr>
          <w:p>
            <w:pPr>
              <w:pStyle w:val="TableParagraph"/>
              <w:spacing w:before="133"/>
              <w:ind w:left="42" w:right="4"/>
              <w:jc w:val="center"/>
              <w:rPr>
                <w:sz w:val="24"/>
              </w:rPr>
            </w:pPr>
            <w:r>
              <w:rPr>
                <w:spacing w:val="-2"/>
                <w:sz w:val="24"/>
              </w:rPr>
              <w:t>168.0593</w:t>
            </w:r>
          </w:p>
        </w:tc>
        <w:tc>
          <w:tcPr>
            <w:tcW w:w="1113" w:type="dxa"/>
          </w:tcPr>
          <w:p>
            <w:pPr>
              <w:pStyle w:val="TableParagraph"/>
              <w:spacing w:before="133"/>
              <w:ind w:left="107"/>
              <w:jc w:val="center"/>
              <w:rPr>
                <w:sz w:val="24"/>
              </w:rPr>
            </w:pPr>
            <w:r>
              <w:rPr>
                <w:spacing w:val="-2"/>
                <w:sz w:val="24"/>
              </w:rPr>
              <w:t>4.238391</w:t>
            </w:r>
          </w:p>
        </w:tc>
        <w:tc>
          <w:tcPr>
            <w:tcW w:w="957" w:type="dxa"/>
          </w:tcPr>
          <w:p>
            <w:pPr>
              <w:pStyle w:val="TableParagraph"/>
              <w:spacing w:before="133"/>
              <w:ind w:right="9"/>
              <w:jc w:val="right"/>
              <w:rPr>
                <w:sz w:val="24"/>
              </w:rPr>
            </w:pPr>
            <w:r>
              <w:rPr>
                <w:spacing w:val="-2"/>
                <w:sz w:val="24"/>
              </w:rPr>
              <w:t>0.0338</w:t>
            </w:r>
          </w:p>
        </w:tc>
      </w:tr>
      <w:tr>
        <w:trPr>
          <w:trHeight w:val="783"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OP</w:t>
            </w:r>
          </w:p>
        </w:tc>
        <w:tc>
          <w:tcPr>
            <w:tcW w:w="1266" w:type="dxa"/>
            <w:tcBorders>
              <w:bottom w:val="double" w:sz="6" w:space="0" w:color="000000"/>
            </w:tcBorders>
          </w:tcPr>
          <w:p>
            <w:pPr>
              <w:pStyle w:val="TableParagraph"/>
              <w:spacing w:before="133"/>
              <w:ind w:right="126"/>
              <w:jc w:val="right"/>
              <w:rPr>
                <w:sz w:val="24"/>
              </w:rPr>
            </w:pPr>
            <w:r>
              <w:rPr>
                <w:spacing w:val="-2"/>
                <w:sz w:val="24"/>
              </w:rPr>
              <w:t>118.5810</w:t>
            </w:r>
          </w:p>
        </w:tc>
        <w:tc>
          <w:tcPr>
            <w:tcW w:w="1227" w:type="dxa"/>
            <w:tcBorders>
              <w:bottom w:val="double" w:sz="6" w:space="0" w:color="000000"/>
            </w:tcBorders>
          </w:tcPr>
          <w:p>
            <w:pPr>
              <w:pStyle w:val="TableParagraph"/>
              <w:spacing w:before="133"/>
              <w:ind w:left="42" w:right="4"/>
              <w:jc w:val="center"/>
              <w:rPr>
                <w:sz w:val="24"/>
              </w:rPr>
            </w:pPr>
            <w:r>
              <w:rPr>
                <w:spacing w:val="-2"/>
                <w:sz w:val="24"/>
              </w:rPr>
              <w:t>254.9884</w:t>
            </w:r>
          </w:p>
        </w:tc>
        <w:tc>
          <w:tcPr>
            <w:tcW w:w="1113" w:type="dxa"/>
            <w:tcBorders>
              <w:bottom w:val="double" w:sz="6" w:space="0" w:color="000000"/>
            </w:tcBorders>
          </w:tcPr>
          <w:p>
            <w:pPr>
              <w:pStyle w:val="TableParagraph"/>
              <w:spacing w:before="133"/>
              <w:ind w:left="107"/>
              <w:jc w:val="center"/>
              <w:rPr>
                <w:sz w:val="24"/>
              </w:rPr>
            </w:pPr>
            <w:r>
              <w:rPr>
                <w:spacing w:val="-2"/>
                <w:sz w:val="24"/>
              </w:rPr>
              <w:t>4.465044</w:t>
            </w:r>
          </w:p>
        </w:tc>
        <w:tc>
          <w:tcPr>
            <w:tcW w:w="957" w:type="dxa"/>
            <w:tcBorders>
              <w:bottom w:val="double" w:sz="6" w:space="0" w:color="000000"/>
            </w:tcBorders>
          </w:tcPr>
          <w:p>
            <w:pPr>
              <w:pStyle w:val="TableParagraph"/>
              <w:spacing w:before="133"/>
              <w:ind w:right="9"/>
              <w:jc w:val="right"/>
              <w:rPr>
                <w:sz w:val="24"/>
              </w:rPr>
            </w:pPr>
            <w:r>
              <w:rPr>
                <w:spacing w:val="-2"/>
                <w:sz w:val="24"/>
              </w:rPr>
              <w:t>0.0176</w:t>
            </w:r>
          </w:p>
        </w:tc>
      </w:tr>
      <w:tr>
        <w:trPr>
          <w:trHeight w:val="501" w:hRule="atLeast"/>
        </w:trPr>
        <w:tc>
          <w:tcPr>
            <w:tcW w:w="1969" w:type="dxa"/>
            <w:tcBorders>
              <w:top w:val="double" w:sz="6" w:space="0" w:color="000000"/>
            </w:tcBorders>
          </w:tcPr>
          <w:p>
            <w:pPr>
              <w:pStyle w:val="TableParagraph"/>
              <w:spacing w:before="82"/>
              <w:rPr>
                <w:sz w:val="24"/>
              </w:rPr>
            </w:pPr>
            <w:r>
              <w:rPr>
                <w:spacing w:val="-2"/>
                <w:sz w:val="24"/>
              </w:rPr>
              <w:t>R-squared</w:t>
            </w:r>
          </w:p>
        </w:tc>
        <w:tc>
          <w:tcPr>
            <w:tcW w:w="1266" w:type="dxa"/>
            <w:tcBorders>
              <w:top w:val="double" w:sz="6" w:space="0" w:color="000000"/>
            </w:tcBorders>
          </w:tcPr>
          <w:p>
            <w:pPr>
              <w:pStyle w:val="TableParagraph"/>
              <w:spacing w:before="82"/>
              <w:ind w:right="126"/>
              <w:jc w:val="right"/>
              <w:rPr>
                <w:sz w:val="24"/>
              </w:rPr>
            </w:pPr>
            <w:r>
              <w:rPr>
                <w:spacing w:val="-2"/>
                <w:sz w:val="24"/>
              </w:rPr>
              <w:t>0.331271</w:t>
            </w:r>
          </w:p>
        </w:tc>
        <w:tc>
          <w:tcPr>
            <w:tcW w:w="2340" w:type="dxa"/>
            <w:gridSpan w:val="2"/>
            <w:tcBorders>
              <w:top w:val="double" w:sz="6" w:space="0" w:color="000000"/>
            </w:tcBorders>
          </w:tcPr>
          <w:p>
            <w:pPr>
              <w:pStyle w:val="TableParagraph"/>
              <w:spacing w:before="82"/>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2"/>
              <w:ind w:right="9"/>
              <w:jc w:val="right"/>
              <w:rPr>
                <w:sz w:val="24"/>
              </w:rPr>
            </w:pPr>
            <w:r>
              <w:rPr>
                <w:spacing w:val="-2"/>
                <w:sz w:val="24"/>
              </w:rPr>
              <w:t>3181.000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-0.337458</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4516.963</w:t>
            </w:r>
          </w:p>
        </w:tc>
      </w:tr>
      <w:tr>
        <w:trPr>
          <w:trHeight w:val="551"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5223.801</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20.24355</w:t>
            </w:r>
          </w:p>
        </w:tc>
      </w:tr>
      <w:tr>
        <w:trPr>
          <w:trHeight w:val="552"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54576188</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20.00921</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-47.60887</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19.61461</w:t>
            </w:r>
          </w:p>
        </w:tc>
      </w:tr>
      <w:tr>
        <w:trPr>
          <w:trHeight w:val="551"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5.495374</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1.374719</w:t>
            </w:r>
          </w:p>
        </w:tc>
      </w:tr>
      <w:tr>
        <w:trPr>
          <w:trHeight w:val="783"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0.008729</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pStyle w:val="BodyText"/>
        <w:rPr>
          <w:b/>
        </w:rPr>
      </w:pPr>
    </w:p>
    <w:p>
      <w:pPr>
        <w:pStyle w:val="BodyText"/>
        <w:spacing w:before="114"/>
        <w:rPr>
          <w:b/>
        </w:rPr>
      </w:pPr>
    </w:p>
    <w:p>
      <w:pPr>
        <w:spacing w:before="0"/>
        <w:ind w:left="400" w:right="0" w:firstLine="0"/>
        <w:jc w:val="both"/>
        <w:rPr>
          <w:b/>
          <w:sz w:val="24"/>
        </w:rPr>
      </w:pPr>
      <w:r>
        <w:rPr>
          <w:b/>
          <w:sz w:val="24"/>
        </w:rPr>
        <w:t>Decision</w:t>
      </w:r>
      <w:r>
        <w:rPr>
          <w:b/>
          <w:spacing w:val="-5"/>
          <w:sz w:val="24"/>
        </w:rPr>
        <w:t> </w:t>
      </w:r>
      <w:r>
        <w:rPr>
          <w:b/>
          <w:spacing w:val="-4"/>
          <w:sz w:val="24"/>
        </w:rPr>
        <w:t>Rule</w:t>
      </w:r>
    </w:p>
    <w:p>
      <w:pPr>
        <w:pStyle w:val="BodyText"/>
        <w:spacing w:before="154"/>
        <w:rPr>
          <w:b/>
        </w:rPr>
      </w:pPr>
    </w:p>
    <w:p>
      <w:pPr>
        <w:pStyle w:val="BodyText"/>
        <w:spacing w:line="480" w:lineRule="auto"/>
        <w:ind w:left="400" w:right="1319"/>
        <w:jc w:val="both"/>
      </w:pPr>
      <w:r>
        <w:rPr/>
        <w:t>Accept null hypothesis (Ho) if the probability value is above 0.05, otherwise reject null </w:t>
      </w:r>
      <w:r>
        <w:rPr>
          <w:spacing w:val="-2"/>
        </w:rPr>
        <w:t>hypothesis.</w:t>
      </w:r>
    </w:p>
    <w:p>
      <w:pPr>
        <w:pStyle w:val="Heading2"/>
        <w:spacing w:before="166"/>
      </w:pPr>
      <w:r>
        <w:rPr/>
        <w:t>Analysis</w:t>
      </w:r>
      <w:r>
        <w:rPr>
          <w:spacing w:val="-2"/>
        </w:rPr>
        <w:t> </w:t>
      </w:r>
      <w:r>
        <w:rPr/>
        <w:t>of</w:t>
      </w:r>
      <w:r>
        <w:rPr>
          <w:spacing w:val="-1"/>
        </w:rPr>
        <w:t> </w:t>
      </w:r>
      <w:r>
        <w:rPr/>
        <w:t>the</w:t>
      </w:r>
      <w:r>
        <w:rPr>
          <w:spacing w:val="-2"/>
        </w:rPr>
        <w:t> </w:t>
      </w:r>
      <w:r>
        <w:rPr/>
        <w:t>first</w:t>
      </w:r>
      <w:r>
        <w:rPr>
          <w:spacing w:val="-3"/>
        </w:rPr>
        <w:t> </w:t>
      </w:r>
      <w:r>
        <w:rPr/>
        <w:t>regression</w:t>
      </w:r>
      <w:r>
        <w:rPr>
          <w:spacing w:val="-1"/>
        </w:rPr>
        <w:t> </w:t>
      </w:r>
      <w:r>
        <w:rPr/>
        <w:t>output</w:t>
      </w:r>
      <w:r>
        <w:rPr>
          <w:spacing w:val="-3"/>
        </w:rPr>
        <w:t> </w:t>
      </w:r>
      <w:r>
        <w:rPr/>
        <w:t>representing</w:t>
      </w:r>
      <w:r>
        <w:rPr>
          <w:spacing w:val="-1"/>
        </w:rPr>
        <w:t> </w:t>
      </w:r>
      <w:r>
        <w:rPr/>
        <w:t>the</w:t>
      </w:r>
      <w:r>
        <w:rPr>
          <w:spacing w:val="-3"/>
        </w:rPr>
        <w:t> </w:t>
      </w:r>
      <w:r>
        <w:rPr/>
        <w:t>first</w:t>
      </w:r>
      <w:r>
        <w:rPr>
          <w:spacing w:val="-2"/>
        </w:rPr>
        <w:t> model</w:t>
      </w:r>
    </w:p>
    <w:p>
      <w:pPr>
        <w:pStyle w:val="BodyText"/>
        <w:spacing w:before="156"/>
        <w:rPr>
          <w:b/>
        </w:rPr>
      </w:pPr>
    </w:p>
    <w:p>
      <w:pPr>
        <w:pStyle w:val="BodyText"/>
        <w:spacing w:line="480" w:lineRule="auto"/>
        <w:ind w:left="400" w:right="1317"/>
        <w:jc w:val="both"/>
      </w:pPr>
      <w:r>
        <w:rPr/>
        <w:t>Strength and opportunity have a positive coefficient indicating increase in price as a result increase in strength and opportunity. Numerically, a unit increase in strength will lead 40.06387 increase in price on average value. More so a unit increase opportunity will lead to 118.5810 increase in price.</w:t>
      </w:r>
    </w:p>
    <w:p>
      <w:pPr>
        <w:spacing w:after="0" w:line="480" w:lineRule="auto"/>
        <w:jc w:val="both"/>
        <w:sectPr>
          <w:pgSz w:w="12240" w:h="15840"/>
          <w:pgMar w:header="0" w:footer="1017" w:top="1420" w:bottom="1200" w:left="1040" w:right="120"/>
        </w:sectPr>
      </w:pPr>
    </w:p>
    <w:p>
      <w:pPr>
        <w:pStyle w:val="BodyText"/>
        <w:spacing w:line="480" w:lineRule="auto" w:before="72"/>
        <w:ind w:left="400" w:right="1318"/>
        <w:jc w:val="both"/>
      </w:pPr>
      <w:r>
        <w:rPr/>
        <w:t>Also from the result of the probability value which is less than 0.05 in both strength and opportunity implies that strength and opportunity have significant impact on price, it means that strength and opportunity are significant variables to determine price.</w:t>
      </w:r>
    </w:p>
    <w:p>
      <w:pPr>
        <w:pStyle w:val="Heading2"/>
        <w:spacing w:before="165"/>
      </w:pPr>
      <w:r>
        <w:rPr/>
        <w:t>Regression</w:t>
      </w:r>
      <w:r>
        <w:rPr>
          <w:spacing w:val="-2"/>
        </w:rPr>
        <w:t> </w:t>
      </w:r>
      <w:r>
        <w:rPr/>
        <w:t>result</w:t>
      </w:r>
      <w:r>
        <w:rPr>
          <w:spacing w:val="-3"/>
        </w:rPr>
        <w:t> </w:t>
      </w:r>
      <w:r>
        <w:rPr/>
        <w:t>of</w:t>
      </w:r>
      <w:r>
        <w:rPr>
          <w:spacing w:val="-1"/>
        </w:rPr>
        <w:t> </w:t>
      </w:r>
      <w:r>
        <w:rPr/>
        <w:t>the</w:t>
      </w:r>
      <w:r>
        <w:rPr>
          <w:spacing w:val="-1"/>
        </w:rPr>
        <w:t> </w:t>
      </w:r>
      <w:r>
        <w:rPr/>
        <w:t>second</w:t>
      </w:r>
      <w:r>
        <w:rPr>
          <w:spacing w:val="-1"/>
        </w:rPr>
        <w:t> </w:t>
      </w:r>
      <w:r>
        <w:rPr>
          <w:spacing w:val="-4"/>
        </w:rPr>
        <w:t>model</w:t>
      </w:r>
    </w:p>
    <w:p>
      <w:pPr>
        <w:pStyle w:val="BodyText"/>
        <w:spacing w:before="44" w:after="1"/>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227"/>
        <w:gridCol w:w="1113"/>
        <w:gridCol w:w="957"/>
      </w:tblGrid>
      <w:tr>
        <w:trPr>
          <w:trHeight w:val="408" w:hRule="atLeast"/>
        </w:trPr>
        <w:tc>
          <w:tcPr>
            <w:tcW w:w="6532" w:type="dxa"/>
            <w:gridSpan w:val="5"/>
          </w:tcPr>
          <w:p>
            <w:pPr>
              <w:pStyle w:val="TableParagraph"/>
              <w:spacing w:line="266" w:lineRule="exact"/>
              <w:rPr>
                <w:sz w:val="24"/>
              </w:rPr>
            </w:pPr>
            <w:r>
              <w:rPr>
                <w:sz w:val="24"/>
              </w:rPr>
              <w:t>Dependent</w:t>
            </w:r>
            <w:r>
              <w:rPr>
                <w:spacing w:val="-4"/>
                <w:sz w:val="24"/>
              </w:rPr>
              <w:t> </w:t>
            </w:r>
            <w:r>
              <w:rPr>
                <w:sz w:val="24"/>
              </w:rPr>
              <w:t>Variable:</w:t>
            </w:r>
            <w:r>
              <w:rPr>
                <w:spacing w:val="-3"/>
                <w:sz w:val="24"/>
              </w:rPr>
              <w:t> </w:t>
            </w:r>
            <w:r>
              <w:rPr>
                <w:spacing w:val="-5"/>
                <w:sz w:val="24"/>
              </w:rPr>
              <w:t>MS</w:t>
            </w:r>
          </w:p>
        </w:tc>
      </w:tr>
      <w:tr>
        <w:trPr>
          <w:trHeight w:val="552" w:hRule="atLeast"/>
        </w:trPr>
        <w:tc>
          <w:tcPr>
            <w:tcW w:w="6532" w:type="dxa"/>
            <w:gridSpan w:val="5"/>
          </w:tcPr>
          <w:p>
            <w:pPr>
              <w:pStyle w:val="TableParagraph"/>
              <w:spacing w:before="133"/>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1" w:hRule="atLeast"/>
        </w:trPr>
        <w:tc>
          <w:tcPr>
            <w:tcW w:w="6532" w:type="dxa"/>
            <w:gridSpan w:val="5"/>
          </w:tcPr>
          <w:p>
            <w:pPr>
              <w:pStyle w:val="TableParagraph"/>
              <w:spacing w:before="133"/>
              <w:rPr>
                <w:sz w:val="24"/>
              </w:rPr>
            </w:pPr>
            <w:r>
              <w:rPr>
                <w:sz w:val="24"/>
              </w:rPr>
              <w:t>Date:</w:t>
            </w:r>
            <w:r>
              <w:rPr>
                <w:spacing w:val="-1"/>
                <w:sz w:val="24"/>
              </w:rPr>
              <w:t> </w:t>
            </w:r>
            <w:r>
              <w:rPr>
                <w:sz w:val="24"/>
              </w:rPr>
              <w:t>08/07/18</w:t>
            </w:r>
            <w:r>
              <w:rPr>
                <w:spacing w:val="28"/>
                <w:sz w:val="24"/>
              </w:rPr>
              <w:t>  </w:t>
            </w:r>
            <w:r>
              <w:rPr>
                <w:sz w:val="24"/>
              </w:rPr>
              <w:t>Time: </w:t>
            </w:r>
            <w:r>
              <w:rPr>
                <w:spacing w:val="-2"/>
                <w:sz w:val="24"/>
              </w:rPr>
              <w:t>07:52</w:t>
            </w:r>
          </w:p>
        </w:tc>
      </w:tr>
      <w:tr>
        <w:trPr>
          <w:trHeight w:val="552" w:hRule="atLeast"/>
        </w:trPr>
        <w:tc>
          <w:tcPr>
            <w:tcW w:w="1969" w:type="dxa"/>
          </w:tcPr>
          <w:p>
            <w:pPr>
              <w:pStyle w:val="TableParagraph"/>
              <w:spacing w:before="133"/>
              <w:rPr>
                <w:sz w:val="24"/>
              </w:rPr>
            </w:pPr>
            <w:r>
              <w:rPr>
                <w:sz w:val="24"/>
              </w:rPr>
              <w:t>Sample:</w:t>
            </w:r>
            <w:r>
              <w:rPr>
                <w:spacing w:val="-3"/>
                <w:sz w:val="24"/>
              </w:rPr>
              <w:t> </w:t>
            </w:r>
            <w:r>
              <w:rPr>
                <w:sz w:val="24"/>
              </w:rPr>
              <w:t>1</w:t>
            </w:r>
            <w:r>
              <w:rPr>
                <w:spacing w:val="-1"/>
                <w:sz w:val="24"/>
              </w:rPr>
              <w:t> </w:t>
            </w:r>
            <w:r>
              <w:rPr>
                <w:spacing w:val="-10"/>
                <w:sz w:val="24"/>
              </w:rPr>
              <w:t>5</w:t>
            </w:r>
          </w:p>
        </w:tc>
        <w:tc>
          <w:tcPr>
            <w:tcW w:w="1266" w:type="dxa"/>
          </w:tcPr>
          <w:p>
            <w:pPr>
              <w:pStyle w:val="TableParagraph"/>
              <w:rPr>
                <w:sz w:val="24"/>
              </w:rPr>
            </w:pPr>
          </w:p>
        </w:tc>
        <w:tc>
          <w:tcPr>
            <w:tcW w:w="1227" w:type="dxa"/>
          </w:tcPr>
          <w:p>
            <w:pPr>
              <w:pStyle w:val="TableParagraph"/>
              <w:rPr>
                <w:sz w:val="24"/>
              </w:rPr>
            </w:pPr>
          </w:p>
        </w:tc>
        <w:tc>
          <w:tcPr>
            <w:tcW w:w="1113" w:type="dxa"/>
          </w:tcPr>
          <w:p>
            <w:pPr>
              <w:pStyle w:val="TableParagraph"/>
              <w:rPr>
                <w:sz w:val="24"/>
              </w:rPr>
            </w:pPr>
          </w:p>
        </w:tc>
        <w:tc>
          <w:tcPr>
            <w:tcW w:w="957" w:type="dxa"/>
          </w:tcPr>
          <w:p>
            <w:pPr>
              <w:pStyle w:val="TableParagraph"/>
              <w:rPr>
                <w:sz w:val="24"/>
              </w:rPr>
            </w:pPr>
          </w:p>
        </w:tc>
      </w:tr>
      <w:tr>
        <w:trPr>
          <w:trHeight w:val="780" w:hRule="atLeast"/>
        </w:trPr>
        <w:tc>
          <w:tcPr>
            <w:tcW w:w="6532" w:type="dxa"/>
            <w:gridSpan w:val="5"/>
            <w:tcBorders>
              <w:bottom w:val="double" w:sz="6" w:space="0" w:color="000000"/>
            </w:tcBorders>
          </w:tcPr>
          <w:p>
            <w:pPr>
              <w:pStyle w:val="TableParagraph"/>
              <w:spacing w:before="133"/>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2"/>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2"/>
              <w:ind w:right="128"/>
              <w:jc w:val="right"/>
              <w:rPr>
                <w:sz w:val="24"/>
              </w:rPr>
            </w:pPr>
            <w:r>
              <w:rPr>
                <w:spacing w:val="-2"/>
                <w:sz w:val="24"/>
              </w:rPr>
              <w:t>Coefficient</w:t>
            </w:r>
          </w:p>
        </w:tc>
        <w:tc>
          <w:tcPr>
            <w:tcW w:w="1227" w:type="dxa"/>
            <w:tcBorders>
              <w:top w:val="double" w:sz="6" w:space="0" w:color="000000"/>
              <w:bottom w:val="double" w:sz="6" w:space="0" w:color="000000"/>
            </w:tcBorders>
          </w:tcPr>
          <w:p>
            <w:pPr>
              <w:pStyle w:val="TableParagraph"/>
              <w:spacing w:before="82"/>
              <w:ind w:left="38" w:right="42"/>
              <w:jc w:val="center"/>
              <w:rPr>
                <w:sz w:val="24"/>
              </w:rPr>
            </w:pPr>
            <w:r>
              <w:rPr>
                <w:sz w:val="24"/>
              </w:rPr>
              <w:t>Std. </w:t>
            </w:r>
            <w:r>
              <w:rPr>
                <w:spacing w:val="-2"/>
                <w:sz w:val="24"/>
              </w:rPr>
              <w:t>Error</w:t>
            </w:r>
          </w:p>
        </w:tc>
        <w:tc>
          <w:tcPr>
            <w:tcW w:w="1113" w:type="dxa"/>
            <w:tcBorders>
              <w:top w:val="double" w:sz="6" w:space="0" w:color="000000"/>
              <w:bottom w:val="double" w:sz="6" w:space="0" w:color="000000"/>
            </w:tcBorders>
          </w:tcPr>
          <w:p>
            <w:pPr>
              <w:pStyle w:val="TableParagraph"/>
              <w:spacing w:before="82"/>
              <w:ind w:left="10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2"/>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13829.46</w:t>
            </w:r>
          </w:p>
        </w:tc>
        <w:tc>
          <w:tcPr>
            <w:tcW w:w="1227" w:type="dxa"/>
            <w:tcBorders>
              <w:top w:val="double" w:sz="6" w:space="0" w:color="000000"/>
            </w:tcBorders>
          </w:tcPr>
          <w:p>
            <w:pPr>
              <w:pStyle w:val="TableParagraph"/>
              <w:spacing w:before="82"/>
              <w:ind w:left="42" w:right="4"/>
              <w:jc w:val="center"/>
              <w:rPr>
                <w:sz w:val="24"/>
              </w:rPr>
            </w:pPr>
            <w:r>
              <w:rPr>
                <w:spacing w:val="-2"/>
                <w:sz w:val="24"/>
              </w:rPr>
              <w:t>6786.987</w:t>
            </w:r>
          </w:p>
        </w:tc>
        <w:tc>
          <w:tcPr>
            <w:tcW w:w="1113" w:type="dxa"/>
            <w:tcBorders>
              <w:top w:val="double" w:sz="6" w:space="0" w:color="000000"/>
            </w:tcBorders>
          </w:tcPr>
          <w:p>
            <w:pPr>
              <w:pStyle w:val="TableParagraph"/>
              <w:spacing w:before="82"/>
              <w:ind w:left="107"/>
              <w:jc w:val="center"/>
              <w:rPr>
                <w:sz w:val="24"/>
              </w:rPr>
            </w:pPr>
            <w:r>
              <w:rPr>
                <w:spacing w:val="-2"/>
                <w:sz w:val="24"/>
              </w:rPr>
              <w:t>2.037643</w:t>
            </w:r>
          </w:p>
        </w:tc>
        <w:tc>
          <w:tcPr>
            <w:tcW w:w="957" w:type="dxa"/>
            <w:tcBorders>
              <w:top w:val="double" w:sz="6" w:space="0" w:color="000000"/>
            </w:tcBorders>
          </w:tcPr>
          <w:p>
            <w:pPr>
              <w:pStyle w:val="TableParagraph"/>
              <w:spacing w:before="82"/>
              <w:ind w:right="9"/>
              <w:jc w:val="right"/>
              <w:rPr>
                <w:sz w:val="24"/>
              </w:rPr>
            </w:pPr>
            <w:r>
              <w:rPr>
                <w:spacing w:val="-2"/>
                <w:sz w:val="24"/>
              </w:rPr>
              <w:t>0.1785</w:t>
            </w:r>
          </w:p>
        </w:tc>
      </w:tr>
      <w:tr>
        <w:trPr>
          <w:trHeight w:val="552" w:hRule="atLeast"/>
        </w:trPr>
        <w:tc>
          <w:tcPr>
            <w:tcW w:w="1969" w:type="dxa"/>
          </w:tcPr>
          <w:p>
            <w:pPr>
              <w:pStyle w:val="TableParagraph"/>
              <w:spacing w:before="133"/>
              <w:ind w:left="46" w:right="1"/>
              <w:jc w:val="center"/>
              <w:rPr>
                <w:sz w:val="24"/>
              </w:rPr>
            </w:pPr>
            <w:r>
              <w:rPr>
                <w:spacing w:val="-5"/>
                <w:sz w:val="24"/>
              </w:rPr>
              <w:t>ST</w:t>
            </w:r>
          </w:p>
        </w:tc>
        <w:tc>
          <w:tcPr>
            <w:tcW w:w="1266" w:type="dxa"/>
          </w:tcPr>
          <w:p>
            <w:pPr>
              <w:pStyle w:val="TableParagraph"/>
              <w:spacing w:before="133"/>
              <w:ind w:right="126"/>
              <w:jc w:val="right"/>
              <w:rPr>
                <w:sz w:val="24"/>
              </w:rPr>
            </w:pPr>
            <w:r>
              <w:rPr>
                <w:spacing w:val="-2"/>
                <w:sz w:val="24"/>
              </w:rPr>
              <w:t>4.515267</w:t>
            </w:r>
          </w:p>
        </w:tc>
        <w:tc>
          <w:tcPr>
            <w:tcW w:w="1227" w:type="dxa"/>
          </w:tcPr>
          <w:p>
            <w:pPr>
              <w:pStyle w:val="TableParagraph"/>
              <w:spacing w:before="133"/>
              <w:ind w:left="42" w:right="4"/>
              <w:jc w:val="center"/>
              <w:rPr>
                <w:sz w:val="24"/>
              </w:rPr>
            </w:pPr>
            <w:r>
              <w:rPr>
                <w:spacing w:val="-2"/>
                <w:sz w:val="24"/>
              </w:rPr>
              <w:t>2.519379</w:t>
            </w:r>
          </w:p>
        </w:tc>
        <w:tc>
          <w:tcPr>
            <w:tcW w:w="1113" w:type="dxa"/>
          </w:tcPr>
          <w:p>
            <w:pPr>
              <w:pStyle w:val="TableParagraph"/>
              <w:spacing w:before="133"/>
              <w:ind w:left="107"/>
              <w:jc w:val="center"/>
              <w:rPr>
                <w:sz w:val="24"/>
              </w:rPr>
            </w:pPr>
            <w:r>
              <w:rPr>
                <w:spacing w:val="-2"/>
                <w:sz w:val="24"/>
              </w:rPr>
              <w:t>2.792214</w:t>
            </w:r>
          </w:p>
        </w:tc>
        <w:tc>
          <w:tcPr>
            <w:tcW w:w="957" w:type="dxa"/>
          </w:tcPr>
          <w:p>
            <w:pPr>
              <w:pStyle w:val="TableParagraph"/>
              <w:spacing w:before="133"/>
              <w:ind w:right="9"/>
              <w:jc w:val="right"/>
              <w:rPr>
                <w:sz w:val="24"/>
              </w:rPr>
            </w:pPr>
            <w:r>
              <w:rPr>
                <w:spacing w:val="-2"/>
                <w:sz w:val="24"/>
              </w:rPr>
              <w:t>0.0150</w:t>
            </w:r>
          </w:p>
        </w:tc>
      </w:tr>
      <w:tr>
        <w:trPr>
          <w:trHeight w:val="780"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OP</w:t>
            </w:r>
          </w:p>
        </w:tc>
        <w:tc>
          <w:tcPr>
            <w:tcW w:w="1266" w:type="dxa"/>
            <w:tcBorders>
              <w:bottom w:val="double" w:sz="6" w:space="0" w:color="000000"/>
            </w:tcBorders>
          </w:tcPr>
          <w:p>
            <w:pPr>
              <w:pStyle w:val="TableParagraph"/>
              <w:spacing w:before="133"/>
              <w:ind w:right="126"/>
              <w:jc w:val="right"/>
              <w:rPr>
                <w:sz w:val="24"/>
              </w:rPr>
            </w:pPr>
            <w:r>
              <w:rPr>
                <w:spacing w:val="-2"/>
                <w:sz w:val="24"/>
              </w:rPr>
              <w:t>7.299557</w:t>
            </w:r>
          </w:p>
        </w:tc>
        <w:tc>
          <w:tcPr>
            <w:tcW w:w="1227" w:type="dxa"/>
            <w:tcBorders>
              <w:bottom w:val="double" w:sz="6" w:space="0" w:color="000000"/>
            </w:tcBorders>
          </w:tcPr>
          <w:p>
            <w:pPr>
              <w:pStyle w:val="TableParagraph"/>
              <w:spacing w:before="133"/>
              <w:ind w:left="42" w:right="4"/>
              <w:jc w:val="center"/>
              <w:rPr>
                <w:sz w:val="24"/>
              </w:rPr>
            </w:pPr>
            <w:r>
              <w:rPr>
                <w:spacing w:val="-2"/>
                <w:sz w:val="24"/>
              </w:rPr>
              <w:t>3.822536</w:t>
            </w:r>
          </w:p>
        </w:tc>
        <w:tc>
          <w:tcPr>
            <w:tcW w:w="1113" w:type="dxa"/>
            <w:tcBorders>
              <w:bottom w:val="double" w:sz="6" w:space="0" w:color="000000"/>
            </w:tcBorders>
          </w:tcPr>
          <w:p>
            <w:pPr>
              <w:pStyle w:val="TableParagraph"/>
              <w:spacing w:before="133"/>
              <w:ind w:left="107"/>
              <w:jc w:val="center"/>
              <w:rPr>
                <w:sz w:val="24"/>
              </w:rPr>
            </w:pPr>
            <w:r>
              <w:rPr>
                <w:spacing w:val="-2"/>
                <w:sz w:val="24"/>
              </w:rPr>
              <w:t>5.909611</w:t>
            </w:r>
          </w:p>
        </w:tc>
        <w:tc>
          <w:tcPr>
            <w:tcW w:w="957" w:type="dxa"/>
            <w:tcBorders>
              <w:bottom w:val="double" w:sz="6" w:space="0" w:color="000000"/>
            </w:tcBorders>
          </w:tcPr>
          <w:p>
            <w:pPr>
              <w:pStyle w:val="TableParagraph"/>
              <w:spacing w:before="133"/>
              <w:ind w:right="9"/>
              <w:jc w:val="right"/>
              <w:rPr>
                <w:sz w:val="24"/>
              </w:rPr>
            </w:pPr>
            <w:r>
              <w:rPr>
                <w:spacing w:val="-2"/>
                <w:sz w:val="24"/>
              </w:rPr>
              <w:t>0.0364</w:t>
            </w:r>
          </w:p>
        </w:tc>
      </w:tr>
      <w:tr>
        <w:trPr>
          <w:trHeight w:val="503" w:hRule="atLeast"/>
        </w:trPr>
        <w:tc>
          <w:tcPr>
            <w:tcW w:w="1969" w:type="dxa"/>
            <w:tcBorders>
              <w:top w:val="double" w:sz="6" w:space="0" w:color="000000"/>
            </w:tcBorders>
          </w:tcPr>
          <w:p>
            <w:pPr>
              <w:pStyle w:val="TableParagraph"/>
              <w:spacing w:before="84"/>
              <w:rPr>
                <w:sz w:val="24"/>
              </w:rPr>
            </w:pPr>
            <w:r>
              <w:rPr>
                <w:spacing w:val="-2"/>
                <w:sz w:val="24"/>
              </w:rPr>
              <w:t>R-squared</w:t>
            </w:r>
          </w:p>
        </w:tc>
        <w:tc>
          <w:tcPr>
            <w:tcW w:w="1266" w:type="dxa"/>
            <w:tcBorders>
              <w:top w:val="double" w:sz="6" w:space="0" w:color="000000"/>
            </w:tcBorders>
          </w:tcPr>
          <w:p>
            <w:pPr>
              <w:pStyle w:val="TableParagraph"/>
              <w:spacing w:before="84"/>
              <w:ind w:right="126"/>
              <w:jc w:val="right"/>
              <w:rPr>
                <w:sz w:val="24"/>
              </w:rPr>
            </w:pPr>
            <w:r>
              <w:rPr>
                <w:spacing w:val="-2"/>
                <w:sz w:val="24"/>
              </w:rPr>
              <w:t>0.649713</w:t>
            </w:r>
          </w:p>
        </w:tc>
        <w:tc>
          <w:tcPr>
            <w:tcW w:w="2340" w:type="dxa"/>
            <w:gridSpan w:val="2"/>
            <w:tcBorders>
              <w:top w:val="double" w:sz="6" w:space="0" w:color="000000"/>
            </w:tcBorders>
          </w:tcPr>
          <w:p>
            <w:pPr>
              <w:pStyle w:val="TableParagraph"/>
              <w:spacing w:before="84"/>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4"/>
              <w:ind w:right="9"/>
              <w:jc w:val="right"/>
              <w:rPr>
                <w:sz w:val="24"/>
              </w:rPr>
            </w:pPr>
            <w:r>
              <w:rPr>
                <w:spacing w:val="-2"/>
                <w:sz w:val="24"/>
              </w:rPr>
              <w:t>1102.000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0.299427</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93.56014</w:t>
            </w:r>
          </w:p>
        </w:tc>
      </w:tr>
      <w:tr>
        <w:trPr>
          <w:trHeight w:val="552"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78.31008</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11.84294</w:t>
            </w:r>
          </w:p>
        </w:tc>
      </w:tr>
      <w:tr>
        <w:trPr>
          <w:trHeight w:val="551"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12264.94</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11.60860</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-26.60735</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11.21400</w:t>
            </w:r>
          </w:p>
        </w:tc>
      </w:tr>
      <w:tr>
        <w:trPr>
          <w:trHeight w:val="552"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1.854804</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2.057272</w:t>
            </w:r>
          </w:p>
        </w:tc>
      </w:tr>
      <w:tr>
        <w:trPr>
          <w:trHeight w:val="780"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0.350287</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spacing w:after="0"/>
        <w:rPr>
          <w:sz w:val="24"/>
        </w:rPr>
        <w:sectPr>
          <w:pgSz w:w="12240" w:h="15840"/>
          <w:pgMar w:header="0" w:footer="1017" w:top="1360" w:bottom="1200" w:left="1040" w:right="120"/>
        </w:sectPr>
      </w:pPr>
    </w:p>
    <w:p>
      <w:pPr>
        <w:spacing w:before="76"/>
        <w:ind w:left="400" w:right="0" w:firstLine="0"/>
        <w:jc w:val="left"/>
        <w:rPr>
          <w:b/>
          <w:sz w:val="24"/>
        </w:rPr>
      </w:pPr>
      <w:r>
        <w:rPr>
          <w:b/>
          <w:sz w:val="24"/>
        </w:rPr>
        <w:t>Decision</w:t>
      </w:r>
      <w:r>
        <w:rPr>
          <w:b/>
          <w:spacing w:val="-5"/>
          <w:sz w:val="24"/>
        </w:rPr>
        <w:t> </w:t>
      </w:r>
      <w:r>
        <w:rPr>
          <w:b/>
          <w:spacing w:val="-4"/>
          <w:sz w:val="24"/>
        </w:rPr>
        <w:t>Rule</w:t>
      </w:r>
    </w:p>
    <w:p>
      <w:pPr>
        <w:pStyle w:val="BodyText"/>
        <w:spacing w:before="156"/>
        <w:rPr>
          <w:b/>
        </w:rPr>
      </w:pPr>
    </w:p>
    <w:p>
      <w:pPr>
        <w:pStyle w:val="BodyText"/>
        <w:spacing w:line="480" w:lineRule="auto"/>
        <w:ind w:left="400" w:right="1319"/>
        <w:jc w:val="both"/>
      </w:pPr>
      <w:r>
        <w:rPr/>
        <w:t>Accept null hypothesis (Ho) if the probability value is above 0.05, if otherwise reject null </w:t>
      </w:r>
      <w:r>
        <w:rPr>
          <w:spacing w:val="-2"/>
        </w:rPr>
        <w:t>hypothesis.</w:t>
      </w:r>
    </w:p>
    <w:p>
      <w:pPr>
        <w:pStyle w:val="Heading2"/>
        <w:spacing w:before="164"/>
        <w:jc w:val="left"/>
      </w:pPr>
      <w:r>
        <w:rPr/>
        <w:t>Analysis</w:t>
      </w:r>
      <w:r>
        <w:rPr>
          <w:spacing w:val="-5"/>
        </w:rPr>
        <w:t> </w:t>
      </w:r>
      <w:r>
        <w:rPr/>
        <w:t>of</w:t>
      </w:r>
      <w:r>
        <w:rPr>
          <w:spacing w:val="-1"/>
        </w:rPr>
        <w:t> </w:t>
      </w:r>
      <w:r>
        <w:rPr/>
        <w:t>the</w:t>
      </w:r>
      <w:r>
        <w:rPr>
          <w:spacing w:val="-3"/>
        </w:rPr>
        <w:t> </w:t>
      </w:r>
      <w:r>
        <w:rPr/>
        <w:t>second</w:t>
      </w:r>
      <w:r>
        <w:rPr>
          <w:spacing w:val="-2"/>
        </w:rPr>
        <w:t> </w:t>
      </w:r>
      <w:r>
        <w:rPr/>
        <w:t>regression</w:t>
      </w:r>
      <w:r>
        <w:rPr>
          <w:spacing w:val="-2"/>
        </w:rPr>
        <w:t> </w:t>
      </w:r>
      <w:r>
        <w:rPr/>
        <w:t>output</w:t>
      </w:r>
      <w:r>
        <w:rPr>
          <w:spacing w:val="-3"/>
        </w:rPr>
        <w:t> </w:t>
      </w:r>
      <w:r>
        <w:rPr/>
        <w:t>representing</w:t>
      </w:r>
      <w:r>
        <w:rPr>
          <w:spacing w:val="-2"/>
        </w:rPr>
        <w:t> </w:t>
      </w:r>
      <w:r>
        <w:rPr/>
        <w:t>the</w:t>
      </w:r>
      <w:r>
        <w:rPr>
          <w:spacing w:val="-3"/>
        </w:rPr>
        <w:t> </w:t>
      </w:r>
      <w:r>
        <w:rPr/>
        <w:t>second</w:t>
      </w:r>
      <w:r>
        <w:rPr>
          <w:spacing w:val="-2"/>
        </w:rPr>
        <w:t> model</w:t>
      </w:r>
    </w:p>
    <w:p>
      <w:pPr>
        <w:pStyle w:val="BodyText"/>
        <w:spacing w:before="156"/>
        <w:rPr>
          <w:b/>
        </w:rPr>
      </w:pPr>
    </w:p>
    <w:p>
      <w:pPr>
        <w:pStyle w:val="BodyText"/>
        <w:spacing w:line="480" w:lineRule="auto"/>
        <w:ind w:left="400" w:right="1317"/>
        <w:jc w:val="both"/>
      </w:pPr>
      <w:r>
        <w:rPr/>
        <w:t>From the regression result above, strength and opportunity equally have positive coefficient indicating increase in market share as a result increase in strength and opportunity. Numerically, a unit increase in strength will lead 4.515267 increase in price in average. Also a unit increase opportunity will lead to 7.299557 increase in price.</w:t>
      </w:r>
    </w:p>
    <w:p>
      <w:pPr>
        <w:pStyle w:val="BodyText"/>
        <w:spacing w:line="480" w:lineRule="auto" w:before="161"/>
        <w:ind w:left="400" w:right="1318"/>
        <w:jc w:val="both"/>
      </w:pPr>
      <w:r>
        <w:rPr/>
        <w:t>Also from the result of the probability value which is less than 0.05 in both strength and opportunity implies that strength and opportunity have significant impact on market share, it means that strength and opportunity are significant variables to determine market share.</w:t>
      </w:r>
    </w:p>
    <w:p>
      <w:pPr>
        <w:pStyle w:val="BodyText"/>
        <w:spacing w:before="117"/>
      </w:pPr>
    </w:p>
    <w:p>
      <w:pPr>
        <w:pStyle w:val="Heading2"/>
        <w:spacing w:before="1"/>
        <w:jc w:val="left"/>
      </w:pPr>
      <w:r>
        <w:rPr/>
        <w:t>Regression</w:t>
      </w:r>
      <w:r>
        <w:rPr>
          <w:spacing w:val="-2"/>
        </w:rPr>
        <w:t> </w:t>
      </w:r>
      <w:r>
        <w:rPr/>
        <w:t>result</w:t>
      </w:r>
      <w:r>
        <w:rPr>
          <w:spacing w:val="-3"/>
        </w:rPr>
        <w:t> </w:t>
      </w:r>
      <w:r>
        <w:rPr/>
        <w:t>of</w:t>
      </w:r>
      <w:r>
        <w:rPr>
          <w:spacing w:val="-1"/>
        </w:rPr>
        <w:t> </w:t>
      </w:r>
      <w:r>
        <w:rPr/>
        <w:t>the</w:t>
      </w:r>
      <w:r>
        <w:rPr>
          <w:spacing w:val="-1"/>
        </w:rPr>
        <w:t> </w:t>
      </w:r>
      <w:r>
        <w:rPr/>
        <w:t>third</w:t>
      </w:r>
      <w:r>
        <w:rPr>
          <w:spacing w:val="-1"/>
        </w:rPr>
        <w:t> </w:t>
      </w:r>
      <w:r>
        <w:rPr>
          <w:spacing w:val="-4"/>
        </w:rPr>
        <w:t>model</w:t>
      </w:r>
    </w:p>
    <w:p>
      <w:pPr>
        <w:pStyle w:val="BodyText"/>
        <w:spacing w:before="51"/>
        <w:rPr>
          <w:b/>
          <w:sz w:val="20"/>
        </w:rPr>
      </w:pPr>
    </w:p>
    <w:tbl>
      <w:tblPr>
        <w:tblW w:w="0" w:type="auto"/>
        <w:jc w:val="left"/>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tblGrid>
      <w:tr>
        <w:trPr>
          <w:trHeight w:val="408" w:hRule="atLeast"/>
        </w:trPr>
        <w:tc>
          <w:tcPr>
            <w:tcW w:w="2893" w:type="dxa"/>
          </w:tcPr>
          <w:p>
            <w:pPr>
              <w:pStyle w:val="TableParagraph"/>
              <w:spacing w:line="266" w:lineRule="exact"/>
              <w:ind w:left="50"/>
              <w:rPr>
                <w:sz w:val="24"/>
              </w:rPr>
            </w:pPr>
            <w:r>
              <w:rPr>
                <w:sz w:val="24"/>
              </w:rPr>
              <w:t>Dependent</w:t>
            </w:r>
            <w:r>
              <w:rPr>
                <w:spacing w:val="-4"/>
                <w:sz w:val="24"/>
              </w:rPr>
              <w:t> </w:t>
            </w:r>
            <w:r>
              <w:rPr>
                <w:sz w:val="24"/>
              </w:rPr>
              <w:t>Variable:</w:t>
            </w:r>
            <w:r>
              <w:rPr>
                <w:spacing w:val="-3"/>
                <w:sz w:val="24"/>
              </w:rPr>
              <w:t> </w:t>
            </w:r>
            <w:r>
              <w:rPr>
                <w:spacing w:val="-5"/>
                <w:sz w:val="24"/>
              </w:rPr>
              <w:t>QS</w:t>
            </w:r>
          </w:p>
        </w:tc>
      </w:tr>
      <w:tr>
        <w:trPr>
          <w:trHeight w:val="552" w:hRule="atLeast"/>
        </w:trPr>
        <w:tc>
          <w:tcPr>
            <w:tcW w:w="2893" w:type="dxa"/>
          </w:tcPr>
          <w:p>
            <w:pPr>
              <w:pStyle w:val="TableParagraph"/>
              <w:spacing w:before="133"/>
              <w:ind w:left="50"/>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2" w:hRule="atLeast"/>
        </w:trPr>
        <w:tc>
          <w:tcPr>
            <w:tcW w:w="2893" w:type="dxa"/>
          </w:tcPr>
          <w:p>
            <w:pPr>
              <w:pStyle w:val="TableParagraph"/>
              <w:spacing w:before="133"/>
              <w:ind w:left="50"/>
              <w:rPr>
                <w:sz w:val="24"/>
              </w:rPr>
            </w:pPr>
            <w:r>
              <w:rPr>
                <w:sz w:val="24"/>
              </w:rPr>
              <w:t>Date:</w:t>
            </w:r>
            <w:r>
              <w:rPr>
                <w:spacing w:val="-1"/>
                <w:sz w:val="24"/>
              </w:rPr>
              <w:t> </w:t>
            </w:r>
            <w:r>
              <w:rPr>
                <w:sz w:val="24"/>
              </w:rPr>
              <w:t>08/07/18</w:t>
            </w:r>
            <w:r>
              <w:rPr>
                <w:spacing w:val="28"/>
                <w:sz w:val="24"/>
              </w:rPr>
              <w:t>  </w:t>
            </w:r>
            <w:r>
              <w:rPr>
                <w:sz w:val="24"/>
              </w:rPr>
              <w:t>Time: </w:t>
            </w:r>
            <w:r>
              <w:rPr>
                <w:spacing w:val="-2"/>
                <w:sz w:val="24"/>
              </w:rPr>
              <w:t>07:54</w:t>
            </w:r>
          </w:p>
        </w:tc>
      </w:tr>
      <w:tr>
        <w:trPr>
          <w:trHeight w:val="408" w:hRule="atLeast"/>
        </w:trPr>
        <w:tc>
          <w:tcPr>
            <w:tcW w:w="2893" w:type="dxa"/>
          </w:tcPr>
          <w:p>
            <w:pPr>
              <w:pStyle w:val="TableParagraph"/>
              <w:spacing w:line="256" w:lineRule="exact" w:before="133"/>
              <w:ind w:left="50"/>
              <w:rPr>
                <w:sz w:val="24"/>
              </w:rPr>
            </w:pPr>
            <w:r>
              <w:rPr>
                <w:sz w:val="24"/>
              </w:rPr>
              <w:t>Sample:</w:t>
            </w:r>
            <w:r>
              <w:rPr>
                <w:spacing w:val="-3"/>
                <w:sz w:val="24"/>
              </w:rPr>
              <w:t> </w:t>
            </w:r>
            <w:r>
              <w:rPr>
                <w:sz w:val="24"/>
              </w:rPr>
              <w:t>1</w:t>
            </w:r>
            <w:r>
              <w:rPr>
                <w:spacing w:val="-1"/>
                <w:sz w:val="24"/>
              </w:rPr>
              <w:t> </w:t>
            </w:r>
            <w:r>
              <w:rPr>
                <w:spacing w:val="-10"/>
                <w:sz w:val="24"/>
              </w:rPr>
              <w:t>5</w:t>
            </w:r>
          </w:p>
        </w:tc>
      </w:tr>
    </w:tbl>
    <w:p>
      <w:pPr>
        <w:spacing w:after="0" w:line="256" w:lineRule="exact"/>
        <w:rPr>
          <w:sz w:val="24"/>
        </w:rPr>
        <w:sectPr>
          <w:pgSz w:w="12240" w:h="15840"/>
          <w:pgMar w:header="0" w:footer="1017" w:top="1360" w:bottom="1200" w:left="1040" w:right="120"/>
        </w:sect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197"/>
        <w:gridCol w:w="1143"/>
        <w:gridCol w:w="957"/>
      </w:tblGrid>
      <w:tr>
        <w:trPr>
          <w:trHeight w:val="637" w:hRule="atLeast"/>
        </w:trPr>
        <w:tc>
          <w:tcPr>
            <w:tcW w:w="6532" w:type="dxa"/>
            <w:gridSpan w:val="5"/>
            <w:tcBorders>
              <w:bottom w:val="double" w:sz="6" w:space="0" w:color="000000"/>
            </w:tcBorders>
          </w:tcPr>
          <w:p>
            <w:pPr>
              <w:pStyle w:val="TableParagraph"/>
              <w:spacing w:line="266" w:lineRule="exact"/>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4"/>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4"/>
              <w:ind w:right="128"/>
              <w:jc w:val="right"/>
              <w:rPr>
                <w:sz w:val="24"/>
              </w:rPr>
            </w:pPr>
            <w:r>
              <w:rPr>
                <w:spacing w:val="-2"/>
                <w:sz w:val="24"/>
              </w:rPr>
              <w:t>Coefficient</w:t>
            </w:r>
          </w:p>
        </w:tc>
        <w:tc>
          <w:tcPr>
            <w:tcW w:w="1197" w:type="dxa"/>
            <w:tcBorders>
              <w:top w:val="double" w:sz="6" w:space="0" w:color="000000"/>
              <w:bottom w:val="double" w:sz="6" w:space="0" w:color="000000"/>
            </w:tcBorders>
          </w:tcPr>
          <w:p>
            <w:pPr>
              <w:pStyle w:val="TableParagraph"/>
              <w:spacing w:before="84"/>
              <w:ind w:left="68" w:right="45"/>
              <w:jc w:val="center"/>
              <w:rPr>
                <w:sz w:val="24"/>
              </w:rPr>
            </w:pPr>
            <w:r>
              <w:rPr>
                <w:sz w:val="24"/>
              </w:rPr>
              <w:t>Std. </w:t>
            </w:r>
            <w:r>
              <w:rPr>
                <w:spacing w:val="-2"/>
                <w:sz w:val="24"/>
              </w:rPr>
              <w:t>Error</w:t>
            </w:r>
          </w:p>
        </w:tc>
        <w:tc>
          <w:tcPr>
            <w:tcW w:w="1143" w:type="dxa"/>
            <w:tcBorders>
              <w:top w:val="double" w:sz="6" w:space="0" w:color="000000"/>
              <w:bottom w:val="double" w:sz="6" w:space="0" w:color="000000"/>
            </w:tcBorders>
          </w:tcPr>
          <w:p>
            <w:pPr>
              <w:pStyle w:val="TableParagraph"/>
              <w:spacing w:before="84"/>
              <w:ind w:left="13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4"/>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-753.4118</w:t>
            </w:r>
          </w:p>
        </w:tc>
        <w:tc>
          <w:tcPr>
            <w:tcW w:w="1197" w:type="dxa"/>
            <w:tcBorders>
              <w:top w:val="double" w:sz="6" w:space="0" w:color="000000"/>
            </w:tcBorders>
          </w:tcPr>
          <w:p>
            <w:pPr>
              <w:pStyle w:val="TableParagraph"/>
              <w:spacing w:before="82"/>
              <w:ind w:left="68"/>
              <w:jc w:val="center"/>
              <w:rPr>
                <w:sz w:val="24"/>
              </w:rPr>
            </w:pPr>
            <w:r>
              <w:rPr>
                <w:spacing w:val="-2"/>
                <w:sz w:val="24"/>
              </w:rPr>
              <w:t>1873.204</w:t>
            </w:r>
          </w:p>
        </w:tc>
        <w:tc>
          <w:tcPr>
            <w:tcW w:w="1143" w:type="dxa"/>
            <w:tcBorders>
              <w:top w:val="double" w:sz="6" w:space="0" w:color="000000"/>
            </w:tcBorders>
          </w:tcPr>
          <w:p>
            <w:pPr>
              <w:pStyle w:val="TableParagraph"/>
              <w:spacing w:before="82"/>
              <w:ind w:left="58"/>
              <w:jc w:val="center"/>
              <w:rPr>
                <w:sz w:val="24"/>
              </w:rPr>
            </w:pPr>
            <w:r>
              <w:rPr>
                <w:spacing w:val="-2"/>
                <w:sz w:val="24"/>
              </w:rPr>
              <w:t>-0.402205</w:t>
            </w:r>
          </w:p>
        </w:tc>
        <w:tc>
          <w:tcPr>
            <w:tcW w:w="957" w:type="dxa"/>
            <w:tcBorders>
              <w:top w:val="double" w:sz="6" w:space="0" w:color="000000"/>
            </w:tcBorders>
          </w:tcPr>
          <w:p>
            <w:pPr>
              <w:pStyle w:val="TableParagraph"/>
              <w:spacing w:before="82"/>
              <w:ind w:right="9"/>
              <w:jc w:val="right"/>
              <w:rPr>
                <w:sz w:val="24"/>
              </w:rPr>
            </w:pPr>
            <w:r>
              <w:rPr>
                <w:spacing w:val="-2"/>
                <w:sz w:val="24"/>
              </w:rPr>
              <w:t>0.7264</w:t>
            </w:r>
          </w:p>
        </w:tc>
      </w:tr>
      <w:tr>
        <w:trPr>
          <w:trHeight w:val="551" w:hRule="atLeast"/>
        </w:trPr>
        <w:tc>
          <w:tcPr>
            <w:tcW w:w="1969" w:type="dxa"/>
          </w:tcPr>
          <w:p>
            <w:pPr>
              <w:pStyle w:val="TableParagraph"/>
              <w:spacing w:before="133"/>
              <w:ind w:left="46" w:right="1"/>
              <w:jc w:val="center"/>
              <w:rPr>
                <w:sz w:val="24"/>
              </w:rPr>
            </w:pPr>
            <w:r>
              <w:rPr>
                <w:spacing w:val="-5"/>
                <w:sz w:val="24"/>
              </w:rPr>
              <w:t>ST</w:t>
            </w:r>
          </w:p>
        </w:tc>
        <w:tc>
          <w:tcPr>
            <w:tcW w:w="1266" w:type="dxa"/>
          </w:tcPr>
          <w:p>
            <w:pPr>
              <w:pStyle w:val="TableParagraph"/>
              <w:spacing w:before="133"/>
              <w:ind w:right="126"/>
              <w:jc w:val="right"/>
              <w:rPr>
                <w:sz w:val="24"/>
              </w:rPr>
            </w:pPr>
            <w:r>
              <w:rPr>
                <w:spacing w:val="-2"/>
                <w:sz w:val="24"/>
              </w:rPr>
              <w:t>0.388912</w:t>
            </w:r>
          </w:p>
        </w:tc>
        <w:tc>
          <w:tcPr>
            <w:tcW w:w="1197" w:type="dxa"/>
          </w:tcPr>
          <w:p>
            <w:pPr>
              <w:pStyle w:val="TableParagraph"/>
              <w:spacing w:before="133"/>
              <w:ind w:left="68"/>
              <w:jc w:val="center"/>
              <w:rPr>
                <w:sz w:val="24"/>
              </w:rPr>
            </w:pPr>
            <w:r>
              <w:rPr>
                <w:spacing w:val="-2"/>
                <w:sz w:val="24"/>
              </w:rPr>
              <w:t>0.695347</w:t>
            </w:r>
          </w:p>
        </w:tc>
        <w:tc>
          <w:tcPr>
            <w:tcW w:w="1143" w:type="dxa"/>
          </w:tcPr>
          <w:p>
            <w:pPr>
              <w:pStyle w:val="TableParagraph"/>
              <w:spacing w:before="133"/>
              <w:ind w:left="137"/>
              <w:jc w:val="center"/>
              <w:rPr>
                <w:sz w:val="24"/>
              </w:rPr>
            </w:pPr>
            <w:r>
              <w:rPr>
                <w:spacing w:val="-2"/>
                <w:sz w:val="24"/>
              </w:rPr>
              <w:t>0.559307</w:t>
            </w:r>
          </w:p>
        </w:tc>
        <w:tc>
          <w:tcPr>
            <w:tcW w:w="957" w:type="dxa"/>
          </w:tcPr>
          <w:p>
            <w:pPr>
              <w:pStyle w:val="TableParagraph"/>
              <w:spacing w:before="133"/>
              <w:ind w:right="9"/>
              <w:jc w:val="right"/>
              <w:rPr>
                <w:sz w:val="24"/>
              </w:rPr>
            </w:pPr>
            <w:r>
              <w:rPr>
                <w:spacing w:val="-2"/>
                <w:sz w:val="24"/>
              </w:rPr>
              <w:t>0.0322</w:t>
            </w:r>
          </w:p>
        </w:tc>
      </w:tr>
      <w:tr>
        <w:trPr>
          <w:trHeight w:val="783"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OP</w:t>
            </w:r>
          </w:p>
        </w:tc>
        <w:tc>
          <w:tcPr>
            <w:tcW w:w="1266" w:type="dxa"/>
            <w:tcBorders>
              <w:bottom w:val="double" w:sz="6" w:space="0" w:color="000000"/>
            </w:tcBorders>
          </w:tcPr>
          <w:p>
            <w:pPr>
              <w:pStyle w:val="TableParagraph"/>
              <w:spacing w:before="133"/>
              <w:ind w:right="126"/>
              <w:jc w:val="right"/>
              <w:rPr>
                <w:sz w:val="24"/>
              </w:rPr>
            </w:pPr>
            <w:r>
              <w:rPr>
                <w:spacing w:val="-2"/>
                <w:sz w:val="24"/>
              </w:rPr>
              <w:t>0.617941</w:t>
            </w:r>
          </w:p>
        </w:tc>
        <w:tc>
          <w:tcPr>
            <w:tcW w:w="1197" w:type="dxa"/>
            <w:tcBorders>
              <w:bottom w:val="double" w:sz="6" w:space="0" w:color="000000"/>
            </w:tcBorders>
          </w:tcPr>
          <w:p>
            <w:pPr>
              <w:pStyle w:val="TableParagraph"/>
              <w:spacing w:before="133"/>
              <w:ind w:left="68"/>
              <w:jc w:val="center"/>
              <w:rPr>
                <w:sz w:val="24"/>
              </w:rPr>
            </w:pPr>
            <w:r>
              <w:rPr>
                <w:spacing w:val="-2"/>
                <w:sz w:val="24"/>
              </w:rPr>
              <w:t>1.055018</w:t>
            </w:r>
          </w:p>
        </w:tc>
        <w:tc>
          <w:tcPr>
            <w:tcW w:w="1143" w:type="dxa"/>
            <w:tcBorders>
              <w:bottom w:val="double" w:sz="6" w:space="0" w:color="000000"/>
            </w:tcBorders>
          </w:tcPr>
          <w:p>
            <w:pPr>
              <w:pStyle w:val="TableParagraph"/>
              <w:spacing w:before="133"/>
              <w:ind w:left="137"/>
              <w:jc w:val="center"/>
              <w:rPr>
                <w:sz w:val="24"/>
              </w:rPr>
            </w:pPr>
            <w:r>
              <w:rPr>
                <w:spacing w:val="-2"/>
                <w:sz w:val="24"/>
              </w:rPr>
              <w:t>0.585717</w:t>
            </w:r>
          </w:p>
        </w:tc>
        <w:tc>
          <w:tcPr>
            <w:tcW w:w="957" w:type="dxa"/>
            <w:tcBorders>
              <w:bottom w:val="double" w:sz="6" w:space="0" w:color="000000"/>
            </w:tcBorders>
          </w:tcPr>
          <w:p>
            <w:pPr>
              <w:pStyle w:val="TableParagraph"/>
              <w:spacing w:before="133"/>
              <w:ind w:right="9"/>
              <w:jc w:val="right"/>
              <w:rPr>
                <w:sz w:val="24"/>
              </w:rPr>
            </w:pPr>
            <w:r>
              <w:rPr>
                <w:spacing w:val="-2"/>
                <w:sz w:val="24"/>
              </w:rPr>
              <w:t>0.0174</w:t>
            </w:r>
          </w:p>
        </w:tc>
      </w:tr>
      <w:tr>
        <w:trPr>
          <w:trHeight w:val="501" w:hRule="atLeast"/>
        </w:trPr>
        <w:tc>
          <w:tcPr>
            <w:tcW w:w="1969" w:type="dxa"/>
            <w:tcBorders>
              <w:top w:val="double" w:sz="6" w:space="0" w:color="000000"/>
            </w:tcBorders>
          </w:tcPr>
          <w:p>
            <w:pPr>
              <w:pStyle w:val="TableParagraph"/>
              <w:spacing w:before="82"/>
              <w:rPr>
                <w:sz w:val="24"/>
              </w:rPr>
            </w:pPr>
            <w:r>
              <w:rPr>
                <w:spacing w:val="-2"/>
                <w:sz w:val="24"/>
              </w:rPr>
              <w:t>R-squared</w:t>
            </w:r>
          </w:p>
        </w:tc>
        <w:tc>
          <w:tcPr>
            <w:tcW w:w="1266" w:type="dxa"/>
            <w:tcBorders>
              <w:top w:val="double" w:sz="6" w:space="0" w:color="000000"/>
            </w:tcBorders>
          </w:tcPr>
          <w:p>
            <w:pPr>
              <w:pStyle w:val="TableParagraph"/>
              <w:spacing w:before="82"/>
              <w:ind w:right="126"/>
              <w:jc w:val="right"/>
              <w:rPr>
                <w:sz w:val="24"/>
              </w:rPr>
            </w:pPr>
            <w:r>
              <w:rPr>
                <w:spacing w:val="-2"/>
                <w:sz w:val="24"/>
              </w:rPr>
              <w:t>0.146923</w:t>
            </w:r>
          </w:p>
        </w:tc>
        <w:tc>
          <w:tcPr>
            <w:tcW w:w="2340" w:type="dxa"/>
            <w:gridSpan w:val="2"/>
            <w:tcBorders>
              <w:top w:val="double" w:sz="6" w:space="0" w:color="000000"/>
            </w:tcBorders>
          </w:tcPr>
          <w:p>
            <w:pPr>
              <w:pStyle w:val="TableParagraph"/>
              <w:spacing w:before="82"/>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2"/>
              <w:ind w:right="9"/>
              <w:jc w:val="right"/>
              <w:rPr>
                <w:sz w:val="24"/>
              </w:rPr>
            </w:pPr>
            <w:r>
              <w:rPr>
                <w:spacing w:val="-2"/>
                <w:sz w:val="24"/>
              </w:rPr>
              <w:t>331.4000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-0.706154</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16.54690</w:t>
            </w:r>
          </w:p>
        </w:tc>
      </w:tr>
      <w:tr>
        <w:trPr>
          <w:trHeight w:val="551"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21.61353</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9.268226</w:t>
            </w:r>
          </w:p>
        </w:tc>
      </w:tr>
      <w:tr>
        <w:trPr>
          <w:trHeight w:val="552"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934.2897</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9.033888</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-20.17056</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8.639288</w:t>
            </w:r>
          </w:p>
        </w:tc>
      </w:tr>
      <w:tr>
        <w:trPr>
          <w:trHeight w:val="551"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0.172227</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2.172361</w:t>
            </w:r>
          </w:p>
        </w:tc>
      </w:tr>
      <w:tr>
        <w:trPr>
          <w:trHeight w:val="783"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0.853077</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pStyle w:val="BodyText"/>
        <w:rPr>
          <w:b/>
        </w:rPr>
      </w:pPr>
    </w:p>
    <w:p>
      <w:pPr>
        <w:pStyle w:val="BodyText"/>
        <w:spacing w:before="114"/>
        <w:rPr>
          <w:b/>
        </w:rPr>
      </w:pPr>
    </w:p>
    <w:p>
      <w:pPr>
        <w:spacing w:before="0"/>
        <w:ind w:left="400" w:right="0" w:firstLine="0"/>
        <w:jc w:val="both"/>
        <w:rPr>
          <w:b/>
          <w:sz w:val="24"/>
        </w:rPr>
      </w:pPr>
      <w:r>
        <w:rPr>
          <w:b/>
          <w:sz w:val="24"/>
        </w:rPr>
        <w:t>Decision</w:t>
      </w:r>
      <w:r>
        <w:rPr>
          <w:b/>
          <w:spacing w:val="-5"/>
          <w:sz w:val="24"/>
        </w:rPr>
        <w:t> </w:t>
      </w:r>
      <w:r>
        <w:rPr>
          <w:b/>
          <w:spacing w:val="-4"/>
          <w:sz w:val="24"/>
        </w:rPr>
        <w:t>Rule</w:t>
      </w:r>
    </w:p>
    <w:p>
      <w:pPr>
        <w:pStyle w:val="BodyText"/>
        <w:spacing w:before="154"/>
        <w:rPr>
          <w:b/>
        </w:rPr>
      </w:pPr>
    </w:p>
    <w:p>
      <w:pPr>
        <w:pStyle w:val="BodyText"/>
        <w:spacing w:line="480" w:lineRule="auto"/>
        <w:ind w:left="400" w:right="1319"/>
        <w:jc w:val="both"/>
      </w:pPr>
      <w:r>
        <w:rPr/>
        <w:t>Accept null hypothesis (Ho) if the probability value is above 0.05, if otherwise reject null </w:t>
      </w:r>
      <w:r>
        <w:rPr>
          <w:spacing w:val="-2"/>
        </w:rPr>
        <w:t>hypothesis.</w:t>
      </w:r>
    </w:p>
    <w:p>
      <w:pPr>
        <w:pStyle w:val="Heading2"/>
        <w:spacing w:before="166"/>
      </w:pPr>
      <w:r>
        <w:rPr/>
        <w:t>Analysis</w:t>
      </w:r>
      <w:r>
        <w:rPr>
          <w:spacing w:val="-5"/>
        </w:rPr>
        <w:t> </w:t>
      </w:r>
      <w:r>
        <w:rPr/>
        <w:t>of</w:t>
      </w:r>
      <w:r>
        <w:rPr>
          <w:spacing w:val="-1"/>
        </w:rPr>
        <w:t> </w:t>
      </w:r>
      <w:r>
        <w:rPr/>
        <w:t>the</w:t>
      </w:r>
      <w:r>
        <w:rPr>
          <w:spacing w:val="-3"/>
        </w:rPr>
        <w:t> </w:t>
      </w:r>
      <w:r>
        <w:rPr/>
        <w:t>third</w:t>
      </w:r>
      <w:r>
        <w:rPr>
          <w:spacing w:val="-2"/>
        </w:rPr>
        <w:t> </w:t>
      </w:r>
      <w:r>
        <w:rPr/>
        <w:t>regression</w:t>
      </w:r>
      <w:r>
        <w:rPr>
          <w:spacing w:val="-2"/>
        </w:rPr>
        <w:t> </w:t>
      </w:r>
      <w:r>
        <w:rPr/>
        <w:t>output</w:t>
      </w:r>
      <w:r>
        <w:rPr>
          <w:spacing w:val="-3"/>
        </w:rPr>
        <w:t> </w:t>
      </w:r>
      <w:r>
        <w:rPr/>
        <w:t>representing</w:t>
      </w:r>
      <w:r>
        <w:rPr>
          <w:spacing w:val="-2"/>
        </w:rPr>
        <w:t> </w:t>
      </w:r>
      <w:r>
        <w:rPr/>
        <w:t>the</w:t>
      </w:r>
      <w:r>
        <w:rPr>
          <w:spacing w:val="-3"/>
        </w:rPr>
        <w:t> </w:t>
      </w:r>
      <w:r>
        <w:rPr/>
        <w:t>third</w:t>
      </w:r>
      <w:r>
        <w:rPr>
          <w:spacing w:val="-2"/>
        </w:rPr>
        <w:t> model</w:t>
      </w:r>
    </w:p>
    <w:p>
      <w:pPr>
        <w:pStyle w:val="BodyText"/>
        <w:spacing w:before="156"/>
        <w:rPr>
          <w:b/>
        </w:rPr>
      </w:pPr>
    </w:p>
    <w:p>
      <w:pPr>
        <w:pStyle w:val="BodyText"/>
        <w:spacing w:line="480" w:lineRule="auto"/>
        <w:ind w:left="400" w:right="1318"/>
        <w:jc w:val="both"/>
      </w:pPr>
      <w:r>
        <w:rPr/>
        <w:t>From the regression result above, strength and opportunity also have positive coefficient indicating increase in market share as a result increase in strength and opportunity. It also shows that, a unit increase in strength will lead 0.388912 increase in price in average. Also a unit increase opportunity will lead to 0.617941 increase in price.</w:t>
      </w:r>
    </w:p>
    <w:p>
      <w:pPr>
        <w:spacing w:after="0" w:line="480" w:lineRule="auto"/>
        <w:jc w:val="both"/>
        <w:sectPr>
          <w:pgSz w:w="12240" w:h="15840"/>
          <w:pgMar w:header="0" w:footer="1017" w:top="1420" w:bottom="1200" w:left="1040" w:right="120"/>
        </w:sectPr>
      </w:pPr>
    </w:p>
    <w:p>
      <w:pPr>
        <w:pStyle w:val="BodyText"/>
        <w:spacing w:line="480" w:lineRule="auto" w:before="72"/>
        <w:ind w:left="400" w:right="1318"/>
        <w:jc w:val="both"/>
      </w:pPr>
      <w:r>
        <w:rPr/>
        <w:t>Also from the result of the probability value which is less than 0.05 in both strength and opportunity implies that strength and opportunity have significant impact on market share, it means that strength and opportunity are significant variables to determine market share.</w:t>
      </w:r>
    </w:p>
    <w:p>
      <w:pPr>
        <w:pStyle w:val="Heading2"/>
        <w:spacing w:before="165"/>
      </w:pPr>
      <w:r>
        <w:rPr/>
        <w:t>Regression</w:t>
      </w:r>
      <w:r>
        <w:rPr>
          <w:spacing w:val="-2"/>
        </w:rPr>
        <w:t> </w:t>
      </w:r>
      <w:r>
        <w:rPr/>
        <w:t>result</w:t>
      </w:r>
      <w:r>
        <w:rPr>
          <w:spacing w:val="-3"/>
        </w:rPr>
        <w:t> </w:t>
      </w:r>
      <w:r>
        <w:rPr/>
        <w:t>of the</w:t>
      </w:r>
      <w:r>
        <w:rPr>
          <w:spacing w:val="-1"/>
        </w:rPr>
        <w:t> </w:t>
      </w:r>
      <w:r>
        <w:rPr/>
        <w:t>fourth</w:t>
      </w:r>
      <w:r>
        <w:rPr>
          <w:spacing w:val="-1"/>
        </w:rPr>
        <w:t> </w:t>
      </w:r>
      <w:r>
        <w:rPr>
          <w:spacing w:val="-4"/>
        </w:rPr>
        <w:t>model</w:t>
      </w:r>
    </w:p>
    <w:p>
      <w:pPr>
        <w:pStyle w:val="BodyText"/>
        <w:spacing w:before="44" w:after="1"/>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197"/>
        <w:gridCol w:w="1143"/>
        <w:gridCol w:w="957"/>
      </w:tblGrid>
      <w:tr>
        <w:trPr>
          <w:trHeight w:val="408" w:hRule="atLeast"/>
        </w:trPr>
        <w:tc>
          <w:tcPr>
            <w:tcW w:w="6532" w:type="dxa"/>
            <w:gridSpan w:val="5"/>
          </w:tcPr>
          <w:p>
            <w:pPr>
              <w:pStyle w:val="TableParagraph"/>
              <w:spacing w:line="266" w:lineRule="exact"/>
              <w:rPr>
                <w:sz w:val="24"/>
              </w:rPr>
            </w:pPr>
            <w:r>
              <w:rPr>
                <w:sz w:val="24"/>
              </w:rPr>
              <w:t>Dependent</w:t>
            </w:r>
            <w:r>
              <w:rPr>
                <w:spacing w:val="-4"/>
                <w:sz w:val="24"/>
              </w:rPr>
              <w:t> </w:t>
            </w:r>
            <w:r>
              <w:rPr>
                <w:sz w:val="24"/>
              </w:rPr>
              <w:t>Variable:</w:t>
            </w:r>
            <w:r>
              <w:rPr>
                <w:spacing w:val="-3"/>
                <w:sz w:val="24"/>
              </w:rPr>
              <w:t> </w:t>
            </w:r>
            <w:r>
              <w:rPr>
                <w:spacing w:val="-5"/>
                <w:sz w:val="24"/>
              </w:rPr>
              <w:t>PR</w:t>
            </w:r>
          </w:p>
        </w:tc>
      </w:tr>
      <w:tr>
        <w:trPr>
          <w:trHeight w:val="552" w:hRule="atLeast"/>
        </w:trPr>
        <w:tc>
          <w:tcPr>
            <w:tcW w:w="6532" w:type="dxa"/>
            <w:gridSpan w:val="5"/>
          </w:tcPr>
          <w:p>
            <w:pPr>
              <w:pStyle w:val="TableParagraph"/>
              <w:spacing w:before="133"/>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1" w:hRule="atLeast"/>
        </w:trPr>
        <w:tc>
          <w:tcPr>
            <w:tcW w:w="6532" w:type="dxa"/>
            <w:gridSpan w:val="5"/>
          </w:tcPr>
          <w:p>
            <w:pPr>
              <w:pStyle w:val="TableParagraph"/>
              <w:spacing w:before="133"/>
              <w:rPr>
                <w:sz w:val="24"/>
              </w:rPr>
            </w:pPr>
            <w:r>
              <w:rPr>
                <w:sz w:val="24"/>
              </w:rPr>
              <w:t>Date:</w:t>
            </w:r>
            <w:r>
              <w:rPr>
                <w:spacing w:val="-1"/>
                <w:sz w:val="24"/>
              </w:rPr>
              <w:t> </w:t>
            </w:r>
            <w:r>
              <w:rPr>
                <w:sz w:val="24"/>
              </w:rPr>
              <w:t>08/07/18</w:t>
            </w:r>
            <w:r>
              <w:rPr>
                <w:spacing w:val="28"/>
                <w:sz w:val="24"/>
              </w:rPr>
              <w:t>  </w:t>
            </w:r>
            <w:r>
              <w:rPr>
                <w:sz w:val="24"/>
              </w:rPr>
              <w:t>Time: </w:t>
            </w:r>
            <w:r>
              <w:rPr>
                <w:spacing w:val="-2"/>
                <w:sz w:val="24"/>
              </w:rPr>
              <w:t>08:44</w:t>
            </w:r>
          </w:p>
        </w:tc>
      </w:tr>
      <w:tr>
        <w:trPr>
          <w:trHeight w:val="552" w:hRule="atLeast"/>
        </w:trPr>
        <w:tc>
          <w:tcPr>
            <w:tcW w:w="1969" w:type="dxa"/>
          </w:tcPr>
          <w:p>
            <w:pPr>
              <w:pStyle w:val="TableParagraph"/>
              <w:spacing w:before="133"/>
              <w:rPr>
                <w:sz w:val="24"/>
              </w:rPr>
            </w:pPr>
            <w:r>
              <w:rPr>
                <w:sz w:val="24"/>
              </w:rPr>
              <w:t>Sample:</w:t>
            </w:r>
            <w:r>
              <w:rPr>
                <w:spacing w:val="-3"/>
                <w:sz w:val="24"/>
              </w:rPr>
              <w:t> </w:t>
            </w:r>
            <w:r>
              <w:rPr>
                <w:sz w:val="24"/>
              </w:rPr>
              <w:t>1</w:t>
            </w:r>
            <w:r>
              <w:rPr>
                <w:spacing w:val="-1"/>
                <w:sz w:val="24"/>
              </w:rPr>
              <w:t> </w:t>
            </w:r>
            <w:r>
              <w:rPr>
                <w:spacing w:val="-10"/>
                <w:sz w:val="24"/>
              </w:rPr>
              <w:t>5</w:t>
            </w:r>
          </w:p>
        </w:tc>
        <w:tc>
          <w:tcPr>
            <w:tcW w:w="1266" w:type="dxa"/>
          </w:tcPr>
          <w:p>
            <w:pPr>
              <w:pStyle w:val="TableParagraph"/>
              <w:rPr>
                <w:sz w:val="24"/>
              </w:rPr>
            </w:pPr>
          </w:p>
        </w:tc>
        <w:tc>
          <w:tcPr>
            <w:tcW w:w="1197" w:type="dxa"/>
          </w:tcPr>
          <w:p>
            <w:pPr>
              <w:pStyle w:val="TableParagraph"/>
              <w:rPr>
                <w:sz w:val="24"/>
              </w:rPr>
            </w:pPr>
          </w:p>
        </w:tc>
        <w:tc>
          <w:tcPr>
            <w:tcW w:w="1143" w:type="dxa"/>
          </w:tcPr>
          <w:p>
            <w:pPr>
              <w:pStyle w:val="TableParagraph"/>
              <w:rPr>
                <w:sz w:val="24"/>
              </w:rPr>
            </w:pPr>
          </w:p>
        </w:tc>
        <w:tc>
          <w:tcPr>
            <w:tcW w:w="957" w:type="dxa"/>
          </w:tcPr>
          <w:p>
            <w:pPr>
              <w:pStyle w:val="TableParagraph"/>
              <w:rPr>
                <w:sz w:val="24"/>
              </w:rPr>
            </w:pPr>
          </w:p>
        </w:tc>
      </w:tr>
      <w:tr>
        <w:trPr>
          <w:trHeight w:val="780" w:hRule="atLeast"/>
        </w:trPr>
        <w:tc>
          <w:tcPr>
            <w:tcW w:w="6532" w:type="dxa"/>
            <w:gridSpan w:val="5"/>
            <w:tcBorders>
              <w:bottom w:val="double" w:sz="6" w:space="0" w:color="000000"/>
            </w:tcBorders>
          </w:tcPr>
          <w:p>
            <w:pPr>
              <w:pStyle w:val="TableParagraph"/>
              <w:spacing w:before="133"/>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2"/>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2"/>
              <w:ind w:right="128"/>
              <w:jc w:val="right"/>
              <w:rPr>
                <w:sz w:val="24"/>
              </w:rPr>
            </w:pPr>
            <w:r>
              <w:rPr>
                <w:spacing w:val="-2"/>
                <w:sz w:val="24"/>
              </w:rPr>
              <w:t>Coefficient</w:t>
            </w:r>
          </w:p>
        </w:tc>
        <w:tc>
          <w:tcPr>
            <w:tcW w:w="1197" w:type="dxa"/>
            <w:tcBorders>
              <w:top w:val="double" w:sz="6" w:space="0" w:color="000000"/>
              <w:bottom w:val="double" w:sz="6" w:space="0" w:color="000000"/>
            </w:tcBorders>
          </w:tcPr>
          <w:p>
            <w:pPr>
              <w:pStyle w:val="TableParagraph"/>
              <w:spacing w:before="82"/>
              <w:ind w:left="68" w:right="45"/>
              <w:jc w:val="center"/>
              <w:rPr>
                <w:sz w:val="24"/>
              </w:rPr>
            </w:pPr>
            <w:r>
              <w:rPr>
                <w:sz w:val="24"/>
              </w:rPr>
              <w:t>Std. </w:t>
            </w:r>
            <w:r>
              <w:rPr>
                <w:spacing w:val="-2"/>
                <w:sz w:val="24"/>
              </w:rPr>
              <w:t>Error</w:t>
            </w:r>
          </w:p>
        </w:tc>
        <w:tc>
          <w:tcPr>
            <w:tcW w:w="1143" w:type="dxa"/>
            <w:tcBorders>
              <w:top w:val="double" w:sz="6" w:space="0" w:color="000000"/>
              <w:bottom w:val="double" w:sz="6" w:space="0" w:color="000000"/>
            </w:tcBorders>
          </w:tcPr>
          <w:p>
            <w:pPr>
              <w:pStyle w:val="TableParagraph"/>
              <w:spacing w:before="82"/>
              <w:ind w:left="13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2"/>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21166.19</w:t>
            </w:r>
          </w:p>
        </w:tc>
        <w:tc>
          <w:tcPr>
            <w:tcW w:w="1197" w:type="dxa"/>
            <w:tcBorders>
              <w:top w:val="double" w:sz="6" w:space="0" w:color="000000"/>
            </w:tcBorders>
          </w:tcPr>
          <w:p>
            <w:pPr>
              <w:pStyle w:val="TableParagraph"/>
              <w:spacing w:before="82"/>
              <w:ind w:left="68"/>
              <w:jc w:val="center"/>
              <w:rPr>
                <w:sz w:val="24"/>
              </w:rPr>
            </w:pPr>
            <w:r>
              <w:rPr>
                <w:spacing w:val="-2"/>
                <w:sz w:val="24"/>
              </w:rPr>
              <w:t>92204.24</w:t>
            </w:r>
          </w:p>
        </w:tc>
        <w:tc>
          <w:tcPr>
            <w:tcW w:w="1143" w:type="dxa"/>
            <w:tcBorders>
              <w:top w:val="double" w:sz="6" w:space="0" w:color="000000"/>
            </w:tcBorders>
          </w:tcPr>
          <w:p>
            <w:pPr>
              <w:pStyle w:val="TableParagraph"/>
              <w:spacing w:before="82"/>
              <w:ind w:left="137"/>
              <w:jc w:val="center"/>
              <w:rPr>
                <w:sz w:val="24"/>
              </w:rPr>
            </w:pPr>
            <w:r>
              <w:rPr>
                <w:spacing w:val="-2"/>
                <w:sz w:val="24"/>
              </w:rPr>
              <w:t>0.229558</w:t>
            </w:r>
          </w:p>
        </w:tc>
        <w:tc>
          <w:tcPr>
            <w:tcW w:w="957" w:type="dxa"/>
            <w:tcBorders>
              <w:top w:val="double" w:sz="6" w:space="0" w:color="000000"/>
            </w:tcBorders>
          </w:tcPr>
          <w:p>
            <w:pPr>
              <w:pStyle w:val="TableParagraph"/>
              <w:spacing w:before="82"/>
              <w:ind w:right="9"/>
              <w:jc w:val="right"/>
              <w:rPr>
                <w:sz w:val="24"/>
              </w:rPr>
            </w:pPr>
            <w:r>
              <w:rPr>
                <w:spacing w:val="-2"/>
                <w:sz w:val="24"/>
              </w:rPr>
              <w:t>0.8398</w:t>
            </w:r>
          </w:p>
        </w:tc>
      </w:tr>
      <w:tr>
        <w:trPr>
          <w:trHeight w:val="552" w:hRule="atLeast"/>
        </w:trPr>
        <w:tc>
          <w:tcPr>
            <w:tcW w:w="1969" w:type="dxa"/>
          </w:tcPr>
          <w:p>
            <w:pPr>
              <w:pStyle w:val="TableParagraph"/>
              <w:spacing w:before="133"/>
              <w:ind w:left="46"/>
              <w:jc w:val="center"/>
              <w:rPr>
                <w:sz w:val="24"/>
              </w:rPr>
            </w:pPr>
            <w:r>
              <w:rPr>
                <w:spacing w:val="-5"/>
                <w:sz w:val="24"/>
              </w:rPr>
              <w:t>WK</w:t>
            </w:r>
          </w:p>
        </w:tc>
        <w:tc>
          <w:tcPr>
            <w:tcW w:w="1266" w:type="dxa"/>
          </w:tcPr>
          <w:p>
            <w:pPr>
              <w:pStyle w:val="TableParagraph"/>
              <w:spacing w:before="133"/>
              <w:ind w:right="126"/>
              <w:jc w:val="right"/>
              <w:rPr>
                <w:sz w:val="24"/>
              </w:rPr>
            </w:pPr>
            <w:r>
              <w:rPr>
                <w:spacing w:val="-2"/>
                <w:sz w:val="24"/>
              </w:rPr>
              <w:t>-24.14809</w:t>
            </w:r>
          </w:p>
        </w:tc>
        <w:tc>
          <w:tcPr>
            <w:tcW w:w="1197" w:type="dxa"/>
          </w:tcPr>
          <w:p>
            <w:pPr>
              <w:pStyle w:val="TableParagraph"/>
              <w:spacing w:before="133"/>
              <w:ind w:left="68"/>
              <w:jc w:val="center"/>
              <w:rPr>
                <w:sz w:val="24"/>
              </w:rPr>
            </w:pPr>
            <w:r>
              <w:rPr>
                <w:spacing w:val="-2"/>
                <w:sz w:val="24"/>
              </w:rPr>
              <w:t>48.40760</w:t>
            </w:r>
          </w:p>
        </w:tc>
        <w:tc>
          <w:tcPr>
            <w:tcW w:w="1143" w:type="dxa"/>
          </w:tcPr>
          <w:p>
            <w:pPr>
              <w:pStyle w:val="TableParagraph"/>
              <w:spacing w:before="133"/>
              <w:ind w:left="58"/>
              <w:jc w:val="center"/>
              <w:rPr>
                <w:sz w:val="24"/>
              </w:rPr>
            </w:pPr>
            <w:r>
              <w:rPr>
                <w:spacing w:val="-2"/>
                <w:sz w:val="24"/>
              </w:rPr>
              <w:t>-0.498849</w:t>
            </w:r>
          </w:p>
        </w:tc>
        <w:tc>
          <w:tcPr>
            <w:tcW w:w="957" w:type="dxa"/>
          </w:tcPr>
          <w:p>
            <w:pPr>
              <w:pStyle w:val="TableParagraph"/>
              <w:spacing w:before="133"/>
              <w:ind w:right="9"/>
              <w:jc w:val="right"/>
              <w:rPr>
                <w:sz w:val="24"/>
              </w:rPr>
            </w:pPr>
            <w:r>
              <w:rPr>
                <w:spacing w:val="-2"/>
                <w:sz w:val="24"/>
              </w:rPr>
              <w:t>0.0273</w:t>
            </w:r>
          </w:p>
        </w:tc>
      </w:tr>
      <w:tr>
        <w:trPr>
          <w:trHeight w:val="780"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TR</w:t>
            </w:r>
          </w:p>
        </w:tc>
        <w:tc>
          <w:tcPr>
            <w:tcW w:w="1266" w:type="dxa"/>
            <w:tcBorders>
              <w:bottom w:val="double" w:sz="6" w:space="0" w:color="000000"/>
            </w:tcBorders>
          </w:tcPr>
          <w:p>
            <w:pPr>
              <w:pStyle w:val="TableParagraph"/>
              <w:spacing w:before="133"/>
              <w:ind w:right="126"/>
              <w:jc w:val="right"/>
              <w:rPr>
                <w:sz w:val="24"/>
              </w:rPr>
            </w:pPr>
            <w:r>
              <w:rPr>
                <w:spacing w:val="-2"/>
                <w:sz w:val="24"/>
              </w:rPr>
              <w:t>-2.554407</w:t>
            </w:r>
          </w:p>
        </w:tc>
        <w:tc>
          <w:tcPr>
            <w:tcW w:w="1197" w:type="dxa"/>
            <w:tcBorders>
              <w:bottom w:val="double" w:sz="6" w:space="0" w:color="000000"/>
            </w:tcBorders>
          </w:tcPr>
          <w:p>
            <w:pPr>
              <w:pStyle w:val="TableParagraph"/>
              <w:spacing w:before="133"/>
              <w:ind w:left="68"/>
              <w:jc w:val="center"/>
              <w:rPr>
                <w:sz w:val="24"/>
              </w:rPr>
            </w:pPr>
            <w:r>
              <w:rPr>
                <w:spacing w:val="-2"/>
                <w:sz w:val="24"/>
              </w:rPr>
              <w:t>38.98154</w:t>
            </w:r>
          </w:p>
        </w:tc>
        <w:tc>
          <w:tcPr>
            <w:tcW w:w="1143" w:type="dxa"/>
            <w:tcBorders>
              <w:bottom w:val="double" w:sz="6" w:space="0" w:color="000000"/>
            </w:tcBorders>
          </w:tcPr>
          <w:p>
            <w:pPr>
              <w:pStyle w:val="TableParagraph"/>
              <w:spacing w:before="133"/>
              <w:ind w:left="58"/>
              <w:jc w:val="center"/>
              <w:rPr>
                <w:sz w:val="24"/>
              </w:rPr>
            </w:pPr>
            <w:r>
              <w:rPr>
                <w:spacing w:val="-2"/>
                <w:sz w:val="24"/>
              </w:rPr>
              <w:t>-0.065529</w:t>
            </w:r>
          </w:p>
        </w:tc>
        <w:tc>
          <w:tcPr>
            <w:tcW w:w="957" w:type="dxa"/>
            <w:tcBorders>
              <w:bottom w:val="double" w:sz="6" w:space="0" w:color="000000"/>
            </w:tcBorders>
          </w:tcPr>
          <w:p>
            <w:pPr>
              <w:pStyle w:val="TableParagraph"/>
              <w:spacing w:before="133"/>
              <w:ind w:right="9"/>
              <w:jc w:val="right"/>
              <w:rPr>
                <w:sz w:val="24"/>
              </w:rPr>
            </w:pPr>
            <w:r>
              <w:rPr>
                <w:spacing w:val="-2"/>
                <w:sz w:val="24"/>
              </w:rPr>
              <w:t>0.0037</w:t>
            </w:r>
          </w:p>
        </w:tc>
      </w:tr>
      <w:tr>
        <w:trPr>
          <w:trHeight w:val="503" w:hRule="atLeast"/>
        </w:trPr>
        <w:tc>
          <w:tcPr>
            <w:tcW w:w="1969" w:type="dxa"/>
            <w:tcBorders>
              <w:top w:val="double" w:sz="6" w:space="0" w:color="000000"/>
            </w:tcBorders>
          </w:tcPr>
          <w:p>
            <w:pPr>
              <w:pStyle w:val="TableParagraph"/>
              <w:spacing w:before="84"/>
              <w:rPr>
                <w:sz w:val="24"/>
              </w:rPr>
            </w:pPr>
            <w:r>
              <w:rPr>
                <w:spacing w:val="-2"/>
                <w:sz w:val="24"/>
              </w:rPr>
              <w:t>R-squared</w:t>
            </w:r>
          </w:p>
        </w:tc>
        <w:tc>
          <w:tcPr>
            <w:tcW w:w="1266" w:type="dxa"/>
            <w:tcBorders>
              <w:top w:val="double" w:sz="6" w:space="0" w:color="000000"/>
            </w:tcBorders>
          </w:tcPr>
          <w:p>
            <w:pPr>
              <w:pStyle w:val="TableParagraph"/>
              <w:spacing w:before="84"/>
              <w:ind w:right="126"/>
              <w:jc w:val="right"/>
              <w:rPr>
                <w:sz w:val="24"/>
              </w:rPr>
            </w:pPr>
            <w:r>
              <w:rPr>
                <w:spacing w:val="-2"/>
                <w:sz w:val="24"/>
              </w:rPr>
              <w:t>0.271374</w:t>
            </w:r>
          </w:p>
        </w:tc>
        <w:tc>
          <w:tcPr>
            <w:tcW w:w="2340" w:type="dxa"/>
            <w:gridSpan w:val="2"/>
            <w:tcBorders>
              <w:top w:val="double" w:sz="6" w:space="0" w:color="000000"/>
            </w:tcBorders>
          </w:tcPr>
          <w:p>
            <w:pPr>
              <w:pStyle w:val="TableParagraph"/>
              <w:spacing w:before="84"/>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4"/>
              <w:ind w:right="9"/>
              <w:jc w:val="right"/>
              <w:rPr>
                <w:sz w:val="24"/>
              </w:rPr>
            </w:pPr>
            <w:r>
              <w:rPr>
                <w:spacing w:val="-2"/>
                <w:sz w:val="24"/>
              </w:rPr>
              <w:t>3181.000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-0.457253</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4516.963</w:t>
            </w:r>
          </w:p>
        </w:tc>
      </w:tr>
      <w:tr>
        <w:trPr>
          <w:trHeight w:val="552"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5452.729</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20.32933</w:t>
            </w:r>
          </w:p>
        </w:tc>
      </w:tr>
      <w:tr>
        <w:trPr>
          <w:trHeight w:val="551"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59464516</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20.09499</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-47.82332</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19.70039</w:t>
            </w:r>
          </w:p>
        </w:tc>
      </w:tr>
      <w:tr>
        <w:trPr>
          <w:trHeight w:val="552"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0.372446</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1.815149</w:t>
            </w:r>
          </w:p>
        </w:tc>
      </w:tr>
      <w:tr>
        <w:trPr>
          <w:trHeight w:val="780"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0.728626</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spacing w:after="0"/>
        <w:rPr>
          <w:sz w:val="24"/>
        </w:rPr>
        <w:sectPr>
          <w:pgSz w:w="12240" w:h="15840"/>
          <w:pgMar w:header="0" w:footer="1017" w:top="1360" w:bottom="1200" w:left="1040" w:right="120"/>
        </w:sectPr>
      </w:pPr>
    </w:p>
    <w:p>
      <w:pPr>
        <w:spacing w:before="76"/>
        <w:ind w:left="400" w:right="0" w:firstLine="0"/>
        <w:jc w:val="both"/>
        <w:rPr>
          <w:b/>
          <w:sz w:val="24"/>
        </w:rPr>
      </w:pPr>
      <w:r>
        <w:rPr>
          <w:b/>
          <w:sz w:val="24"/>
        </w:rPr>
        <w:t>Decision</w:t>
      </w:r>
      <w:r>
        <w:rPr>
          <w:b/>
          <w:spacing w:val="-5"/>
          <w:sz w:val="24"/>
        </w:rPr>
        <w:t> </w:t>
      </w:r>
      <w:r>
        <w:rPr>
          <w:b/>
          <w:spacing w:val="-4"/>
          <w:sz w:val="24"/>
        </w:rPr>
        <w:t>Rule</w:t>
      </w:r>
    </w:p>
    <w:p>
      <w:pPr>
        <w:pStyle w:val="BodyText"/>
        <w:spacing w:before="156"/>
        <w:rPr>
          <w:b/>
        </w:rPr>
      </w:pPr>
    </w:p>
    <w:p>
      <w:pPr>
        <w:pStyle w:val="BodyText"/>
        <w:spacing w:line="480" w:lineRule="auto"/>
        <w:ind w:left="400" w:right="1319"/>
        <w:jc w:val="both"/>
      </w:pPr>
      <w:r>
        <w:rPr/>
        <w:t>Accept null hypothesis (Ho) if the probability value is above 0.05, if otherwise reject null </w:t>
      </w:r>
      <w:r>
        <w:rPr>
          <w:spacing w:val="-2"/>
        </w:rPr>
        <w:t>hypothesis.</w:t>
      </w:r>
    </w:p>
    <w:p>
      <w:pPr>
        <w:pStyle w:val="Heading2"/>
        <w:spacing w:before="164"/>
      </w:pPr>
      <w:r>
        <w:rPr/>
        <w:t>Analysis</w:t>
      </w:r>
      <w:r>
        <w:rPr>
          <w:spacing w:val="-4"/>
        </w:rPr>
        <w:t> </w:t>
      </w:r>
      <w:r>
        <w:rPr/>
        <w:t>of</w:t>
      </w:r>
      <w:r>
        <w:rPr>
          <w:spacing w:val="-1"/>
        </w:rPr>
        <w:t> </w:t>
      </w:r>
      <w:r>
        <w:rPr/>
        <w:t>the</w:t>
      </w:r>
      <w:r>
        <w:rPr>
          <w:spacing w:val="-3"/>
        </w:rPr>
        <w:t> </w:t>
      </w:r>
      <w:r>
        <w:rPr/>
        <w:t>fourth</w:t>
      </w:r>
      <w:r>
        <w:rPr>
          <w:spacing w:val="-2"/>
        </w:rPr>
        <w:t> </w:t>
      </w:r>
      <w:r>
        <w:rPr/>
        <w:t>regression</w:t>
      </w:r>
      <w:r>
        <w:rPr>
          <w:spacing w:val="-2"/>
        </w:rPr>
        <w:t> </w:t>
      </w:r>
      <w:r>
        <w:rPr/>
        <w:t>output</w:t>
      </w:r>
      <w:r>
        <w:rPr>
          <w:spacing w:val="-3"/>
        </w:rPr>
        <w:t> </w:t>
      </w:r>
      <w:r>
        <w:rPr/>
        <w:t>representing</w:t>
      </w:r>
      <w:r>
        <w:rPr>
          <w:spacing w:val="-2"/>
        </w:rPr>
        <w:t> </w:t>
      </w:r>
      <w:r>
        <w:rPr/>
        <w:t>the</w:t>
      </w:r>
      <w:r>
        <w:rPr>
          <w:spacing w:val="-3"/>
        </w:rPr>
        <w:t> </w:t>
      </w:r>
      <w:r>
        <w:rPr/>
        <w:t>fourth</w:t>
      </w:r>
      <w:r>
        <w:rPr>
          <w:spacing w:val="-1"/>
        </w:rPr>
        <w:t> </w:t>
      </w:r>
      <w:r>
        <w:rPr>
          <w:spacing w:val="-2"/>
        </w:rPr>
        <w:t>model</w:t>
      </w:r>
    </w:p>
    <w:p>
      <w:pPr>
        <w:pStyle w:val="BodyText"/>
        <w:spacing w:before="156"/>
        <w:rPr>
          <w:b/>
        </w:rPr>
      </w:pPr>
    </w:p>
    <w:p>
      <w:pPr>
        <w:pStyle w:val="BodyText"/>
        <w:spacing w:line="480" w:lineRule="auto"/>
        <w:ind w:left="400" w:right="1317"/>
        <w:jc w:val="both"/>
      </w:pPr>
      <w:r>
        <w:rPr/>
        <w:t>From the regression result above, strength and opportunity also have negative coefficient indicating decrease in price as a result increase in weakness and threats. It also shows that, a unit increase</w:t>
      </w:r>
      <w:r>
        <w:rPr>
          <w:spacing w:val="-1"/>
        </w:rPr>
        <w:t> </w:t>
      </w:r>
      <w:r>
        <w:rPr/>
        <w:t>in weakness will lead 24.14809 decrease</w:t>
      </w:r>
      <w:r>
        <w:rPr>
          <w:spacing w:val="-1"/>
        </w:rPr>
        <w:t> </w:t>
      </w:r>
      <w:r>
        <w:rPr/>
        <w:t>in price in average. Also a</w:t>
      </w:r>
      <w:r>
        <w:rPr>
          <w:spacing w:val="-1"/>
        </w:rPr>
        <w:t> </w:t>
      </w:r>
      <w:r>
        <w:rPr/>
        <w:t>unit increase threats will lead to -2.554407 decrease in price.</w:t>
      </w:r>
    </w:p>
    <w:p>
      <w:pPr>
        <w:pStyle w:val="BodyText"/>
        <w:spacing w:line="480" w:lineRule="auto" w:before="161"/>
        <w:ind w:left="400" w:right="1319"/>
        <w:jc w:val="both"/>
      </w:pPr>
      <w:r>
        <w:rPr/>
        <w:t>Also from the result of the probability</w:t>
      </w:r>
      <w:r>
        <w:rPr>
          <w:spacing w:val="-2"/>
        </w:rPr>
        <w:t> </w:t>
      </w:r>
      <w:r>
        <w:rPr/>
        <w:t>value which is less than 0.05 in both weakness and threats implies that weakness and threat have significant impact on price, it means that weakness and threat are significant variables to determine price.</w:t>
      </w:r>
    </w:p>
    <w:p>
      <w:pPr>
        <w:pStyle w:val="Heading2"/>
        <w:spacing w:before="233"/>
      </w:pPr>
      <w:r>
        <w:rPr/>
        <w:t>Regression</w:t>
      </w:r>
      <w:r>
        <w:rPr>
          <w:spacing w:val="-2"/>
        </w:rPr>
        <w:t> </w:t>
      </w:r>
      <w:r>
        <w:rPr/>
        <w:t>result</w:t>
      </w:r>
      <w:r>
        <w:rPr>
          <w:spacing w:val="-3"/>
        </w:rPr>
        <w:t> </w:t>
      </w:r>
      <w:r>
        <w:rPr/>
        <w:t>of the</w:t>
      </w:r>
      <w:r>
        <w:rPr>
          <w:spacing w:val="-1"/>
        </w:rPr>
        <w:t> </w:t>
      </w:r>
      <w:r>
        <w:rPr/>
        <w:t>fifth</w:t>
      </w:r>
      <w:r>
        <w:rPr>
          <w:spacing w:val="-1"/>
        </w:rPr>
        <w:t> </w:t>
      </w:r>
      <w:r>
        <w:rPr>
          <w:spacing w:val="-4"/>
        </w:rPr>
        <w:t>model</w:t>
      </w:r>
    </w:p>
    <w:p>
      <w:pPr>
        <w:pStyle w:val="BodyText"/>
        <w:rPr>
          <w:b/>
          <w:sz w:val="20"/>
        </w:rPr>
      </w:pPr>
    </w:p>
    <w:p>
      <w:pPr>
        <w:pStyle w:val="BodyText"/>
        <w:spacing w:before="51" w:after="1"/>
        <w:rPr>
          <w:b/>
          <w:sz w:val="20"/>
        </w:rPr>
      </w:pPr>
    </w:p>
    <w:tbl>
      <w:tblPr>
        <w:tblW w:w="0" w:type="auto"/>
        <w:jc w:val="left"/>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tblGrid>
      <w:tr>
        <w:trPr>
          <w:trHeight w:val="408" w:hRule="atLeast"/>
        </w:trPr>
        <w:tc>
          <w:tcPr>
            <w:tcW w:w="2893" w:type="dxa"/>
          </w:tcPr>
          <w:p>
            <w:pPr>
              <w:pStyle w:val="TableParagraph"/>
              <w:spacing w:line="266" w:lineRule="exact"/>
              <w:ind w:left="50"/>
              <w:rPr>
                <w:sz w:val="24"/>
              </w:rPr>
            </w:pPr>
            <w:r>
              <w:rPr>
                <w:sz w:val="24"/>
              </w:rPr>
              <w:t>Dependent</w:t>
            </w:r>
            <w:r>
              <w:rPr>
                <w:spacing w:val="-4"/>
                <w:sz w:val="24"/>
              </w:rPr>
              <w:t> </w:t>
            </w:r>
            <w:r>
              <w:rPr>
                <w:sz w:val="24"/>
              </w:rPr>
              <w:t>Variable:</w:t>
            </w:r>
            <w:r>
              <w:rPr>
                <w:spacing w:val="-3"/>
                <w:sz w:val="24"/>
              </w:rPr>
              <w:t> </w:t>
            </w:r>
            <w:r>
              <w:rPr>
                <w:spacing w:val="-5"/>
                <w:sz w:val="24"/>
              </w:rPr>
              <w:t>MS</w:t>
            </w:r>
          </w:p>
        </w:tc>
      </w:tr>
      <w:tr>
        <w:trPr>
          <w:trHeight w:val="552" w:hRule="atLeast"/>
        </w:trPr>
        <w:tc>
          <w:tcPr>
            <w:tcW w:w="2893" w:type="dxa"/>
          </w:tcPr>
          <w:p>
            <w:pPr>
              <w:pStyle w:val="TableParagraph"/>
              <w:spacing w:before="133"/>
              <w:ind w:left="50"/>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2" w:hRule="atLeast"/>
        </w:trPr>
        <w:tc>
          <w:tcPr>
            <w:tcW w:w="2893" w:type="dxa"/>
          </w:tcPr>
          <w:p>
            <w:pPr>
              <w:pStyle w:val="TableParagraph"/>
              <w:spacing w:before="133"/>
              <w:ind w:left="50"/>
              <w:rPr>
                <w:sz w:val="24"/>
              </w:rPr>
            </w:pPr>
            <w:r>
              <w:rPr>
                <w:sz w:val="24"/>
              </w:rPr>
              <w:t>Date:</w:t>
            </w:r>
            <w:r>
              <w:rPr>
                <w:spacing w:val="-1"/>
                <w:sz w:val="24"/>
              </w:rPr>
              <w:t> </w:t>
            </w:r>
            <w:r>
              <w:rPr>
                <w:sz w:val="24"/>
              </w:rPr>
              <w:t>08/07/18</w:t>
            </w:r>
            <w:r>
              <w:rPr>
                <w:spacing w:val="28"/>
                <w:sz w:val="24"/>
              </w:rPr>
              <w:t>  </w:t>
            </w:r>
            <w:r>
              <w:rPr>
                <w:sz w:val="24"/>
              </w:rPr>
              <w:t>Time: </w:t>
            </w:r>
            <w:r>
              <w:rPr>
                <w:spacing w:val="-2"/>
                <w:sz w:val="24"/>
              </w:rPr>
              <w:t>08:46</w:t>
            </w:r>
          </w:p>
        </w:tc>
      </w:tr>
      <w:tr>
        <w:trPr>
          <w:trHeight w:val="408" w:hRule="atLeast"/>
        </w:trPr>
        <w:tc>
          <w:tcPr>
            <w:tcW w:w="2893" w:type="dxa"/>
          </w:tcPr>
          <w:p>
            <w:pPr>
              <w:pStyle w:val="TableParagraph"/>
              <w:spacing w:line="256" w:lineRule="exact" w:before="133"/>
              <w:ind w:left="50"/>
              <w:rPr>
                <w:sz w:val="24"/>
              </w:rPr>
            </w:pPr>
            <w:r>
              <w:rPr>
                <w:sz w:val="24"/>
              </w:rPr>
              <w:t>Sample:</w:t>
            </w:r>
            <w:r>
              <w:rPr>
                <w:spacing w:val="-3"/>
                <w:sz w:val="24"/>
              </w:rPr>
              <w:t> </w:t>
            </w:r>
            <w:r>
              <w:rPr>
                <w:sz w:val="24"/>
              </w:rPr>
              <w:t>1</w:t>
            </w:r>
            <w:r>
              <w:rPr>
                <w:spacing w:val="-1"/>
                <w:sz w:val="24"/>
              </w:rPr>
              <w:t> </w:t>
            </w:r>
            <w:r>
              <w:rPr>
                <w:spacing w:val="-10"/>
                <w:sz w:val="24"/>
              </w:rPr>
              <w:t>5</w:t>
            </w:r>
          </w:p>
        </w:tc>
      </w:tr>
    </w:tbl>
    <w:p>
      <w:pPr>
        <w:spacing w:after="0" w:line="256" w:lineRule="exact"/>
        <w:rPr>
          <w:sz w:val="24"/>
        </w:rPr>
        <w:sectPr>
          <w:pgSz w:w="12240" w:h="15840"/>
          <w:pgMar w:header="0" w:footer="1017" w:top="1360" w:bottom="1200" w:left="1040" w:right="120"/>
        </w:sect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197"/>
        <w:gridCol w:w="1143"/>
        <w:gridCol w:w="957"/>
      </w:tblGrid>
      <w:tr>
        <w:trPr>
          <w:trHeight w:val="637" w:hRule="atLeast"/>
        </w:trPr>
        <w:tc>
          <w:tcPr>
            <w:tcW w:w="6532" w:type="dxa"/>
            <w:gridSpan w:val="5"/>
            <w:tcBorders>
              <w:bottom w:val="double" w:sz="6" w:space="0" w:color="000000"/>
            </w:tcBorders>
          </w:tcPr>
          <w:p>
            <w:pPr>
              <w:pStyle w:val="TableParagraph"/>
              <w:spacing w:line="266" w:lineRule="exact"/>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4"/>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4"/>
              <w:ind w:right="128"/>
              <w:jc w:val="right"/>
              <w:rPr>
                <w:sz w:val="24"/>
              </w:rPr>
            </w:pPr>
            <w:r>
              <w:rPr>
                <w:spacing w:val="-2"/>
                <w:sz w:val="24"/>
              </w:rPr>
              <w:t>Coefficient</w:t>
            </w:r>
          </w:p>
        </w:tc>
        <w:tc>
          <w:tcPr>
            <w:tcW w:w="1197" w:type="dxa"/>
            <w:tcBorders>
              <w:top w:val="double" w:sz="6" w:space="0" w:color="000000"/>
              <w:bottom w:val="double" w:sz="6" w:space="0" w:color="000000"/>
            </w:tcBorders>
          </w:tcPr>
          <w:p>
            <w:pPr>
              <w:pStyle w:val="TableParagraph"/>
              <w:spacing w:before="84"/>
              <w:ind w:left="68" w:right="45"/>
              <w:jc w:val="center"/>
              <w:rPr>
                <w:sz w:val="24"/>
              </w:rPr>
            </w:pPr>
            <w:r>
              <w:rPr>
                <w:sz w:val="24"/>
              </w:rPr>
              <w:t>Std. </w:t>
            </w:r>
            <w:r>
              <w:rPr>
                <w:spacing w:val="-2"/>
                <w:sz w:val="24"/>
              </w:rPr>
              <w:t>Error</w:t>
            </w:r>
          </w:p>
        </w:tc>
        <w:tc>
          <w:tcPr>
            <w:tcW w:w="1143" w:type="dxa"/>
            <w:tcBorders>
              <w:top w:val="double" w:sz="6" w:space="0" w:color="000000"/>
              <w:bottom w:val="double" w:sz="6" w:space="0" w:color="000000"/>
            </w:tcBorders>
          </w:tcPr>
          <w:p>
            <w:pPr>
              <w:pStyle w:val="TableParagraph"/>
              <w:spacing w:before="84"/>
              <w:ind w:left="13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4"/>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1221.944</w:t>
            </w:r>
          </w:p>
        </w:tc>
        <w:tc>
          <w:tcPr>
            <w:tcW w:w="1197" w:type="dxa"/>
            <w:tcBorders>
              <w:top w:val="double" w:sz="6" w:space="0" w:color="000000"/>
            </w:tcBorders>
          </w:tcPr>
          <w:p>
            <w:pPr>
              <w:pStyle w:val="TableParagraph"/>
              <w:spacing w:before="82"/>
              <w:ind w:left="68"/>
              <w:jc w:val="center"/>
              <w:rPr>
                <w:sz w:val="24"/>
              </w:rPr>
            </w:pPr>
            <w:r>
              <w:rPr>
                <w:spacing w:val="-2"/>
                <w:sz w:val="24"/>
              </w:rPr>
              <w:t>467.0520</w:t>
            </w:r>
          </w:p>
        </w:tc>
        <w:tc>
          <w:tcPr>
            <w:tcW w:w="1143" w:type="dxa"/>
            <w:tcBorders>
              <w:top w:val="double" w:sz="6" w:space="0" w:color="000000"/>
            </w:tcBorders>
          </w:tcPr>
          <w:p>
            <w:pPr>
              <w:pStyle w:val="TableParagraph"/>
              <w:spacing w:before="82"/>
              <w:ind w:left="137"/>
              <w:jc w:val="center"/>
              <w:rPr>
                <w:sz w:val="24"/>
              </w:rPr>
            </w:pPr>
            <w:r>
              <w:rPr>
                <w:spacing w:val="-2"/>
                <w:sz w:val="24"/>
              </w:rPr>
              <w:t>2.616291</w:t>
            </w:r>
          </w:p>
        </w:tc>
        <w:tc>
          <w:tcPr>
            <w:tcW w:w="957" w:type="dxa"/>
            <w:tcBorders>
              <w:top w:val="double" w:sz="6" w:space="0" w:color="000000"/>
            </w:tcBorders>
          </w:tcPr>
          <w:p>
            <w:pPr>
              <w:pStyle w:val="TableParagraph"/>
              <w:spacing w:before="82"/>
              <w:ind w:right="9"/>
              <w:jc w:val="right"/>
              <w:rPr>
                <w:sz w:val="24"/>
              </w:rPr>
            </w:pPr>
            <w:r>
              <w:rPr>
                <w:spacing w:val="-2"/>
                <w:sz w:val="24"/>
              </w:rPr>
              <w:t>0.1203</w:t>
            </w:r>
          </w:p>
        </w:tc>
      </w:tr>
      <w:tr>
        <w:trPr>
          <w:trHeight w:val="551" w:hRule="atLeast"/>
        </w:trPr>
        <w:tc>
          <w:tcPr>
            <w:tcW w:w="1969" w:type="dxa"/>
          </w:tcPr>
          <w:p>
            <w:pPr>
              <w:pStyle w:val="TableParagraph"/>
              <w:spacing w:before="133"/>
              <w:ind w:left="46"/>
              <w:jc w:val="center"/>
              <w:rPr>
                <w:sz w:val="24"/>
              </w:rPr>
            </w:pPr>
            <w:r>
              <w:rPr>
                <w:spacing w:val="-5"/>
                <w:sz w:val="24"/>
              </w:rPr>
              <w:t>WK</w:t>
            </w:r>
          </w:p>
        </w:tc>
        <w:tc>
          <w:tcPr>
            <w:tcW w:w="1266" w:type="dxa"/>
          </w:tcPr>
          <w:p>
            <w:pPr>
              <w:pStyle w:val="TableParagraph"/>
              <w:spacing w:before="133"/>
              <w:ind w:right="126"/>
              <w:jc w:val="right"/>
              <w:rPr>
                <w:sz w:val="24"/>
              </w:rPr>
            </w:pPr>
            <w:r>
              <w:rPr>
                <w:spacing w:val="-2"/>
                <w:sz w:val="24"/>
              </w:rPr>
              <w:t>-0.841890</w:t>
            </w:r>
          </w:p>
        </w:tc>
        <w:tc>
          <w:tcPr>
            <w:tcW w:w="1197" w:type="dxa"/>
          </w:tcPr>
          <w:p>
            <w:pPr>
              <w:pStyle w:val="TableParagraph"/>
              <w:spacing w:before="133"/>
              <w:ind w:left="68"/>
              <w:jc w:val="center"/>
              <w:rPr>
                <w:sz w:val="24"/>
              </w:rPr>
            </w:pPr>
            <w:r>
              <w:rPr>
                <w:spacing w:val="-2"/>
                <w:sz w:val="24"/>
              </w:rPr>
              <w:t>0.245204</w:t>
            </w:r>
          </w:p>
        </w:tc>
        <w:tc>
          <w:tcPr>
            <w:tcW w:w="1143" w:type="dxa"/>
          </w:tcPr>
          <w:p>
            <w:pPr>
              <w:pStyle w:val="TableParagraph"/>
              <w:spacing w:before="133"/>
              <w:ind w:left="58"/>
              <w:jc w:val="center"/>
              <w:rPr>
                <w:sz w:val="24"/>
              </w:rPr>
            </w:pPr>
            <w:r>
              <w:rPr>
                <w:spacing w:val="-2"/>
                <w:sz w:val="24"/>
              </w:rPr>
              <w:t>-3.433423</w:t>
            </w:r>
          </w:p>
        </w:tc>
        <w:tc>
          <w:tcPr>
            <w:tcW w:w="957" w:type="dxa"/>
          </w:tcPr>
          <w:p>
            <w:pPr>
              <w:pStyle w:val="TableParagraph"/>
              <w:spacing w:before="133"/>
              <w:ind w:right="9"/>
              <w:jc w:val="right"/>
              <w:rPr>
                <w:sz w:val="24"/>
              </w:rPr>
            </w:pPr>
            <w:r>
              <w:rPr>
                <w:spacing w:val="-2"/>
                <w:sz w:val="24"/>
              </w:rPr>
              <w:t>0.0754</w:t>
            </w:r>
          </w:p>
        </w:tc>
      </w:tr>
      <w:tr>
        <w:trPr>
          <w:trHeight w:val="783"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TR</w:t>
            </w:r>
          </w:p>
        </w:tc>
        <w:tc>
          <w:tcPr>
            <w:tcW w:w="1266" w:type="dxa"/>
            <w:tcBorders>
              <w:bottom w:val="double" w:sz="6" w:space="0" w:color="000000"/>
            </w:tcBorders>
          </w:tcPr>
          <w:p>
            <w:pPr>
              <w:pStyle w:val="TableParagraph"/>
              <w:spacing w:before="133"/>
              <w:ind w:right="126"/>
              <w:jc w:val="right"/>
              <w:rPr>
                <w:sz w:val="24"/>
              </w:rPr>
            </w:pPr>
            <w:r>
              <w:rPr>
                <w:spacing w:val="-2"/>
                <w:sz w:val="24"/>
              </w:rPr>
              <w:t>-1.236054</w:t>
            </w:r>
          </w:p>
        </w:tc>
        <w:tc>
          <w:tcPr>
            <w:tcW w:w="1197" w:type="dxa"/>
            <w:tcBorders>
              <w:bottom w:val="double" w:sz="6" w:space="0" w:color="000000"/>
            </w:tcBorders>
          </w:tcPr>
          <w:p>
            <w:pPr>
              <w:pStyle w:val="TableParagraph"/>
              <w:spacing w:before="133"/>
              <w:ind w:left="68"/>
              <w:jc w:val="center"/>
              <w:rPr>
                <w:sz w:val="24"/>
              </w:rPr>
            </w:pPr>
            <w:r>
              <w:rPr>
                <w:spacing w:val="-2"/>
                <w:sz w:val="24"/>
              </w:rPr>
              <w:t>0.197457</w:t>
            </w:r>
          </w:p>
        </w:tc>
        <w:tc>
          <w:tcPr>
            <w:tcW w:w="1143" w:type="dxa"/>
            <w:tcBorders>
              <w:bottom w:val="double" w:sz="6" w:space="0" w:color="000000"/>
            </w:tcBorders>
          </w:tcPr>
          <w:p>
            <w:pPr>
              <w:pStyle w:val="TableParagraph"/>
              <w:spacing w:before="133"/>
              <w:ind w:left="58"/>
              <w:jc w:val="center"/>
              <w:rPr>
                <w:sz w:val="24"/>
              </w:rPr>
            </w:pPr>
            <w:r>
              <w:rPr>
                <w:spacing w:val="-2"/>
                <w:sz w:val="24"/>
              </w:rPr>
              <w:t>-6.259857</w:t>
            </w:r>
          </w:p>
        </w:tc>
        <w:tc>
          <w:tcPr>
            <w:tcW w:w="957" w:type="dxa"/>
            <w:tcBorders>
              <w:bottom w:val="double" w:sz="6" w:space="0" w:color="000000"/>
            </w:tcBorders>
          </w:tcPr>
          <w:p>
            <w:pPr>
              <w:pStyle w:val="TableParagraph"/>
              <w:spacing w:before="133"/>
              <w:ind w:right="9"/>
              <w:jc w:val="right"/>
              <w:rPr>
                <w:sz w:val="24"/>
              </w:rPr>
            </w:pPr>
            <w:r>
              <w:rPr>
                <w:spacing w:val="-2"/>
                <w:sz w:val="24"/>
              </w:rPr>
              <w:t>0.0246</w:t>
            </w:r>
          </w:p>
        </w:tc>
      </w:tr>
      <w:tr>
        <w:trPr>
          <w:trHeight w:val="501" w:hRule="atLeast"/>
        </w:trPr>
        <w:tc>
          <w:tcPr>
            <w:tcW w:w="1969" w:type="dxa"/>
            <w:tcBorders>
              <w:top w:val="double" w:sz="6" w:space="0" w:color="000000"/>
            </w:tcBorders>
          </w:tcPr>
          <w:p>
            <w:pPr>
              <w:pStyle w:val="TableParagraph"/>
              <w:spacing w:before="82"/>
              <w:rPr>
                <w:sz w:val="24"/>
              </w:rPr>
            </w:pPr>
            <w:r>
              <w:rPr>
                <w:spacing w:val="-2"/>
                <w:sz w:val="24"/>
              </w:rPr>
              <w:t>R-squared</w:t>
            </w:r>
          </w:p>
        </w:tc>
        <w:tc>
          <w:tcPr>
            <w:tcW w:w="1266" w:type="dxa"/>
            <w:tcBorders>
              <w:top w:val="double" w:sz="6" w:space="0" w:color="000000"/>
            </w:tcBorders>
          </w:tcPr>
          <w:p>
            <w:pPr>
              <w:pStyle w:val="TableParagraph"/>
              <w:spacing w:before="82"/>
              <w:ind w:right="126"/>
              <w:jc w:val="right"/>
              <w:rPr>
                <w:sz w:val="24"/>
              </w:rPr>
            </w:pPr>
            <w:r>
              <w:rPr>
                <w:spacing w:val="-2"/>
                <w:sz w:val="24"/>
              </w:rPr>
              <w:t>0.956424</w:t>
            </w:r>
          </w:p>
        </w:tc>
        <w:tc>
          <w:tcPr>
            <w:tcW w:w="2340" w:type="dxa"/>
            <w:gridSpan w:val="2"/>
            <w:tcBorders>
              <w:top w:val="double" w:sz="6" w:space="0" w:color="000000"/>
            </w:tcBorders>
          </w:tcPr>
          <w:p>
            <w:pPr>
              <w:pStyle w:val="TableParagraph"/>
              <w:spacing w:before="82"/>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2"/>
              <w:ind w:right="9"/>
              <w:jc w:val="right"/>
              <w:rPr>
                <w:sz w:val="24"/>
              </w:rPr>
            </w:pPr>
            <w:r>
              <w:rPr>
                <w:spacing w:val="-2"/>
                <w:sz w:val="24"/>
              </w:rPr>
              <w:t>1102.000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0.912849</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93.56014</w:t>
            </w:r>
          </w:p>
        </w:tc>
      </w:tr>
      <w:tr>
        <w:trPr>
          <w:trHeight w:val="551"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27.62029</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9.758688</w:t>
            </w:r>
          </w:p>
        </w:tc>
      </w:tr>
      <w:tr>
        <w:trPr>
          <w:trHeight w:val="552"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1525.761</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9.524350</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-21.39672</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9.129750</w:t>
            </w:r>
          </w:p>
        </w:tc>
      </w:tr>
      <w:tr>
        <w:trPr>
          <w:trHeight w:val="551"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21.94855</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1.246503</w:t>
            </w:r>
          </w:p>
        </w:tc>
      </w:tr>
      <w:tr>
        <w:trPr>
          <w:trHeight w:val="783"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0.043576</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pStyle w:val="BodyText"/>
        <w:spacing w:before="227"/>
        <w:rPr>
          <w:b/>
        </w:rPr>
      </w:pPr>
    </w:p>
    <w:p>
      <w:pPr>
        <w:spacing w:before="0"/>
        <w:ind w:left="400" w:right="0" w:firstLine="0"/>
        <w:jc w:val="both"/>
        <w:rPr>
          <w:b/>
          <w:sz w:val="24"/>
        </w:rPr>
      </w:pPr>
      <w:r>
        <w:rPr>
          <w:b/>
          <w:sz w:val="24"/>
        </w:rPr>
        <w:t>Decision</w:t>
      </w:r>
      <w:r>
        <w:rPr>
          <w:b/>
          <w:spacing w:val="-5"/>
          <w:sz w:val="24"/>
        </w:rPr>
        <w:t> </w:t>
      </w:r>
      <w:r>
        <w:rPr>
          <w:b/>
          <w:spacing w:val="-4"/>
          <w:sz w:val="24"/>
        </w:rPr>
        <w:t>Rule</w:t>
      </w:r>
    </w:p>
    <w:p>
      <w:pPr>
        <w:pStyle w:val="BodyText"/>
        <w:spacing w:before="156"/>
        <w:rPr>
          <w:b/>
        </w:rPr>
      </w:pPr>
    </w:p>
    <w:p>
      <w:pPr>
        <w:pStyle w:val="BodyText"/>
        <w:spacing w:line="480" w:lineRule="auto"/>
        <w:ind w:left="400" w:right="1318"/>
        <w:jc w:val="both"/>
      </w:pPr>
      <w:r>
        <w:rPr/>
        <w:t>Accept null hypothesis (Ho) if the probability value is above 0.05, if otherwise reject null </w:t>
      </w:r>
      <w:r>
        <w:rPr>
          <w:spacing w:val="-2"/>
        </w:rPr>
        <w:t>hypothesis.</w:t>
      </w:r>
    </w:p>
    <w:p>
      <w:pPr>
        <w:pStyle w:val="Heading2"/>
        <w:spacing w:before="166"/>
      </w:pPr>
      <w:r>
        <w:rPr/>
        <w:t>Analysis</w:t>
      </w:r>
      <w:r>
        <w:rPr>
          <w:spacing w:val="-4"/>
        </w:rPr>
        <w:t> </w:t>
      </w:r>
      <w:r>
        <w:rPr/>
        <w:t>of</w:t>
      </w:r>
      <w:r>
        <w:rPr>
          <w:spacing w:val="-1"/>
        </w:rPr>
        <w:t> </w:t>
      </w:r>
      <w:r>
        <w:rPr/>
        <w:t>the</w:t>
      </w:r>
      <w:r>
        <w:rPr>
          <w:spacing w:val="-3"/>
        </w:rPr>
        <w:t> </w:t>
      </w:r>
      <w:r>
        <w:rPr/>
        <w:t>fifth</w:t>
      </w:r>
      <w:r>
        <w:rPr>
          <w:spacing w:val="-2"/>
        </w:rPr>
        <w:t> </w:t>
      </w:r>
      <w:r>
        <w:rPr/>
        <w:t>regression</w:t>
      </w:r>
      <w:r>
        <w:rPr>
          <w:spacing w:val="-2"/>
        </w:rPr>
        <w:t> </w:t>
      </w:r>
      <w:r>
        <w:rPr/>
        <w:t>output</w:t>
      </w:r>
      <w:r>
        <w:rPr>
          <w:spacing w:val="-3"/>
        </w:rPr>
        <w:t> </w:t>
      </w:r>
      <w:r>
        <w:rPr/>
        <w:t>representing</w:t>
      </w:r>
      <w:r>
        <w:rPr>
          <w:spacing w:val="-2"/>
        </w:rPr>
        <w:t> </w:t>
      </w:r>
      <w:r>
        <w:rPr/>
        <w:t>the</w:t>
      </w:r>
      <w:r>
        <w:rPr>
          <w:spacing w:val="-3"/>
        </w:rPr>
        <w:t> </w:t>
      </w:r>
      <w:r>
        <w:rPr/>
        <w:t>fifth</w:t>
      </w:r>
      <w:r>
        <w:rPr>
          <w:spacing w:val="-1"/>
        </w:rPr>
        <w:t> </w:t>
      </w:r>
      <w:r>
        <w:rPr>
          <w:spacing w:val="-2"/>
        </w:rPr>
        <w:t>model</w:t>
      </w:r>
    </w:p>
    <w:p>
      <w:pPr>
        <w:pStyle w:val="BodyText"/>
        <w:spacing w:before="153"/>
        <w:rPr>
          <w:b/>
        </w:rPr>
      </w:pPr>
    </w:p>
    <w:p>
      <w:pPr>
        <w:pStyle w:val="BodyText"/>
        <w:spacing w:line="480" w:lineRule="auto" w:before="1"/>
        <w:ind w:left="400" w:right="1319"/>
        <w:jc w:val="both"/>
      </w:pPr>
      <w:r>
        <w:rPr/>
        <w:t>From the regression result above, weakness and threats also have negative coefficient indicating decrease in market share as a result increase in weakness and threats. It also shows that, a unit increase in weakness will lead 0.841890 decrease in market share on average. Also a unit increase threats will lead to 1.236054 decrease in market share.</w:t>
      </w:r>
    </w:p>
    <w:p>
      <w:pPr>
        <w:spacing w:after="0" w:line="480" w:lineRule="auto"/>
        <w:jc w:val="both"/>
        <w:sectPr>
          <w:pgSz w:w="12240" w:h="15840"/>
          <w:pgMar w:header="0" w:footer="1017" w:top="1420" w:bottom="1200" w:left="1040" w:right="120"/>
        </w:sectPr>
      </w:pPr>
    </w:p>
    <w:p>
      <w:pPr>
        <w:pStyle w:val="BodyText"/>
        <w:spacing w:line="480" w:lineRule="auto" w:before="72"/>
        <w:ind w:left="400" w:right="1318"/>
        <w:jc w:val="both"/>
      </w:pPr>
      <w:r>
        <w:rPr/>
        <w:t>Also</w:t>
      </w:r>
      <w:r>
        <w:rPr>
          <w:spacing w:val="-2"/>
        </w:rPr>
        <w:t> </w:t>
      </w:r>
      <w:r>
        <w:rPr/>
        <w:t>from</w:t>
      </w:r>
      <w:r>
        <w:rPr>
          <w:spacing w:val="-2"/>
        </w:rPr>
        <w:t> </w:t>
      </w:r>
      <w:r>
        <w:rPr/>
        <w:t>the</w:t>
      </w:r>
      <w:r>
        <w:rPr>
          <w:spacing w:val="-3"/>
        </w:rPr>
        <w:t> </w:t>
      </w:r>
      <w:r>
        <w:rPr/>
        <w:t>result</w:t>
      </w:r>
      <w:r>
        <w:rPr>
          <w:spacing w:val="-2"/>
        </w:rPr>
        <w:t> </w:t>
      </w:r>
      <w:r>
        <w:rPr/>
        <w:t>of</w:t>
      </w:r>
      <w:r>
        <w:rPr>
          <w:spacing w:val="-3"/>
        </w:rPr>
        <w:t> </w:t>
      </w:r>
      <w:r>
        <w:rPr/>
        <w:t>the</w:t>
      </w:r>
      <w:r>
        <w:rPr>
          <w:spacing w:val="-3"/>
        </w:rPr>
        <w:t> </w:t>
      </w:r>
      <w:r>
        <w:rPr/>
        <w:t>probability</w:t>
      </w:r>
      <w:r>
        <w:rPr>
          <w:spacing w:val="-5"/>
        </w:rPr>
        <w:t> </w:t>
      </w:r>
      <w:r>
        <w:rPr/>
        <w:t>value</w:t>
      </w:r>
      <w:r>
        <w:rPr>
          <w:spacing w:val="-1"/>
        </w:rPr>
        <w:t> </w:t>
      </w:r>
      <w:r>
        <w:rPr/>
        <w:t>which is</w:t>
      </w:r>
      <w:r>
        <w:rPr>
          <w:spacing w:val="-2"/>
        </w:rPr>
        <w:t> </w:t>
      </w:r>
      <w:r>
        <w:rPr/>
        <w:t>less</w:t>
      </w:r>
      <w:r>
        <w:rPr>
          <w:spacing w:val="-2"/>
        </w:rPr>
        <w:t> </w:t>
      </w:r>
      <w:r>
        <w:rPr/>
        <w:t>than</w:t>
      </w:r>
      <w:r>
        <w:rPr>
          <w:spacing w:val="-2"/>
        </w:rPr>
        <w:t> </w:t>
      </w:r>
      <w:r>
        <w:rPr/>
        <w:t>0.05</w:t>
      </w:r>
      <w:r>
        <w:rPr>
          <w:spacing w:val="-2"/>
        </w:rPr>
        <w:t> </w:t>
      </w:r>
      <w:r>
        <w:rPr/>
        <w:t>in</w:t>
      </w:r>
      <w:r>
        <w:rPr>
          <w:spacing w:val="-2"/>
        </w:rPr>
        <w:t> </w:t>
      </w:r>
      <w:r>
        <w:rPr/>
        <w:t>both weakness and</w:t>
      </w:r>
      <w:r>
        <w:rPr>
          <w:spacing w:val="-2"/>
        </w:rPr>
        <w:t> </w:t>
      </w:r>
      <w:r>
        <w:rPr/>
        <w:t>threats, it implies that weakness and threats have significant impact on market share, it means that weakness and threats are not significant variables to determine market share.</w:t>
      </w:r>
    </w:p>
    <w:p>
      <w:pPr>
        <w:pStyle w:val="Heading2"/>
        <w:spacing w:before="165"/>
      </w:pPr>
      <w:r>
        <w:rPr/>
        <w:t>Regression</w:t>
      </w:r>
      <w:r>
        <w:rPr>
          <w:spacing w:val="-2"/>
        </w:rPr>
        <w:t> </w:t>
      </w:r>
      <w:r>
        <w:rPr/>
        <w:t>result</w:t>
      </w:r>
      <w:r>
        <w:rPr>
          <w:spacing w:val="-3"/>
        </w:rPr>
        <w:t> </w:t>
      </w:r>
      <w:r>
        <w:rPr/>
        <w:t>of the</w:t>
      </w:r>
      <w:r>
        <w:rPr>
          <w:spacing w:val="-1"/>
        </w:rPr>
        <w:t> </w:t>
      </w:r>
      <w:r>
        <w:rPr/>
        <w:t>sixth</w:t>
      </w:r>
      <w:r>
        <w:rPr>
          <w:spacing w:val="-1"/>
        </w:rPr>
        <w:t> </w:t>
      </w:r>
      <w:r>
        <w:rPr>
          <w:spacing w:val="-4"/>
        </w:rPr>
        <w:t>model</w:t>
      </w:r>
    </w:p>
    <w:p>
      <w:pPr>
        <w:pStyle w:val="BodyText"/>
        <w:spacing w:before="44" w:after="1"/>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1266"/>
        <w:gridCol w:w="1197"/>
        <w:gridCol w:w="1143"/>
        <w:gridCol w:w="957"/>
      </w:tblGrid>
      <w:tr>
        <w:trPr>
          <w:trHeight w:val="408" w:hRule="atLeast"/>
        </w:trPr>
        <w:tc>
          <w:tcPr>
            <w:tcW w:w="6532" w:type="dxa"/>
            <w:gridSpan w:val="5"/>
          </w:tcPr>
          <w:p>
            <w:pPr>
              <w:pStyle w:val="TableParagraph"/>
              <w:spacing w:line="266" w:lineRule="exact"/>
              <w:rPr>
                <w:sz w:val="24"/>
              </w:rPr>
            </w:pPr>
            <w:r>
              <w:rPr>
                <w:sz w:val="24"/>
              </w:rPr>
              <w:t>Dependent</w:t>
            </w:r>
            <w:r>
              <w:rPr>
                <w:spacing w:val="-4"/>
                <w:sz w:val="24"/>
              </w:rPr>
              <w:t> </w:t>
            </w:r>
            <w:r>
              <w:rPr>
                <w:sz w:val="24"/>
              </w:rPr>
              <w:t>Variable:</w:t>
            </w:r>
            <w:r>
              <w:rPr>
                <w:spacing w:val="-3"/>
                <w:sz w:val="24"/>
              </w:rPr>
              <w:t> </w:t>
            </w:r>
            <w:r>
              <w:rPr>
                <w:spacing w:val="-5"/>
                <w:sz w:val="24"/>
              </w:rPr>
              <w:t>QS</w:t>
            </w:r>
          </w:p>
        </w:tc>
      </w:tr>
      <w:tr>
        <w:trPr>
          <w:trHeight w:val="552" w:hRule="atLeast"/>
        </w:trPr>
        <w:tc>
          <w:tcPr>
            <w:tcW w:w="6532" w:type="dxa"/>
            <w:gridSpan w:val="5"/>
          </w:tcPr>
          <w:p>
            <w:pPr>
              <w:pStyle w:val="TableParagraph"/>
              <w:spacing w:before="133"/>
              <w:rPr>
                <w:sz w:val="24"/>
              </w:rPr>
            </w:pPr>
            <w:r>
              <w:rPr>
                <w:sz w:val="24"/>
              </w:rPr>
              <w:t>Method:</w:t>
            </w:r>
            <w:r>
              <w:rPr>
                <w:spacing w:val="-2"/>
                <w:sz w:val="24"/>
              </w:rPr>
              <w:t> </w:t>
            </w:r>
            <w:r>
              <w:rPr>
                <w:sz w:val="24"/>
              </w:rPr>
              <w:t>Least</w:t>
            </w:r>
            <w:r>
              <w:rPr>
                <w:spacing w:val="-3"/>
                <w:sz w:val="24"/>
              </w:rPr>
              <w:t> </w:t>
            </w:r>
            <w:r>
              <w:rPr>
                <w:spacing w:val="-2"/>
                <w:sz w:val="24"/>
              </w:rPr>
              <w:t>Squares</w:t>
            </w:r>
          </w:p>
        </w:tc>
      </w:tr>
      <w:tr>
        <w:trPr>
          <w:trHeight w:val="551" w:hRule="atLeast"/>
        </w:trPr>
        <w:tc>
          <w:tcPr>
            <w:tcW w:w="6532" w:type="dxa"/>
            <w:gridSpan w:val="5"/>
          </w:tcPr>
          <w:p>
            <w:pPr>
              <w:pStyle w:val="TableParagraph"/>
              <w:spacing w:before="133"/>
              <w:rPr>
                <w:sz w:val="24"/>
              </w:rPr>
            </w:pPr>
            <w:r>
              <w:rPr>
                <w:sz w:val="24"/>
              </w:rPr>
              <w:t>Date:</w:t>
            </w:r>
            <w:r>
              <w:rPr>
                <w:spacing w:val="-1"/>
                <w:sz w:val="24"/>
              </w:rPr>
              <w:t> </w:t>
            </w:r>
            <w:r>
              <w:rPr>
                <w:sz w:val="24"/>
              </w:rPr>
              <w:t>08/07/18</w:t>
            </w:r>
            <w:r>
              <w:rPr>
                <w:spacing w:val="28"/>
                <w:sz w:val="24"/>
              </w:rPr>
              <w:t>  </w:t>
            </w:r>
            <w:r>
              <w:rPr>
                <w:sz w:val="24"/>
              </w:rPr>
              <w:t>Time: </w:t>
            </w:r>
            <w:r>
              <w:rPr>
                <w:spacing w:val="-2"/>
                <w:sz w:val="24"/>
              </w:rPr>
              <w:t>08:48</w:t>
            </w:r>
          </w:p>
        </w:tc>
      </w:tr>
      <w:tr>
        <w:trPr>
          <w:trHeight w:val="552" w:hRule="atLeast"/>
        </w:trPr>
        <w:tc>
          <w:tcPr>
            <w:tcW w:w="1969" w:type="dxa"/>
          </w:tcPr>
          <w:p>
            <w:pPr>
              <w:pStyle w:val="TableParagraph"/>
              <w:spacing w:before="133"/>
              <w:rPr>
                <w:sz w:val="24"/>
              </w:rPr>
            </w:pPr>
            <w:r>
              <w:rPr>
                <w:sz w:val="24"/>
              </w:rPr>
              <w:t>Sample:</w:t>
            </w:r>
            <w:r>
              <w:rPr>
                <w:spacing w:val="-3"/>
                <w:sz w:val="24"/>
              </w:rPr>
              <w:t> </w:t>
            </w:r>
            <w:r>
              <w:rPr>
                <w:sz w:val="24"/>
              </w:rPr>
              <w:t>1</w:t>
            </w:r>
            <w:r>
              <w:rPr>
                <w:spacing w:val="-1"/>
                <w:sz w:val="24"/>
              </w:rPr>
              <w:t> </w:t>
            </w:r>
            <w:r>
              <w:rPr>
                <w:spacing w:val="-10"/>
                <w:sz w:val="24"/>
              </w:rPr>
              <w:t>5</w:t>
            </w:r>
          </w:p>
        </w:tc>
        <w:tc>
          <w:tcPr>
            <w:tcW w:w="1266" w:type="dxa"/>
          </w:tcPr>
          <w:p>
            <w:pPr>
              <w:pStyle w:val="TableParagraph"/>
              <w:rPr>
                <w:sz w:val="24"/>
              </w:rPr>
            </w:pPr>
          </w:p>
        </w:tc>
        <w:tc>
          <w:tcPr>
            <w:tcW w:w="1197" w:type="dxa"/>
          </w:tcPr>
          <w:p>
            <w:pPr>
              <w:pStyle w:val="TableParagraph"/>
              <w:rPr>
                <w:sz w:val="24"/>
              </w:rPr>
            </w:pPr>
          </w:p>
        </w:tc>
        <w:tc>
          <w:tcPr>
            <w:tcW w:w="1143" w:type="dxa"/>
          </w:tcPr>
          <w:p>
            <w:pPr>
              <w:pStyle w:val="TableParagraph"/>
              <w:rPr>
                <w:sz w:val="24"/>
              </w:rPr>
            </w:pPr>
          </w:p>
        </w:tc>
        <w:tc>
          <w:tcPr>
            <w:tcW w:w="957" w:type="dxa"/>
          </w:tcPr>
          <w:p>
            <w:pPr>
              <w:pStyle w:val="TableParagraph"/>
              <w:rPr>
                <w:sz w:val="24"/>
              </w:rPr>
            </w:pPr>
          </w:p>
        </w:tc>
      </w:tr>
      <w:tr>
        <w:trPr>
          <w:trHeight w:val="780" w:hRule="atLeast"/>
        </w:trPr>
        <w:tc>
          <w:tcPr>
            <w:tcW w:w="6532" w:type="dxa"/>
            <w:gridSpan w:val="5"/>
            <w:tcBorders>
              <w:bottom w:val="double" w:sz="6" w:space="0" w:color="000000"/>
            </w:tcBorders>
          </w:tcPr>
          <w:p>
            <w:pPr>
              <w:pStyle w:val="TableParagraph"/>
              <w:spacing w:before="133"/>
              <w:rPr>
                <w:sz w:val="24"/>
              </w:rPr>
            </w:pPr>
            <w:r>
              <w:rPr>
                <w:sz w:val="24"/>
              </w:rPr>
              <w:t>Included</w:t>
            </w:r>
            <w:r>
              <w:rPr>
                <w:spacing w:val="-3"/>
                <w:sz w:val="24"/>
              </w:rPr>
              <w:t> </w:t>
            </w:r>
            <w:r>
              <w:rPr>
                <w:sz w:val="24"/>
              </w:rPr>
              <w:t>observations:</w:t>
            </w:r>
            <w:r>
              <w:rPr>
                <w:spacing w:val="-2"/>
                <w:sz w:val="24"/>
              </w:rPr>
              <w:t> </w:t>
            </w:r>
            <w:r>
              <w:rPr>
                <w:spacing w:val="-10"/>
                <w:sz w:val="24"/>
              </w:rPr>
              <w:t>5</w:t>
            </w:r>
          </w:p>
        </w:tc>
      </w:tr>
      <w:tr>
        <w:trPr>
          <w:trHeight w:val="732" w:hRule="atLeast"/>
        </w:trPr>
        <w:tc>
          <w:tcPr>
            <w:tcW w:w="1969" w:type="dxa"/>
            <w:tcBorders>
              <w:top w:val="double" w:sz="6" w:space="0" w:color="000000"/>
              <w:bottom w:val="double" w:sz="6" w:space="0" w:color="000000"/>
            </w:tcBorders>
          </w:tcPr>
          <w:p>
            <w:pPr>
              <w:pStyle w:val="TableParagraph"/>
              <w:spacing w:before="82"/>
              <w:ind w:left="595"/>
              <w:rPr>
                <w:sz w:val="24"/>
              </w:rPr>
            </w:pPr>
            <w:r>
              <w:rPr>
                <w:spacing w:val="-2"/>
                <w:sz w:val="24"/>
              </w:rPr>
              <w:t>Variable</w:t>
            </w:r>
          </w:p>
        </w:tc>
        <w:tc>
          <w:tcPr>
            <w:tcW w:w="1266" w:type="dxa"/>
            <w:tcBorders>
              <w:top w:val="double" w:sz="6" w:space="0" w:color="000000"/>
              <w:bottom w:val="double" w:sz="6" w:space="0" w:color="000000"/>
            </w:tcBorders>
          </w:tcPr>
          <w:p>
            <w:pPr>
              <w:pStyle w:val="TableParagraph"/>
              <w:spacing w:before="82"/>
              <w:ind w:right="128"/>
              <w:jc w:val="right"/>
              <w:rPr>
                <w:sz w:val="24"/>
              </w:rPr>
            </w:pPr>
            <w:r>
              <w:rPr>
                <w:spacing w:val="-2"/>
                <w:sz w:val="24"/>
              </w:rPr>
              <w:t>Coefficient</w:t>
            </w:r>
          </w:p>
        </w:tc>
        <w:tc>
          <w:tcPr>
            <w:tcW w:w="1197" w:type="dxa"/>
            <w:tcBorders>
              <w:top w:val="double" w:sz="6" w:space="0" w:color="000000"/>
              <w:bottom w:val="double" w:sz="6" w:space="0" w:color="000000"/>
            </w:tcBorders>
          </w:tcPr>
          <w:p>
            <w:pPr>
              <w:pStyle w:val="TableParagraph"/>
              <w:spacing w:before="82"/>
              <w:ind w:left="68" w:right="45"/>
              <w:jc w:val="center"/>
              <w:rPr>
                <w:sz w:val="24"/>
              </w:rPr>
            </w:pPr>
            <w:r>
              <w:rPr>
                <w:sz w:val="24"/>
              </w:rPr>
              <w:t>Std. </w:t>
            </w:r>
            <w:r>
              <w:rPr>
                <w:spacing w:val="-2"/>
                <w:sz w:val="24"/>
              </w:rPr>
              <w:t>Error</w:t>
            </w:r>
          </w:p>
        </w:tc>
        <w:tc>
          <w:tcPr>
            <w:tcW w:w="1143" w:type="dxa"/>
            <w:tcBorders>
              <w:top w:val="double" w:sz="6" w:space="0" w:color="000000"/>
              <w:bottom w:val="double" w:sz="6" w:space="0" w:color="000000"/>
            </w:tcBorders>
          </w:tcPr>
          <w:p>
            <w:pPr>
              <w:pStyle w:val="TableParagraph"/>
              <w:spacing w:before="82"/>
              <w:ind w:left="137" w:right="15"/>
              <w:jc w:val="center"/>
              <w:rPr>
                <w:sz w:val="24"/>
              </w:rPr>
            </w:pPr>
            <w:r>
              <w:rPr>
                <w:spacing w:val="-2"/>
                <w:sz w:val="24"/>
              </w:rPr>
              <w:t>t-Statistic</w:t>
            </w:r>
          </w:p>
        </w:tc>
        <w:tc>
          <w:tcPr>
            <w:tcW w:w="957" w:type="dxa"/>
            <w:tcBorders>
              <w:top w:val="double" w:sz="6" w:space="0" w:color="000000"/>
              <w:bottom w:val="double" w:sz="6" w:space="0" w:color="000000"/>
            </w:tcBorders>
          </w:tcPr>
          <w:p>
            <w:pPr>
              <w:pStyle w:val="TableParagraph"/>
              <w:spacing w:before="82"/>
              <w:ind w:left="312"/>
              <w:rPr>
                <w:sz w:val="24"/>
              </w:rPr>
            </w:pPr>
            <w:r>
              <w:rPr>
                <w:spacing w:val="-2"/>
                <w:sz w:val="24"/>
              </w:rPr>
              <w:t>Prob.</w:t>
            </w:r>
          </w:p>
        </w:tc>
      </w:tr>
      <w:tr>
        <w:trPr>
          <w:trHeight w:val="501" w:hRule="atLeast"/>
        </w:trPr>
        <w:tc>
          <w:tcPr>
            <w:tcW w:w="1969" w:type="dxa"/>
            <w:tcBorders>
              <w:top w:val="double" w:sz="6" w:space="0" w:color="000000"/>
            </w:tcBorders>
          </w:tcPr>
          <w:p>
            <w:pPr>
              <w:pStyle w:val="TableParagraph"/>
              <w:spacing w:before="82"/>
              <w:ind w:left="46" w:right="3"/>
              <w:jc w:val="center"/>
              <w:rPr>
                <w:sz w:val="24"/>
              </w:rPr>
            </w:pPr>
            <w:r>
              <w:rPr>
                <w:spacing w:val="-10"/>
                <w:sz w:val="24"/>
              </w:rPr>
              <w:t>C</w:t>
            </w:r>
          </w:p>
        </w:tc>
        <w:tc>
          <w:tcPr>
            <w:tcW w:w="1266" w:type="dxa"/>
            <w:tcBorders>
              <w:top w:val="double" w:sz="6" w:space="0" w:color="000000"/>
            </w:tcBorders>
          </w:tcPr>
          <w:p>
            <w:pPr>
              <w:pStyle w:val="TableParagraph"/>
              <w:spacing w:before="82"/>
              <w:ind w:right="126"/>
              <w:jc w:val="right"/>
              <w:rPr>
                <w:sz w:val="24"/>
              </w:rPr>
            </w:pPr>
            <w:r>
              <w:rPr>
                <w:spacing w:val="-2"/>
                <w:sz w:val="24"/>
              </w:rPr>
              <w:t>364.9800</w:t>
            </w:r>
          </w:p>
        </w:tc>
        <w:tc>
          <w:tcPr>
            <w:tcW w:w="1197" w:type="dxa"/>
            <w:tcBorders>
              <w:top w:val="double" w:sz="6" w:space="0" w:color="000000"/>
            </w:tcBorders>
          </w:tcPr>
          <w:p>
            <w:pPr>
              <w:pStyle w:val="TableParagraph"/>
              <w:spacing w:before="82"/>
              <w:ind w:left="68"/>
              <w:jc w:val="center"/>
              <w:rPr>
                <w:sz w:val="24"/>
              </w:rPr>
            </w:pPr>
            <w:r>
              <w:rPr>
                <w:spacing w:val="-2"/>
                <w:sz w:val="24"/>
              </w:rPr>
              <w:t>337.8703</w:t>
            </w:r>
          </w:p>
        </w:tc>
        <w:tc>
          <w:tcPr>
            <w:tcW w:w="1143" w:type="dxa"/>
            <w:tcBorders>
              <w:top w:val="double" w:sz="6" w:space="0" w:color="000000"/>
            </w:tcBorders>
          </w:tcPr>
          <w:p>
            <w:pPr>
              <w:pStyle w:val="TableParagraph"/>
              <w:spacing w:before="82"/>
              <w:ind w:left="137"/>
              <w:jc w:val="center"/>
              <w:rPr>
                <w:sz w:val="24"/>
              </w:rPr>
            </w:pPr>
            <w:r>
              <w:rPr>
                <w:spacing w:val="-2"/>
                <w:sz w:val="24"/>
              </w:rPr>
              <w:t>1.080237</w:t>
            </w:r>
          </w:p>
        </w:tc>
        <w:tc>
          <w:tcPr>
            <w:tcW w:w="957" w:type="dxa"/>
            <w:tcBorders>
              <w:top w:val="double" w:sz="6" w:space="0" w:color="000000"/>
            </w:tcBorders>
          </w:tcPr>
          <w:p>
            <w:pPr>
              <w:pStyle w:val="TableParagraph"/>
              <w:spacing w:before="82"/>
              <w:ind w:right="9"/>
              <w:jc w:val="right"/>
              <w:rPr>
                <w:sz w:val="24"/>
              </w:rPr>
            </w:pPr>
            <w:r>
              <w:rPr>
                <w:spacing w:val="-2"/>
                <w:sz w:val="24"/>
              </w:rPr>
              <w:t>0.3930</w:t>
            </w:r>
          </w:p>
        </w:tc>
      </w:tr>
      <w:tr>
        <w:trPr>
          <w:trHeight w:val="552" w:hRule="atLeast"/>
        </w:trPr>
        <w:tc>
          <w:tcPr>
            <w:tcW w:w="1969" w:type="dxa"/>
          </w:tcPr>
          <w:p>
            <w:pPr>
              <w:pStyle w:val="TableParagraph"/>
              <w:spacing w:before="133"/>
              <w:ind w:left="46"/>
              <w:jc w:val="center"/>
              <w:rPr>
                <w:sz w:val="24"/>
              </w:rPr>
            </w:pPr>
            <w:r>
              <w:rPr>
                <w:spacing w:val="-5"/>
                <w:sz w:val="24"/>
              </w:rPr>
              <w:t>WK</w:t>
            </w:r>
          </w:p>
        </w:tc>
        <w:tc>
          <w:tcPr>
            <w:tcW w:w="1266" w:type="dxa"/>
          </w:tcPr>
          <w:p>
            <w:pPr>
              <w:pStyle w:val="TableParagraph"/>
              <w:spacing w:before="133"/>
              <w:ind w:right="126"/>
              <w:jc w:val="right"/>
              <w:rPr>
                <w:sz w:val="24"/>
              </w:rPr>
            </w:pPr>
            <w:r>
              <w:rPr>
                <w:spacing w:val="-2"/>
                <w:sz w:val="24"/>
              </w:rPr>
              <w:t>-0.028827</w:t>
            </w:r>
          </w:p>
        </w:tc>
        <w:tc>
          <w:tcPr>
            <w:tcW w:w="1197" w:type="dxa"/>
          </w:tcPr>
          <w:p>
            <w:pPr>
              <w:pStyle w:val="TableParagraph"/>
              <w:spacing w:before="133"/>
              <w:ind w:left="68"/>
              <w:jc w:val="center"/>
              <w:rPr>
                <w:sz w:val="24"/>
              </w:rPr>
            </w:pPr>
            <w:r>
              <w:rPr>
                <w:spacing w:val="-2"/>
                <w:sz w:val="24"/>
              </w:rPr>
              <w:t>0.177383</w:t>
            </w:r>
          </w:p>
        </w:tc>
        <w:tc>
          <w:tcPr>
            <w:tcW w:w="1143" w:type="dxa"/>
          </w:tcPr>
          <w:p>
            <w:pPr>
              <w:pStyle w:val="TableParagraph"/>
              <w:spacing w:before="133"/>
              <w:ind w:left="137"/>
              <w:jc w:val="center"/>
              <w:rPr>
                <w:sz w:val="24"/>
              </w:rPr>
            </w:pPr>
            <w:r>
              <w:rPr>
                <w:spacing w:val="-2"/>
                <w:sz w:val="24"/>
              </w:rPr>
              <w:t>0.162515</w:t>
            </w:r>
          </w:p>
        </w:tc>
        <w:tc>
          <w:tcPr>
            <w:tcW w:w="957" w:type="dxa"/>
          </w:tcPr>
          <w:p>
            <w:pPr>
              <w:pStyle w:val="TableParagraph"/>
              <w:spacing w:before="133"/>
              <w:ind w:right="9"/>
              <w:jc w:val="right"/>
              <w:rPr>
                <w:sz w:val="24"/>
              </w:rPr>
            </w:pPr>
            <w:r>
              <w:rPr>
                <w:spacing w:val="-2"/>
                <w:sz w:val="24"/>
              </w:rPr>
              <w:t>0.0758</w:t>
            </w:r>
          </w:p>
        </w:tc>
      </w:tr>
      <w:tr>
        <w:trPr>
          <w:trHeight w:val="780" w:hRule="atLeast"/>
        </w:trPr>
        <w:tc>
          <w:tcPr>
            <w:tcW w:w="1969" w:type="dxa"/>
            <w:tcBorders>
              <w:bottom w:val="double" w:sz="6" w:space="0" w:color="000000"/>
            </w:tcBorders>
          </w:tcPr>
          <w:p>
            <w:pPr>
              <w:pStyle w:val="TableParagraph"/>
              <w:spacing w:before="133"/>
              <w:ind w:left="46" w:right="1"/>
              <w:jc w:val="center"/>
              <w:rPr>
                <w:sz w:val="24"/>
              </w:rPr>
            </w:pPr>
            <w:r>
              <w:rPr>
                <w:spacing w:val="-5"/>
                <w:sz w:val="24"/>
              </w:rPr>
              <w:t>TR</w:t>
            </w:r>
          </w:p>
        </w:tc>
        <w:tc>
          <w:tcPr>
            <w:tcW w:w="1266" w:type="dxa"/>
            <w:tcBorders>
              <w:bottom w:val="double" w:sz="6" w:space="0" w:color="000000"/>
            </w:tcBorders>
          </w:tcPr>
          <w:p>
            <w:pPr>
              <w:pStyle w:val="TableParagraph"/>
              <w:spacing w:before="133"/>
              <w:ind w:right="126"/>
              <w:jc w:val="right"/>
              <w:rPr>
                <w:sz w:val="24"/>
              </w:rPr>
            </w:pPr>
            <w:r>
              <w:rPr>
                <w:spacing w:val="-2"/>
                <w:sz w:val="24"/>
              </w:rPr>
              <w:t>-0.059324</w:t>
            </w:r>
          </w:p>
        </w:tc>
        <w:tc>
          <w:tcPr>
            <w:tcW w:w="1197" w:type="dxa"/>
            <w:tcBorders>
              <w:bottom w:val="double" w:sz="6" w:space="0" w:color="000000"/>
            </w:tcBorders>
          </w:tcPr>
          <w:p>
            <w:pPr>
              <w:pStyle w:val="TableParagraph"/>
              <w:spacing w:before="133"/>
              <w:ind w:left="68"/>
              <w:jc w:val="center"/>
              <w:rPr>
                <w:sz w:val="24"/>
              </w:rPr>
            </w:pPr>
            <w:r>
              <w:rPr>
                <w:spacing w:val="-2"/>
                <w:sz w:val="24"/>
              </w:rPr>
              <w:t>0.142843</w:t>
            </w:r>
          </w:p>
        </w:tc>
        <w:tc>
          <w:tcPr>
            <w:tcW w:w="1143" w:type="dxa"/>
            <w:tcBorders>
              <w:bottom w:val="double" w:sz="6" w:space="0" w:color="000000"/>
            </w:tcBorders>
          </w:tcPr>
          <w:p>
            <w:pPr>
              <w:pStyle w:val="TableParagraph"/>
              <w:spacing w:before="133"/>
              <w:ind w:left="58"/>
              <w:jc w:val="center"/>
              <w:rPr>
                <w:sz w:val="24"/>
              </w:rPr>
            </w:pPr>
            <w:r>
              <w:rPr>
                <w:spacing w:val="-2"/>
                <w:sz w:val="24"/>
              </w:rPr>
              <w:t>-0.415311</w:t>
            </w:r>
          </w:p>
        </w:tc>
        <w:tc>
          <w:tcPr>
            <w:tcW w:w="957" w:type="dxa"/>
            <w:tcBorders>
              <w:bottom w:val="double" w:sz="6" w:space="0" w:color="000000"/>
            </w:tcBorders>
          </w:tcPr>
          <w:p>
            <w:pPr>
              <w:pStyle w:val="TableParagraph"/>
              <w:spacing w:before="133"/>
              <w:ind w:right="9"/>
              <w:jc w:val="right"/>
              <w:rPr>
                <w:sz w:val="24"/>
              </w:rPr>
            </w:pPr>
            <w:r>
              <w:rPr>
                <w:spacing w:val="-2"/>
                <w:sz w:val="24"/>
              </w:rPr>
              <w:t>0.0182</w:t>
            </w:r>
          </w:p>
        </w:tc>
      </w:tr>
      <w:tr>
        <w:trPr>
          <w:trHeight w:val="503" w:hRule="atLeast"/>
        </w:trPr>
        <w:tc>
          <w:tcPr>
            <w:tcW w:w="1969" w:type="dxa"/>
            <w:tcBorders>
              <w:top w:val="double" w:sz="6" w:space="0" w:color="000000"/>
            </w:tcBorders>
          </w:tcPr>
          <w:p>
            <w:pPr>
              <w:pStyle w:val="TableParagraph"/>
              <w:spacing w:before="84"/>
              <w:rPr>
                <w:sz w:val="24"/>
              </w:rPr>
            </w:pPr>
            <w:r>
              <w:rPr>
                <w:spacing w:val="-2"/>
                <w:sz w:val="24"/>
              </w:rPr>
              <w:t>R-squared</w:t>
            </w:r>
          </w:p>
        </w:tc>
        <w:tc>
          <w:tcPr>
            <w:tcW w:w="1266" w:type="dxa"/>
            <w:tcBorders>
              <w:top w:val="double" w:sz="6" w:space="0" w:color="000000"/>
            </w:tcBorders>
          </w:tcPr>
          <w:p>
            <w:pPr>
              <w:pStyle w:val="TableParagraph"/>
              <w:spacing w:before="84"/>
              <w:ind w:right="126"/>
              <w:jc w:val="right"/>
              <w:rPr>
                <w:sz w:val="24"/>
              </w:rPr>
            </w:pPr>
            <w:r>
              <w:rPr>
                <w:spacing w:val="-2"/>
                <w:sz w:val="24"/>
              </w:rPr>
              <w:t>0.270941</w:t>
            </w:r>
          </w:p>
        </w:tc>
        <w:tc>
          <w:tcPr>
            <w:tcW w:w="2340" w:type="dxa"/>
            <w:gridSpan w:val="2"/>
            <w:tcBorders>
              <w:top w:val="double" w:sz="6" w:space="0" w:color="000000"/>
            </w:tcBorders>
          </w:tcPr>
          <w:p>
            <w:pPr>
              <w:pStyle w:val="TableParagraph"/>
              <w:spacing w:before="84"/>
              <w:ind w:left="125"/>
              <w:rPr>
                <w:sz w:val="24"/>
              </w:rPr>
            </w:pPr>
            <w:r>
              <w:rPr>
                <w:sz w:val="24"/>
              </w:rPr>
              <w:t>Mean</w:t>
            </w:r>
            <w:r>
              <w:rPr>
                <w:spacing w:val="-2"/>
                <w:sz w:val="24"/>
              </w:rPr>
              <w:t> </w:t>
            </w:r>
            <w:r>
              <w:rPr>
                <w:sz w:val="24"/>
              </w:rPr>
              <w:t>dependent</w:t>
            </w:r>
            <w:r>
              <w:rPr>
                <w:spacing w:val="-1"/>
                <w:sz w:val="24"/>
              </w:rPr>
              <w:t> </w:t>
            </w:r>
            <w:r>
              <w:rPr>
                <w:spacing w:val="-5"/>
                <w:sz w:val="24"/>
              </w:rPr>
              <w:t>var</w:t>
            </w:r>
          </w:p>
        </w:tc>
        <w:tc>
          <w:tcPr>
            <w:tcW w:w="957" w:type="dxa"/>
            <w:tcBorders>
              <w:top w:val="double" w:sz="6" w:space="0" w:color="000000"/>
            </w:tcBorders>
          </w:tcPr>
          <w:p>
            <w:pPr>
              <w:pStyle w:val="TableParagraph"/>
              <w:spacing w:before="84"/>
              <w:ind w:right="9"/>
              <w:jc w:val="right"/>
              <w:rPr>
                <w:sz w:val="24"/>
              </w:rPr>
            </w:pPr>
            <w:r>
              <w:rPr>
                <w:spacing w:val="-2"/>
                <w:sz w:val="24"/>
              </w:rPr>
              <w:t>331.4000</w:t>
            </w:r>
          </w:p>
        </w:tc>
      </w:tr>
      <w:tr>
        <w:trPr>
          <w:trHeight w:val="552" w:hRule="atLeast"/>
        </w:trPr>
        <w:tc>
          <w:tcPr>
            <w:tcW w:w="1969" w:type="dxa"/>
          </w:tcPr>
          <w:p>
            <w:pPr>
              <w:pStyle w:val="TableParagraph"/>
              <w:spacing w:before="133"/>
              <w:rPr>
                <w:sz w:val="24"/>
              </w:rPr>
            </w:pPr>
            <w:r>
              <w:rPr>
                <w:sz w:val="24"/>
              </w:rPr>
              <w:t>Adjusted</w:t>
            </w:r>
            <w:r>
              <w:rPr>
                <w:spacing w:val="-3"/>
                <w:sz w:val="24"/>
              </w:rPr>
              <w:t> </w:t>
            </w:r>
            <w:r>
              <w:rPr>
                <w:sz w:val="24"/>
              </w:rPr>
              <w:t>R-</w:t>
            </w:r>
            <w:r>
              <w:rPr>
                <w:spacing w:val="-2"/>
                <w:sz w:val="24"/>
              </w:rPr>
              <w:t>squared</w:t>
            </w:r>
          </w:p>
        </w:tc>
        <w:tc>
          <w:tcPr>
            <w:tcW w:w="1266" w:type="dxa"/>
          </w:tcPr>
          <w:p>
            <w:pPr>
              <w:pStyle w:val="TableParagraph"/>
              <w:spacing w:before="133"/>
              <w:ind w:right="126"/>
              <w:jc w:val="right"/>
              <w:rPr>
                <w:sz w:val="24"/>
              </w:rPr>
            </w:pPr>
            <w:r>
              <w:rPr>
                <w:spacing w:val="-2"/>
                <w:sz w:val="24"/>
              </w:rPr>
              <w:t>-0.458118</w:t>
            </w:r>
          </w:p>
        </w:tc>
        <w:tc>
          <w:tcPr>
            <w:tcW w:w="2340" w:type="dxa"/>
            <w:gridSpan w:val="2"/>
          </w:tcPr>
          <w:p>
            <w:pPr>
              <w:pStyle w:val="TableParagraph"/>
              <w:spacing w:before="133"/>
              <w:ind w:left="125"/>
              <w:rPr>
                <w:sz w:val="24"/>
              </w:rPr>
            </w:pPr>
            <w:r>
              <w:rPr>
                <w:sz w:val="24"/>
              </w:rPr>
              <w:t>S.D.</w:t>
            </w:r>
            <w:r>
              <w:rPr>
                <w:spacing w:val="-4"/>
                <w:sz w:val="24"/>
              </w:rPr>
              <w:t> </w:t>
            </w:r>
            <w:r>
              <w:rPr>
                <w:sz w:val="24"/>
              </w:rPr>
              <w:t>dependent</w:t>
            </w:r>
            <w:r>
              <w:rPr>
                <w:spacing w:val="-2"/>
                <w:sz w:val="24"/>
              </w:rPr>
              <w:t> </w:t>
            </w:r>
            <w:r>
              <w:rPr>
                <w:spacing w:val="-5"/>
                <w:sz w:val="24"/>
              </w:rPr>
              <w:t>var</w:t>
            </w:r>
          </w:p>
        </w:tc>
        <w:tc>
          <w:tcPr>
            <w:tcW w:w="957" w:type="dxa"/>
          </w:tcPr>
          <w:p>
            <w:pPr>
              <w:pStyle w:val="TableParagraph"/>
              <w:spacing w:before="133"/>
              <w:ind w:right="9"/>
              <w:jc w:val="right"/>
              <w:rPr>
                <w:sz w:val="24"/>
              </w:rPr>
            </w:pPr>
            <w:r>
              <w:rPr>
                <w:spacing w:val="-2"/>
                <w:sz w:val="24"/>
              </w:rPr>
              <w:t>16.54690</w:t>
            </w:r>
          </w:p>
        </w:tc>
      </w:tr>
      <w:tr>
        <w:trPr>
          <w:trHeight w:val="552" w:hRule="atLeast"/>
        </w:trPr>
        <w:tc>
          <w:tcPr>
            <w:tcW w:w="1969" w:type="dxa"/>
          </w:tcPr>
          <w:p>
            <w:pPr>
              <w:pStyle w:val="TableParagraph"/>
              <w:spacing w:before="133"/>
              <w:rPr>
                <w:sz w:val="24"/>
              </w:rPr>
            </w:pPr>
            <w:r>
              <w:rPr>
                <w:sz w:val="24"/>
              </w:rPr>
              <w:t>S.E.</w:t>
            </w:r>
            <w:r>
              <w:rPr>
                <w:spacing w:val="-1"/>
                <w:sz w:val="24"/>
              </w:rPr>
              <w:t> </w:t>
            </w:r>
            <w:r>
              <w:rPr>
                <w:sz w:val="24"/>
              </w:rPr>
              <w:t>of</w:t>
            </w:r>
            <w:r>
              <w:rPr>
                <w:spacing w:val="-1"/>
                <w:sz w:val="24"/>
              </w:rPr>
              <w:t> </w:t>
            </w:r>
            <w:r>
              <w:rPr>
                <w:spacing w:val="-2"/>
                <w:sz w:val="24"/>
              </w:rPr>
              <w:t>regression</w:t>
            </w:r>
          </w:p>
        </w:tc>
        <w:tc>
          <w:tcPr>
            <w:tcW w:w="1266" w:type="dxa"/>
          </w:tcPr>
          <w:p>
            <w:pPr>
              <w:pStyle w:val="TableParagraph"/>
              <w:spacing w:before="133"/>
              <w:ind w:right="126"/>
              <w:jc w:val="right"/>
              <w:rPr>
                <w:sz w:val="24"/>
              </w:rPr>
            </w:pPr>
            <w:r>
              <w:rPr>
                <w:spacing w:val="-2"/>
                <w:sz w:val="24"/>
              </w:rPr>
              <w:t>19.98081</w:t>
            </w:r>
          </w:p>
        </w:tc>
        <w:tc>
          <w:tcPr>
            <w:tcW w:w="2340" w:type="dxa"/>
            <w:gridSpan w:val="2"/>
          </w:tcPr>
          <w:p>
            <w:pPr>
              <w:pStyle w:val="TableParagraph"/>
              <w:spacing w:before="133"/>
              <w:ind w:left="125"/>
              <w:rPr>
                <w:sz w:val="24"/>
              </w:rPr>
            </w:pPr>
            <w:r>
              <w:rPr>
                <w:sz w:val="24"/>
              </w:rPr>
              <w:t>Akaike</w:t>
            </w:r>
            <w:r>
              <w:rPr>
                <w:spacing w:val="-3"/>
                <w:sz w:val="24"/>
              </w:rPr>
              <w:t> </w:t>
            </w:r>
            <w:r>
              <w:rPr>
                <w:sz w:val="24"/>
              </w:rPr>
              <w:t>info</w:t>
            </w:r>
            <w:r>
              <w:rPr>
                <w:spacing w:val="-1"/>
                <w:sz w:val="24"/>
              </w:rPr>
              <w:t> </w:t>
            </w:r>
            <w:r>
              <w:rPr>
                <w:spacing w:val="-2"/>
                <w:sz w:val="24"/>
              </w:rPr>
              <w:t>criterion</w:t>
            </w:r>
          </w:p>
        </w:tc>
        <w:tc>
          <w:tcPr>
            <w:tcW w:w="957" w:type="dxa"/>
          </w:tcPr>
          <w:p>
            <w:pPr>
              <w:pStyle w:val="TableParagraph"/>
              <w:spacing w:before="133"/>
              <w:ind w:right="9"/>
              <w:jc w:val="right"/>
              <w:rPr>
                <w:sz w:val="24"/>
              </w:rPr>
            </w:pPr>
            <w:r>
              <w:rPr>
                <w:spacing w:val="-2"/>
                <w:sz w:val="24"/>
              </w:rPr>
              <w:t>9.111131</w:t>
            </w:r>
          </w:p>
        </w:tc>
      </w:tr>
      <w:tr>
        <w:trPr>
          <w:trHeight w:val="551" w:hRule="atLeast"/>
        </w:trPr>
        <w:tc>
          <w:tcPr>
            <w:tcW w:w="1969" w:type="dxa"/>
          </w:tcPr>
          <w:p>
            <w:pPr>
              <w:pStyle w:val="TableParagraph"/>
              <w:spacing w:before="133"/>
              <w:rPr>
                <w:sz w:val="24"/>
              </w:rPr>
            </w:pPr>
            <w:r>
              <w:rPr>
                <w:sz w:val="24"/>
              </w:rPr>
              <w:t>Sum</w:t>
            </w:r>
            <w:r>
              <w:rPr>
                <w:spacing w:val="-2"/>
                <w:sz w:val="24"/>
              </w:rPr>
              <w:t> </w:t>
            </w:r>
            <w:r>
              <w:rPr>
                <w:sz w:val="24"/>
              </w:rPr>
              <w:t>squared</w:t>
            </w:r>
            <w:r>
              <w:rPr>
                <w:spacing w:val="-1"/>
                <w:sz w:val="24"/>
              </w:rPr>
              <w:t> </w:t>
            </w:r>
            <w:r>
              <w:rPr>
                <w:spacing w:val="-2"/>
                <w:sz w:val="24"/>
              </w:rPr>
              <w:t>resid</w:t>
            </w:r>
          </w:p>
        </w:tc>
        <w:tc>
          <w:tcPr>
            <w:tcW w:w="1266" w:type="dxa"/>
          </w:tcPr>
          <w:p>
            <w:pPr>
              <w:pStyle w:val="TableParagraph"/>
              <w:spacing w:before="133"/>
              <w:ind w:right="126"/>
              <w:jc w:val="right"/>
              <w:rPr>
                <w:sz w:val="24"/>
              </w:rPr>
            </w:pPr>
            <w:r>
              <w:rPr>
                <w:spacing w:val="-2"/>
                <w:sz w:val="24"/>
              </w:rPr>
              <w:t>798.4653</w:t>
            </w:r>
          </w:p>
        </w:tc>
        <w:tc>
          <w:tcPr>
            <w:tcW w:w="2340" w:type="dxa"/>
            <w:gridSpan w:val="2"/>
          </w:tcPr>
          <w:p>
            <w:pPr>
              <w:pStyle w:val="TableParagraph"/>
              <w:spacing w:before="133"/>
              <w:ind w:left="125"/>
              <w:rPr>
                <w:sz w:val="24"/>
              </w:rPr>
            </w:pPr>
            <w:r>
              <w:rPr>
                <w:sz w:val="24"/>
              </w:rPr>
              <w:t>Schwarz</w:t>
            </w:r>
            <w:r>
              <w:rPr>
                <w:spacing w:val="-5"/>
                <w:sz w:val="24"/>
              </w:rPr>
              <w:t> </w:t>
            </w:r>
            <w:r>
              <w:rPr>
                <w:spacing w:val="-2"/>
                <w:sz w:val="24"/>
              </w:rPr>
              <w:t>criterion</w:t>
            </w:r>
          </w:p>
        </w:tc>
        <w:tc>
          <w:tcPr>
            <w:tcW w:w="957" w:type="dxa"/>
          </w:tcPr>
          <w:p>
            <w:pPr>
              <w:pStyle w:val="TableParagraph"/>
              <w:spacing w:before="133"/>
              <w:ind w:right="9"/>
              <w:jc w:val="right"/>
              <w:rPr>
                <w:sz w:val="24"/>
              </w:rPr>
            </w:pPr>
            <w:r>
              <w:rPr>
                <w:spacing w:val="-2"/>
                <w:sz w:val="24"/>
              </w:rPr>
              <w:t>8.876793</w:t>
            </w:r>
          </w:p>
        </w:tc>
      </w:tr>
      <w:tr>
        <w:trPr>
          <w:trHeight w:val="552" w:hRule="atLeast"/>
        </w:trPr>
        <w:tc>
          <w:tcPr>
            <w:tcW w:w="1969" w:type="dxa"/>
          </w:tcPr>
          <w:p>
            <w:pPr>
              <w:pStyle w:val="TableParagraph"/>
              <w:spacing w:before="133"/>
              <w:rPr>
                <w:sz w:val="24"/>
              </w:rPr>
            </w:pPr>
            <w:r>
              <w:rPr>
                <w:sz w:val="24"/>
              </w:rPr>
              <w:t>Log</w:t>
            </w:r>
            <w:r>
              <w:rPr>
                <w:spacing w:val="-4"/>
                <w:sz w:val="24"/>
              </w:rPr>
              <w:t> </w:t>
            </w:r>
            <w:r>
              <w:rPr>
                <w:spacing w:val="-2"/>
                <w:sz w:val="24"/>
              </w:rPr>
              <w:t>likelihood</w:t>
            </w:r>
          </w:p>
        </w:tc>
        <w:tc>
          <w:tcPr>
            <w:tcW w:w="1266" w:type="dxa"/>
          </w:tcPr>
          <w:p>
            <w:pPr>
              <w:pStyle w:val="TableParagraph"/>
              <w:spacing w:before="133"/>
              <w:ind w:right="126"/>
              <w:jc w:val="right"/>
              <w:rPr>
                <w:sz w:val="24"/>
              </w:rPr>
            </w:pPr>
            <w:r>
              <w:rPr>
                <w:spacing w:val="-2"/>
                <w:sz w:val="24"/>
              </w:rPr>
              <w:t>-19.77783</w:t>
            </w:r>
          </w:p>
        </w:tc>
        <w:tc>
          <w:tcPr>
            <w:tcW w:w="2340" w:type="dxa"/>
            <w:gridSpan w:val="2"/>
          </w:tcPr>
          <w:p>
            <w:pPr>
              <w:pStyle w:val="TableParagraph"/>
              <w:spacing w:before="133"/>
              <w:ind w:left="125"/>
              <w:rPr>
                <w:sz w:val="24"/>
              </w:rPr>
            </w:pPr>
            <w:r>
              <w:rPr>
                <w:sz w:val="24"/>
              </w:rPr>
              <w:t>Hannan-Quinn</w:t>
            </w:r>
            <w:r>
              <w:rPr>
                <w:spacing w:val="-3"/>
                <w:sz w:val="24"/>
              </w:rPr>
              <w:t> </w:t>
            </w:r>
            <w:r>
              <w:rPr>
                <w:spacing w:val="-2"/>
                <w:sz w:val="24"/>
              </w:rPr>
              <w:t>criter.</w:t>
            </w:r>
          </w:p>
        </w:tc>
        <w:tc>
          <w:tcPr>
            <w:tcW w:w="957" w:type="dxa"/>
          </w:tcPr>
          <w:p>
            <w:pPr>
              <w:pStyle w:val="TableParagraph"/>
              <w:spacing w:before="133"/>
              <w:ind w:right="9"/>
              <w:jc w:val="right"/>
              <w:rPr>
                <w:sz w:val="24"/>
              </w:rPr>
            </w:pPr>
            <w:r>
              <w:rPr>
                <w:spacing w:val="-2"/>
                <w:sz w:val="24"/>
              </w:rPr>
              <w:t>8.482193</w:t>
            </w:r>
          </w:p>
        </w:tc>
      </w:tr>
      <w:tr>
        <w:trPr>
          <w:trHeight w:val="552" w:hRule="atLeast"/>
        </w:trPr>
        <w:tc>
          <w:tcPr>
            <w:tcW w:w="1969" w:type="dxa"/>
          </w:tcPr>
          <w:p>
            <w:pPr>
              <w:pStyle w:val="TableParagraph"/>
              <w:spacing w:before="133"/>
              <w:rPr>
                <w:sz w:val="24"/>
              </w:rPr>
            </w:pPr>
            <w:r>
              <w:rPr>
                <w:spacing w:val="-2"/>
                <w:sz w:val="24"/>
              </w:rPr>
              <w:t>F-statistic</w:t>
            </w:r>
          </w:p>
        </w:tc>
        <w:tc>
          <w:tcPr>
            <w:tcW w:w="1266" w:type="dxa"/>
          </w:tcPr>
          <w:p>
            <w:pPr>
              <w:pStyle w:val="TableParagraph"/>
              <w:spacing w:before="133"/>
              <w:ind w:right="126"/>
              <w:jc w:val="right"/>
              <w:rPr>
                <w:sz w:val="24"/>
              </w:rPr>
            </w:pPr>
            <w:r>
              <w:rPr>
                <w:spacing w:val="-2"/>
                <w:sz w:val="24"/>
              </w:rPr>
              <w:t>0.371631</w:t>
            </w:r>
          </w:p>
        </w:tc>
        <w:tc>
          <w:tcPr>
            <w:tcW w:w="2340" w:type="dxa"/>
            <w:gridSpan w:val="2"/>
          </w:tcPr>
          <w:p>
            <w:pPr>
              <w:pStyle w:val="TableParagraph"/>
              <w:spacing w:before="133"/>
              <w:ind w:left="125"/>
              <w:rPr>
                <w:sz w:val="24"/>
              </w:rPr>
            </w:pPr>
            <w:r>
              <w:rPr>
                <w:sz w:val="24"/>
              </w:rPr>
              <w:t>Durbin-Watson</w:t>
            </w:r>
            <w:r>
              <w:rPr>
                <w:spacing w:val="-3"/>
                <w:sz w:val="24"/>
              </w:rPr>
              <w:t> </w:t>
            </w:r>
            <w:r>
              <w:rPr>
                <w:spacing w:val="-4"/>
                <w:sz w:val="24"/>
              </w:rPr>
              <w:t>stat</w:t>
            </w:r>
          </w:p>
        </w:tc>
        <w:tc>
          <w:tcPr>
            <w:tcW w:w="957" w:type="dxa"/>
          </w:tcPr>
          <w:p>
            <w:pPr>
              <w:pStyle w:val="TableParagraph"/>
              <w:spacing w:before="133"/>
              <w:ind w:right="9"/>
              <w:jc w:val="right"/>
              <w:rPr>
                <w:sz w:val="24"/>
              </w:rPr>
            </w:pPr>
            <w:r>
              <w:rPr>
                <w:spacing w:val="-2"/>
                <w:sz w:val="24"/>
              </w:rPr>
              <w:t>1.199103</w:t>
            </w:r>
          </w:p>
        </w:tc>
      </w:tr>
      <w:tr>
        <w:trPr>
          <w:trHeight w:val="780" w:hRule="atLeast"/>
        </w:trPr>
        <w:tc>
          <w:tcPr>
            <w:tcW w:w="1969" w:type="dxa"/>
            <w:tcBorders>
              <w:bottom w:val="double" w:sz="6" w:space="0" w:color="000000"/>
            </w:tcBorders>
          </w:tcPr>
          <w:p>
            <w:pPr>
              <w:pStyle w:val="TableParagraph"/>
              <w:spacing w:before="133"/>
              <w:rPr>
                <w:sz w:val="24"/>
              </w:rPr>
            </w:pPr>
            <w:r>
              <w:rPr>
                <w:spacing w:val="-2"/>
                <w:sz w:val="24"/>
              </w:rPr>
              <w:t>Prob(F-statistic)</w:t>
            </w:r>
          </w:p>
        </w:tc>
        <w:tc>
          <w:tcPr>
            <w:tcW w:w="1266" w:type="dxa"/>
            <w:tcBorders>
              <w:bottom w:val="double" w:sz="6" w:space="0" w:color="000000"/>
            </w:tcBorders>
          </w:tcPr>
          <w:p>
            <w:pPr>
              <w:pStyle w:val="TableParagraph"/>
              <w:spacing w:before="133"/>
              <w:ind w:right="126"/>
              <w:jc w:val="right"/>
              <w:rPr>
                <w:sz w:val="24"/>
              </w:rPr>
            </w:pPr>
            <w:r>
              <w:rPr>
                <w:spacing w:val="-2"/>
                <w:sz w:val="24"/>
              </w:rPr>
              <w:t>0.729059</w:t>
            </w:r>
          </w:p>
        </w:tc>
        <w:tc>
          <w:tcPr>
            <w:tcW w:w="2340" w:type="dxa"/>
            <w:gridSpan w:val="2"/>
            <w:tcBorders>
              <w:bottom w:val="double" w:sz="6" w:space="0" w:color="000000"/>
            </w:tcBorders>
          </w:tcPr>
          <w:p>
            <w:pPr>
              <w:pStyle w:val="TableParagraph"/>
              <w:rPr>
                <w:sz w:val="24"/>
              </w:rPr>
            </w:pPr>
          </w:p>
        </w:tc>
        <w:tc>
          <w:tcPr>
            <w:tcW w:w="957" w:type="dxa"/>
            <w:tcBorders>
              <w:bottom w:val="double" w:sz="6" w:space="0" w:color="000000"/>
            </w:tcBorders>
          </w:tcPr>
          <w:p>
            <w:pPr>
              <w:pStyle w:val="TableParagraph"/>
              <w:rPr>
                <w:sz w:val="24"/>
              </w:rPr>
            </w:pPr>
          </w:p>
        </w:tc>
      </w:tr>
    </w:tbl>
    <w:p>
      <w:pPr>
        <w:spacing w:after="0"/>
        <w:rPr>
          <w:sz w:val="24"/>
        </w:rPr>
        <w:sectPr>
          <w:pgSz w:w="12240" w:h="15840"/>
          <w:pgMar w:header="0" w:footer="1017" w:top="1360" w:bottom="1200" w:left="1040" w:right="120"/>
        </w:sectPr>
      </w:pPr>
    </w:p>
    <w:p>
      <w:pPr>
        <w:spacing w:before="76"/>
        <w:ind w:left="400" w:right="0" w:firstLine="0"/>
        <w:jc w:val="left"/>
        <w:rPr>
          <w:b/>
          <w:sz w:val="24"/>
        </w:rPr>
      </w:pPr>
      <w:r>
        <w:rPr>
          <w:b/>
          <w:sz w:val="24"/>
        </w:rPr>
        <w:t>Decision</w:t>
      </w:r>
      <w:r>
        <w:rPr>
          <w:b/>
          <w:spacing w:val="-5"/>
          <w:sz w:val="24"/>
        </w:rPr>
        <w:t> </w:t>
      </w:r>
      <w:r>
        <w:rPr>
          <w:b/>
          <w:spacing w:val="-4"/>
          <w:sz w:val="24"/>
        </w:rPr>
        <w:t>Rule</w:t>
      </w:r>
    </w:p>
    <w:p>
      <w:pPr>
        <w:pStyle w:val="BodyText"/>
        <w:spacing w:before="156"/>
        <w:rPr>
          <w:b/>
        </w:rPr>
      </w:pPr>
    </w:p>
    <w:p>
      <w:pPr>
        <w:pStyle w:val="BodyText"/>
        <w:spacing w:line="480" w:lineRule="auto"/>
        <w:ind w:left="400" w:right="1319"/>
        <w:jc w:val="both"/>
      </w:pPr>
      <w:r>
        <w:rPr/>
        <w:t>Accept null hypothesis (Ho) if the probability value is above 0.05, if otherwise reject null </w:t>
      </w:r>
      <w:r>
        <w:rPr>
          <w:spacing w:val="-2"/>
        </w:rPr>
        <w:t>hypothesis.</w:t>
      </w:r>
    </w:p>
    <w:p>
      <w:pPr>
        <w:pStyle w:val="Heading2"/>
        <w:spacing w:before="164"/>
        <w:jc w:val="left"/>
      </w:pPr>
      <w:r>
        <w:rPr/>
        <w:t>Analysis</w:t>
      </w:r>
      <w:r>
        <w:rPr>
          <w:spacing w:val="-2"/>
        </w:rPr>
        <w:t> </w:t>
      </w:r>
      <w:r>
        <w:rPr/>
        <w:t>of</w:t>
      </w:r>
      <w:r>
        <w:rPr>
          <w:spacing w:val="-1"/>
        </w:rPr>
        <w:t> </w:t>
      </w:r>
      <w:r>
        <w:rPr/>
        <w:t>the</w:t>
      </w:r>
      <w:r>
        <w:rPr>
          <w:spacing w:val="-3"/>
        </w:rPr>
        <w:t> </w:t>
      </w:r>
      <w:r>
        <w:rPr/>
        <w:t>sixth</w:t>
      </w:r>
      <w:r>
        <w:rPr>
          <w:spacing w:val="-2"/>
        </w:rPr>
        <w:t> </w:t>
      </w:r>
      <w:r>
        <w:rPr/>
        <w:t>regression</w:t>
      </w:r>
      <w:r>
        <w:rPr>
          <w:spacing w:val="-1"/>
        </w:rPr>
        <w:t> </w:t>
      </w:r>
      <w:r>
        <w:rPr/>
        <w:t>output</w:t>
      </w:r>
      <w:r>
        <w:rPr>
          <w:spacing w:val="-3"/>
        </w:rPr>
        <w:t> </w:t>
      </w:r>
      <w:r>
        <w:rPr/>
        <w:t>representing</w:t>
      </w:r>
      <w:r>
        <w:rPr>
          <w:spacing w:val="-2"/>
        </w:rPr>
        <w:t> </w:t>
      </w:r>
      <w:r>
        <w:rPr/>
        <w:t>the</w:t>
      </w:r>
      <w:r>
        <w:rPr>
          <w:spacing w:val="-3"/>
        </w:rPr>
        <w:t> </w:t>
      </w:r>
      <w:r>
        <w:rPr/>
        <w:t>sixth</w:t>
      </w:r>
      <w:r>
        <w:rPr>
          <w:spacing w:val="-1"/>
        </w:rPr>
        <w:t> </w:t>
      </w:r>
      <w:r>
        <w:rPr>
          <w:spacing w:val="-2"/>
        </w:rPr>
        <w:t>model</w:t>
      </w:r>
    </w:p>
    <w:p>
      <w:pPr>
        <w:pStyle w:val="BodyText"/>
        <w:spacing w:before="156"/>
        <w:rPr>
          <w:b/>
        </w:rPr>
      </w:pPr>
    </w:p>
    <w:p>
      <w:pPr>
        <w:pStyle w:val="BodyText"/>
        <w:spacing w:line="480" w:lineRule="auto"/>
        <w:ind w:left="400" w:right="1319"/>
        <w:jc w:val="both"/>
      </w:pPr>
      <w:r>
        <w:rPr/>
        <w:t>From the regression result above, weakness and threats also have negative and insignificant impact on the quality</w:t>
      </w:r>
      <w:r>
        <w:rPr>
          <w:spacing w:val="-2"/>
        </w:rPr>
        <w:t> </w:t>
      </w:r>
      <w:r>
        <w:rPr/>
        <w:t>of service indicating decrease in quality</w:t>
      </w:r>
      <w:r>
        <w:rPr>
          <w:spacing w:val="-3"/>
        </w:rPr>
        <w:t> </w:t>
      </w:r>
      <w:r>
        <w:rPr/>
        <w:t>of service as a result of increase in weakness and threats.</w:t>
      </w:r>
    </w:p>
    <w:p>
      <w:pPr>
        <w:pStyle w:val="BodyText"/>
        <w:spacing w:line="480" w:lineRule="auto" w:before="161"/>
        <w:ind w:left="400" w:right="1321"/>
        <w:jc w:val="both"/>
      </w:pPr>
      <w:r>
        <w:rPr/>
        <w:t>From the result, the probability value is less than 0.05 which implies that weakness and threats have significant impact on the quality of service, hence, weakness and threats are significant variables to determine quality of service in Nigeria.</w:t>
      </w:r>
    </w:p>
    <w:p>
      <w:pPr>
        <w:pStyle w:val="Heading2"/>
        <w:spacing w:before="163"/>
        <w:jc w:val="left"/>
      </w:pPr>
      <w:r>
        <w:rPr>
          <w:spacing w:val="-2"/>
        </w:rPr>
        <w:t>Conclusion</w:t>
      </w:r>
    </w:p>
    <w:p>
      <w:pPr>
        <w:pStyle w:val="BodyText"/>
        <w:spacing w:before="156"/>
        <w:rPr>
          <w:b/>
        </w:rPr>
      </w:pPr>
    </w:p>
    <w:p>
      <w:pPr>
        <w:pStyle w:val="BodyText"/>
        <w:spacing w:line="480" w:lineRule="auto"/>
        <w:ind w:left="400" w:right="1313"/>
        <w:jc w:val="both"/>
      </w:pPr>
      <w:r>
        <w:rPr/>
        <w:t>In</w:t>
      </w:r>
      <w:r>
        <w:rPr>
          <w:spacing w:val="-1"/>
        </w:rPr>
        <w:t> </w:t>
      </w:r>
      <w:r>
        <w:rPr/>
        <w:t>all</w:t>
      </w:r>
      <w:r>
        <w:rPr>
          <w:spacing w:val="-2"/>
        </w:rPr>
        <w:t> </w:t>
      </w:r>
      <w:r>
        <w:rPr/>
        <w:t>the</w:t>
      </w:r>
      <w:r>
        <w:rPr>
          <w:spacing w:val="-3"/>
        </w:rPr>
        <w:t> </w:t>
      </w:r>
      <w:r>
        <w:rPr/>
        <w:t>six</w:t>
      </w:r>
      <w:r>
        <w:rPr>
          <w:spacing w:val="-1"/>
        </w:rPr>
        <w:t> </w:t>
      </w:r>
      <w:r>
        <w:rPr/>
        <w:t>models</w:t>
      </w:r>
      <w:r>
        <w:rPr>
          <w:spacing w:val="-2"/>
        </w:rPr>
        <w:t> </w:t>
      </w:r>
      <w:r>
        <w:rPr/>
        <w:t>formulated</w:t>
      </w:r>
      <w:r>
        <w:rPr>
          <w:spacing w:val="-2"/>
        </w:rPr>
        <w:t> </w:t>
      </w:r>
      <w:r>
        <w:rPr/>
        <w:t>to</w:t>
      </w:r>
      <w:r>
        <w:rPr>
          <w:spacing w:val="-2"/>
        </w:rPr>
        <w:t> </w:t>
      </w:r>
      <w:r>
        <w:rPr/>
        <w:t>meet</w:t>
      </w:r>
      <w:r>
        <w:rPr>
          <w:spacing w:val="-2"/>
        </w:rPr>
        <w:t> </w:t>
      </w:r>
      <w:r>
        <w:rPr/>
        <w:t>the</w:t>
      </w:r>
      <w:r>
        <w:rPr>
          <w:spacing w:val="-1"/>
        </w:rPr>
        <w:t> </w:t>
      </w:r>
      <w:r>
        <w:rPr/>
        <w:t>fifth</w:t>
      </w:r>
      <w:r>
        <w:rPr>
          <w:spacing w:val="-1"/>
        </w:rPr>
        <w:t> </w:t>
      </w:r>
      <w:r>
        <w:rPr/>
        <w:t>objective,</w:t>
      </w:r>
      <w:r>
        <w:rPr>
          <w:spacing w:val="-2"/>
        </w:rPr>
        <w:t> </w:t>
      </w:r>
      <w:r>
        <w:rPr/>
        <w:t>it</w:t>
      </w:r>
      <w:r>
        <w:rPr>
          <w:spacing w:val="-2"/>
        </w:rPr>
        <w:t> </w:t>
      </w:r>
      <w:r>
        <w:rPr/>
        <w:t>shows</w:t>
      </w:r>
      <w:r>
        <w:rPr>
          <w:spacing w:val="-1"/>
        </w:rPr>
        <w:t> </w:t>
      </w:r>
      <w:r>
        <w:rPr/>
        <w:t>that</w:t>
      </w:r>
      <w:r>
        <w:rPr>
          <w:spacing w:val="-2"/>
        </w:rPr>
        <w:t> </w:t>
      </w:r>
      <w:r>
        <w:rPr/>
        <w:t>strength</w:t>
      </w:r>
      <w:r>
        <w:rPr>
          <w:spacing w:val="-2"/>
        </w:rPr>
        <w:t> </w:t>
      </w:r>
      <w:r>
        <w:rPr/>
        <w:t>and</w:t>
      </w:r>
      <w:r>
        <w:rPr>
          <w:spacing w:val="-2"/>
        </w:rPr>
        <w:t> </w:t>
      </w:r>
      <w:r>
        <w:rPr/>
        <w:t>opportunity have</w:t>
      </w:r>
      <w:r>
        <w:rPr>
          <w:spacing w:val="-1"/>
        </w:rPr>
        <w:t> </w:t>
      </w:r>
      <w:r>
        <w:rPr/>
        <w:t>positive and significant impact on price, market share and quality</w:t>
      </w:r>
      <w:r>
        <w:rPr>
          <w:spacing w:val="-4"/>
        </w:rPr>
        <w:t> </w:t>
      </w:r>
      <w:r>
        <w:rPr/>
        <w:t>of service on the average. More so, weakness and threats have negative and significant impact on the price, market share and quality of service on the average.</w:t>
      </w:r>
    </w:p>
    <w:p>
      <w:pPr>
        <w:pStyle w:val="BodyText"/>
        <w:spacing w:before="5"/>
      </w:pPr>
    </w:p>
    <w:p>
      <w:pPr>
        <w:pStyle w:val="Heading2"/>
        <w:numPr>
          <w:ilvl w:val="1"/>
          <w:numId w:val="47"/>
        </w:numPr>
        <w:tabs>
          <w:tab w:pos="1179" w:val="left" w:leader="none"/>
        </w:tabs>
        <w:spacing w:line="240" w:lineRule="auto" w:before="0" w:after="0"/>
        <w:ind w:left="1179" w:right="0" w:hanging="779"/>
        <w:jc w:val="left"/>
      </w:pPr>
      <w:r>
        <w:rPr/>
        <w:t>Presentation</w:t>
      </w:r>
      <w:r>
        <w:rPr>
          <w:spacing w:val="-3"/>
        </w:rPr>
        <w:t> </w:t>
      </w:r>
      <w:r>
        <w:rPr/>
        <w:t>and</w:t>
      </w:r>
      <w:r>
        <w:rPr>
          <w:spacing w:val="-3"/>
        </w:rPr>
        <w:t> </w:t>
      </w:r>
      <w:r>
        <w:rPr/>
        <w:t>Analysis</w:t>
      </w:r>
      <w:r>
        <w:rPr>
          <w:spacing w:val="-2"/>
        </w:rPr>
        <w:t> </w:t>
      </w:r>
      <w:r>
        <w:rPr/>
        <w:t>of</w:t>
      </w:r>
      <w:r>
        <w:rPr>
          <w:spacing w:val="-2"/>
        </w:rPr>
        <w:t> </w:t>
      </w:r>
      <w:r>
        <w:rPr/>
        <w:t>In-depth</w:t>
      </w:r>
      <w:r>
        <w:rPr>
          <w:spacing w:val="-2"/>
        </w:rPr>
        <w:t> Interviews</w:t>
      </w:r>
    </w:p>
    <w:p>
      <w:pPr>
        <w:pStyle w:val="BodyText"/>
        <w:spacing w:before="154"/>
        <w:rPr>
          <w:b/>
        </w:rPr>
      </w:pPr>
    </w:p>
    <w:p>
      <w:pPr>
        <w:pStyle w:val="BodyText"/>
        <w:spacing w:line="480" w:lineRule="auto"/>
        <w:ind w:left="400" w:right="1318"/>
        <w:jc w:val="both"/>
      </w:pPr>
      <w:r>
        <w:rPr/>
        <w:t>A convenient sample of fifteen members who are professionals of staff from different</w:t>
      </w:r>
      <w:r>
        <w:rPr>
          <w:spacing w:val="40"/>
        </w:rPr>
        <w:t> </w:t>
      </w:r>
      <w:r>
        <w:rPr/>
        <w:t>department in small and medium construction firms were contacted. They were from 5 (five) targeted SMCFs for interviews. Out of the fifteen contacted, only seven</w:t>
      </w:r>
      <w:r>
        <w:rPr>
          <w:spacing w:val="40"/>
        </w:rPr>
        <w:t> </w:t>
      </w:r>
      <w:r>
        <w:rPr/>
        <w:t>(47 percent)</w:t>
      </w:r>
      <w:r>
        <w:rPr>
          <w:spacing w:val="40"/>
        </w:rPr>
        <w:t> </w:t>
      </w:r>
      <w:r>
        <w:rPr/>
        <w:t>yielded positive responses</w:t>
      </w:r>
      <w:r>
        <w:rPr>
          <w:spacing w:val="68"/>
        </w:rPr>
        <w:t> </w:t>
      </w:r>
      <w:r>
        <w:rPr/>
        <w:t>and</w:t>
      </w:r>
      <w:r>
        <w:rPr>
          <w:spacing w:val="9"/>
        </w:rPr>
        <w:t> </w:t>
      </w:r>
      <w:r>
        <w:rPr/>
        <w:t>were</w:t>
      </w:r>
      <w:r>
        <w:rPr>
          <w:spacing w:val="2"/>
        </w:rPr>
        <w:t> </w:t>
      </w:r>
      <w:r>
        <w:rPr/>
        <w:t>interviewed</w:t>
      </w:r>
      <w:r>
        <w:rPr>
          <w:spacing w:val="4"/>
        </w:rPr>
        <w:t> </w:t>
      </w:r>
      <w:r>
        <w:rPr/>
        <w:t>as</w:t>
      </w:r>
      <w:r>
        <w:rPr>
          <w:spacing w:val="5"/>
        </w:rPr>
        <w:t> </w:t>
      </w:r>
      <w:r>
        <w:rPr/>
        <w:t>shown</w:t>
      </w:r>
      <w:r>
        <w:rPr>
          <w:spacing w:val="3"/>
        </w:rPr>
        <w:t> </w:t>
      </w:r>
      <w:r>
        <w:rPr/>
        <w:t>in</w:t>
      </w:r>
      <w:r>
        <w:rPr>
          <w:spacing w:val="4"/>
        </w:rPr>
        <w:t> </w:t>
      </w:r>
      <w:r>
        <w:rPr/>
        <w:t>Table</w:t>
      </w:r>
      <w:r>
        <w:rPr>
          <w:spacing w:val="2"/>
        </w:rPr>
        <w:t> </w:t>
      </w:r>
      <w:r>
        <w:rPr/>
        <w:t>5.16</w:t>
      </w:r>
      <w:r>
        <w:rPr>
          <w:spacing w:val="5"/>
        </w:rPr>
        <w:t> </w:t>
      </w:r>
      <w:r>
        <w:rPr/>
        <w:t>The</w:t>
      </w:r>
      <w:r>
        <w:rPr>
          <w:spacing w:val="67"/>
        </w:rPr>
        <w:t> </w:t>
      </w:r>
      <w:r>
        <w:rPr/>
        <w:t>rest</w:t>
      </w:r>
      <w:r>
        <w:rPr>
          <w:spacing w:val="69"/>
        </w:rPr>
        <w:t> </w:t>
      </w:r>
      <w:r>
        <w:rPr/>
        <w:t>of</w:t>
      </w:r>
      <w:r>
        <w:rPr>
          <w:spacing w:val="67"/>
        </w:rPr>
        <w:t> </w:t>
      </w:r>
      <w:r>
        <w:rPr/>
        <w:t>the</w:t>
      </w:r>
      <w:r>
        <w:rPr>
          <w:spacing w:val="67"/>
        </w:rPr>
        <w:t> </w:t>
      </w:r>
      <w:r>
        <w:rPr/>
        <w:t>invitees</w:t>
      </w:r>
      <w:r>
        <w:rPr>
          <w:spacing w:val="72"/>
        </w:rPr>
        <w:t> </w:t>
      </w:r>
      <w:r>
        <w:rPr>
          <w:spacing w:val="-5"/>
        </w:rPr>
        <w:t>who</w:t>
      </w:r>
    </w:p>
    <w:p>
      <w:pPr>
        <w:spacing w:after="0" w:line="480" w:lineRule="auto"/>
        <w:jc w:val="both"/>
        <w:sectPr>
          <w:pgSz w:w="12240" w:h="15840"/>
          <w:pgMar w:header="0" w:footer="1017" w:top="1360" w:bottom="1200" w:left="1040" w:right="120"/>
        </w:sectPr>
      </w:pPr>
    </w:p>
    <w:p>
      <w:pPr>
        <w:pStyle w:val="BodyText"/>
        <w:spacing w:line="480" w:lineRule="auto" w:before="72"/>
        <w:ind w:left="400" w:right="1315"/>
      </w:pPr>
      <w:r>
        <w:rPr/>
        <w:t>declined</w:t>
      </w:r>
      <w:r>
        <w:rPr>
          <w:spacing w:val="80"/>
        </w:rPr>
        <w:t> </w:t>
      </w:r>
      <w:r>
        <w:rPr/>
        <w:t>gave</w:t>
      </w:r>
      <w:r>
        <w:rPr>
          <w:spacing w:val="80"/>
        </w:rPr>
        <w:t> </w:t>
      </w:r>
      <w:r>
        <w:rPr/>
        <w:t>reasons</w:t>
      </w:r>
      <w:r>
        <w:rPr>
          <w:spacing w:val="80"/>
        </w:rPr>
        <w:t> </w:t>
      </w:r>
      <w:r>
        <w:rPr/>
        <w:t>ranging</w:t>
      </w:r>
      <w:r>
        <w:rPr>
          <w:spacing w:val="80"/>
        </w:rPr>
        <w:t> </w:t>
      </w:r>
      <w:r>
        <w:rPr/>
        <w:t>from</w:t>
      </w:r>
      <w:r>
        <w:rPr>
          <w:spacing w:val="80"/>
        </w:rPr>
        <w:t> </w:t>
      </w:r>
      <w:r>
        <w:rPr/>
        <w:t>lack</w:t>
      </w:r>
      <w:r>
        <w:rPr>
          <w:spacing w:val="80"/>
        </w:rPr>
        <w:t> </w:t>
      </w:r>
      <w:r>
        <w:rPr/>
        <w:t>of</w:t>
      </w:r>
      <w:r>
        <w:rPr>
          <w:spacing w:val="80"/>
        </w:rPr>
        <w:t> </w:t>
      </w:r>
      <w:r>
        <w:rPr/>
        <w:t>time</w:t>
      </w:r>
      <w:r>
        <w:rPr>
          <w:spacing w:val="80"/>
        </w:rPr>
        <w:t> </w:t>
      </w:r>
      <w:r>
        <w:rPr/>
        <w:t>to</w:t>
      </w:r>
      <w:r>
        <w:rPr>
          <w:spacing w:val="80"/>
        </w:rPr>
        <w:t> </w:t>
      </w:r>
      <w:r>
        <w:rPr/>
        <w:t>being</w:t>
      </w:r>
      <w:r>
        <w:rPr>
          <w:spacing w:val="80"/>
        </w:rPr>
        <w:t> </w:t>
      </w:r>
      <w:r>
        <w:rPr/>
        <w:t>on</w:t>
      </w:r>
      <w:r>
        <w:rPr>
          <w:spacing w:val="17"/>
        </w:rPr>
        <w:t> </w:t>
      </w:r>
      <w:r>
        <w:rPr/>
        <w:t>leave</w:t>
      </w:r>
      <w:r>
        <w:rPr>
          <w:spacing w:val="16"/>
        </w:rPr>
        <w:t> </w:t>
      </w:r>
      <w:r>
        <w:rPr/>
        <w:t>within</w:t>
      </w:r>
      <w:r>
        <w:rPr>
          <w:spacing w:val="14"/>
        </w:rPr>
        <w:t> </w:t>
      </w:r>
      <w:r>
        <w:rPr/>
        <w:t>the</w:t>
      </w:r>
      <w:r>
        <w:rPr>
          <w:spacing w:val="13"/>
        </w:rPr>
        <w:t> </w:t>
      </w:r>
      <w:r>
        <w:rPr/>
        <w:t>interview </w:t>
      </w:r>
      <w:r>
        <w:rPr>
          <w:spacing w:val="-2"/>
        </w:rPr>
        <w:t>period.</w:t>
      </w:r>
    </w:p>
    <w:p>
      <w:pPr>
        <w:pStyle w:val="Heading2"/>
        <w:spacing w:before="165"/>
        <w:jc w:val="left"/>
      </w:pPr>
      <w:r>
        <w:rPr/>
        <w:t>Table</w:t>
      </w:r>
      <w:r>
        <w:rPr>
          <w:spacing w:val="-5"/>
        </w:rPr>
        <w:t> </w:t>
      </w:r>
      <w:r>
        <w:rPr/>
        <w:t>5.17</w:t>
      </w:r>
      <w:r>
        <w:rPr>
          <w:spacing w:val="-2"/>
        </w:rPr>
        <w:t> </w:t>
      </w:r>
      <w:r>
        <w:rPr/>
        <w:t>Interviewees</w:t>
      </w:r>
      <w:r>
        <w:rPr>
          <w:spacing w:val="-2"/>
        </w:rPr>
        <w:t> </w:t>
      </w:r>
      <w:r>
        <w:rPr/>
        <w:t>and</w:t>
      </w:r>
      <w:r>
        <w:rPr>
          <w:spacing w:val="-2"/>
        </w:rPr>
        <w:t> </w:t>
      </w:r>
      <w:r>
        <w:rPr/>
        <w:t>their</w:t>
      </w:r>
      <w:r>
        <w:rPr>
          <w:spacing w:val="-2"/>
        </w:rPr>
        <w:t> </w:t>
      </w:r>
      <w:r>
        <w:rPr/>
        <w:t>roles</w:t>
      </w:r>
      <w:r>
        <w:rPr>
          <w:spacing w:val="-2"/>
        </w:rPr>
        <w:t> </w:t>
      </w:r>
      <w:r>
        <w:rPr/>
        <w:t>in</w:t>
      </w:r>
      <w:r>
        <w:rPr>
          <w:spacing w:val="-2"/>
        </w:rPr>
        <w:t> </w:t>
      </w:r>
      <w:r>
        <w:rPr/>
        <w:t>the</w:t>
      </w:r>
      <w:r>
        <w:rPr>
          <w:spacing w:val="-3"/>
        </w:rPr>
        <w:t> </w:t>
      </w:r>
      <w:r>
        <w:rPr/>
        <w:t>targeted</w:t>
      </w:r>
      <w:r>
        <w:rPr>
          <w:spacing w:val="-1"/>
        </w:rPr>
        <w:t> </w:t>
      </w:r>
      <w:r>
        <w:rPr>
          <w:spacing w:val="-2"/>
        </w:rPr>
        <w:t>SMCFs</w:t>
      </w:r>
    </w:p>
    <w:p>
      <w:pPr>
        <w:pStyle w:val="BodyText"/>
        <w:spacing w:before="208"/>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1"/>
        <w:gridCol w:w="3848"/>
        <w:gridCol w:w="4147"/>
      </w:tblGrid>
      <w:tr>
        <w:trPr>
          <w:trHeight w:val="551" w:hRule="atLeast"/>
        </w:trPr>
        <w:tc>
          <w:tcPr>
            <w:tcW w:w="1021" w:type="dxa"/>
            <w:tcBorders>
              <w:top w:val="single" w:sz="4" w:space="0" w:color="000000"/>
            </w:tcBorders>
          </w:tcPr>
          <w:p>
            <w:pPr>
              <w:pStyle w:val="TableParagraph"/>
              <w:spacing w:line="268" w:lineRule="exact"/>
              <w:ind w:left="108"/>
              <w:rPr>
                <w:sz w:val="24"/>
              </w:rPr>
            </w:pPr>
            <w:r>
              <w:rPr>
                <w:spacing w:val="-4"/>
                <w:sz w:val="24"/>
              </w:rPr>
              <w:t>Firm</w:t>
            </w:r>
          </w:p>
        </w:tc>
        <w:tc>
          <w:tcPr>
            <w:tcW w:w="3848" w:type="dxa"/>
            <w:tcBorders>
              <w:top w:val="single" w:sz="4" w:space="0" w:color="000000"/>
            </w:tcBorders>
          </w:tcPr>
          <w:p>
            <w:pPr>
              <w:pStyle w:val="TableParagraph"/>
              <w:spacing w:line="268" w:lineRule="exact"/>
              <w:ind w:left="215"/>
              <w:rPr>
                <w:sz w:val="24"/>
              </w:rPr>
            </w:pPr>
            <w:r>
              <w:rPr>
                <w:sz w:val="24"/>
              </w:rPr>
              <w:t>Number</w:t>
            </w:r>
            <w:r>
              <w:rPr>
                <w:spacing w:val="-3"/>
                <w:sz w:val="24"/>
              </w:rPr>
              <w:t> </w:t>
            </w:r>
            <w:r>
              <w:rPr>
                <w:sz w:val="24"/>
              </w:rPr>
              <w:t>of</w:t>
            </w:r>
            <w:r>
              <w:rPr>
                <w:spacing w:val="-2"/>
                <w:sz w:val="24"/>
              </w:rPr>
              <w:t> </w:t>
            </w:r>
            <w:r>
              <w:rPr>
                <w:sz w:val="24"/>
              </w:rPr>
              <w:t>interviews</w:t>
            </w:r>
            <w:r>
              <w:rPr>
                <w:spacing w:val="-1"/>
                <w:sz w:val="24"/>
              </w:rPr>
              <w:t> </w:t>
            </w:r>
            <w:r>
              <w:rPr>
                <w:spacing w:val="-2"/>
                <w:sz w:val="24"/>
              </w:rPr>
              <w:t>conducted</w:t>
            </w:r>
          </w:p>
        </w:tc>
        <w:tc>
          <w:tcPr>
            <w:tcW w:w="4147" w:type="dxa"/>
            <w:tcBorders>
              <w:top w:val="single" w:sz="4" w:space="0" w:color="000000"/>
            </w:tcBorders>
          </w:tcPr>
          <w:p>
            <w:pPr>
              <w:pStyle w:val="TableParagraph"/>
              <w:spacing w:line="268" w:lineRule="exact"/>
              <w:ind w:left="336"/>
              <w:rPr>
                <w:sz w:val="24"/>
              </w:rPr>
            </w:pPr>
            <w:r>
              <w:rPr>
                <w:sz w:val="24"/>
              </w:rPr>
              <w:t>Roles</w:t>
            </w:r>
            <w:r>
              <w:rPr>
                <w:spacing w:val="-1"/>
                <w:sz w:val="24"/>
              </w:rPr>
              <w:t> </w:t>
            </w:r>
            <w:r>
              <w:rPr>
                <w:sz w:val="24"/>
              </w:rPr>
              <w:t>of</w:t>
            </w:r>
            <w:r>
              <w:rPr>
                <w:spacing w:val="-1"/>
                <w:sz w:val="24"/>
              </w:rPr>
              <w:t> </w:t>
            </w:r>
            <w:r>
              <w:rPr>
                <w:sz w:val="24"/>
              </w:rPr>
              <w:t>the</w:t>
            </w:r>
            <w:r>
              <w:rPr>
                <w:spacing w:val="-1"/>
                <w:sz w:val="24"/>
              </w:rPr>
              <w:t> </w:t>
            </w:r>
            <w:r>
              <w:rPr>
                <w:spacing w:val="-2"/>
                <w:sz w:val="24"/>
              </w:rPr>
              <w:t>interviewees</w:t>
            </w:r>
          </w:p>
        </w:tc>
      </w:tr>
      <w:tr>
        <w:trPr>
          <w:trHeight w:val="1104" w:hRule="atLeast"/>
        </w:trPr>
        <w:tc>
          <w:tcPr>
            <w:tcW w:w="1021" w:type="dxa"/>
            <w:shd w:val="clear" w:color="auto" w:fill="F2F2F2"/>
          </w:tcPr>
          <w:p>
            <w:pPr>
              <w:pStyle w:val="TableParagraph"/>
              <w:spacing w:line="268" w:lineRule="exact"/>
              <w:ind w:left="108"/>
              <w:rPr>
                <w:sz w:val="24"/>
              </w:rPr>
            </w:pPr>
            <w:r>
              <w:rPr>
                <w:sz w:val="24"/>
              </w:rPr>
              <w:t>Firm</w:t>
            </w:r>
            <w:r>
              <w:rPr>
                <w:spacing w:val="-3"/>
                <w:sz w:val="24"/>
              </w:rPr>
              <w:t> </w:t>
            </w:r>
            <w:r>
              <w:rPr>
                <w:spacing w:val="-10"/>
                <w:sz w:val="24"/>
              </w:rPr>
              <w:t>A</w:t>
            </w:r>
          </w:p>
        </w:tc>
        <w:tc>
          <w:tcPr>
            <w:tcW w:w="3848" w:type="dxa"/>
            <w:shd w:val="clear" w:color="auto" w:fill="F2F2F2"/>
          </w:tcPr>
          <w:p>
            <w:pPr>
              <w:pStyle w:val="TableParagraph"/>
              <w:spacing w:line="268" w:lineRule="exact"/>
              <w:ind w:left="215"/>
              <w:rPr>
                <w:sz w:val="24"/>
              </w:rPr>
            </w:pPr>
            <w:r>
              <w:rPr>
                <w:sz w:val="24"/>
              </w:rPr>
              <w:t>3</w:t>
            </w:r>
            <w:r>
              <w:rPr>
                <w:spacing w:val="-2"/>
                <w:sz w:val="24"/>
              </w:rPr>
              <w:t> </w:t>
            </w:r>
            <w:r>
              <w:rPr>
                <w:sz w:val="24"/>
              </w:rPr>
              <w:t>(2</w:t>
            </w:r>
            <w:r>
              <w:rPr>
                <w:spacing w:val="-1"/>
                <w:sz w:val="24"/>
              </w:rPr>
              <w:t> </w:t>
            </w:r>
            <w:r>
              <w:rPr>
                <w:sz w:val="24"/>
              </w:rPr>
              <w:t>Engineers and</w:t>
            </w:r>
            <w:r>
              <w:rPr>
                <w:spacing w:val="-1"/>
                <w:sz w:val="24"/>
              </w:rPr>
              <w:t> </w:t>
            </w:r>
            <w:r>
              <w:rPr>
                <w:sz w:val="24"/>
              </w:rPr>
              <w:t>1</w:t>
            </w:r>
            <w:r>
              <w:rPr>
                <w:spacing w:val="-1"/>
                <w:sz w:val="24"/>
              </w:rPr>
              <w:t> </w:t>
            </w:r>
            <w:r>
              <w:rPr>
                <w:spacing w:val="-2"/>
                <w:sz w:val="24"/>
              </w:rPr>
              <w:t>Architect)</w:t>
            </w:r>
          </w:p>
        </w:tc>
        <w:tc>
          <w:tcPr>
            <w:tcW w:w="4147" w:type="dxa"/>
            <w:shd w:val="clear" w:color="auto" w:fill="F2F2F2"/>
          </w:tcPr>
          <w:p>
            <w:pPr>
              <w:pStyle w:val="TableParagraph"/>
              <w:spacing w:line="268" w:lineRule="exact"/>
              <w:ind w:left="336"/>
              <w:rPr>
                <w:sz w:val="24"/>
              </w:rPr>
            </w:pPr>
            <w:r>
              <w:rPr>
                <w:sz w:val="24"/>
              </w:rPr>
              <w:t>Designs</w:t>
            </w:r>
            <w:r>
              <w:rPr>
                <w:spacing w:val="73"/>
                <w:sz w:val="24"/>
              </w:rPr>
              <w:t> </w:t>
            </w:r>
            <w:r>
              <w:rPr>
                <w:sz w:val="24"/>
              </w:rPr>
              <w:t>building,</w:t>
            </w:r>
            <w:r>
              <w:rPr>
                <w:spacing w:val="75"/>
                <w:sz w:val="24"/>
              </w:rPr>
              <w:t> </w:t>
            </w:r>
            <w:r>
              <w:rPr>
                <w:sz w:val="24"/>
              </w:rPr>
              <w:t>monitors</w:t>
            </w:r>
            <w:r>
              <w:rPr>
                <w:spacing w:val="75"/>
                <w:sz w:val="24"/>
              </w:rPr>
              <w:t> </w:t>
            </w:r>
            <w:r>
              <w:rPr>
                <w:sz w:val="24"/>
              </w:rPr>
              <w:t>and</w:t>
            </w:r>
            <w:r>
              <w:rPr>
                <w:spacing w:val="75"/>
                <w:sz w:val="24"/>
              </w:rPr>
              <w:t> </w:t>
            </w:r>
            <w:r>
              <w:rPr>
                <w:spacing w:val="-5"/>
                <w:sz w:val="24"/>
              </w:rPr>
              <w:t>on-</w:t>
            </w:r>
          </w:p>
          <w:p>
            <w:pPr>
              <w:pStyle w:val="TableParagraph"/>
              <w:rPr>
                <w:b/>
                <w:sz w:val="24"/>
              </w:rPr>
            </w:pPr>
          </w:p>
          <w:p>
            <w:pPr>
              <w:pStyle w:val="TableParagraph"/>
              <w:ind w:left="336"/>
              <w:rPr>
                <w:sz w:val="24"/>
              </w:rPr>
            </w:pPr>
            <w:r>
              <w:rPr>
                <w:sz w:val="24"/>
              </w:rPr>
              <w:t>going</w:t>
            </w:r>
            <w:r>
              <w:rPr>
                <w:spacing w:val="-6"/>
                <w:sz w:val="24"/>
              </w:rPr>
              <w:t> </w:t>
            </w:r>
            <w:r>
              <w:rPr>
                <w:spacing w:val="-2"/>
                <w:sz w:val="24"/>
              </w:rPr>
              <w:t>projects.</w:t>
            </w:r>
          </w:p>
        </w:tc>
      </w:tr>
      <w:tr>
        <w:trPr>
          <w:trHeight w:val="1104" w:hRule="atLeast"/>
        </w:trPr>
        <w:tc>
          <w:tcPr>
            <w:tcW w:w="1021" w:type="dxa"/>
          </w:tcPr>
          <w:p>
            <w:pPr>
              <w:pStyle w:val="TableParagraph"/>
              <w:spacing w:line="268" w:lineRule="exact"/>
              <w:ind w:left="108"/>
              <w:rPr>
                <w:sz w:val="24"/>
              </w:rPr>
            </w:pPr>
            <w:r>
              <w:rPr>
                <w:sz w:val="24"/>
              </w:rPr>
              <w:t>Firm</w:t>
            </w:r>
            <w:r>
              <w:rPr>
                <w:spacing w:val="-3"/>
                <w:sz w:val="24"/>
              </w:rPr>
              <w:t> </w:t>
            </w:r>
            <w:r>
              <w:rPr>
                <w:spacing w:val="-10"/>
                <w:sz w:val="24"/>
              </w:rPr>
              <w:t>B</w:t>
            </w:r>
          </w:p>
        </w:tc>
        <w:tc>
          <w:tcPr>
            <w:tcW w:w="3848" w:type="dxa"/>
          </w:tcPr>
          <w:p>
            <w:pPr>
              <w:pStyle w:val="TableParagraph"/>
              <w:spacing w:line="268" w:lineRule="exact"/>
              <w:ind w:left="215"/>
              <w:rPr>
                <w:sz w:val="24"/>
              </w:rPr>
            </w:pPr>
            <w:r>
              <w:rPr>
                <w:sz w:val="24"/>
              </w:rPr>
              <w:t>2</w:t>
            </w:r>
            <w:r>
              <w:rPr>
                <w:spacing w:val="-1"/>
                <w:sz w:val="24"/>
              </w:rPr>
              <w:t> </w:t>
            </w:r>
            <w:r>
              <w:rPr>
                <w:sz w:val="24"/>
              </w:rPr>
              <w:t>(</w:t>
            </w:r>
            <w:r>
              <w:rPr>
                <w:spacing w:val="-2"/>
                <w:sz w:val="24"/>
              </w:rPr>
              <w:t> </w:t>
            </w:r>
            <w:r>
              <w:rPr>
                <w:sz w:val="24"/>
              </w:rPr>
              <w:t>1 Builder and</w:t>
            </w:r>
            <w:r>
              <w:rPr>
                <w:spacing w:val="-1"/>
                <w:sz w:val="24"/>
              </w:rPr>
              <w:t> </w:t>
            </w:r>
            <w:r>
              <w:rPr>
                <w:sz w:val="24"/>
              </w:rPr>
              <w:t>1 </w:t>
            </w:r>
            <w:r>
              <w:rPr>
                <w:spacing w:val="-2"/>
                <w:sz w:val="24"/>
              </w:rPr>
              <w:t>Architect)</w:t>
            </w:r>
          </w:p>
        </w:tc>
        <w:tc>
          <w:tcPr>
            <w:tcW w:w="4147" w:type="dxa"/>
          </w:tcPr>
          <w:p>
            <w:pPr>
              <w:pStyle w:val="TableParagraph"/>
              <w:spacing w:line="268" w:lineRule="exact"/>
              <w:ind w:left="336"/>
              <w:rPr>
                <w:sz w:val="24"/>
              </w:rPr>
            </w:pPr>
            <w:r>
              <w:rPr>
                <w:sz w:val="24"/>
              </w:rPr>
              <w:t>Construction</w:t>
            </w:r>
            <w:r>
              <w:rPr>
                <w:spacing w:val="26"/>
                <w:sz w:val="24"/>
              </w:rPr>
              <w:t>  </w:t>
            </w:r>
            <w:r>
              <w:rPr>
                <w:sz w:val="24"/>
              </w:rPr>
              <w:t>Work,</w:t>
            </w:r>
            <w:r>
              <w:rPr>
                <w:spacing w:val="27"/>
                <w:sz w:val="24"/>
              </w:rPr>
              <w:t>  </w:t>
            </w:r>
            <w:r>
              <w:rPr>
                <w:sz w:val="24"/>
              </w:rPr>
              <w:t>Designs</w:t>
            </w:r>
            <w:r>
              <w:rPr>
                <w:spacing w:val="28"/>
                <w:sz w:val="24"/>
              </w:rPr>
              <w:t>  </w:t>
            </w:r>
            <w:r>
              <w:rPr>
                <w:spacing w:val="-4"/>
                <w:sz w:val="24"/>
              </w:rPr>
              <w:t>work,</w:t>
            </w:r>
          </w:p>
          <w:p>
            <w:pPr>
              <w:pStyle w:val="TableParagraph"/>
              <w:rPr>
                <w:b/>
                <w:sz w:val="24"/>
              </w:rPr>
            </w:pPr>
          </w:p>
          <w:p>
            <w:pPr>
              <w:pStyle w:val="TableParagraph"/>
              <w:ind w:left="336"/>
              <w:rPr>
                <w:sz w:val="24"/>
              </w:rPr>
            </w:pPr>
            <w:r>
              <w:rPr>
                <w:sz w:val="24"/>
              </w:rPr>
              <w:t>Monitor</w:t>
            </w:r>
            <w:r>
              <w:rPr>
                <w:spacing w:val="-1"/>
                <w:sz w:val="24"/>
              </w:rPr>
              <w:t> </w:t>
            </w:r>
            <w:r>
              <w:rPr>
                <w:sz w:val="24"/>
              </w:rPr>
              <w:t>the</w:t>
            </w:r>
            <w:r>
              <w:rPr>
                <w:spacing w:val="-1"/>
                <w:sz w:val="24"/>
              </w:rPr>
              <w:t> </w:t>
            </w:r>
            <w:r>
              <w:rPr>
                <w:spacing w:val="-2"/>
                <w:sz w:val="24"/>
              </w:rPr>
              <w:t>projects.</w:t>
            </w:r>
          </w:p>
        </w:tc>
      </w:tr>
      <w:tr>
        <w:trPr>
          <w:trHeight w:val="1103" w:hRule="atLeast"/>
        </w:trPr>
        <w:tc>
          <w:tcPr>
            <w:tcW w:w="1021" w:type="dxa"/>
            <w:tcBorders>
              <w:bottom w:val="single" w:sz="4" w:space="0" w:color="000000"/>
            </w:tcBorders>
            <w:shd w:val="clear" w:color="auto" w:fill="F2F2F2"/>
          </w:tcPr>
          <w:p>
            <w:pPr>
              <w:pStyle w:val="TableParagraph"/>
              <w:spacing w:line="268" w:lineRule="exact"/>
              <w:ind w:left="108"/>
              <w:rPr>
                <w:sz w:val="24"/>
              </w:rPr>
            </w:pPr>
            <w:r>
              <w:rPr>
                <w:sz w:val="24"/>
              </w:rPr>
              <w:t>Firm</w:t>
            </w:r>
            <w:r>
              <w:rPr>
                <w:spacing w:val="-3"/>
                <w:sz w:val="24"/>
              </w:rPr>
              <w:t> </w:t>
            </w:r>
            <w:r>
              <w:rPr>
                <w:spacing w:val="-10"/>
                <w:sz w:val="24"/>
              </w:rPr>
              <w:t>C</w:t>
            </w:r>
          </w:p>
        </w:tc>
        <w:tc>
          <w:tcPr>
            <w:tcW w:w="3848" w:type="dxa"/>
            <w:tcBorders>
              <w:bottom w:val="single" w:sz="4" w:space="0" w:color="000000"/>
            </w:tcBorders>
            <w:shd w:val="clear" w:color="auto" w:fill="F2F2F2"/>
          </w:tcPr>
          <w:p>
            <w:pPr>
              <w:pStyle w:val="TableParagraph"/>
              <w:spacing w:line="268" w:lineRule="exact"/>
              <w:ind w:left="215"/>
              <w:rPr>
                <w:sz w:val="24"/>
              </w:rPr>
            </w:pPr>
            <w:r>
              <w:rPr>
                <w:sz w:val="24"/>
              </w:rPr>
              <w:t>2(</w:t>
            </w:r>
            <w:r>
              <w:rPr>
                <w:spacing w:val="55"/>
                <w:sz w:val="24"/>
              </w:rPr>
              <w:t> </w:t>
            </w:r>
            <w:r>
              <w:rPr>
                <w:sz w:val="24"/>
              </w:rPr>
              <w:t>Engineer and</w:t>
            </w:r>
            <w:r>
              <w:rPr>
                <w:spacing w:val="-2"/>
                <w:sz w:val="24"/>
              </w:rPr>
              <w:t> </w:t>
            </w:r>
            <w:r>
              <w:rPr>
                <w:sz w:val="24"/>
              </w:rPr>
              <w:t>Project</w:t>
            </w:r>
            <w:r>
              <w:rPr>
                <w:spacing w:val="1"/>
                <w:sz w:val="24"/>
              </w:rPr>
              <w:t> </w:t>
            </w:r>
            <w:r>
              <w:rPr>
                <w:spacing w:val="-2"/>
                <w:sz w:val="24"/>
              </w:rPr>
              <w:t>manager)</w:t>
            </w:r>
          </w:p>
        </w:tc>
        <w:tc>
          <w:tcPr>
            <w:tcW w:w="4147" w:type="dxa"/>
            <w:tcBorders>
              <w:bottom w:val="single" w:sz="4" w:space="0" w:color="000000"/>
            </w:tcBorders>
            <w:shd w:val="clear" w:color="auto" w:fill="F2F2F2"/>
          </w:tcPr>
          <w:p>
            <w:pPr>
              <w:pStyle w:val="TableParagraph"/>
              <w:spacing w:line="268" w:lineRule="exact"/>
              <w:ind w:left="336"/>
              <w:rPr>
                <w:sz w:val="24"/>
              </w:rPr>
            </w:pPr>
            <w:r>
              <w:rPr>
                <w:sz w:val="24"/>
              </w:rPr>
              <w:t>Contract</w:t>
            </w:r>
            <w:r>
              <w:rPr>
                <w:spacing w:val="31"/>
                <w:sz w:val="24"/>
              </w:rPr>
              <w:t> </w:t>
            </w:r>
            <w:r>
              <w:rPr>
                <w:sz w:val="24"/>
              </w:rPr>
              <w:t>administration,</w:t>
            </w:r>
            <w:r>
              <w:rPr>
                <w:spacing w:val="33"/>
                <w:sz w:val="24"/>
              </w:rPr>
              <w:t> </w:t>
            </w:r>
            <w:r>
              <w:rPr>
                <w:spacing w:val="-2"/>
                <w:sz w:val="24"/>
              </w:rPr>
              <w:t>Construction</w:t>
            </w:r>
          </w:p>
          <w:p>
            <w:pPr>
              <w:pStyle w:val="TableParagraph"/>
              <w:rPr>
                <w:b/>
                <w:sz w:val="24"/>
              </w:rPr>
            </w:pPr>
          </w:p>
          <w:p>
            <w:pPr>
              <w:pStyle w:val="TableParagraph"/>
              <w:ind w:left="336"/>
              <w:rPr>
                <w:sz w:val="24"/>
              </w:rPr>
            </w:pPr>
            <w:r>
              <w:rPr>
                <w:sz w:val="24"/>
              </w:rPr>
              <w:t>work,</w:t>
            </w:r>
            <w:r>
              <w:rPr>
                <w:spacing w:val="-2"/>
                <w:sz w:val="24"/>
              </w:rPr>
              <w:t> </w:t>
            </w:r>
            <w:r>
              <w:rPr>
                <w:sz w:val="24"/>
              </w:rPr>
              <w:t>monitoring</w:t>
            </w:r>
            <w:r>
              <w:rPr>
                <w:spacing w:val="-3"/>
                <w:sz w:val="24"/>
              </w:rPr>
              <w:t> </w:t>
            </w:r>
            <w:r>
              <w:rPr>
                <w:sz w:val="24"/>
              </w:rPr>
              <w:t>the</w:t>
            </w:r>
            <w:r>
              <w:rPr>
                <w:spacing w:val="-2"/>
                <w:sz w:val="24"/>
              </w:rPr>
              <w:t> projects.</w:t>
            </w:r>
          </w:p>
        </w:tc>
      </w:tr>
    </w:tbl>
    <w:p>
      <w:pPr>
        <w:spacing w:before="0"/>
        <w:ind w:left="400" w:right="0" w:firstLine="0"/>
        <w:jc w:val="both"/>
        <w:rPr>
          <w:b/>
          <w:sz w:val="24"/>
        </w:rPr>
      </w:pPr>
      <w:r>
        <w:rPr>
          <w:b/>
          <w:sz w:val="24"/>
        </w:rPr>
        <w:t>Source:</w:t>
      </w:r>
      <w:r>
        <w:rPr>
          <w:b/>
          <w:spacing w:val="-6"/>
          <w:sz w:val="24"/>
        </w:rPr>
        <w:t> </w:t>
      </w:r>
      <w:r>
        <w:rPr>
          <w:b/>
          <w:sz w:val="24"/>
        </w:rPr>
        <w:t>Researcher’s</w:t>
      </w:r>
      <w:r>
        <w:rPr>
          <w:b/>
          <w:spacing w:val="-1"/>
          <w:sz w:val="24"/>
        </w:rPr>
        <w:t> </w:t>
      </w:r>
      <w:r>
        <w:rPr>
          <w:b/>
          <w:sz w:val="24"/>
        </w:rPr>
        <w:t>Field</w:t>
      </w:r>
      <w:r>
        <w:rPr>
          <w:b/>
          <w:spacing w:val="-2"/>
          <w:sz w:val="24"/>
        </w:rPr>
        <w:t> </w:t>
      </w:r>
      <w:r>
        <w:rPr>
          <w:b/>
          <w:sz w:val="24"/>
        </w:rPr>
        <w:t>Work</w:t>
      </w:r>
      <w:r>
        <w:rPr>
          <w:b/>
          <w:spacing w:val="-2"/>
          <w:sz w:val="24"/>
        </w:rPr>
        <w:t> (2018)</w:t>
      </w:r>
    </w:p>
    <w:p>
      <w:pPr>
        <w:pStyle w:val="BodyText"/>
        <w:spacing w:before="154"/>
        <w:rPr>
          <w:b/>
        </w:rPr>
      </w:pPr>
    </w:p>
    <w:p>
      <w:pPr>
        <w:pStyle w:val="BodyText"/>
        <w:spacing w:line="480" w:lineRule="auto"/>
        <w:ind w:left="400" w:right="1318"/>
        <w:jc w:val="both"/>
      </w:pPr>
      <w:r>
        <w:rPr/>
        <w:t>The interviews were conducted with seven respondents occupying key positions in design, construction and quality departments of their firms. The questions were structured to</w:t>
      </w:r>
    </w:p>
    <w:p>
      <w:pPr>
        <w:pStyle w:val="BodyText"/>
        <w:spacing w:line="480" w:lineRule="auto" w:before="161"/>
        <w:ind w:left="400" w:right="1320"/>
        <w:jc w:val="both"/>
      </w:pPr>
      <w:r>
        <w:rPr/>
        <w:t>provide</w:t>
      </w:r>
      <w:r>
        <w:rPr>
          <w:spacing w:val="40"/>
        </w:rPr>
        <w:t> </w:t>
      </w:r>
      <w:r>
        <w:rPr/>
        <w:t>data</w:t>
      </w:r>
      <w:r>
        <w:rPr>
          <w:spacing w:val="40"/>
        </w:rPr>
        <w:t> </w:t>
      </w:r>
      <w:r>
        <w:rPr/>
        <w:t>and</w:t>
      </w:r>
      <w:r>
        <w:rPr>
          <w:spacing w:val="40"/>
        </w:rPr>
        <w:t> </w:t>
      </w:r>
      <w:r>
        <w:rPr/>
        <w:t>information</w:t>
      </w:r>
      <w:r>
        <w:rPr>
          <w:spacing w:val="40"/>
        </w:rPr>
        <w:t> </w:t>
      </w:r>
      <w:r>
        <w:rPr/>
        <w:t>from</w:t>
      </w:r>
      <w:r>
        <w:rPr>
          <w:spacing w:val="40"/>
        </w:rPr>
        <w:t> </w:t>
      </w:r>
      <w:r>
        <w:rPr/>
        <w:t>the</w:t>
      </w:r>
      <w:r>
        <w:rPr>
          <w:spacing w:val="40"/>
        </w:rPr>
        <w:t> </w:t>
      </w:r>
      <w:r>
        <w:rPr/>
        <w:t>experiences</w:t>
      </w:r>
      <w:r>
        <w:rPr>
          <w:spacing w:val="40"/>
        </w:rPr>
        <w:t> </w:t>
      </w:r>
      <w:r>
        <w:rPr/>
        <w:t>of</w:t>
      </w:r>
      <w:r>
        <w:rPr>
          <w:spacing w:val="40"/>
        </w:rPr>
        <w:t> </w:t>
      </w:r>
      <w:r>
        <w:rPr/>
        <w:t>respondents</w:t>
      </w:r>
      <w:r>
        <w:rPr>
          <w:spacing w:val="40"/>
        </w:rPr>
        <w:t> </w:t>
      </w:r>
      <w:r>
        <w:rPr/>
        <w:t>on</w:t>
      </w:r>
      <w:r>
        <w:rPr>
          <w:spacing w:val="40"/>
        </w:rPr>
        <w:t> </w:t>
      </w:r>
      <w:r>
        <w:rPr/>
        <w:t>critical aspects of quality management best practices; challenges encountered in the total quality management implement; strategies for improving total quality management in the targeted SMCFs. The</w:t>
      </w:r>
      <w:r>
        <w:rPr>
          <w:spacing w:val="40"/>
        </w:rPr>
        <w:t> </w:t>
      </w:r>
      <w:r>
        <w:rPr/>
        <w:t>results and analysis of the responses are presented using tables, descriptions and narratives as </w:t>
      </w:r>
      <w:r>
        <w:rPr>
          <w:spacing w:val="-2"/>
        </w:rPr>
        <w:t>follows:</w:t>
      </w:r>
    </w:p>
    <w:p>
      <w:pPr>
        <w:pStyle w:val="Heading2"/>
        <w:numPr>
          <w:ilvl w:val="2"/>
          <w:numId w:val="51"/>
        </w:numPr>
        <w:tabs>
          <w:tab w:pos="1120" w:val="left" w:leader="none"/>
        </w:tabs>
        <w:spacing w:line="240" w:lineRule="auto" w:before="233" w:after="0"/>
        <w:ind w:left="1120" w:right="0" w:hanging="720"/>
        <w:jc w:val="both"/>
      </w:pPr>
      <w:r>
        <w:rPr/>
        <w:t>Status</w:t>
      </w:r>
      <w:r>
        <w:rPr>
          <w:spacing w:val="-4"/>
        </w:rPr>
        <w:t> </w:t>
      </w:r>
      <w:r>
        <w:rPr/>
        <w:t>of</w:t>
      </w:r>
      <w:r>
        <w:rPr>
          <w:spacing w:val="-1"/>
        </w:rPr>
        <w:t> </w:t>
      </w:r>
      <w:r>
        <w:rPr/>
        <w:t>interviewees</w:t>
      </w:r>
      <w:r>
        <w:rPr>
          <w:spacing w:val="-1"/>
        </w:rPr>
        <w:t> </w:t>
      </w:r>
      <w:r>
        <w:rPr/>
        <w:t>and</w:t>
      </w:r>
      <w:r>
        <w:rPr>
          <w:spacing w:val="-2"/>
        </w:rPr>
        <w:t> </w:t>
      </w:r>
      <w:r>
        <w:rPr/>
        <w:t>nature</w:t>
      </w:r>
      <w:r>
        <w:rPr>
          <w:spacing w:val="-2"/>
        </w:rPr>
        <w:t> </w:t>
      </w:r>
      <w:r>
        <w:rPr/>
        <w:t>of</w:t>
      </w:r>
      <w:r>
        <w:rPr>
          <w:spacing w:val="-3"/>
        </w:rPr>
        <w:t> </w:t>
      </w:r>
      <w:r>
        <w:rPr/>
        <w:t>department</w:t>
      </w:r>
      <w:r>
        <w:rPr>
          <w:spacing w:val="-2"/>
        </w:rPr>
        <w:t> </w:t>
      </w:r>
      <w:r>
        <w:rPr/>
        <w:t>in</w:t>
      </w:r>
      <w:r>
        <w:rPr>
          <w:spacing w:val="-2"/>
        </w:rPr>
        <w:t> </w:t>
      </w:r>
      <w:r>
        <w:rPr/>
        <w:t>the</w:t>
      </w:r>
      <w:r>
        <w:rPr>
          <w:spacing w:val="-2"/>
        </w:rPr>
        <w:t> firms</w:t>
      </w:r>
    </w:p>
    <w:p>
      <w:pPr>
        <w:pStyle w:val="BodyText"/>
        <w:spacing w:line="480" w:lineRule="auto" w:before="271"/>
        <w:ind w:left="400" w:right="1320"/>
        <w:jc w:val="both"/>
      </w:pPr>
      <w:r>
        <w:rPr/>
        <w:t>A question on this was asked to establish the background and primary organisational nature of the interviewee’s department in the organisation.</w:t>
      </w:r>
      <w:r>
        <w:rPr>
          <w:spacing w:val="40"/>
        </w:rPr>
        <w:t> </w:t>
      </w:r>
      <w:r>
        <w:rPr/>
        <w:t>Table 5.18 shows the results obtained</w:t>
      </w:r>
    </w:p>
    <w:p>
      <w:pPr>
        <w:spacing w:after="0" w:line="480" w:lineRule="auto"/>
        <w:jc w:val="both"/>
        <w:sectPr>
          <w:pgSz w:w="12240" w:h="15840"/>
          <w:pgMar w:header="0" w:footer="1017" w:top="1360" w:bottom="1200" w:left="1040" w:right="120"/>
        </w:sectPr>
      </w:pPr>
    </w:p>
    <w:p>
      <w:pPr>
        <w:spacing w:before="76"/>
        <w:ind w:left="400" w:right="0" w:firstLine="0"/>
        <w:jc w:val="left"/>
        <w:rPr>
          <w:b/>
          <w:sz w:val="24"/>
        </w:rPr>
      </w:pPr>
      <w:r>
        <w:rPr>
          <w:b/>
          <w:sz w:val="24"/>
        </w:rPr>
        <w:t>Table</w:t>
      </w:r>
      <w:r>
        <w:rPr>
          <w:b/>
          <w:spacing w:val="-6"/>
          <w:sz w:val="24"/>
        </w:rPr>
        <w:t> </w:t>
      </w:r>
      <w:r>
        <w:rPr>
          <w:b/>
          <w:sz w:val="24"/>
        </w:rPr>
        <w:t>5.18</w:t>
      </w:r>
      <w:r>
        <w:rPr>
          <w:b/>
          <w:spacing w:val="-2"/>
          <w:sz w:val="24"/>
        </w:rPr>
        <w:t> </w:t>
      </w:r>
      <w:r>
        <w:rPr>
          <w:b/>
          <w:sz w:val="24"/>
        </w:rPr>
        <w:t>interviewees’</w:t>
      </w:r>
      <w:r>
        <w:rPr>
          <w:b/>
          <w:spacing w:val="-3"/>
          <w:sz w:val="24"/>
        </w:rPr>
        <w:t> </w:t>
      </w:r>
      <w:r>
        <w:rPr>
          <w:b/>
          <w:sz w:val="24"/>
        </w:rPr>
        <w:t>status</w:t>
      </w:r>
      <w:r>
        <w:rPr>
          <w:b/>
          <w:spacing w:val="-2"/>
          <w:sz w:val="24"/>
        </w:rPr>
        <w:t> </w:t>
      </w:r>
      <w:r>
        <w:rPr>
          <w:b/>
          <w:sz w:val="24"/>
        </w:rPr>
        <w:t>and</w:t>
      </w:r>
      <w:r>
        <w:rPr>
          <w:b/>
          <w:spacing w:val="-2"/>
          <w:sz w:val="24"/>
        </w:rPr>
        <w:t> </w:t>
      </w:r>
      <w:r>
        <w:rPr>
          <w:b/>
          <w:sz w:val="24"/>
        </w:rPr>
        <w:t>nature</w:t>
      </w:r>
      <w:r>
        <w:rPr>
          <w:b/>
          <w:spacing w:val="-4"/>
          <w:sz w:val="24"/>
        </w:rPr>
        <w:t> </w:t>
      </w:r>
      <w:r>
        <w:rPr>
          <w:b/>
          <w:sz w:val="24"/>
        </w:rPr>
        <w:t>of</w:t>
      </w:r>
      <w:r>
        <w:rPr>
          <w:b/>
          <w:spacing w:val="-1"/>
          <w:sz w:val="24"/>
        </w:rPr>
        <w:t> </w:t>
      </w:r>
      <w:r>
        <w:rPr>
          <w:b/>
          <w:sz w:val="24"/>
        </w:rPr>
        <w:t>department/professions</w:t>
      </w:r>
      <w:r>
        <w:rPr>
          <w:b/>
          <w:spacing w:val="-2"/>
          <w:sz w:val="24"/>
        </w:rPr>
        <w:t> </w:t>
      </w:r>
      <w:r>
        <w:rPr>
          <w:b/>
          <w:sz w:val="24"/>
        </w:rPr>
        <w:t>in</w:t>
      </w:r>
      <w:r>
        <w:rPr>
          <w:b/>
          <w:spacing w:val="-2"/>
          <w:sz w:val="24"/>
        </w:rPr>
        <w:t> </w:t>
      </w:r>
      <w:r>
        <w:rPr>
          <w:b/>
          <w:sz w:val="24"/>
        </w:rPr>
        <w:t>their</w:t>
      </w:r>
      <w:r>
        <w:rPr>
          <w:b/>
          <w:spacing w:val="-3"/>
          <w:sz w:val="24"/>
        </w:rPr>
        <w:t> </w:t>
      </w:r>
      <w:r>
        <w:rPr>
          <w:b/>
          <w:spacing w:val="-2"/>
          <w:sz w:val="24"/>
        </w:rPr>
        <w:t>firms</w:t>
      </w:r>
    </w:p>
    <w:p>
      <w:pPr>
        <w:pStyle w:val="BodyText"/>
        <w:spacing w:before="210" w:after="1"/>
        <w:rPr>
          <w:b/>
          <w:sz w:val="20"/>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1363"/>
        <w:gridCol w:w="1401"/>
        <w:gridCol w:w="1417"/>
        <w:gridCol w:w="1417"/>
        <w:gridCol w:w="1313"/>
        <w:gridCol w:w="1178"/>
      </w:tblGrid>
      <w:tr>
        <w:trPr>
          <w:trHeight w:val="1103" w:hRule="atLeast"/>
        </w:trPr>
        <w:tc>
          <w:tcPr>
            <w:tcW w:w="1169" w:type="dxa"/>
            <w:tcBorders>
              <w:top w:val="single" w:sz="4" w:space="0" w:color="000000"/>
            </w:tcBorders>
            <w:shd w:val="clear" w:color="auto" w:fill="DADADA"/>
          </w:tcPr>
          <w:p>
            <w:pPr>
              <w:pStyle w:val="TableParagraph"/>
              <w:spacing w:line="268" w:lineRule="exact"/>
              <w:ind w:left="108"/>
              <w:rPr>
                <w:sz w:val="24"/>
              </w:rPr>
            </w:pPr>
            <w:r>
              <w:rPr>
                <w:spacing w:val="-5"/>
                <w:sz w:val="24"/>
              </w:rPr>
              <w:t>CEO</w:t>
            </w:r>
          </w:p>
        </w:tc>
        <w:tc>
          <w:tcPr>
            <w:tcW w:w="1363" w:type="dxa"/>
            <w:tcBorders>
              <w:top w:val="single" w:sz="4" w:space="0" w:color="000000"/>
            </w:tcBorders>
            <w:shd w:val="clear" w:color="auto" w:fill="DADADA"/>
          </w:tcPr>
          <w:p>
            <w:pPr>
              <w:pStyle w:val="TableParagraph"/>
              <w:spacing w:line="268" w:lineRule="exact"/>
              <w:ind w:left="160"/>
              <w:rPr>
                <w:sz w:val="24"/>
              </w:rPr>
            </w:pPr>
            <w:r>
              <w:rPr>
                <w:spacing w:val="-2"/>
                <w:sz w:val="24"/>
              </w:rPr>
              <w:t>Chief</w:t>
            </w:r>
          </w:p>
          <w:p>
            <w:pPr>
              <w:pStyle w:val="TableParagraph"/>
              <w:rPr>
                <w:b/>
                <w:sz w:val="24"/>
              </w:rPr>
            </w:pPr>
          </w:p>
          <w:p>
            <w:pPr>
              <w:pStyle w:val="TableParagraph"/>
              <w:ind w:left="160"/>
              <w:rPr>
                <w:sz w:val="24"/>
              </w:rPr>
            </w:pPr>
            <w:r>
              <w:rPr>
                <w:spacing w:val="-2"/>
                <w:sz w:val="24"/>
              </w:rPr>
              <w:t>Engineer</w:t>
            </w:r>
          </w:p>
        </w:tc>
        <w:tc>
          <w:tcPr>
            <w:tcW w:w="1401" w:type="dxa"/>
            <w:tcBorders>
              <w:top w:val="single" w:sz="4" w:space="0" w:color="000000"/>
            </w:tcBorders>
            <w:shd w:val="clear" w:color="auto" w:fill="DADADA"/>
          </w:tcPr>
          <w:p>
            <w:pPr>
              <w:pStyle w:val="TableParagraph"/>
              <w:spacing w:line="268" w:lineRule="exact"/>
              <w:ind w:left="122"/>
              <w:rPr>
                <w:sz w:val="24"/>
              </w:rPr>
            </w:pPr>
            <w:r>
              <w:rPr>
                <w:spacing w:val="-2"/>
                <w:sz w:val="24"/>
              </w:rPr>
              <w:t>Control</w:t>
            </w:r>
          </w:p>
          <w:p>
            <w:pPr>
              <w:pStyle w:val="TableParagraph"/>
              <w:rPr>
                <w:b/>
                <w:sz w:val="24"/>
              </w:rPr>
            </w:pPr>
          </w:p>
          <w:p>
            <w:pPr>
              <w:pStyle w:val="TableParagraph"/>
              <w:ind w:left="122"/>
              <w:rPr>
                <w:sz w:val="24"/>
              </w:rPr>
            </w:pPr>
            <w:r>
              <w:rPr>
                <w:spacing w:val="-2"/>
                <w:sz w:val="24"/>
              </w:rPr>
              <w:t>Officer</w:t>
            </w:r>
          </w:p>
        </w:tc>
        <w:tc>
          <w:tcPr>
            <w:tcW w:w="1417" w:type="dxa"/>
            <w:tcBorders>
              <w:top w:val="single" w:sz="4" w:space="0" w:color="000000"/>
            </w:tcBorders>
            <w:shd w:val="clear" w:color="auto" w:fill="DADADA"/>
          </w:tcPr>
          <w:p>
            <w:pPr>
              <w:pStyle w:val="TableParagraph"/>
              <w:spacing w:line="268" w:lineRule="exact"/>
              <w:ind w:right="95"/>
              <w:jc w:val="center"/>
              <w:rPr>
                <w:sz w:val="24"/>
              </w:rPr>
            </w:pPr>
            <w:r>
              <w:rPr>
                <w:spacing w:val="-2"/>
                <w:sz w:val="24"/>
              </w:rPr>
              <w:t>Supervisor</w:t>
            </w:r>
          </w:p>
        </w:tc>
        <w:tc>
          <w:tcPr>
            <w:tcW w:w="1417" w:type="dxa"/>
            <w:tcBorders>
              <w:top w:val="single" w:sz="4" w:space="0" w:color="000000"/>
            </w:tcBorders>
            <w:shd w:val="clear" w:color="auto" w:fill="DADADA"/>
          </w:tcPr>
          <w:p>
            <w:pPr>
              <w:pStyle w:val="TableParagraph"/>
              <w:spacing w:line="268" w:lineRule="exact"/>
              <w:ind w:left="138"/>
              <w:rPr>
                <w:sz w:val="24"/>
              </w:rPr>
            </w:pPr>
            <w:r>
              <w:rPr>
                <w:spacing w:val="-2"/>
                <w:sz w:val="24"/>
              </w:rPr>
              <w:t>Chief</w:t>
            </w:r>
          </w:p>
          <w:p>
            <w:pPr>
              <w:pStyle w:val="TableParagraph"/>
              <w:rPr>
                <w:b/>
                <w:sz w:val="24"/>
              </w:rPr>
            </w:pPr>
          </w:p>
          <w:p>
            <w:pPr>
              <w:pStyle w:val="TableParagraph"/>
              <w:ind w:left="138"/>
              <w:rPr>
                <w:sz w:val="24"/>
              </w:rPr>
            </w:pPr>
            <w:r>
              <w:rPr>
                <w:spacing w:val="-2"/>
                <w:sz w:val="24"/>
              </w:rPr>
              <w:t>Architect</w:t>
            </w:r>
          </w:p>
        </w:tc>
        <w:tc>
          <w:tcPr>
            <w:tcW w:w="1313" w:type="dxa"/>
            <w:tcBorders>
              <w:top w:val="single" w:sz="4" w:space="0" w:color="000000"/>
            </w:tcBorders>
            <w:shd w:val="clear" w:color="auto" w:fill="DADADA"/>
          </w:tcPr>
          <w:p>
            <w:pPr>
              <w:pStyle w:val="TableParagraph"/>
              <w:spacing w:line="268" w:lineRule="exact"/>
              <w:ind w:left="140"/>
              <w:rPr>
                <w:sz w:val="24"/>
              </w:rPr>
            </w:pPr>
            <w:r>
              <w:rPr>
                <w:spacing w:val="-4"/>
                <w:sz w:val="24"/>
              </w:rPr>
              <w:t>Other</w:t>
            </w:r>
          </w:p>
        </w:tc>
        <w:tc>
          <w:tcPr>
            <w:tcW w:w="1178" w:type="dxa"/>
            <w:tcBorders>
              <w:top w:val="single" w:sz="4" w:space="0" w:color="000000"/>
            </w:tcBorders>
            <w:shd w:val="clear" w:color="auto" w:fill="DADADA"/>
          </w:tcPr>
          <w:p>
            <w:pPr>
              <w:pStyle w:val="TableParagraph"/>
              <w:spacing w:line="268" w:lineRule="exact"/>
              <w:ind w:left="202"/>
              <w:rPr>
                <w:sz w:val="24"/>
              </w:rPr>
            </w:pPr>
            <w:r>
              <w:rPr>
                <w:spacing w:val="-4"/>
                <w:sz w:val="24"/>
              </w:rPr>
              <w:t>Total</w:t>
            </w:r>
          </w:p>
        </w:tc>
      </w:tr>
      <w:tr>
        <w:trPr>
          <w:trHeight w:val="1103" w:hRule="atLeast"/>
        </w:trPr>
        <w:tc>
          <w:tcPr>
            <w:tcW w:w="1169" w:type="dxa"/>
          </w:tcPr>
          <w:p>
            <w:pPr>
              <w:pStyle w:val="TableParagraph"/>
              <w:spacing w:line="268" w:lineRule="exact"/>
              <w:ind w:left="108"/>
              <w:rPr>
                <w:sz w:val="24"/>
              </w:rPr>
            </w:pPr>
            <w:r>
              <w:rPr>
                <w:spacing w:val="-5"/>
                <w:sz w:val="24"/>
              </w:rPr>
              <w:t>No</w:t>
            </w:r>
          </w:p>
          <w:p>
            <w:pPr>
              <w:pStyle w:val="TableParagraph"/>
              <w:rPr>
                <w:b/>
                <w:sz w:val="24"/>
              </w:rPr>
            </w:pPr>
          </w:p>
          <w:p>
            <w:pPr>
              <w:pStyle w:val="TableParagraph"/>
              <w:ind w:left="108"/>
              <w:rPr>
                <w:sz w:val="24"/>
              </w:rPr>
            </w:pPr>
            <w:r>
              <w:rPr>
                <w:spacing w:val="-10"/>
                <w:sz w:val="24"/>
              </w:rPr>
              <w:t>%</w:t>
            </w:r>
          </w:p>
        </w:tc>
        <w:tc>
          <w:tcPr>
            <w:tcW w:w="1363" w:type="dxa"/>
          </w:tcPr>
          <w:p>
            <w:pPr>
              <w:pStyle w:val="TableParagraph"/>
              <w:spacing w:line="268" w:lineRule="exact"/>
              <w:ind w:left="160"/>
              <w:rPr>
                <w:sz w:val="24"/>
              </w:rPr>
            </w:pPr>
            <w:r>
              <w:rPr>
                <w:spacing w:val="-5"/>
                <w:sz w:val="24"/>
              </w:rPr>
              <w:t>No</w:t>
            </w:r>
          </w:p>
          <w:p>
            <w:pPr>
              <w:pStyle w:val="TableParagraph"/>
              <w:rPr>
                <w:b/>
                <w:sz w:val="24"/>
              </w:rPr>
            </w:pPr>
          </w:p>
          <w:p>
            <w:pPr>
              <w:pStyle w:val="TableParagraph"/>
              <w:ind w:left="160"/>
              <w:rPr>
                <w:sz w:val="24"/>
              </w:rPr>
            </w:pPr>
            <w:r>
              <w:rPr>
                <w:spacing w:val="-10"/>
                <w:sz w:val="24"/>
              </w:rPr>
              <w:t>%</w:t>
            </w:r>
          </w:p>
        </w:tc>
        <w:tc>
          <w:tcPr>
            <w:tcW w:w="1401" w:type="dxa"/>
          </w:tcPr>
          <w:p>
            <w:pPr>
              <w:pStyle w:val="TableParagraph"/>
              <w:spacing w:line="268" w:lineRule="exact"/>
              <w:ind w:left="122"/>
              <w:rPr>
                <w:sz w:val="24"/>
              </w:rPr>
            </w:pPr>
            <w:r>
              <w:rPr>
                <w:spacing w:val="-5"/>
                <w:sz w:val="24"/>
              </w:rPr>
              <w:t>No</w:t>
            </w:r>
          </w:p>
          <w:p>
            <w:pPr>
              <w:pStyle w:val="TableParagraph"/>
              <w:rPr>
                <w:b/>
                <w:sz w:val="24"/>
              </w:rPr>
            </w:pPr>
          </w:p>
          <w:p>
            <w:pPr>
              <w:pStyle w:val="TableParagraph"/>
              <w:ind w:left="122"/>
              <w:rPr>
                <w:sz w:val="24"/>
              </w:rPr>
            </w:pPr>
            <w:r>
              <w:rPr>
                <w:spacing w:val="-10"/>
                <w:sz w:val="24"/>
              </w:rPr>
              <w:t>%</w:t>
            </w:r>
          </w:p>
        </w:tc>
        <w:tc>
          <w:tcPr>
            <w:tcW w:w="1417" w:type="dxa"/>
          </w:tcPr>
          <w:p>
            <w:pPr>
              <w:pStyle w:val="TableParagraph"/>
              <w:spacing w:line="268" w:lineRule="exact"/>
              <w:ind w:left="139"/>
              <w:rPr>
                <w:sz w:val="24"/>
              </w:rPr>
            </w:pPr>
            <w:r>
              <w:rPr>
                <w:spacing w:val="-5"/>
                <w:sz w:val="24"/>
              </w:rPr>
              <w:t>No</w:t>
            </w:r>
          </w:p>
          <w:p>
            <w:pPr>
              <w:pStyle w:val="TableParagraph"/>
              <w:rPr>
                <w:b/>
                <w:sz w:val="24"/>
              </w:rPr>
            </w:pPr>
          </w:p>
          <w:p>
            <w:pPr>
              <w:pStyle w:val="TableParagraph"/>
              <w:ind w:left="139"/>
              <w:rPr>
                <w:sz w:val="24"/>
              </w:rPr>
            </w:pPr>
            <w:r>
              <w:rPr>
                <w:spacing w:val="-10"/>
                <w:sz w:val="24"/>
              </w:rPr>
              <w:t>%</w:t>
            </w:r>
          </w:p>
        </w:tc>
        <w:tc>
          <w:tcPr>
            <w:tcW w:w="1417" w:type="dxa"/>
          </w:tcPr>
          <w:p>
            <w:pPr>
              <w:pStyle w:val="TableParagraph"/>
              <w:spacing w:line="268" w:lineRule="exact"/>
              <w:ind w:left="138"/>
              <w:rPr>
                <w:sz w:val="24"/>
              </w:rPr>
            </w:pPr>
            <w:r>
              <w:rPr>
                <w:spacing w:val="-5"/>
                <w:sz w:val="24"/>
              </w:rPr>
              <w:t>No</w:t>
            </w:r>
          </w:p>
          <w:p>
            <w:pPr>
              <w:pStyle w:val="TableParagraph"/>
              <w:rPr>
                <w:b/>
                <w:sz w:val="24"/>
              </w:rPr>
            </w:pPr>
          </w:p>
          <w:p>
            <w:pPr>
              <w:pStyle w:val="TableParagraph"/>
              <w:ind w:left="138"/>
              <w:rPr>
                <w:sz w:val="24"/>
              </w:rPr>
            </w:pPr>
            <w:r>
              <w:rPr>
                <w:spacing w:val="-10"/>
                <w:sz w:val="24"/>
              </w:rPr>
              <w:t>%</w:t>
            </w:r>
          </w:p>
        </w:tc>
        <w:tc>
          <w:tcPr>
            <w:tcW w:w="1313" w:type="dxa"/>
          </w:tcPr>
          <w:p>
            <w:pPr>
              <w:pStyle w:val="TableParagraph"/>
              <w:tabs>
                <w:tab w:pos="912" w:val="left" w:leader="none"/>
              </w:tabs>
              <w:spacing w:line="268" w:lineRule="exact"/>
              <w:ind w:left="140"/>
              <w:rPr>
                <w:sz w:val="24"/>
              </w:rPr>
            </w:pPr>
            <w:r>
              <w:rPr>
                <w:spacing w:val="-5"/>
                <w:sz w:val="24"/>
              </w:rPr>
              <w:t>No</w:t>
            </w:r>
            <w:r>
              <w:rPr>
                <w:sz w:val="24"/>
              </w:rPr>
              <w:tab/>
            </w:r>
            <w:r>
              <w:rPr>
                <w:spacing w:val="-10"/>
                <w:sz w:val="24"/>
              </w:rPr>
              <w:t>%</w:t>
            </w:r>
          </w:p>
        </w:tc>
        <w:tc>
          <w:tcPr>
            <w:tcW w:w="1178" w:type="dxa"/>
          </w:tcPr>
          <w:p>
            <w:pPr>
              <w:pStyle w:val="TableParagraph"/>
              <w:tabs>
                <w:tab w:pos="855" w:val="left" w:leader="none"/>
              </w:tabs>
              <w:spacing w:line="268" w:lineRule="exact"/>
              <w:ind w:left="202"/>
              <w:rPr>
                <w:sz w:val="24"/>
              </w:rPr>
            </w:pPr>
            <w:r>
              <w:rPr>
                <w:spacing w:val="-5"/>
                <w:sz w:val="24"/>
              </w:rPr>
              <w:t>No</w:t>
            </w:r>
            <w:r>
              <w:rPr>
                <w:sz w:val="24"/>
              </w:rPr>
              <w:tab/>
            </w:r>
            <w:r>
              <w:rPr>
                <w:spacing w:val="-10"/>
                <w:sz w:val="24"/>
              </w:rPr>
              <w:t>%</w:t>
            </w:r>
          </w:p>
        </w:tc>
      </w:tr>
      <w:tr>
        <w:trPr>
          <w:trHeight w:val="551" w:hRule="atLeast"/>
        </w:trPr>
        <w:tc>
          <w:tcPr>
            <w:tcW w:w="1169" w:type="dxa"/>
            <w:tcBorders>
              <w:bottom w:val="single" w:sz="4" w:space="0" w:color="000000"/>
            </w:tcBorders>
            <w:shd w:val="clear" w:color="auto" w:fill="D5DCE4"/>
          </w:tcPr>
          <w:p>
            <w:pPr>
              <w:pStyle w:val="TableParagraph"/>
              <w:tabs>
                <w:tab w:pos="767" w:val="left" w:leader="none"/>
              </w:tabs>
              <w:spacing w:line="268" w:lineRule="exact"/>
              <w:ind w:left="108"/>
              <w:rPr>
                <w:sz w:val="24"/>
              </w:rPr>
            </w:pPr>
            <w:r>
              <w:rPr>
                <w:spacing w:val="-10"/>
                <w:sz w:val="24"/>
              </w:rPr>
              <w:t>2</w:t>
            </w:r>
            <w:r>
              <w:rPr>
                <w:sz w:val="24"/>
              </w:rPr>
              <w:tab/>
            </w:r>
            <w:r>
              <w:rPr>
                <w:spacing w:val="-5"/>
                <w:sz w:val="24"/>
              </w:rPr>
              <w:t>29</w:t>
            </w:r>
          </w:p>
        </w:tc>
        <w:tc>
          <w:tcPr>
            <w:tcW w:w="1363" w:type="dxa"/>
            <w:tcBorders>
              <w:bottom w:val="single" w:sz="4" w:space="0" w:color="000000"/>
            </w:tcBorders>
            <w:shd w:val="clear" w:color="auto" w:fill="D5DCE4"/>
          </w:tcPr>
          <w:p>
            <w:pPr>
              <w:pStyle w:val="TableParagraph"/>
              <w:tabs>
                <w:tab w:pos="1000" w:val="left" w:leader="none"/>
              </w:tabs>
              <w:spacing w:line="268" w:lineRule="exact"/>
              <w:ind w:left="160"/>
              <w:rPr>
                <w:sz w:val="24"/>
              </w:rPr>
            </w:pPr>
            <w:r>
              <w:rPr>
                <w:spacing w:val="-10"/>
                <w:sz w:val="24"/>
              </w:rPr>
              <w:t>2</w:t>
            </w:r>
            <w:r>
              <w:rPr>
                <w:sz w:val="24"/>
              </w:rPr>
              <w:tab/>
            </w:r>
            <w:r>
              <w:rPr>
                <w:spacing w:val="-5"/>
                <w:sz w:val="24"/>
              </w:rPr>
              <w:t>29</w:t>
            </w:r>
          </w:p>
        </w:tc>
        <w:tc>
          <w:tcPr>
            <w:tcW w:w="1401" w:type="dxa"/>
            <w:tcBorders>
              <w:bottom w:val="single" w:sz="4" w:space="0" w:color="000000"/>
            </w:tcBorders>
            <w:shd w:val="clear" w:color="auto" w:fill="D5DCE4"/>
          </w:tcPr>
          <w:p>
            <w:pPr>
              <w:pStyle w:val="TableParagraph"/>
              <w:tabs>
                <w:tab w:pos="1022" w:val="left" w:leader="none"/>
              </w:tabs>
              <w:spacing w:line="268" w:lineRule="exact"/>
              <w:ind w:left="122"/>
              <w:rPr>
                <w:sz w:val="24"/>
              </w:rPr>
            </w:pPr>
            <w:r>
              <w:rPr>
                <w:spacing w:val="-10"/>
                <w:sz w:val="24"/>
              </w:rPr>
              <w:t>1</w:t>
            </w:r>
            <w:r>
              <w:rPr>
                <w:sz w:val="24"/>
              </w:rPr>
              <w:tab/>
            </w:r>
            <w:r>
              <w:rPr>
                <w:spacing w:val="-5"/>
                <w:sz w:val="24"/>
              </w:rPr>
              <w:t>14</w:t>
            </w:r>
          </w:p>
        </w:tc>
        <w:tc>
          <w:tcPr>
            <w:tcW w:w="1417" w:type="dxa"/>
            <w:tcBorders>
              <w:bottom w:val="single" w:sz="4" w:space="0" w:color="000000"/>
            </w:tcBorders>
            <w:shd w:val="clear" w:color="auto" w:fill="D5DCE4"/>
          </w:tcPr>
          <w:p>
            <w:pPr>
              <w:pStyle w:val="TableParagraph"/>
              <w:tabs>
                <w:tab w:pos="1039" w:val="left" w:leader="none"/>
              </w:tabs>
              <w:spacing w:line="268" w:lineRule="exact"/>
              <w:ind w:left="139"/>
              <w:rPr>
                <w:sz w:val="24"/>
              </w:rPr>
            </w:pPr>
            <w:r>
              <w:rPr>
                <w:spacing w:val="-10"/>
                <w:sz w:val="24"/>
              </w:rPr>
              <w:t>1</w:t>
            </w:r>
            <w:r>
              <w:rPr>
                <w:sz w:val="24"/>
              </w:rPr>
              <w:tab/>
            </w:r>
            <w:r>
              <w:rPr>
                <w:spacing w:val="-5"/>
                <w:sz w:val="24"/>
              </w:rPr>
              <w:t>14</w:t>
            </w:r>
          </w:p>
        </w:tc>
        <w:tc>
          <w:tcPr>
            <w:tcW w:w="1417" w:type="dxa"/>
            <w:tcBorders>
              <w:bottom w:val="single" w:sz="4" w:space="0" w:color="000000"/>
            </w:tcBorders>
            <w:shd w:val="clear" w:color="auto" w:fill="D5DCE4"/>
          </w:tcPr>
          <w:p>
            <w:pPr>
              <w:pStyle w:val="TableParagraph"/>
              <w:tabs>
                <w:tab w:pos="1038" w:val="left" w:leader="none"/>
              </w:tabs>
              <w:spacing w:line="268" w:lineRule="exact"/>
              <w:ind w:left="138"/>
              <w:rPr>
                <w:sz w:val="24"/>
              </w:rPr>
            </w:pPr>
            <w:r>
              <w:rPr>
                <w:spacing w:val="-10"/>
                <w:sz w:val="24"/>
              </w:rPr>
              <w:t>1</w:t>
            </w:r>
            <w:r>
              <w:rPr>
                <w:sz w:val="24"/>
              </w:rPr>
              <w:tab/>
            </w:r>
            <w:r>
              <w:rPr>
                <w:spacing w:val="-5"/>
                <w:sz w:val="24"/>
              </w:rPr>
              <w:t>14</w:t>
            </w:r>
          </w:p>
        </w:tc>
        <w:tc>
          <w:tcPr>
            <w:tcW w:w="1313" w:type="dxa"/>
            <w:tcBorders>
              <w:bottom w:val="single" w:sz="4" w:space="0" w:color="000000"/>
            </w:tcBorders>
            <w:shd w:val="clear" w:color="auto" w:fill="D5DCE4"/>
          </w:tcPr>
          <w:p>
            <w:pPr>
              <w:pStyle w:val="TableParagraph"/>
              <w:tabs>
                <w:tab w:pos="860" w:val="left" w:leader="none"/>
              </w:tabs>
              <w:spacing w:line="268" w:lineRule="exact"/>
              <w:ind w:left="500"/>
              <w:rPr>
                <w:sz w:val="24"/>
              </w:rPr>
            </w:pPr>
            <w:r>
              <w:rPr>
                <w:spacing w:val="-10"/>
                <w:sz w:val="24"/>
              </w:rPr>
              <w:t>-</w:t>
            </w:r>
            <w:r>
              <w:rPr>
                <w:sz w:val="24"/>
              </w:rPr>
              <w:tab/>
            </w:r>
            <w:r>
              <w:rPr>
                <w:spacing w:val="-10"/>
                <w:sz w:val="24"/>
              </w:rPr>
              <w:t>-</w:t>
            </w:r>
          </w:p>
        </w:tc>
        <w:tc>
          <w:tcPr>
            <w:tcW w:w="1178" w:type="dxa"/>
            <w:tcBorders>
              <w:bottom w:val="single" w:sz="4" w:space="0" w:color="000000"/>
            </w:tcBorders>
            <w:shd w:val="clear" w:color="auto" w:fill="D5DCE4"/>
          </w:tcPr>
          <w:p>
            <w:pPr>
              <w:pStyle w:val="TableParagraph"/>
              <w:tabs>
                <w:tab w:pos="622" w:val="left" w:leader="none"/>
              </w:tabs>
              <w:spacing w:line="268" w:lineRule="exact"/>
              <w:ind w:left="202"/>
              <w:rPr>
                <w:sz w:val="24"/>
              </w:rPr>
            </w:pPr>
            <w:r>
              <w:rPr>
                <w:spacing w:val="-10"/>
                <w:sz w:val="24"/>
              </w:rPr>
              <w:t>7</w:t>
            </w:r>
            <w:r>
              <w:rPr>
                <w:sz w:val="24"/>
              </w:rPr>
              <w:tab/>
            </w:r>
            <w:r>
              <w:rPr>
                <w:spacing w:val="-5"/>
                <w:sz w:val="24"/>
              </w:rPr>
              <w:t>100</w:t>
            </w:r>
          </w:p>
        </w:tc>
      </w:tr>
    </w:tbl>
    <w:p>
      <w:pPr>
        <w:spacing w:before="0"/>
        <w:ind w:left="400" w:right="0" w:firstLine="0"/>
        <w:jc w:val="both"/>
        <w:rPr>
          <w:b/>
          <w:sz w:val="24"/>
        </w:rPr>
      </w:pPr>
      <w:r>
        <w:rPr>
          <w:b/>
          <w:sz w:val="24"/>
        </w:rPr>
        <w:t>Source:</w:t>
      </w:r>
      <w:r>
        <w:rPr>
          <w:b/>
          <w:spacing w:val="-3"/>
          <w:sz w:val="24"/>
        </w:rPr>
        <w:t> </w:t>
      </w:r>
      <w:r>
        <w:rPr>
          <w:b/>
          <w:sz w:val="24"/>
        </w:rPr>
        <w:t>Researcher’s</w:t>
      </w:r>
      <w:r>
        <w:rPr>
          <w:b/>
          <w:spacing w:val="-2"/>
          <w:sz w:val="24"/>
        </w:rPr>
        <w:t> </w:t>
      </w:r>
      <w:r>
        <w:rPr>
          <w:b/>
          <w:sz w:val="24"/>
        </w:rPr>
        <w:t>field</w:t>
      </w:r>
      <w:r>
        <w:rPr>
          <w:b/>
          <w:spacing w:val="-2"/>
          <w:sz w:val="24"/>
        </w:rPr>
        <w:t> </w:t>
      </w:r>
      <w:r>
        <w:rPr>
          <w:b/>
          <w:sz w:val="24"/>
        </w:rPr>
        <w:t>work</w:t>
      </w:r>
      <w:r>
        <w:rPr>
          <w:b/>
          <w:spacing w:val="-1"/>
          <w:sz w:val="24"/>
        </w:rPr>
        <w:t> </w:t>
      </w:r>
      <w:r>
        <w:rPr>
          <w:b/>
          <w:spacing w:val="-2"/>
          <w:sz w:val="24"/>
        </w:rPr>
        <w:t>(2018)</w:t>
      </w:r>
    </w:p>
    <w:p>
      <w:pPr>
        <w:pStyle w:val="BodyText"/>
        <w:spacing w:before="274"/>
        <w:rPr>
          <w:b/>
        </w:rPr>
      </w:pPr>
    </w:p>
    <w:p>
      <w:pPr>
        <w:pStyle w:val="ListParagraph"/>
        <w:numPr>
          <w:ilvl w:val="2"/>
          <w:numId w:val="51"/>
        </w:numPr>
        <w:tabs>
          <w:tab w:pos="940" w:val="left" w:leader="none"/>
        </w:tabs>
        <w:spacing w:line="240" w:lineRule="auto" w:before="1" w:after="0"/>
        <w:ind w:left="940" w:right="0" w:hanging="540"/>
        <w:jc w:val="both"/>
        <w:rPr>
          <w:b/>
          <w:sz w:val="24"/>
        </w:rPr>
      </w:pPr>
      <w:r>
        <w:rPr>
          <w:b/>
          <w:sz w:val="24"/>
        </w:rPr>
        <w:t>Involvement</w:t>
      </w:r>
      <w:r>
        <w:rPr>
          <w:b/>
          <w:spacing w:val="-4"/>
          <w:sz w:val="24"/>
        </w:rPr>
        <w:t> </w:t>
      </w:r>
      <w:r>
        <w:rPr>
          <w:b/>
          <w:sz w:val="24"/>
        </w:rPr>
        <w:t>in</w:t>
      </w:r>
      <w:r>
        <w:rPr>
          <w:b/>
          <w:spacing w:val="-2"/>
          <w:sz w:val="24"/>
        </w:rPr>
        <w:t> </w:t>
      </w:r>
      <w:r>
        <w:rPr>
          <w:b/>
          <w:sz w:val="24"/>
        </w:rPr>
        <w:t>design,</w:t>
      </w:r>
      <w:r>
        <w:rPr>
          <w:b/>
          <w:spacing w:val="-3"/>
          <w:sz w:val="24"/>
        </w:rPr>
        <w:t> </w:t>
      </w:r>
      <w:r>
        <w:rPr>
          <w:b/>
          <w:sz w:val="24"/>
        </w:rPr>
        <w:t>construction</w:t>
      </w:r>
      <w:r>
        <w:rPr>
          <w:b/>
          <w:spacing w:val="-2"/>
          <w:sz w:val="24"/>
        </w:rPr>
        <w:t> </w:t>
      </w:r>
      <w:r>
        <w:rPr>
          <w:b/>
          <w:sz w:val="24"/>
        </w:rPr>
        <w:t>and</w:t>
      </w:r>
      <w:r>
        <w:rPr>
          <w:b/>
          <w:spacing w:val="-2"/>
          <w:sz w:val="24"/>
        </w:rPr>
        <w:t> </w:t>
      </w:r>
      <w:r>
        <w:rPr>
          <w:b/>
          <w:sz w:val="24"/>
        </w:rPr>
        <w:t>quality</w:t>
      </w:r>
      <w:r>
        <w:rPr>
          <w:b/>
          <w:spacing w:val="-3"/>
          <w:sz w:val="24"/>
        </w:rPr>
        <w:t> </w:t>
      </w:r>
      <w:r>
        <w:rPr>
          <w:b/>
          <w:sz w:val="24"/>
        </w:rPr>
        <w:t>monitoring</w:t>
      </w:r>
      <w:r>
        <w:rPr>
          <w:b/>
          <w:spacing w:val="-2"/>
          <w:sz w:val="24"/>
        </w:rPr>
        <w:t> </w:t>
      </w:r>
      <w:r>
        <w:rPr>
          <w:b/>
          <w:sz w:val="24"/>
        </w:rPr>
        <w:t>of</w:t>
      </w:r>
      <w:r>
        <w:rPr>
          <w:b/>
          <w:spacing w:val="-1"/>
          <w:sz w:val="24"/>
        </w:rPr>
        <w:t> </w:t>
      </w:r>
      <w:r>
        <w:rPr>
          <w:b/>
          <w:spacing w:val="-2"/>
          <w:sz w:val="24"/>
        </w:rPr>
        <w:t>buildings</w:t>
      </w:r>
    </w:p>
    <w:p>
      <w:pPr>
        <w:pStyle w:val="BodyText"/>
        <w:spacing w:line="480" w:lineRule="auto" w:before="271"/>
        <w:ind w:left="399" w:right="1316"/>
        <w:jc w:val="both"/>
      </w:pPr>
      <w:r>
        <w:rPr/>
        <w:t>Table 5.18 further shows that the interviewees were drawn from design, construction, and</w:t>
      </w:r>
      <w:r>
        <w:rPr>
          <w:spacing w:val="80"/>
        </w:rPr>
        <w:t> </w:t>
      </w:r>
      <w:r>
        <w:rPr/>
        <w:t>quality management teams respectively. Responses from the interviewees show that Quality department is involved in monitoring the quality of materials used and the output. It was equally noticed that some of their staff multi task. This means that some of them function in more than one department. This might pose a problem because productivity might be low.</w:t>
      </w:r>
    </w:p>
    <w:p>
      <w:pPr>
        <w:pStyle w:val="Heading2"/>
        <w:numPr>
          <w:ilvl w:val="2"/>
          <w:numId w:val="51"/>
        </w:numPr>
        <w:tabs>
          <w:tab w:pos="1120" w:val="left" w:leader="none"/>
        </w:tabs>
        <w:spacing w:line="240" w:lineRule="auto" w:before="235" w:after="0"/>
        <w:ind w:left="1120" w:right="0" w:hanging="720"/>
        <w:jc w:val="both"/>
      </w:pPr>
      <w:r>
        <w:rPr/>
        <w:t>Critical</w:t>
      </w:r>
      <w:r>
        <w:rPr>
          <w:spacing w:val="-2"/>
        </w:rPr>
        <w:t> </w:t>
      </w:r>
      <w:r>
        <w:rPr/>
        <w:t>success</w:t>
      </w:r>
      <w:r>
        <w:rPr>
          <w:spacing w:val="-2"/>
        </w:rPr>
        <w:t> </w:t>
      </w:r>
      <w:r>
        <w:rPr/>
        <w:t>factors of</w:t>
      </w:r>
      <w:r>
        <w:rPr>
          <w:spacing w:val="-1"/>
        </w:rPr>
        <w:t> </w:t>
      </w:r>
      <w:r>
        <w:rPr/>
        <w:t>total</w:t>
      </w:r>
      <w:r>
        <w:rPr>
          <w:spacing w:val="-1"/>
        </w:rPr>
        <w:t> </w:t>
      </w:r>
      <w:r>
        <w:rPr/>
        <w:t>quality</w:t>
      </w:r>
      <w:r>
        <w:rPr>
          <w:spacing w:val="-2"/>
        </w:rPr>
        <w:t> </w:t>
      </w:r>
      <w:r>
        <w:rPr/>
        <w:t>management</w:t>
      </w:r>
      <w:r>
        <w:rPr>
          <w:spacing w:val="-3"/>
        </w:rPr>
        <w:t> </w:t>
      </w:r>
      <w:r>
        <w:rPr/>
        <w:t>in</w:t>
      </w:r>
      <w:r>
        <w:rPr>
          <w:spacing w:val="-2"/>
        </w:rPr>
        <w:t> </w:t>
      </w:r>
      <w:r>
        <w:rPr/>
        <w:t>your</w:t>
      </w:r>
      <w:r>
        <w:rPr>
          <w:spacing w:val="-2"/>
        </w:rPr>
        <w:t> </w:t>
      </w:r>
      <w:r>
        <w:rPr>
          <w:spacing w:val="-4"/>
        </w:rPr>
        <w:t>firm</w:t>
      </w:r>
    </w:p>
    <w:p>
      <w:pPr>
        <w:pStyle w:val="BodyText"/>
        <w:spacing w:line="480" w:lineRule="auto" w:before="272"/>
        <w:ind w:left="400" w:right="1316"/>
        <w:jc w:val="both"/>
      </w:pPr>
      <w:r>
        <w:rPr/>
        <w:t>The respondents were asked what the critical success factors of Total quality management for small and medium construction firm was. From the opinion of respondents, the most common of the</w:t>
      </w:r>
      <w:r>
        <w:rPr>
          <w:spacing w:val="-2"/>
        </w:rPr>
        <w:t> </w:t>
      </w:r>
      <w:r>
        <w:rPr/>
        <w:t>critical success</w:t>
      </w:r>
      <w:r>
        <w:rPr>
          <w:spacing w:val="-1"/>
        </w:rPr>
        <w:t> </w:t>
      </w:r>
      <w:r>
        <w:rPr/>
        <w:t>factor was</w:t>
      </w:r>
      <w:r>
        <w:rPr>
          <w:spacing w:val="-1"/>
        </w:rPr>
        <w:t> </w:t>
      </w:r>
      <w:r>
        <w:rPr/>
        <w:t>management commitment.</w:t>
      </w:r>
      <w:r>
        <w:rPr>
          <w:spacing w:val="-1"/>
        </w:rPr>
        <w:t> </w:t>
      </w:r>
      <w:r>
        <w:rPr/>
        <w:t>Others</w:t>
      </w:r>
      <w:r>
        <w:rPr>
          <w:spacing w:val="-1"/>
        </w:rPr>
        <w:t> </w:t>
      </w:r>
      <w:r>
        <w:rPr/>
        <w:t>include</w:t>
      </w:r>
      <w:r>
        <w:rPr>
          <w:spacing w:val="-2"/>
        </w:rPr>
        <w:t> </w:t>
      </w:r>
      <w:r>
        <w:rPr/>
        <w:t>Education</w:t>
      </w:r>
      <w:r>
        <w:rPr>
          <w:spacing w:val="-1"/>
        </w:rPr>
        <w:t> </w:t>
      </w:r>
      <w:r>
        <w:rPr/>
        <w:t>and Training, Supplier quality</w:t>
      </w:r>
      <w:r>
        <w:rPr>
          <w:spacing w:val="-3"/>
        </w:rPr>
        <w:t> </w:t>
      </w:r>
      <w:r>
        <w:rPr/>
        <w:t>management, Vision and Plan statement, Employee Empowerment, Recognition and Reward and Customer Focus. The majority</w:t>
      </w:r>
      <w:r>
        <w:rPr>
          <w:spacing w:val="-5"/>
        </w:rPr>
        <w:t> </w:t>
      </w:r>
      <w:r>
        <w:rPr/>
        <w:t>of the interviewees agreed that these factors play a significant role in achieving effective implementation of TQM.</w:t>
      </w:r>
    </w:p>
    <w:p>
      <w:pPr>
        <w:spacing w:before="158"/>
        <w:ind w:left="400" w:right="0" w:firstLine="0"/>
        <w:jc w:val="both"/>
        <w:rPr>
          <w:i/>
          <w:sz w:val="24"/>
        </w:rPr>
      </w:pPr>
      <w:r>
        <w:rPr>
          <w:i/>
          <w:sz w:val="24"/>
        </w:rPr>
        <w:t>A</w:t>
      </w:r>
      <w:r>
        <w:rPr>
          <w:i/>
          <w:spacing w:val="-2"/>
          <w:sz w:val="24"/>
        </w:rPr>
        <w:t> </w:t>
      </w:r>
      <w:r>
        <w:rPr>
          <w:i/>
          <w:sz w:val="24"/>
        </w:rPr>
        <w:t>respondent</w:t>
      </w:r>
      <w:r>
        <w:rPr>
          <w:i/>
          <w:spacing w:val="-1"/>
          <w:sz w:val="24"/>
        </w:rPr>
        <w:t> </w:t>
      </w:r>
      <w:r>
        <w:rPr>
          <w:i/>
          <w:spacing w:val="-2"/>
          <w:sz w:val="24"/>
        </w:rPr>
        <w:t>stated:</w:t>
      </w:r>
    </w:p>
    <w:p>
      <w:pPr>
        <w:spacing w:after="0"/>
        <w:jc w:val="both"/>
        <w:rPr>
          <w:sz w:val="24"/>
        </w:rPr>
        <w:sectPr>
          <w:pgSz w:w="12240" w:h="15840"/>
          <w:pgMar w:header="0" w:footer="1017" w:top="1360" w:bottom="1200" w:left="1040" w:right="120"/>
        </w:sectPr>
      </w:pPr>
    </w:p>
    <w:p>
      <w:pPr>
        <w:spacing w:line="480" w:lineRule="auto" w:before="72"/>
        <w:ind w:left="400" w:right="1316" w:firstLine="0"/>
        <w:jc w:val="both"/>
        <w:rPr>
          <w:i/>
          <w:sz w:val="24"/>
        </w:rPr>
      </w:pPr>
      <w:r>
        <w:rPr>
          <w:i/>
          <w:sz w:val="24"/>
        </w:rPr>
        <w:t>“I believe that having regular meetings with clients, being committed to work, creating a quality culture, providing regular training to</w:t>
      </w:r>
      <w:r>
        <w:rPr>
          <w:i/>
          <w:spacing w:val="40"/>
          <w:sz w:val="24"/>
        </w:rPr>
        <w:t> </w:t>
      </w:r>
      <w:r>
        <w:rPr>
          <w:i/>
          <w:sz w:val="24"/>
        </w:rPr>
        <w:t>improve</w:t>
      </w:r>
      <w:r>
        <w:rPr>
          <w:i/>
          <w:spacing w:val="40"/>
          <w:sz w:val="24"/>
        </w:rPr>
        <w:t> </w:t>
      </w:r>
      <w:r>
        <w:rPr>
          <w:i/>
          <w:sz w:val="24"/>
        </w:rPr>
        <w:t>employees and having quality planning are all considered as a great economic benefits to the firm and equally improve quality and, thus, customer satisfaction”.</w:t>
      </w:r>
    </w:p>
    <w:p>
      <w:pPr>
        <w:pStyle w:val="Heading2"/>
        <w:numPr>
          <w:ilvl w:val="2"/>
          <w:numId w:val="51"/>
        </w:numPr>
        <w:tabs>
          <w:tab w:pos="1064" w:val="left" w:leader="none"/>
        </w:tabs>
        <w:spacing w:line="480" w:lineRule="auto" w:before="189" w:after="0"/>
        <w:ind w:left="400" w:right="1316" w:firstLine="0"/>
        <w:jc w:val="both"/>
      </w:pPr>
      <w:r>
        <w:rPr/>
        <w:t>Benefits of total quality management implementation and relationship with </w:t>
      </w:r>
      <w:r>
        <w:rPr>
          <w:spacing w:val="-2"/>
        </w:rPr>
        <w:t>competitiveness</w:t>
      </w:r>
    </w:p>
    <w:p>
      <w:pPr>
        <w:pStyle w:val="BodyText"/>
        <w:spacing w:line="480" w:lineRule="auto"/>
        <w:ind w:left="399" w:right="1321"/>
        <w:jc w:val="both"/>
      </w:pPr>
      <w:r>
        <w:rPr/>
        <w:t>The</w:t>
      </w:r>
      <w:r>
        <w:rPr>
          <w:spacing w:val="-4"/>
        </w:rPr>
        <w:t> </w:t>
      </w:r>
      <w:r>
        <w:rPr/>
        <w:t>respondents</w:t>
      </w:r>
      <w:r>
        <w:rPr>
          <w:spacing w:val="-3"/>
        </w:rPr>
        <w:t> </w:t>
      </w:r>
      <w:r>
        <w:rPr/>
        <w:t>were</w:t>
      </w:r>
      <w:r>
        <w:rPr>
          <w:spacing w:val="-4"/>
        </w:rPr>
        <w:t> </w:t>
      </w:r>
      <w:r>
        <w:rPr/>
        <w:t>asked</w:t>
      </w:r>
      <w:r>
        <w:rPr>
          <w:spacing w:val="-3"/>
        </w:rPr>
        <w:t> </w:t>
      </w:r>
      <w:r>
        <w:rPr/>
        <w:t>the</w:t>
      </w:r>
      <w:r>
        <w:rPr>
          <w:spacing w:val="-4"/>
        </w:rPr>
        <w:t> </w:t>
      </w:r>
      <w:r>
        <w:rPr/>
        <w:t>benefits</w:t>
      </w:r>
      <w:r>
        <w:rPr>
          <w:spacing w:val="-3"/>
        </w:rPr>
        <w:t> </w:t>
      </w:r>
      <w:r>
        <w:rPr/>
        <w:t>of</w:t>
      </w:r>
      <w:r>
        <w:rPr>
          <w:spacing w:val="-4"/>
        </w:rPr>
        <w:t> </w:t>
      </w:r>
      <w:r>
        <w:rPr/>
        <w:t>applying</w:t>
      </w:r>
      <w:r>
        <w:rPr>
          <w:spacing w:val="-6"/>
        </w:rPr>
        <w:t> </w:t>
      </w:r>
      <w:r>
        <w:rPr/>
        <w:t>a</w:t>
      </w:r>
      <w:r>
        <w:rPr>
          <w:spacing w:val="-2"/>
        </w:rPr>
        <w:t> </w:t>
      </w:r>
      <w:r>
        <w:rPr/>
        <w:t>TQM</w:t>
      </w:r>
      <w:r>
        <w:rPr>
          <w:spacing w:val="-3"/>
        </w:rPr>
        <w:t> </w:t>
      </w:r>
      <w:r>
        <w:rPr/>
        <w:t>system</w:t>
      </w:r>
      <w:r>
        <w:rPr>
          <w:spacing w:val="-3"/>
        </w:rPr>
        <w:t> </w:t>
      </w:r>
      <w:r>
        <w:rPr/>
        <w:t>within</w:t>
      </w:r>
      <w:r>
        <w:rPr>
          <w:spacing w:val="-1"/>
        </w:rPr>
        <w:t> </w:t>
      </w:r>
      <w:r>
        <w:rPr/>
        <w:t>your</w:t>
      </w:r>
      <w:r>
        <w:rPr>
          <w:spacing w:val="-4"/>
        </w:rPr>
        <w:t> </w:t>
      </w:r>
      <w:r>
        <w:rPr/>
        <w:t>organisation</w:t>
      </w:r>
      <w:r>
        <w:rPr>
          <w:spacing w:val="-3"/>
        </w:rPr>
        <w:t> </w:t>
      </w:r>
      <w:r>
        <w:rPr/>
        <w:t>and if it influences company competitiveness?</w:t>
      </w:r>
    </w:p>
    <w:p>
      <w:pPr>
        <w:pStyle w:val="BodyText"/>
        <w:spacing w:line="480" w:lineRule="auto" w:before="154"/>
        <w:ind w:left="400" w:right="1316"/>
        <w:jc w:val="both"/>
      </w:pPr>
      <w:r>
        <w:rPr/>
        <w:t>The results show that quality is very important for SMCFs because firms find that decisions</w:t>
      </w:r>
      <w:r>
        <w:rPr>
          <w:spacing w:val="40"/>
        </w:rPr>
        <w:t> </w:t>
      </w:r>
      <w:r>
        <w:rPr/>
        <w:t>made by</w:t>
      </w:r>
      <w:r>
        <w:rPr>
          <w:spacing w:val="-1"/>
        </w:rPr>
        <w:t> </w:t>
      </w:r>
      <w:r>
        <w:rPr/>
        <w:t>clients are not based around price and, thus, the lowest bid does not always win; rather, the client decision is based on what else contractors can deliver. Therefore, in most cases, they</w:t>
      </w:r>
      <w:r>
        <w:rPr>
          <w:spacing w:val="40"/>
        </w:rPr>
        <w:t> </w:t>
      </w:r>
      <w:r>
        <w:rPr/>
        <w:t>do not want the cheapest contractor to come in and deliver poor quality and so, increasingly, contractors get tendering reviews and health and safety performance checks. The participants</w:t>
      </w:r>
      <w:r>
        <w:rPr>
          <w:spacing w:val="40"/>
        </w:rPr>
        <w:t> </w:t>
      </w:r>
      <w:r>
        <w:rPr/>
        <w:t>said that having a TQM system in place is more effective in terms of quality achievement in the short and long terms. Dealing with defects and rework costs organisations time, money, reputation and confidence in their employees and their system and, therefore, rework, correcting errors, reacting</w:t>
      </w:r>
      <w:r>
        <w:rPr>
          <w:spacing w:val="-5"/>
        </w:rPr>
        <w:t> </w:t>
      </w:r>
      <w:r>
        <w:rPr/>
        <w:t>to</w:t>
      </w:r>
      <w:r>
        <w:rPr>
          <w:spacing w:val="-2"/>
        </w:rPr>
        <w:t> </w:t>
      </w:r>
      <w:r>
        <w:rPr/>
        <w:t>customer</w:t>
      </w:r>
      <w:r>
        <w:rPr>
          <w:spacing w:val="-3"/>
        </w:rPr>
        <w:t> </w:t>
      </w:r>
      <w:r>
        <w:rPr/>
        <w:t>complaints</w:t>
      </w:r>
      <w:r>
        <w:rPr>
          <w:spacing w:val="-2"/>
        </w:rPr>
        <w:t> </w:t>
      </w:r>
      <w:r>
        <w:rPr/>
        <w:t>and missing</w:t>
      </w:r>
      <w:r>
        <w:rPr>
          <w:spacing w:val="-5"/>
        </w:rPr>
        <w:t> </w:t>
      </w:r>
      <w:r>
        <w:rPr/>
        <w:t>deadline</w:t>
      </w:r>
      <w:r>
        <w:rPr>
          <w:spacing w:val="-1"/>
        </w:rPr>
        <w:t> </w:t>
      </w:r>
      <w:r>
        <w:rPr/>
        <w:t>costs</w:t>
      </w:r>
      <w:r>
        <w:rPr>
          <w:spacing w:val="-2"/>
        </w:rPr>
        <w:t> </w:t>
      </w:r>
      <w:r>
        <w:rPr/>
        <w:t>are</w:t>
      </w:r>
      <w:r>
        <w:rPr>
          <w:spacing w:val="-3"/>
        </w:rPr>
        <w:t> </w:t>
      </w:r>
      <w:r>
        <w:rPr/>
        <w:t>higher</w:t>
      </w:r>
      <w:r>
        <w:rPr>
          <w:spacing w:val="-3"/>
        </w:rPr>
        <w:t> </w:t>
      </w:r>
      <w:r>
        <w:rPr/>
        <w:t>than</w:t>
      </w:r>
      <w:r>
        <w:rPr>
          <w:spacing w:val="-2"/>
        </w:rPr>
        <w:t> </w:t>
      </w:r>
      <w:r>
        <w:rPr/>
        <w:t>having</w:t>
      </w:r>
      <w:r>
        <w:rPr>
          <w:spacing w:val="-5"/>
        </w:rPr>
        <w:t> </w:t>
      </w:r>
      <w:r>
        <w:rPr/>
        <w:t>a</w:t>
      </w:r>
      <w:r>
        <w:rPr>
          <w:spacing w:val="-1"/>
        </w:rPr>
        <w:t> </w:t>
      </w:r>
      <w:r>
        <w:rPr/>
        <w:t>TQM system in place.</w:t>
      </w:r>
      <w:r>
        <w:rPr>
          <w:spacing w:val="40"/>
        </w:rPr>
        <w:t> </w:t>
      </w:r>
      <w:r>
        <w:rPr/>
        <w:t>A respondent commented on the benefits of total quality implementation as:</w:t>
      </w:r>
    </w:p>
    <w:p>
      <w:pPr>
        <w:spacing w:line="480" w:lineRule="auto" w:before="153"/>
        <w:ind w:left="400" w:right="1316" w:firstLine="60"/>
        <w:jc w:val="both"/>
        <w:rPr>
          <w:i/>
          <w:sz w:val="24"/>
        </w:rPr>
      </w:pPr>
      <w:r>
        <w:rPr>
          <w:sz w:val="24"/>
        </w:rPr>
        <w:t>“</w:t>
      </w:r>
      <w:r>
        <w:rPr>
          <w:i/>
          <w:sz w:val="24"/>
        </w:rPr>
        <w:t>When a quality system is in place it will help firms to achieve customer expectation which is likely to lead to repeat business with the same client and at the same time getting reference letters. Not just that, but also references that help companies to secure new clients, which is so important in terms of improving competitiveness, profits, enhancing company reputation and expanding market share“.</w:t>
      </w:r>
    </w:p>
    <w:p>
      <w:pPr>
        <w:spacing w:after="0" w:line="480" w:lineRule="auto"/>
        <w:jc w:val="both"/>
        <w:rPr>
          <w:sz w:val="24"/>
        </w:rPr>
        <w:sectPr>
          <w:pgSz w:w="12240" w:h="15840"/>
          <w:pgMar w:header="0" w:footer="1017" w:top="1360" w:bottom="1200" w:left="1040" w:right="120"/>
        </w:sectPr>
      </w:pPr>
    </w:p>
    <w:p>
      <w:pPr>
        <w:pStyle w:val="Heading2"/>
        <w:numPr>
          <w:ilvl w:val="2"/>
          <w:numId w:val="51"/>
        </w:numPr>
        <w:tabs>
          <w:tab w:pos="1119" w:val="left" w:leader="none"/>
        </w:tabs>
        <w:spacing w:line="240" w:lineRule="auto" w:before="76" w:after="0"/>
        <w:ind w:left="1119" w:right="0" w:hanging="719"/>
        <w:jc w:val="left"/>
      </w:pPr>
      <w:r>
        <w:rPr/>
        <w:t>Challenges</w:t>
      </w:r>
      <w:r>
        <w:rPr>
          <w:spacing w:val="-3"/>
        </w:rPr>
        <w:t> </w:t>
      </w:r>
      <w:r>
        <w:rPr/>
        <w:t>to</w:t>
      </w:r>
      <w:r>
        <w:rPr>
          <w:spacing w:val="-3"/>
        </w:rPr>
        <w:t> </w:t>
      </w:r>
      <w:r>
        <w:rPr/>
        <w:t>total</w:t>
      </w:r>
      <w:r>
        <w:rPr>
          <w:spacing w:val="-3"/>
        </w:rPr>
        <w:t> </w:t>
      </w:r>
      <w:r>
        <w:rPr/>
        <w:t>quality</w:t>
      </w:r>
      <w:r>
        <w:rPr>
          <w:spacing w:val="-3"/>
        </w:rPr>
        <w:t> </w:t>
      </w:r>
      <w:r>
        <w:rPr/>
        <w:t>management</w:t>
      </w:r>
      <w:r>
        <w:rPr>
          <w:spacing w:val="-3"/>
        </w:rPr>
        <w:t> </w:t>
      </w:r>
      <w:r>
        <w:rPr>
          <w:spacing w:val="-2"/>
        </w:rPr>
        <w:t>implementation</w:t>
      </w:r>
    </w:p>
    <w:p>
      <w:pPr>
        <w:pStyle w:val="BodyText"/>
        <w:spacing w:line="480" w:lineRule="auto" w:before="272"/>
        <w:ind w:left="400" w:right="1315"/>
      </w:pPr>
      <w:r>
        <w:rPr/>
        <w:t>Given</w:t>
      </w:r>
      <w:r>
        <w:rPr>
          <w:spacing w:val="-2"/>
        </w:rPr>
        <w:t> </w:t>
      </w:r>
      <w:r>
        <w:rPr/>
        <w:t>the</w:t>
      </w:r>
      <w:r>
        <w:rPr>
          <w:spacing w:val="-3"/>
        </w:rPr>
        <w:t> </w:t>
      </w:r>
      <w:r>
        <w:rPr/>
        <w:t>current</w:t>
      </w:r>
      <w:r>
        <w:rPr>
          <w:spacing w:val="-2"/>
        </w:rPr>
        <w:t> </w:t>
      </w:r>
      <w:r>
        <w:rPr/>
        <w:t>quality</w:t>
      </w:r>
      <w:r>
        <w:rPr>
          <w:spacing w:val="-5"/>
        </w:rPr>
        <w:t> </w:t>
      </w:r>
      <w:r>
        <w:rPr/>
        <w:t>practices</w:t>
      </w:r>
      <w:r>
        <w:rPr>
          <w:spacing w:val="-2"/>
        </w:rPr>
        <w:t> </w:t>
      </w:r>
      <w:r>
        <w:rPr/>
        <w:t>in</w:t>
      </w:r>
      <w:r>
        <w:rPr>
          <w:spacing w:val="-2"/>
        </w:rPr>
        <w:t> </w:t>
      </w:r>
      <w:r>
        <w:rPr/>
        <w:t>the</w:t>
      </w:r>
      <w:r>
        <w:rPr>
          <w:spacing w:val="-3"/>
        </w:rPr>
        <w:t> </w:t>
      </w:r>
      <w:r>
        <w:rPr/>
        <w:t>SMCFs under</w:t>
      </w:r>
      <w:r>
        <w:rPr>
          <w:spacing w:val="40"/>
        </w:rPr>
        <w:t> </w:t>
      </w:r>
      <w:r>
        <w:rPr/>
        <w:t>study,</w:t>
      </w:r>
      <w:r>
        <w:rPr>
          <w:spacing w:val="40"/>
        </w:rPr>
        <w:t> </w:t>
      </w:r>
      <w:r>
        <w:rPr/>
        <w:t>the</w:t>
      </w:r>
      <w:r>
        <w:rPr>
          <w:spacing w:val="40"/>
        </w:rPr>
        <w:t> </w:t>
      </w:r>
      <w:r>
        <w:rPr/>
        <w:t>respondents</w:t>
      </w:r>
      <w:r>
        <w:rPr>
          <w:spacing w:val="40"/>
        </w:rPr>
        <w:t> </w:t>
      </w:r>
      <w:r>
        <w:rPr/>
        <w:t>were</w:t>
      </w:r>
      <w:r>
        <w:rPr>
          <w:spacing w:val="40"/>
        </w:rPr>
        <w:t> </w:t>
      </w:r>
      <w:r>
        <w:rPr/>
        <w:t>asked</w:t>
      </w:r>
      <w:r>
        <w:rPr>
          <w:spacing w:val="40"/>
        </w:rPr>
        <w:t> </w:t>
      </w:r>
      <w:r>
        <w:rPr/>
        <w:t>to state</w:t>
      </w:r>
      <w:r>
        <w:rPr>
          <w:spacing w:val="40"/>
        </w:rPr>
        <w:t> </w:t>
      </w:r>
      <w:r>
        <w:rPr/>
        <w:t>the</w:t>
      </w:r>
      <w:r>
        <w:rPr>
          <w:spacing w:val="40"/>
        </w:rPr>
        <w:t> </w:t>
      </w:r>
      <w:r>
        <w:rPr/>
        <w:t>challenges</w:t>
      </w:r>
      <w:r>
        <w:rPr>
          <w:spacing w:val="40"/>
        </w:rPr>
        <w:t> </w:t>
      </w:r>
      <w:r>
        <w:rPr/>
        <w:t>or</w:t>
      </w:r>
      <w:r>
        <w:rPr>
          <w:spacing w:val="40"/>
        </w:rPr>
        <w:t> </w:t>
      </w:r>
      <w:r>
        <w:rPr/>
        <w:t>problems</w:t>
      </w:r>
      <w:r>
        <w:rPr>
          <w:spacing w:val="40"/>
        </w:rPr>
        <w:t> </w:t>
      </w:r>
      <w:r>
        <w:rPr/>
        <w:t>they</w:t>
      </w:r>
      <w:r>
        <w:rPr>
          <w:spacing w:val="40"/>
        </w:rPr>
        <w:t> </w:t>
      </w:r>
      <w:r>
        <w:rPr/>
        <w:t>have</w:t>
      </w:r>
      <w:r>
        <w:rPr>
          <w:spacing w:val="40"/>
        </w:rPr>
        <w:t> </w:t>
      </w:r>
      <w:r>
        <w:rPr/>
        <w:t>in implementing TQM in SMCFs.</w:t>
      </w:r>
    </w:p>
    <w:p>
      <w:pPr>
        <w:pStyle w:val="BodyText"/>
        <w:spacing w:line="480" w:lineRule="auto" w:before="161"/>
        <w:ind w:left="400" w:right="1315"/>
      </w:pPr>
      <w:r>
        <w:rPr/>
        <w:t>The</w:t>
      </w:r>
      <w:r>
        <w:rPr>
          <w:spacing w:val="-5"/>
        </w:rPr>
        <w:t> </w:t>
      </w:r>
      <w:r>
        <w:rPr/>
        <w:t>responses</w:t>
      </w:r>
      <w:r>
        <w:rPr>
          <w:spacing w:val="-2"/>
        </w:rPr>
        <w:t> </w:t>
      </w:r>
      <w:r>
        <w:rPr/>
        <w:t>were</w:t>
      </w:r>
      <w:r>
        <w:rPr>
          <w:spacing w:val="-5"/>
        </w:rPr>
        <w:t> </w:t>
      </w:r>
      <w:r>
        <w:rPr/>
        <w:t>diverse;</w:t>
      </w:r>
      <w:r>
        <w:rPr>
          <w:spacing w:val="-4"/>
        </w:rPr>
        <w:t> </w:t>
      </w:r>
      <w:r>
        <w:rPr/>
        <w:t>ranging</w:t>
      </w:r>
      <w:r>
        <w:rPr>
          <w:spacing w:val="-7"/>
        </w:rPr>
        <w:t> </w:t>
      </w:r>
      <w:r>
        <w:rPr/>
        <w:t>from</w:t>
      </w:r>
      <w:r>
        <w:rPr>
          <w:spacing w:val="-4"/>
        </w:rPr>
        <w:t> </w:t>
      </w:r>
      <w:r>
        <w:rPr/>
        <w:t>poor</w:t>
      </w:r>
      <w:r>
        <w:rPr>
          <w:spacing w:val="-3"/>
        </w:rPr>
        <w:t> </w:t>
      </w:r>
      <w:r>
        <w:rPr/>
        <w:t>capitalization,</w:t>
      </w:r>
      <w:r>
        <w:rPr>
          <w:spacing w:val="-4"/>
        </w:rPr>
        <w:t> </w:t>
      </w:r>
      <w:r>
        <w:rPr/>
        <w:t>Poor</w:t>
      </w:r>
      <w:r>
        <w:rPr>
          <w:spacing w:val="-5"/>
        </w:rPr>
        <w:t> </w:t>
      </w:r>
      <w:r>
        <w:rPr/>
        <w:t>management</w:t>
      </w:r>
      <w:r>
        <w:rPr>
          <w:spacing w:val="-4"/>
        </w:rPr>
        <w:t> </w:t>
      </w:r>
      <w:r>
        <w:rPr/>
        <w:t>strategies,</w:t>
      </w:r>
      <w:r>
        <w:rPr>
          <w:spacing w:val="-4"/>
        </w:rPr>
        <w:t> </w:t>
      </w:r>
      <w:r>
        <w:rPr/>
        <w:t>time consuming, lack of immediate results and attitude of workers. Nevertheless, the consensus of opinion among respondents was that management do not prioritise the issue of quality. Instead their aim is to make maximum profit from work executed even if they have to cut corners.</w:t>
      </w:r>
    </w:p>
    <w:p>
      <w:pPr>
        <w:pStyle w:val="BodyText"/>
        <w:spacing w:line="480" w:lineRule="auto"/>
        <w:ind w:left="400" w:right="1315"/>
      </w:pPr>
      <w:r>
        <w:rPr/>
        <w:t>Almost</w:t>
      </w:r>
      <w:r>
        <w:rPr>
          <w:spacing w:val="-4"/>
        </w:rPr>
        <w:t> </w:t>
      </w:r>
      <w:r>
        <w:rPr/>
        <w:t>all</w:t>
      </w:r>
      <w:r>
        <w:rPr>
          <w:spacing w:val="-4"/>
        </w:rPr>
        <w:t> </w:t>
      </w:r>
      <w:r>
        <w:rPr/>
        <w:t>the</w:t>
      </w:r>
      <w:r>
        <w:rPr>
          <w:spacing w:val="-5"/>
        </w:rPr>
        <w:t> </w:t>
      </w:r>
      <w:r>
        <w:rPr/>
        <w:t>respondents</w:t>
      </w:r>
      <w:r>
        <w:rPr>
          <w:spacing w:val="-4"/>
        </w:rPr>
        <w:t> </w:t>
      </w:r>
      <w:r>
        <w:rPr/>
        <w:t>agreed</w:t>
      </w:r>
      <w:r>
        <w:rPr>
          <w:spacing w:val="-4"/>
        </w:rPr>
        <w:t> </w:t>
      </w:r>
      <w:r>
        <w:rPr/>
        <w:t>that</w:t>
      </w:r>
      <w:r>
        <w:rPr>
          <w:spacing w:val="-4"/>
        </w:rPr>
        <w:t> </w:t>
      </w:r>
      <w:r>
        <w:rPr/>
        <w:t>inadequate</w:t>
      </w:r>
      <w:r>
        <w:rPr>
          <w:spacing w:val="-3"/>
        </w:rPr>
        <w:t> </w:t>
      </w:r>
      <w:r>
        <w:rPr/>
        <w:t>trained</w:t>
      </w:r>
      <w:r>
        <w:rPr>
          <w:spacing w:val="-4"/>
        </w:rPr>
        <w:t> </w:t>
      </w:r>
      <w:r>
        <w:rPr/>
        <w:t>personnel</w:t>
      </w:r>
      <w:r>
        <w:rPr>
          <w:spacing w:val="-4"/>
        </w:rPr>
        <w:t> </w:t>
      </w:r>
      <w:r>
        <w:rPr/>
        <w:t>constitute</w:t>
      </w:r>
      <w:r>
        <w:rPr>
          <w:spacing w:val="-4"/>
        </w:rPr>
        <w:t> </w:t>
      </w:r>
      <w:r>
        <w:rPr/>
        <w:t>a</w:t>
      </w:r>
      <w:r>
        <w:rPr>
          <w:spacing w:val="-5"/>
        </w:rPr>
        <w:t> </w:t>
      </w:r>
      <w:r>
        <w:rPr/>
        <w:t>major</w:t>
      </w:r>
      <w:r>
        <w:rPr>
          <w:spacing w:val="-5"/>
        </w:rPr>
        <w:t> </w:t>
      </w:r>
      <w:r>
        <w:rPr/>
        <w:t>challenge to the implementation of total quality management.</w:t>
      </w:r>
    </w:p>
    <w:p>
      <w:pPr>
        <w:pStyle w:val="BodyText"/>
      </w:pPr>
    </w:p>
    <w:p>
      <w:pPr>
        <w:pStyle w:val="BodyText"/>
        <w:spacing w:before="2"/>
      </w:pPr>
    </w:p>
    <w:p>
      <w:pPr>
        <w:pStyle w:val="Heading2"/>
        <w:numPr>
          <w:ilvl w:val="2"/>
          <w:numId w:val="51"/>
        </w:numPr>
        <w:tabs>
          <w:tab w:pos="1119" w:val="left" w:leader="none"/>
        </w:tabs>
        <w:spacing w:line="240" w:lineRule="auto" w:before="0" w:after="0"/>
        <w:ind w:left="1119" w:right="0" w:hanging="719"/>
        <w:jc w:val="left"/>
      </w:pPr>
      <w:r>
        <w:rPr/>
        <w:t>Total</w:t>
      </w:r>
      <w:r>
        <w:rPr>
          <w:spacing w:val="-5"/>
        </w:rPr>
        <w:t> </w:t>
      </w:r>
      <w:r>
        <w:rPr/>
        <w:t>quality</w:t>
      </w:r>
      <w:r>
        <w:rPr>
          <w:spacing w:val="-2"/>
        </w:rPr>
        <w:t> </w:t>
      </w:r>
      <w:r>
        <w:rPr/>
        <w:t>management</w:t>
      </w:r>
      <w:r>
        <w:rPr>
          <w:spacing w:val="-3"/>
        </w:rPr>
        <w:t> </w:t>
      </w:r>
      <w:r>
        <w:rPr/>
        <w:t>evaluation</w:t>
      </w:r>
      <w:r>
        <w:rPr>
          <w:spacing w:val="-3"/>
        </w:rPr>
        <w:t> </w:t>
      </w:r>
      <w:r>
        <w:rPr/>
        <w:t>practices and</w:t>
      </w:r>
      <w:r>
        <w:rPr>
          <w:spacing w:val="-2"/>
        </w:rPr>
        <w:t> </w:t>
      </w:r>
      <w:r>
        <w:rPr/>
        <w:t>feedback</w:t>
      </w:r>
      <w:r>
        <w:rPr>
          <w:spacing w:val="-2"/>
        </w:rPr>
        <w:t> mechanism</w:t>
      </w:r>
    </w:p>
    <w:p>
      <w:pPr>
        <w:pStyle w:val="BodyText"/>
        <w:tabs>
          <w:tab w:pos="4467" w:val="left" w:leader="none"/>
        </w:tabs>
        <w:spacing w:line="480" w:lineRule="auto" w:before="272"/>
        <w:ind w:left="399" w:right="1574"/>
      </w:pPr>
      <w:r>
        <w:rPr/>
        <w:t>The</w:t>
      </w:r>
      <w:r>
        <w:rPr>
          <w:spacing w:val="-2"/>
        </w:rPr>
        <w:t> </w:t>
      </w:r>
      <w:r>
        <w:rPr/>
        <w:t>respondents</w:t>
      </w:r>
      <w:r>
        <w:rPr>
          <w:spacing w:val="-1"/>
        </w:rPr>
        <w:t> </w:t>
      </w:r>
      <w:r>
        <w:rPr/>
        <w:t>were</w:t>
      </w:r>
      <w:r>
        <w:rPr>
          <w:spacing w:val="-2"/>
        </w:rPr>
        <w:t> </w:t>
      </w:r>
      <w:r>
        <w:rPr/>
        <w:t>asked</w:t>
      </w:r>
      <w:r>
        <w:rPr>
          <w:spacing w:val="-1"/>
        </w:rPr>
        <w:t> </w:t>
      </w:r>
      <w:r>
        <w:rPr/>
        <w:t>to</w:t>
      </w:r>
      <w:r>
        <w:rPr>
          <w:spacing w:val="-1"/>
        </w:rPr>
        <w:t> </w:t>
      </w:r>
      <w:r>
        <w:rPr/>
        <w:t>describe</w:t>
      </w:r>
      <w:r>
        <w:rPr>
          <w:spacing w:val="-2"/>
        </w:rPr>
        <w:t> </w:t>
      </w:r>
      <w:r>
        <w:rPr/>
        <w:t>their</w:t>
      </w:r>
      <w:r>
        <w:rPr>
          <w:spacing w:val="-2"/>
        </w:rPr>
        <w:t> </w:t>
      </w:r>
      <w:r>
        <w:rPr/>
        <w:t>key</w:t>
      </w:r>
      <w:r>
        <w:rPr>
          <w:spacing w:val="-4"/>
        </w:rPr>
        <w:t> </w:t>
      </w:r>
      <w:r>
        <w:rPr/>
        <w:t>measures</w:t>
      </w:r>
      <w:r>
        <w:rPr>
          <w:spacing w:val="-1"/>
        </w:rPr>
        <w:t> </w:t>
      </w:r>
      <w:r>
        <w:rPr/>
        <w:t>for</w:t>
      </w:r>
      <w:r>
        <w:rPr>
          <w:spacing w:val="-2"/>
        </w:rPr>
        <w:t> </w:t>
      </w:r>
      <w:r>
        <w:rPr/>
        <w:t>judging</w:t>
      </w:r>
      <w:r>
        <w:rPr>
          <w:spacing w:val="-4"/>
        </w:rPr>
        <w:t> </w:t>
      </w:r>
      <w:r>
        <w:rPr/>
        <w:t>the quality</w:t>
      </w:r>
      <w:r>
        <w:rPr>
          <w:spacing w:val="-6"/>
        </w:rPr>
        <w:t> </w:t>
      </w:r>
      <w:r>
        <w:rPr/>
        <w:t>success</w:t>
      </w:r>
      <w:r>
        <w:rPr>
          <w:spacing w:val="-1"/>
        </w:rPr>
        <w:t> </w:t>
      </w:r>
      <w:r>
        <w:rPr/>
        <w:t>of</w:t>
      </w:r>
      <w:r>
        <w:rPr>
          <w:spacing w:val="-2"/>
        </w:rPr>
        <w:t> </w:t>
      </w:r>
      <w:r>
        <w:rPr/>
        <w:t>a new project after it has been completed.</w:t>
        <w:tab/>
        <w:t>The interviewees gave a range of responses, but generally referenced informal feedback and communications from their firms. During the interview,</w:t>
      </w:r>
      <w:r>
        <w:rPr>
          <w:spacing w:val="-2"/>
        </w:rPr>
        <w:t> </w:t>
      </w:r>
      <w:r>
        <w:rPr/>
        <w:t>it</w:t>
      </w:r>
      <w:r>
        <w:rPr>
          <w:spacing w:val="-2"/>
        </w:rPr>
        <w:t> </w:t>
      </w:r>
      <w:r>
        <w:rPr/>
        <w:t>was</w:t>
      </w:r>
      <w:r>
        <w:rPr>
          <w:spacing w:val="-2"/>
        </w:rPr>
        <w:t> </w:t>
      </w:r>
      <w:r>
        <w:rPr/>
        <w:t>clear</w:t>
      </w:r>
      <w:r>
        <w:rPr>
          <w:spacing w:val="-3"/>
        </w:rPr>
        <w:t> </w:t>
      </w:r>
      <w:r>
        <w:rPr/>
        <w:t>that</w:t>
      </w:r>
      <w:r>
        <w:rPr>
          <w:spacing w:val="-2"/>
        </w:rPr>
        <w:t> </w:t>
      </w:r>
      <w:r>
        <w:rPr/>
        <w:t>the</w:t>
      </w:r>
      <w:r>
        <w:rPr>
          <w:spacing w:val="-3"/>
        </w:rPr>
        <w:t> </w:t>
      </w:r>
      <w:r>
        <w:rPr/>
        <w:t>respondents</w:t>
      </w:r>
      <w:r>
        <w:rPr>
          <w:spacing w:val="-2"/>
        </w:rPr>
        <w:t> </w:t>
      </w:r>
      <w:r>
        <w:rPr/>
        <w:t>did</w:t>
      </w:r>
      <w:r>
        <w:rPr>
          <w:spacing w:val="-2"/>
        </w:rPr>
        <w:t> </w:t>
      </w:r>
      <w:r>
        <w:rPr/>
        <w:t>not</w:t>
      </w:r>
      <w:r>
        <w:rPr>
          <w:spacing w:val="-2"/>
        </w:rPr>
        <w:t> </w:t>
      </w:r>
      <w:r>
        <w:rPr/>
        <w:t>have</w:t>
      </w:r>
      <w:r>
        <w:rPr>
          <w:spacing w:val="-3"/>
        </w:rPr>
        <w:t> </w:t>
      </w:r>
      <w:r>
        <w:rPr/>
        <w:t>any</w:t>
      </w:r>
      <w:r>
        <w:rPr>
          <w:spacing w:val="-7"/>
        </w:rPr>
        <w:t> </w:t>
      </w:r>
      <w:r>
        <w:rPr/>
        <w:t>clear</w:t>
      </w:r>
      <w:r>
        <w:rPr>
          <w:spacing w:val="-3"/>
        </w:rPr>
        <w:t> </w:t>
      </w:r>
      <w:r>
        <w:rPr/>
        <w:t>or</w:t>
      </w:r>
      <w:r>
        <w:rPr>
          <w:spacing w:val="-3"/>
        </w:rPr>
        <w:t> </w:t>
      </w:r>
      <w:r>
        <w:rPr/>
        <w:t>systematic</w:t>
      </w:r>
      <w:r>
        <w:rPr>
          <w:spacing w:val="-3"/>
        </w:rPr>
        <w:t> </w:t>
      </w:r>
      <w:r>
        <w:rPr/>
        <w:t>mechanism</w:t>
      </w:r>
      <w:r>
        <w:rPr>
          <w:spacing w:val="-2"/>
        </w:rPr>
        <w:t> </w:t>
      </w:r>
      <w:r>
        <w:rPr/>
        <w:t>for measuring the successful implementation of total quality management.</w:t>
      </w:r>
    </w:p>
    <w:p>
      <w:pPr>
        <w:pStyle w:val="BodyText"/>
        <w:spacing w:before="4"/>
      </w:pPr>
    </w:p>
    <w:p>
      <w:pPr>
        <w:pStyle w:val="Heading2"/>
        <w:numPr>
          <w:ilvl w:val="2"/>
          <w:numId w:val="51"/>
        </w:numPr>
        <w:tabs>
          <w:tab w:pos="1120" w:val="left" w:leader="none"/>
        </w:tabs>
        <w:spacing w:line="240" w:lineRule="auto" w:before="1" w:after="0"/>
        <w:ind w:left="1120" w:right="0" w:hanging="720"/>
        <w:jc w:val="both"/>
      </w:pPr>
      <w:r>
        <w:rPr/>
        <w:t>Cost</w:t>
      </w:r>
      <w:r>
        <w:rPr>
          <w:spacing w:val="-2"/>
        </w:rPr>
        <w:t> </w:t>
      </w:r>
      <w:r>
        <w:rPr/>
        <w:t>of total</w:t>
      </w:r>
      <w:r>
        <w:rPr>
          <w:spacing w:val="-1"/>
        </w:rPr>
        <w:t> </w:t>
      </w:r>
      <w:r>
        <w:rPr/>
        <w:t>quality</w:t>
      </w:r>
      <w:r>
        <w:rPr>
          <w:spacing w:val="-1"/>
        </w:rPr>
        <w:t> </w:t>
      </w:r>
      <w:r>
        <w:rPr>
          <w:spacing w:val="-2"/>
        </w:rPr>
        <w:t>management</w:t>
      </w:r>
    </w:p>
    <w:p>
      <w:pPr>
        <w:pStyle w:val="BodyText"/>
        <w:spacing w:line="480" w:lineRule="auto" w:before="271"/>
        <w:ind w:left="400" w:right="1318"/>
        <w:jc w:val="both"/>
      </w:pPr>
      <w:r>
        <w:rPr/>
        <w:t>The</w:t>
      </w:r>
      <w:r>
        <w:rPr>
          <w:spacing w:val="-2"/>
        </w:rPr>
        <w:t> </w:t>
      </w:r>
      <w:r>
        <w:rPr/>
        <w:t>respondents</w:t>
      </w:r>
      <w:r>
        <w:rPr>
          <w:spacing w:val="-1"/>
        </w:rPr>
        <w:t> </w:t>
      </w:r>
      <w:r>
        <w:rPr/>
        <w:t>were</w:t>
      </w:r>
      <w:r>
        <w:rPr>
          <w:spacing w:val="-2"/>
        </w:rPr>
        <w:t> </w:t>
      </w:r>
      <w:r>
        <w:rPr/>
        <w:t>asked</w:t>
      </w:r>
      <w:r>
        <w:rPr>
          <w:spacing w:val="-1"/>
        </w:rPr>
        <w:t> </w:t>
      </w:r>
      <w:r>
        <w:rPr/>
        <w:t>if</w:t>
      </w:r>
      <w:r>
        <w:rPr>
          <w:spacing w:val="-2"/>
        </w:rPr>
        <w:t> </w:t>
      </w:r>
      <w:r>
        <w:rPr/>
        <w:t>they</w:t>
      </w:r>
      <w:r>
        <w:rPr>
          <w:spacing w:val="-6"/>
        </w:rPr>
        <w:t> </w:t>
      </w:r>
      <w:r>
        <w:rPr/>
        <w:t>believe</w:t>
      </w:r>
      <w:r>
        <w:rPr>
          <w:spacing w:val="-2"/>
        </w:rPr>
        <w:t> </w:t>
      </w:r>
      <w:r>
        <w:rPr/>
        <w:t>that</w:t>
      </w:r>
      <w:r>
        <w:rPr>
          <w:spacing w:val="-1"/>
        </w:rPr>
        <w:t> </w:t>
      </w:r>
      <w:r>
        <w:rPr/>
        <w:t>the</w:t>
      </w:r>
      <w:r>
        <w:rPr>
          <w:spacing w:val="-2"/>
        </w:rPr>
        <w:t> </w:t>
      </w:r>
      <w:r>
        <w:rPr/>
        <w:t>cost</w:t>
      </w:r>
      <w:r>
        <w:rPr>
          <w:spacing w:val="-1"/>
        </w:rPr>
        <w:t> </w:t>
      </w:r>
      <w:r>
        <w:rPr/>
        <w:t>of</w:t>
      </w:r>
      <w:r>
        <w:rPr>
          <w:spacing w:val="-2"/>
        </w:rPr>
        <w:t> </w:t>
      </w:r>
      <w:r>
        <w:rPr/>
        <w:t>TQM</w:t>
      </w:r>
      <w:r>
        <w:rPr>
          <w:spacing w:val="-1"/>
        </w:rPr>
        <w:t> </w:t>
      </w:r>
      <w:r>
        <w:rPr/>
        <w:t>implementation</w:t>
      </w:r>
      <w:r>
        <w:rPr>
          <w:spacing w:val="-1"/>
        </w:rPr>
        <w:t> </w:t>
      </w:r>
      <w:r>
        <w:rPr/>
        <w:t>could</w:t>
      </w:r>
      <w:r>
        <w:rPr>
          <w:spacing w:val="-1"/>
        </w:rPr>
        <w:t> </w:t>
      </w:r>
      <w:r>
        <w:rPr/>
        <w:t>be</w:t>
      </w:r>
      <w:r>
        <w:rPr>
          <w:spacing w:val="-2"/>
        </w:rPr>
        <w:t> </w:t>
      </w:r>
      <w:r>
        <w:rPr/>
        <w:t>higher than failure of achieving quality in terms of rework, correcting errors, reacting to customer complaints, missing deadlines, and having deficient project budget due to poor planning.</w:t>
      </w:r>
    </w:p>
    <w:p>
      <w:pPr>
        <w:pStyle w:val="BodyText"/>
        <w:spacing w:line="480" w:lineRule="auto" w:before="161"/>
        <w:ind w:left="400" w:right="1318"/>
        <w:jc w:val="both"/>
      </w:pPr>
      <w:r>
        <w:rPr/>
        <w:t>Additionally, by adopting TQM, organisations try to improve quality by ensuring conformance</w:t>
      </w:r>
      <w:r>
        <w:rPr>
          <w:spacing w:val="40"/>
        </w:rPr>
        <w:t> </w:t>
      </w:r>
      <w:r>
        <w:rPr/>
        <w:t>to</w:t>
      </w:r>
      <w:r>
        <w:rPr>
          <w:spacing w:val="-2"/>
        </w:rPr>
        <w:t> </w:t>
      </w:r>
      <w:r>
        <w:rPr/>
        <w:t>internal</w:t>
      </w:r>
      <w:r>
        <w:rPr>
          <w:spacing w:val="4"/>
        </w:rPr>
        <w:t> </w:t>
      </w:r>
      <w:r>
        <w:rPr/>
        <w:t>requirements</w:t>
      </w:r>
      <w:r>
        <w:rPr>
          <w:spacing w:val="4"/>
        </w:rPr>
        <w:t> </w:t>
      </w:r>
      <w:r>
        <w:rPr/>
        <w:t>and,</w:t>
      </w:r>
      <w:r>
        <w:rPr>
          <w:spacing w:val="1"/>
        </w:rPr>
        <w:t> </w:t>
      </w:r>
      <w:r>
        <w:rPr/>
        <w:t>thus,</w:t>
      </w:r>
      <w:r>
        <w:rPr>
          <w:spacing w:val="1"/>
        </w:rPr>
        <w:t> </w:t>
      </w:r>
      <w:r>
        <w:rPr/>
        <w:t>create</w:t>
      </w:r>
      <w:r>
        <w:rPr>
          <w:spacing w:val="2"/>
        </w:rPr>
        <w:t> </w:t>
      </w:r>
      <w:r>
        <w:rPr/>
        <w:t>constancy</w:t>
      </w:r>
      <w:r>
        <w:rPr>
          <w:spacing w:val="-1"/>
        </w:rPr>
        <w:t> </w:t>
      </w:r>
      <w:r>
        <w:rPr/>
        <w:t>of</w:t>
      </w:r>
      <w:r>
        <w:rPr>
          <w:spacing w:val="3"/>
        </w:rPr>
        <w:t> </w:t>
      </w:r>
      <w:r>
        <w:rPr/>
        <w:t>purpose</w:t>
      </w:r>
      <w:r>
        <w:rPr>
          <w:spacing w:val="2"/>
        </w:rPr>
        <w:t> </w:t>
      </w:r>
      <w:r>
        <w:rPr/>
        <w:t>towards</w:t>
      </w:r>
      <w:r>
        <w:rPr>
          <w:spacing w:val="4"/>
        </w:rPr>
        <w:t> </w:t>
      </w:r>
      <w:r>
        <w:rPr/>
        <w:t>improvement</w:t>
      </w:r>
      <w:r>
        <w:rPr>
          <w:spacing w:val="1"/>
        </w:rPr>
        <w:t> </w:t>
      </w:r>
      <w:r>
        <w:rPr/>
        <w:t>of</w:t>
      </w:r>
      <w:r>
        <w:rPr>
          <w:spacing w:val="3"/>
        </w:rPr>
        <w:t> </w:t>
      </w:r>
      <w:r>
        <w:rPr>
          <w:spacing w:val="-2"/>
        </w:rPr>
        <w:t>products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and services, with the aim to improve competitiveness and remain in business and thus provide </w:t>
      </w:r>
      <w:r>
        <w:rPr>
          <w:spacing w:val="-2"/>
        </w:rPr>
        <w:t>jobs.</w:t>
      </w:r>
    </w:p>
    <w:p>
      <w:pPr>
        <w:pStyle w:val="BodyText"/>
        <w:spacing w:before="72"/>
      </w:pPr>
    </w:p>
    <w:p>
      <w:pPr>
        <w:pStyle w:val="Heading2"/>
        <w:numPr>
          <w:ilvl w:val="2"/>
          <w:numId w:val="51"/>
        </w:numPr>
        <w:tabs>
          <w:tab w:pos="940" w:val="left" w:leader="none"/>
        </w:tabs>
        <w:spacing w:line="240" w:lineRule="auto" w:before="0" w:after="0"/>
        <w:ind w:left="940" w:right="0" w:hanging="540"/>
        <w:jc w:val="both"/>
      </w:pPr>
      <w:r>
        <w:rPr/>
        <w:t>Summary</w:t>
      </w:r>
      <w:r>
        <w:rPr>
          <w:spacing w:val="-3"/>
        </w:rPr>
        <w:t> </w:t>
      </w:r>
      <w:r>
        <w:rPr/>
        <w:t>of</w:t>
      </w:r>
      <w:r>
        <w:rPr>
          <w:spacing w:val="-3"/>
        </w:rPr>
        <w:t> </w:t>
      </w:r>
      <w:r>
        <w:rPr/>
        <w:t>in-depth</w:t>
      </w:r>
      <w:r>
        <w:rPr>
          <w:spacing w:val="-2"/>
        </w:rPr>
        <w:t> interviews</w:t>
      </w:r>
    </w:p>
    <w:p>
      <w:pPr>
        <w:pStyle w:val="BodyText"/>
        <w:spacing w:line="480" w:lineRule="auto" w:before="271"/>
        <w:ind w:left="400" w:right="1316"/>
        <w:jc w:val="both"/>
      </w:pPr>
      <w:r>
        <w:rPr/>
        <w:t>Many companies were applying some of CSF’s for their organisations even without having a formal TQM system in place. They stated that, even though they do not have formal TQM, their main priority was maximising profits throughout the quality of the final project. They stated that customer</w:t>
      </w:r>
      <w:r>
        <w:rPr>
          <w:spacing w:val="-2"/>
        </w:rPr>
        <w:t> </w:t>
      </w:r>
      <w:r>
        <w:rPr/>
        <w:t>satisfaction</w:t>
      </w:r>
      <w:r>
        <w:rPr>
          <w:spacing w:val="-1"/>
        </w:rPr>
        <w:t> </w:t>
      </w:r>
      <w:r>
        <w:rPr/>
        <w:t>was</w:t>
      </w:r>
      <w:r>
        <w:rPr>
          <w:spacing w:val="-1"/>
        </w:rPr>
        <w:t> </w:t>
      </w:r>
      <w:r>
        <w:rPr/>
        <w:t>an</w:t>
      </w:r>
      <w:r>
        <w:rPr>
          <w:spacing w:val="-1"/>
        </w:rPr>
        <w:t> </w:t>
      </w:r>
      <w:r>
        <w:rPr/>
        <w:t>important</w:t>
      </w:r>
      <w:r>
        <w:rPr>
          <w:spacing w:val="-1"/>
        </w:rPr>
        <w:t> </w:t>
      </w:r>
      <w:r>
        <w:rPr/>
        <w:t>element</w:t>
      </w:r>
      <w:r>
        <w:rPr>
          <w:spacing w:val="-1"/>
        </w:rPr>
        <w:t> </w:t>
      </w:r>
      <w:r>
        <w:rPr/>
        <w:t>for</w:t>
      </w:r>
      <w:r>
        <w:rPr>
          <w:spacing w:val="-2"/>
        </w:rPr>
        <w:t> </w:t>
      </w:r>
      <w:r>
        <w:rPr/>
        <w:t>their</w:t>
      </w:r>
      <w:r>
        <w:rPr>
          <w:spacing w:val="-2"/>
        </w:rPr>
        <w:t> </w:t>
      </w:r>
      <w:r>
        <w:rPr/>
        <w:t>organisation</w:t>
      </w:r>
      <w:r>
        <w:rPr>
          <w:spacing w:val="-1"/>
        </w:rPr>
        <w:t> </w:t>
      </w:r>
      <w:r>
        <w:rPr/>
        <w:t>which</w:t>
      </w:r>
      <w:r>
        <w:rPr>
          <w:spacing w:val="-1"/>
        </w:rPr>
        <w:t> </w:t>
      </w:r>
      <w:r>
        <w:rPr/>
        <w:t>helped</w:t>
      </w:r>
      <w:r>
        <w:rPr>
          <w:spacing w:val="-1"/>
        </w:rPr>
        <w:t> </w:t>
      </w:r>
      <w:r>
        <w:rPr/>
        <w:t>them</w:t>
      </w:r>
      <w:r>
        <w:rPr>
          <w:spacing w:val="-1"/>
        </w:rPr>
        <w:t> </w:t>
      </w:r>
      <w:r>
        <w:rPr/>
        <w:t>to</w:t>
      </w:r>
      <w:r>
        <w:rPr>
          <w:spacing w:val="-1"/>
        </w:rPr>
        <w:t> </w:t>
      </w:r>
      <w:r>
        <w:rPr/>
        <w:t>build their reputation in the Nigerian market.</w:t>
      </w:r>
    </w:p>
    <w:p>
      <w:pPr>
        <w:pStyle w:val="BodyText"/>
        <w:spacing w:line="480" w:lineRule="auto" w:before="161"/>
        <w:ind w:left="399" w:right="1313"/>
        <w:jc w:val="both"/>
      </w:pPr>
      <w:r>
        <w:rPr/>
        <w:t>The general conclusion that can be drawn from the interview segment of this study is that respondents rarely measure aspects of TQM. When they do, it is done in form of informal complaints and communications. Only one of the respondents has what</w:t>
      </w:r>
      <w:r>
        <w:rPr>
          <w:spacing w:val="40"/>
        </w:rPr>
        <w:t> </w:t>
      </w:r>
      <w:r>
        <w:rPr/>
        <w:t>appears</w:t>
      </w:r>
      <w:r>
        <w:rPr>
          <w:spacing w:val="40"/>
        </w:rPr>
        <w:t> </w:t>
      </w:r>
      <w:r>
        <w:rPr/>
        <w:t>to</w:t>
      </w:r>
      <w:r>
        <w:rPr>
          <w:spacing w:val="40"/>
        </w:rPr>
        <w:t> </w:t>
      </w:r>
      <w:r>
        <w:rPr/>
        <w:t>be</w:t>
      </w:r>
      <w:r>
        <w:rPr>
          <w:spacing w:val="40"/>
        </w:rPr>
        <w:t> </w:t>
      </w:r>
      <w:r>
        <w:rPr/>
        <w:t>a systematic way of collecting information regarding quality. Respondents generally seemed interested</w:t>
      </w:r>
      <w:r>
        <w:rPr>
          <w:spacing w:val="37"/>
        </w:rPr>
        <w:t> </w:t>
      </w:r>
      <w:r>
        <w:rPr/>
        <w:t>in</w:t>
      </w:r>
      <w:r>
        <w:rPr>
          <w:spacing w:val="37"/>
        </w:rPr>
        <w:t> </w:t>
      </w:r>
      <w:r>
        <w:rPr/>
        <w:t>a model</w:t>
      </w:r>
      <w:r>
        <w:rPr>
          <w:spacing w:val="38"/>
        </w:rPr>
        <w:t> </w:t>
      </w:r>
      <w:r>
        <w:rPr/>
        <w:t>for</w:t>
      </w:r>
      <w:r>
        <w:rPr>
          <w:spacing w:val="37"/>
        </w:rPr>
        <w:t> </w:t>
      </w:r>
      <w:r>
        <w:rPr/>
        <w:t>implementation</w:t>
      </w:r>
      <w:r>
        <w:rPr>
          <w:spacing w:val="37"/>
        </w:rPr>
        <w:t> </w:t>
      </w:r>
      <w:r>
        <w:rPr/>
        <w:t>of</w:t>
      </w:r>
      <w:r>
        <w:rPr>
          <w:spacing w:val="37"/>
        </w:rPr>
        <w:t> </w:t>
      </w:r>
      <w:r>
        <w:rPr/>
        <w:t>TQM.</w:t>
      </w:r>
      <w:r>
        <w:rPr>
          <w:spacing w:val="80"/>
        </w:rPr>
        <w:t> </w:t>
      </w:r>
      <w:r>
        <w:rPr/>
        <w:t>All</w:t>
      </w:r>
      <w:r>
        <w:rPr>
          <w:spacing w:val="80"/>
        </w:rPr>
        <w:t> </w:t>
      </w:r>
      <w:r>
        <w:rPr/>
        <w:t>the respondents</w:t>
      </w:r>
      <w:r>
        <w:rPr>
          <w:spacing w:val="80"/>
        </w:rPr>
        <w:t> </w:t>
      </w:r>
      <w:r>
        <w:rPr/>
        <w:t>agreed</w:t>
      </w:r>
      <w:r>
        <w:rPr>
          <w:spacing w:val="80"/>
        </w:rPr>
        <w:t> </w:t>
      </w:r>
      <w:r>
        <w:rPr/>
        <w:t>that</w:t>
      </w:r>
      <w:r>
        <w:rPr>
          <w:spacing w:val="80"/>
        </w:rPr>
        <w:t> </w:t>
      </w:r>
      <w:r>
        <w:rPr/>
        <w:t>they would use such a tool if available to implement and increase their competitive advantage. Inadequate trained personnel and low management commitment were listed as the major obstacles to the successful implementation of total quality management.</w:t>
      </w:r>
    </w:p>
    <w:p>
      <w:pPr>
        <w:pStyle w:val="Heading2"/>
        <w:numPr>
          <w:ilvl w:val="1"/>
          <w:numId w:val="52"/>
        </w:numPr>
        <w:tabs>
          <w:tab w:pos="1120" w:val="left" w:leader="none"/>
        </w:tabs>
        <w:spacing w:line="240" w:lineRule="auto" w:before="236" w:after="0"/>
        <w:ind w:left="1120" w:right="0" w:hanging="720"/>
        <w:jc w:val="both"/>
      </w:pPr>
      <w:r>
        <w:rPr/>
        <w:t>Summary</w:t>
      </w:r>
      <w:r>
        <w:rPr>
          <w:spacing w:val="-3"/>
        </w:rPr>
        <w:t> </w:t>
      </w:r>
      <w:r>
        <w:rPr/>
        <w:t>of</w:t>
      </w:r>
      <w:r>
        <w:rPr>
          <w:spacing w:val="-2"/>
        </w:rPr>
        <w:t> </w:t>
      </w:r>
      <w:r>
        <w:rPr/>
        <w:t>Direct</w:t>
      </w:r>
      <w:r>
        <w:rPr>
          <w:spacing w:val="-3"/>
        </w:rPr>
        <w:t> </w:t>
      </w:r>
      <w:r>
        <w:rPr/>
        <w:t>Observations</w:t>
      </w:r>
      <w:r>
        <w:rPr>
          <w:spacing w:val="-3"/>
        </w:rPr>
        <w:t> </w:t>
      </w:r>
      <w:r>
        <w:rPr/>
        <w:t>and</w:t>
      </w:r>
      <w:r>
        <w:rPr>
          <w:spacing w:val="-3"/>
        </w:rPr>
        <w:t> </w:t>
      </w:r>
      <w:r>
        <w:rPr/>
        <w:t>Walkthrough</w:t>
      </w:r>
      <w:r>
        <w:rPr>
          <w:spacing w:val="-2"/>
        </w:rPr>
        <w:t> Evaluations</w:t>
      </w:r>
    </w:p>
    <w:p>
      <w:pPr>
        <w:pStyle w:val="BodyText"/>
        <w:spacing w:line="480" w:lineRule="auto" w:before="268"/>
        <w:ind w:left="399" w:right="1318"/>
        <w:jc w:val="both"/>
      </w:pPr>
      <w:r>
        <w:rPr/>
        <w:t>For privacy of the clients, the project’s names were withheld. Direct observations and walkthrough evaluations carried out by the researcher on some of projects carried out by small and medium scale construction firms’ showed a lot of poor quality works.</w:t>
      </w:r>
      <w:r>
        <w:rPr>
          <w:spacing w:val="40"/>
        </w:rPr>
        <w:t> </w:t>
      </w:r>
      <w:r>
        <w:rPr/>
        <w:t>There were exposed reinforcement</w:t>
      </w:r>
      <w:r>
        <w:rPr>
          <w:spacing w:val="25"/>
        </w:rPr>
        <w:t> </w:t>
      </w:r>
      <w:r>
        <w:rPr/>
        <w:t>bars</w:t>
      </w:r>
      <w:r>
        <w:rPr>
          <w:spacing w:val="28"/>
        </w:rPr>
        <w:t> </w:t>
      </w:r>
      <w:r>
        <w:rPr/>
        <w:t>in</w:t>
      </w:r>
      <w:r>
        <w:rPr>
          <w:spacing w:val="27"/>
        </w:rPr>
        <w:t> </w:t>
      </w:r>
      <w:r>
        <w:rPr/>
        <w:t>one</w:t>
      </w:r>
      <w:r>
        <w:rPr>
          <w:spacing w:val="26"/>
        </w:rPr>
        <w:t> </w:t>
      </w:r>
      <w:r>
        <w:rPr/>
        <w:t>of</w:t>
      </w:r>
      <w:r>
        <w:rPr>
          <w:spacing w:val="26"/>
        </w:rPr>
        <w:t> </w:t>
      </w:r>
      <w:r>
        <w:rPr/>
        <w:t>the</w:t>
      </w:r>
      <w:r>
        <w:rPr>
          <w:spacing w:val="26"/>
        </w:rPr>
        <w:t> </w:t>
      </w:r>
      <w:r>
        <w:rPr/>
        <w:t>sites.</w:t>
      </w:r>
      <w:r>
        <w:rPr>
          <w:spacing w:val="27"/>
        </w:rPr>
        <w:t> </w:t>
      </w:r>
      <w:r>
        <w:rPr/>
        <w:t>This</w:t>
      </w:r>
      <w:r>
        <w:rPr>
          <w:spacing w:val="28"/>
        </w:rPr>
        <w:t> </w:t>
      </w:r>
      <w:r>
        <w:rPr/>
        <w:t>indicated</w:t>
      </w:r>
      <w:r>
        <w:rPr>
          <w:spacing w:val="27"/>
        </w:rPr>
        <w:t> </w:t>
      </w:r>
      <w:r>
        <w:rPr/>
        <w:t>the</w:t>
      </w:r>
      <w:r>
        <w:rPr>
          <w:spacing w:val="25"/>
        </w:rPr>
        <w:t> </w:t>
      </w:r>
      <w:r>
        <w:rPr/>
        <w:t>absence</w:t>
      </w:r>
      <w:r>
        <w:rPr>
          <w:spacing w:val="26"/>
        </w:rPr>
        <w:t> </w:t>
      </w:r>
      <w:r>
        <w:rPr/>
        <w:t>of</w:t>
      </w:r>
      <w:r>
        <w:rPr>
          <w:spacing w:val="27"/>
        </w:rPr>
        <w:t> </w:t>
      </w:r>
      <w:r>
        <w:rPr/>
        <w:t>reinforcement</w:t>
      </w:r>
      <w:r>
        <w:rPr>
          <w:spacing w:val="28"/>
        </w:rPr>
        <w:t> </w:t>
      </w:r>
      <w:r>
        <w:rPr/>
        <w:t>cover</w:t>
      </w:r>
      <w:r>
        <w:rPr>
          <w:spacing w:val="27"/>
        </w:rPr>
        <w:t> </w:t>
      </w:r>
      <w:r>
        <w:rPr>
          <w:spacing w:val="-4"/>
        </w:rPr>
        <w:t>(See</w:t>
      </w:r>
    </w:p>
    <w:p>
      <w:pPr>
        <w:spacing w:after="0" w:line="480" w:lineRule="auto"/>
        <w:jc w:val="both"/>
        <w:sectPr>
          <w:pgSz w:w="12240" w:h="15840"/>
          <w:pgMar w:header="0" w:footer="1017" w:top="1360" w:bottom="1200" w:left="1040" w:right="120"/>
        </w:sectPr>
      </w:pPr>
    </w:p>
    <w:p>
      <w:pPr>
        <w:pStyle w:val="BodyText"/>
        <w:spacing w:line="480" w:lineRule="auto" w:before="72"/>
        <w:ind w:left="400" w:right="1320"/>
        <w:jc w:val="both"/>
      </w:pPr>
      <w:r>
        <w:rPr/>
        <w:t>plate 1). There was a collapsed yet to be completed road which was likely caused by washout as</w:t>
      </w:r>
      <w:r>
        <w:rPr>
          <w:spacing w:val="40"/>
        </w:rPr>
        <w:t> </w:t>
      </w:r>
      <w:r>
        <w:rPr/>
        <w:t>a result of lack of adequate compaction and no embankment protection (See plate 2)</w:t>
      </w:r>
    </w:p>
    <w:p>
      <w:pPr>
        <w:pStyle w:val="BodyText"/>
        <w:spacing w:line="480" w:lineRule="auto"/>
        <w:ind w:left="400" w:right="1319"/>
        <w:jc w:val="both"/>
      </w:pPr>
      <w:r>
        <w:rPr/>
        <w:t>Poor formworks and casting were observed. This was likely due to improper formwork. The contractor</w:t>
      </w:r>
      <w:r>
        <w:rPr>
          <w:spacing w:val="-3"/>
        </w:rPr>
        <w:t> </w:t>
      </w:r>
      <w:r>
        <w:rPr/>
        <w:t>used</w:t>
      </w:r>
      <w:r>
        <w:rPr>
          <w:spacing w:val="-2"/>
        </w:rPr>
        <w:t> </w:t>
      </w:r>
      <w:r>
        <w:rPr/>
        <w:t>plank</w:t>
      </w:r>
      <w:r>
        <w:rPr>
          <w:spacing w:val="-2"/>
        </w:rPr>
        <w:t> </w:t>
      </w:r>
      <w:r>
        <w:rPr/>
        <w:t>instead</w:t>
      </w:r>
      <w:r>
        <w:rPr>
          <w:spacing w:val="-2"/>
        </w:rPr>
        <w:t> </w:t>
      </w:r>
      <w:r>
        <w:rPr/>
        <w:t>of</w:t>
      </w:r>
      <w:r>
        <w:rPr>
          <w:spacing w:val="-3"/>
        </w:rPr>
        <w:t> </w:t>
      </w:r>
      <w:r>
        <w:rPr/>
        <w:t>marine</w:t>
      </w:r>
      <w:r>
        <w:rPr>
          <w:spacing w:val="-3"/>
        </w:rPr>
        <w:t> </w:t>
      </w:r>
      <w:r>
        <w:rPr/>
        <w:t>plywood</w:t>
      </w:r>
      <w:r>
        <w:rPr>
          <w:spacing w:val="-2"/>
        </w:rPr>
        <w:t> </w:t>
      </w:r>
      <w:r>
        <w:rPr/>
        <w:t>(See</w:t>
      </w:r>
      <w:r>
        <w:rPr>
          <w:spacing w:val="-3"/>
        </w:rPr>
        <w:t> </w:t>
      </w:r>
      <w:r>
        <w:rPr/>
        <w:t>plate</w:t>
      </w:r>
      <w:r>
        <w:rPr>
          <w:spacing w:val="-3"/>
        </w:rPr>
        <w:t> </w:t>
      </w:r>
      <w:r>
        <w:rPr/>
        <w:t>3).</w:t>
      </w:r>
      <w:r>
        <w:rPr>
          <w:spacing w:val="-2"/>
        </w:rPr>
        <w:t> </w:t>
      </w:r>
      <w:r>
        <w:rPr/>
        <w:t>Honey</w:t>
      </w:r>
      <w:r>
        <w:rPr>
          <w:spacing w:val="-7"/>
        </w:rPr>
        <w:t> </w:t>
      </w:r>
      <w:r>
        <w:rPr/>
        <w:t>comb</w:t>
      </w:r>
      <w:r>
        <w:rPr>
          <w:spacing w:val="-2"/>
        </w:rPr>
        <w:t> </w:t>
      </w:r>
      <w:r>
        <w:rPr/>
        <w:t>was</w:t>
      </w:r>
      <w:r>
        <w:rPr>
          <w:spacing w:val="-2"/>
        </w:rPr>
        <w:t> </w:t>
      </w:r>
      <w:r>
        <w:rPr/>
        <w:t>noticed</w:t>
      </w:r>
      <w:r>
        <w:rPr>
          <w:spacing w:val="-2"/>
        </w:rPr>
        <w:t> </w:t>
      </w:r>
      <w:r>
        <w:rPr/>
        <w:t>this</w:t>
      </w:r>
      <w:r>
        <w:rPr>
          <w:spacing w:val="-2"/>
        </w:rPr>
        <w:t> </w:t>
      </w:r>
      <w:r>
        <w:rPr/>
        <w:t>was probably as a result of improper vibration and insufficient concrete cover (See plate 4)</w:t>
      </w:r>
    </w:p>
    <w:p>
      <w:pPr>
        <w:pStyle w:val="BodyText"/>
        <w:spacing w:line="480" w:lineRule="auto"/>
        <w:ind w:left="399" w:right="1315"/>
        <w:jc w:val="both"/>
      </w:pPr>
      <w:r>
        <w:rPr/>
        <w:t>The</w:t>
      </w:r>
      <w:r>
        <w:rPr>
          <w:spacing w:val="-1"/>
        </w:rPr>
        <w:t> </w:t>
      </w:r>
      <w:r>
        <w:rPr/>
        <w:t>defects found at the column at an ongoing</w:t>
      </w:r>
      <w:r>
        <w:rPr>
          <w:spacing w:val="-2"/>
        </w:rPr>
        <w:t> </w:t>
      </w:r>
      <w:r>
        <w:rPr/>
        <w:t>project were cracks. The crack is likely</w:t>
      </w:r>
      <w:r>
        <w:rPr>
          <w:spacing w:val="-2"/>
        </w:rPr>
        <w:t> </w:t>
      </w:r>
      <w:r>
        <w:rPr/>
        <w:t>caused by poor quality expansion joints (See plate 5). Poor casting of the beam were observed which</w:t>
      </w:r>
      <w:r>
        <w:rPr>
          <w:spacing w:val="40"/>
        </w:rPr>
        <w:t> </w:t>
      </w:r>
      <w:r>
        <w:rPr/>
        <w:t>caused exposed reinforcements. The</w:t>
      </w:r>
      <w:r>
        <w:rPr>
          <w:spacing w:val="-1"/>
        </w:rPr>
        <w:t> </w:t>
      </w:r>
      <w:r>
        <w:rPr/>
        <w:t>poor</w:t>
      </w:r>
      <w:r>
        <w:rPr>
          <w:spacing w:val="-1"/>
        </w:rPr>
        <w:t> </w:t>
      </w:r>
      <w:r>
        <w:rPr/>
        <w:t>casting was probably</w:t>
      </w:r>
      <w:r>
        <w:rPr>
          <w:spacing w:val="-5"/>
        </w:rPr>
        <w:t> </w:t>
      </w:r>
      <w:r>
        <w:rPr/>
        <w:t>caused by</w:t>
      </w:r>
      <w:r>
        <w:rPr>
          <w:spacing w:val="-5"/>
        </w:rPr>
        <w:t> </w:t>
      </w:r>
      <w:r>
        <w:rPr/>
        <w:t>poor</w:t>
      </w:r>
      <w:r>
        <w:rPr>
          <w:spacing w:val="-1"/>
        </w:rPr>
        <w:t> </w:t>
      </w:r>
      <w:r>
        <w:rPr/>
        <w:t>quality</w:t>
      </w:r>
      <w:r>
        <w:rPr>
          <w:spacing w:val="-5"/>
        </w:rPr>
        <w:t> </w:t>
      </w:r>
      <w:r>
        <w:rPr/>
        <w:t>formwork (See plate 6). Major crack in a column was visibly noticed. It was likely caused by wrong placement</w:t>
      </w:r>
      <w:r>
        <w:rPr>
          <w:spacing w:val="-2"/>
        </w:rPr>
        <w:t> </w:t>
      </w:r>
      <w:r>
        <w:rPr/>
        <w:t>of</w:t>
      </w:r>
      <w:r>
        <w:rPr>
          <w:spacing w:val="-3"/>
        </w:rPr>
        <w:t> </w:t>
      </w:r>
      <w:r>
        <w:rPr/>
        <w:t>expansion</w:t>
      </w:r>
      <w:r>
        <w:rPr>
          <w:spacing w:val="-2"/>
        </w:rPr>
        <w:t> </w:t>
      </w:r>
      <w:r>
        <w:rPr/>
        <w:t>joint</w:t>
      </w:r>
      <w:r>
        <w:rPr>
          <w:spacing w:val="-2"/>
        </w:rPr>
        <w:t> </w:t>
      </w:r>
      <w:r>
        <w:rPr/>
        <w:t>material</w:t>
      </w:r>
      <w:r>
        <w:rPr>
          <w:spacing w:val="-2"/>
        </w:rPr>
        <w:t> </w:t>
      </w:r>
      <w:r>
        <w:rPr/>
        <w:t>and</w:t>
      </w:r>
      <w:r>
        <w:rPr>
          <w:spacing w:val="-2"/>
        </w:rPr>
        <w:t> </w:t>
      </w:r>
      <w:r>
        <w:rPr/>
        <w:t>using</w:t>
      </w:r>
      <w:r>
        <w:rPr>
          <w:spacing w:val="-5"/>
        </w:rPr>
        <w:t> </w:t>
      </w:r>
      <w:r>
        <w:rPr/>
        <w:t>hardwood</w:t>
      </w:r>
      <w:r>
        <w:rPr>
          <w:spacing w:val="-2"/>
        </w:rPr>
        <w:t> </w:t>
      </w:r>
      <w:r>
        <w:rPr/>
        <w:t>instead of</w:t>
      </w:r>
      <w:r>
        <w:rPr>
          <w:spacing w:val="-3"/>
        </w:rPr>
        <w:t> </w:t>
      </w:r>
      <w:r>
        <w:rPr/>
        <w:t>particle</w:t>
      </w:r>
      <w:r>
        <w:rPr>
          <w:spacing w:val="-3"/>
        </w:rPr>
        <w:t> </w:t>
      </w:r>
      <w:r>
        <w:rPr/>
        <w:t>board (See</w:t>
      </w:r>
      <w:r>
        <w:rPr>
          <w:spacing w:val="-3"/>
        </w:rPr>
        <w:t> </w:t>
      </w:r>
      <w:r>
        <w:rPr/>
        <w:t>plate</w:t>
      </w:r>
      <w:r>
        <w:rPr>
          <w:spacing w:val="-3"/>
        </w:rPr>
        <w:t> </w:t>
      </w:r>
      <w:r>
        <w:rPr/>
        <w:t>7). When a beam was assessed, it was observed that there was honey comb on the beam. The likely cause was poor vibration when the beam was cast. From the above analysis, it can be concluded that the supervision being a vital key was not adequately done.</w:t>
      </w:r>
    </w:p>
    <w:p>
      <w:pPr>
        <w:spacing w:after="0" w:line="480" w:lineRule="auto"/>
        <w:jc w:val="both"/>
        <w:sectPr>
          <w:pgSz w:w="12240" w:h="15840"/>
          <w:pgMar w:header="0" w:footer="1017" w:top="1360" w:bottom="1200" w:left="1040" w:right="120"/>
        </w:sectPr>
      </w:pPr>
    </w:p>
    <w:p>
      <w:pPr>
        <w:pStyle w:val="BodyText"/>
        <w:ind w:left="400"/>
        <w:rPr>
          <w:sz w:val="20"/>
        </w:rPr>
      </w:pPr>
      <w:r>
        <w:rPr>
          <w:sz w:val="20"/>
        </w:rPr>
        <mc:AlternateContent>
          <mc:Choice Requires="wps">
            <w:drawing>
              <wp:inline distT="0" distB="0" distL="0" distR="0">
                <wp:extent cx="5789930" cy="3334385"/>
                <wp:effectExtent l="0" t="0" r="0" b="8889"/>
                <wp:docPr id="290" name="Group 290"/>
                <wp:cNvGraphicFramePr>
                  <a:graphicFrameLocks/>
                </wp:cNvGraphicFramePr>
                <a:graphic>
                  <a:graphicData uri="http://schemas.microsoft.com/office/word/2010/wordprocessingGroup">
                    <wpg:wgp>
                      <wpg:cNvPr id="290" name="Group 290"/>
                      <wpg:cNvGrpSpPr/>
                      <wpg:grpSpPr>
                        <a:xfrm>
                          <a:off x="0" y="0"/>
                          <a:ext cx="5789930" cy="3334385"/>
                          <a:chExt cx="5789930" cy="3334385"/>
                        </a:xfrm>
                      </wpg:grpSpPr>
                      <pic:pic>
                        <pic:nvPicPr>
                          <pic:cNvPr id="291" name="Image 291" descr="C:\Users\Mrs Alintah Uchechi\Desktop\thesis pictures\2018-08-07 11.31.53.jpg"/>
                          <pic:cNvPicPr/>
                        </pic:nvPicPr>
                        <pic:blipFill>
                          <a:blip r:embed="rId30" cstate="print"/>
                          <a:stretch>
                            <a:fillRect/>
                          </a:stretch>
                        </pic:blipFill>
                        <pic:spPr>
                          <a:xfrm>
                            <a:off x="0" y="0"/>
                            <a:ext cx="2624453" cy="3334383"/>
                          </a:xfrm>
                          <a:prstGeom prst="rect">
                            <a:avLst/>
                          </a:prstGeom>
                        </pic:spPr>
                      </pic:pic>
                      <pic:pic>
                        <pic:nvPicPr>
                          <pic:cNvPr id="292" name="Image 292" descr="C:\Users\Mrs Alintah Uchechi\Desktop\thesis pictures\2018-08-07 11.36.49.jpg"/>
                          <pic:cNvPicPr/>
                        </pic:nvPicPr>
                        <pic:blipFill>
                          <a:blip r:embed="rId31" cstate="print"/>
                          <a:stretch>
                            <a:fillRect/>
                          </a:stretch>
                        </pic:blipFill>
                        <pic:spPr>
                          <a:xfrm>
                            <a:off x="2624454" y="13969"/>
                            <a:ext cx="3165474" cy="3320413"/>
                          </a:xfrm>
                          <a:prstGeom prst="rect">
                            <a:avLst/>
                          </a:prstGeom>
                        </pic:spPr>
                      </pic:pic>
                    </wpg:wgp>
                  </a:graphicData>
                </a:graphic>
              </wp:inline>
            </w:drawing>
          </mc:Choice>
          <mc:Fallback>
            <w:pict>
              <v:group style="width:455.9pt;height:262.55pt;mso-position-horizontal-relative:char;mso-position-vertical-relative:line" id="docshapegroup232" coordorigin="0,0" coordsize="9118,5251">
                <v:shape style="position:absolute;left:0;top:0;width:4133;height:5251" type="#_x0000_t75" id="docshape233" alt="C:\Users\Mrs Alintah Uchechi\Desktop\thesis pictures\2018-08-07 11.31.53.jpg" stroked="false">
                  <v:imagedata r:id="rId30" o:title=""/>
                </v:shape>
                <v:shape style="position:absolute;left:4133;top:22;width:4985;height:5229" type="#_x0000_t75" id="docshape234" alt="C:\Users\Mrs Alintah Uchechi\Desktop\thesis pictures\2018-08-07 11.36.49.jpg" stroked="false">
                  <v:imagedata r:id="rId31" o:title=""/>
                </v:shape>
              </v:group>
            </w:pict>
          </mc:Fallback>
        </mc:AlternateContent>
      </w:r>
      <w:r>
        <w:rPr>
          <w:sz w:val="20"/>
        </w:rPr>
      </w:r>
    </w:p>
    <w:p>
      <w:pPr>
        <w:pStyle w:val="BodyText"/>
        <w:spacing w:before="181"/>
      </w:pPr>
    </w:p>
    <w:p>
      <w:pPr>
        <w:tabs>
          <w:tab w:pos="3272" w:val="left" w:leader="none"/>
        </w:tabs>
        <w:spacing w:line="451" w:lineRule="auto" w:before="0"/>
        <w:ind w:left="460" w:right="1820" w:hanging="60"/>
        <w:jc w:val="left"/>
        <w:rPr>
          <w:b/>
          <w:i/>
          <w:sz w:val="24"/>
        </w:rPr>
      </w:pPr>
      <w:r>
        <w:rPr>
          <w:b/>
          <w:sz w:val="24"/>
          <w:u w:val="single"/>
        </w:rPr>
        <w:t>Plate</w:t>
      </w:r>
      <w:r>
        <w:rPr>
          <w:b/>
          <w:spacing w:val="-4"/>
          <w:sz w:val="24"/>
          <w:u w:val="single"/>
        </w:rPr>
        <w:t> </w:t>
      </w:r>
      <w:r>
        <w:rPr>
          <w:b/>
          <w:sz w:val="24"/>
          <w:u w:val="single"/>
        </w:rPr>
        <w:t>I:</w:t>
      </w:r>
      <w:r>
        <w:rPr>
          <w:b/>
          <w:spacing w:val="-4"/>
          <w:sz w:val="24"/>
        </w:rPr>
        <w:t> </w:t>
      </w:r>
      <w:r>
        <w:rPr>
          <w:b/>
          <w:sz w:val="24"/>
        </w:rPr>
        <w:t>An</w:t>
      </w:r>
      <w:r>
        <w:rPr>
          <w:b/>
          <w:spacing w:val="-3"/>
          <w:sz w:val="24"/>
        </w:rPr>
        <w:t> </w:t>
      </w:r>
      <w:r>
        <w:rPr>
          <w:b/>
          <w:sz w:val="24"/>
        </w:rPr>
        <w:t>exposed</w:t>
      </w:r>
      <w:r>
        <w:rPr>
          <w:b/>
          <w:spacing w:val="-3"/>
          <w:sz w:val="24"/>
        </w:rPr>
        <w:t> </w:t>
      </w:r>
      <w:r>
        <w:rPr>
          <w:b/>
          <w:sz w:val="24"/>
        </w:rPr>
        <w:t>reinforcement</w:t>
      </w:r>
      <w:r>
        <w:rPr>
          <w:b/>
          <w:spacing w:val="-4"/>
          <w:sz w:val="24"/>
        </w:rPr>
        <w:t> </w:t>
      </w:r>
      <w:r>
        <w:rPr>
          <w:b/>
          <w:sz w:val="24"/>
        </w:rPr>
        <w:t>bar</w:t>
      </w:r>
      <w:r>
        <w:rPr>
          <w:b/>
          <w:spacing w:val="-4"/>
          <w:sz w:val="24"/>
        </w:rPr>
        <w:t> </w:t>
      </w:r>
      <w:r>
        <w:rPr>
          <w:b/>
          <w:sz w:val="24"/>
        </w:rPr>
        <w:t>in</w:t>
      </w:r>
      <w:r>
        <w:rPr>
          <w:b/>
          <w:spacing w:val="40"/>
          <w:sz w:val="24"/>
        </w:rPr>
        <w:t> </w:t>
      </w:r>
      <w:r>
        <w:rPr>
          <w:b/>
          <w:sz w:val="24"/>
          <w:u w:val="single"/>
        </w:rPr>
        <w:t>Plate</w:t>
      </w:r>
      <w:r>
        <w:rPr>
          <w:b/>
          <w:spacing w:val="-4"/>
          <w:sz w:val="24"/>
          <w:u w:val="single"/>
        </w:rPr>
        <w:t> </w:t>
      </w:r>
      <w:r>
        <w:rPr>
          <w:b/>
          <w:sz w:val="24"/>
          <w:u w:val="single"/>
        </w:rPr>
        <w:t>II:</w:t>
      </w:r>
      <w:r>
        <w:rPr>
          <w:b/>
          <w:spacing w:val="-4"/>
          <w:sz w:val="24"/>
        </w:rPr>
        <w:t> </w:t>
      </w:r>
      <w:r>
        <w:rPr>
          <w:b/>
          <w:sz w:val="24"/>
        </w:rPr>
        <w:t>Collapsed</w:t>
      </w:r>
      <w:r>
        <w:rPr>
          <w:b/>
          <w:spacing w:val="-3"/>
          <w:sz w:val="24"/>
        </w:rPr>
        <w:t> </w:t>
      </w:r>
      <w:r>
        <w:rPr>
          <w:b/>
          <w:sz w:val="24"/>
        </w:rPr>
        <w:t>yet-to-be</w:t>
      </w:r>
      <w:r>
        <w:rPr>
          <w:b/>
          <w:spacing w:val="-4"/>
          <w:sz w:val="24"/>
        </w:rPr>
        <w:t> </w:t>
      </w:r>
      <w:r>
        <w:rPr>
          <w:b/>
          <w:sz w:val="24"/>
        </w:rPr>
        <w:t>completed</w:t>
      </w:r>
      <w:r>
        <w:rPr>
          <w:b/>
          <w:spacing w:val="-3"/>
          <w:sz w:val="24"/>
        </w:rPr>
        <w:t> </w:t>
      </w:r>
      <w:r>
        <w:rPr>
          <w:b/>
          <w:sz w:val="24"/>
        </w:rPr>
        <w:t>road a raking floor beam</w:t>
        <w:tab/>
      </w:r>
      <w:r>
        <w:rPr>
          <w:b/>
          <w:i/>
          <w:sz w:val="24"/>
        </w:rPr>
        <w:t>(Sources: Researchers</w:t>
      </w:r>
      <w:r>
        <w:rPr>
          <w:b/>
          <w:i/>
          <w:spacing w:val="40"/>
          <w:sz w:val="24"/>
        </w:rPr>
        <w:t> </w:t>
      </w:r>
      <w:r>
        <w:rPr>
          <w:b/>
          <w:i/>
          <w:sz w:val="24"/>
        </w:rPr>
        <w:t>Field Work, 2018)</w:t>
      </w:r>
    </w:p>
    <w:p>
      <w:pPr>
        <w:pStyle w:val="BodyText"/>
        <w:ind w:left="400"/>
        <w:rPr>
          <w:sz w:val="20"/>
        </w:rPr>
      </w:pPr>
      <w:r>
        <w:rPr>
          <w:sz w:val="20"/>
        </w:rPr>
        <w:drawing>
          <wp:inline distT="0" distB="0" distL="0" distR="0">
            <wp:extent cx="5801282" cy="2473833"/>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32" cstate="print"/>
                    <a:stretch>
                      <a:fillRect/>
                    </a:stretch>
                  </pic:blipFill>
                  <pic:spPr>
                    <a:xfrm>
                      <a:off x="0" y="0"/>
                      <a:ext cx="5801282" cy="2473833"/>
                    </a:xfrm>
                    <a:prstGeom prst="rect">
                      <a:avLst/>
                    </a:prstGeom>
                  </pic:spPr>
                </pic:pic>
              </a:graphicData>
            </a:graphic>
          </wp:inline>
        </w:drawing>
      </w:r>
      <w:r>
        <w:rPr>
          <w:sz w:val="20"/>
        </w:rPr>
      </w:r>
    </w:p>
    <w:p>
      <w:pPr>
        <w:pStyle w:val="BodyText"/>
        <w:spacing w:before="207"/>
        <w:rPr>
          <w:b/>
          <w:i/>
        </w:rPr>
      </w:pPr>
    </w:p>
    <w:p>
      <w:pPr>
        <w:tabs>
          <w:tab w:pos="5069" w:val="left" w:leader="none"/>
        </w:tabs>
        <w:spacing w:before="0"/>
        <w:ind w:left="400" w:right="0" w:firstLine="0"/>
        <w:jc w:val="left"/>
        <w:rPr>
          <w:rFonts w:ascii="Calibri"/>
          <w:b/>
          <w:sz w:val="22"/>
        </w:rPr>
      </w:pPr>
      <w:r>
        <w:rPr>
          <w:rFonts w:ascii="Calibri"/>
          <w:b/>
          <w:sz w:val="22"/>
          <w:u w:val="single"/>
        </w:rPr>
        <w:t>Plate</w:t>
      </w:r>
      <w:r>
        <w:rPr>
          <w:rFonts w:ascii="Calibri"/>
          <w:b/>
          <w:spacing w:val="-4"/>
          <w:sz w:val="22"/>
          <w:u w:val="single"/>
        </w:rPr>
        <w:t> </w:t>
      </w:r>
      <w:r>
        <w:rPr>
          <w:rFonts w:ascii="Calibri"/>
          <w:b/>
          <w:sz w:val="22"/>
          <w:u w:val="single"/>
        </w:rPr>
        <w:t>III:</w:t>
      </w:r>
      <w:r>
        <w:rPr>
          <w:rFonts w:ascii="Calibri"/>
          <w:b/>
          <w:spacing w:val="-5"/>
          <w:sz w:val="22"/>
        </w:rPr>
        <w:t> </w:t>
      </w:r>
      <w:r>
        <w:rPr>
          <w:rFonts w:ascii="Calibri"/>
          <w:b/>
          <w:sz w:val="22"/>
        </w:rPr>
        <w:t>Poor</w:t>
      </w:r>
      <w:r>
        <w:rPr>
          <w:rFonts w:ascii="Calibri"/>
          <w:b/>
          <w:spacing w:val="-2"/>
          <w:sz w:val="22"/>
        </w:rPr>
        <w:t> </w:t>
      </w:r>
      <w:r>
        <w:rPr>
          <w:rFonts w:ascii="Calibri"/>
          <w:b/>
          <w:sz w:val="22"/>
        </w:rPr>
        <w:t>forms</w:t>
      </w:r>
      <w:r>
        <w:rPr>
          <w:rFonts w:ascii="Calibri"/>
          <w:b/>
          <w:spacing w:val="-1"/>
          <w:sz w:val="22"/>
        </w:rPr>
        <w:t> </w:t>
      </w:r>
      <w:r>
        <w:rPr>
          <w:rFonts w:ascii="Calibri"/>
          <w:b/>
          <w:sz w:val="22"/>
        </w:rPr>
        <w:t>and</w:t>
      </w:r>
      <w:r>
        <w:rPr>
          <w:rFonts w:ascii="Calibri"/>
          <w:b/>
          <w:spacing w:val="-3"/>
          <w:sz w:val="22"/>
        </w:rPr>
        <w:t> </w:t>
      </w:r>
      <w:r>
        <w:rPr>
          <w:rFonts w:ascii="Calibri"/>
          <w:b/>
          <w:spacing w:val="-2"/>
          <w:sz w:val="22"/>
        </w:rPr>
        <w:t>casting</w:t>
      </w:r>
      <w:r>
        <w:rPr>
          <w:rFonts w:ascii="Calibri"/>
          <w:b/>
          <w:sz w:val="22"/>
        </w:rPr>
        <w:tab/>
      </w:r>
      <w:r>
        <w:rPr>
          <w:rFonts w:ascii="Calibri"/>
          <w:b/>
          <w:sz w:val="22"/>
          <w:u w:val="single"/>
        </w:rPr>
        <w:t>Plate</w:t>
      </w:r>
      <w:r>
        <w:rPr>
          <w:rFonts w:ascii="Calibri"/>
          <w:b/>
          <w:spacing w:val="-6"/>
          <w:sz w:val="22"/>
          <w:u w:val="single"/>
        </w:rPr>
        <w:t> </w:t>
      </w:r>
      <w:r>
        <w:rPr>
          <w:rFonts w:ascii="Calibri"/>
          <w:b/>
          <w:sz w:val="22"/>
          <w:u w:val="single"/>
        </w:rPr>
        <w:t>IV:</w:t>
      </w:r>
      <w:r>
        <w:rPr>
          <w:rFonts w:ascii="Calibri"/>
          <w:b/>
          <w:spacing w:val="-4"/>
          <w:sz w:val="22"/>
        </w:rPr>
        <w:t> </w:t>
      </w:r>
      <w:r>
        <w:rPr>
          <w:rFonts w:ascii="Calibri"/>
          <w:b/>
          <w:sz w:val="22"/>
        </w:rPr>
        <w:t>An</w:t>
      </w:r>
      <w:r>
        <w:rPr>
          <w:rFonts w:ascii="Calibri"/>
          <w:b/>
          <w:spacing w:val="-5"/>
          <w:sz w:val="22"/>
        </w:rPr>
        <w:t> </w:t>
      </w:r>
      <w:r>
        <w:rPr>
          <w:rFonts w:ascii="Calibri"/>
          <w:b/>
          <w:sz w:val="22"/>
        </w:rPr>
        <w:t>Exposed</w:t>
      </w:r>
      <w:r>
        <w:rPr>
          <w:rFonts w:ascii="Calibri"/>
          <w:b/>
          <w:spacing w:val="-4"/>
          <w:sz w:val="22"/>
        </w:rPr>
        <w:t> </w:t>
      </w:r>
      <w:r>
        <w:rPr>
          <w:rFonts w:ascii="Calibri"/>
          <w:b/>
          <w:sz w:val="22"/>
        </w:rPr>
        <w:t>Electrical</w:t>
      </w:r>
      <w:r>
        <w:rPr>
          <w:rFonts w:ascii="Calibri"/>
          <w:b/>
          <w:spacing w:val="-3"/>
          <w:sz w:val="22"/>
        </w:rPr>
        <w:t> </w:t>
      </w:r>
      <w:r>
        <w:rPr>
          <w:rFonts w:ascii="Calibri"/>
          <w:b/>
          <w:spacing w:val="-4"/>
          <w:sz w:val="22"/>
        </w:rPr>
        <w:t>Pipe</w:t>
      </w:r>
    </w:p>
    <w:p>
      <w:pPr>
        <w:pStyle w:val="Heading3"/>
        <w:spacing w:before="241"/>
        <w:ind w:left="2560" w:firstLine="0"/>
        <w:jc w:val="left"/>
        <w:rPr>
          <w:rFonts w:ascii="Calibri"/>
        </w:rPr>
      </w:pPr>
      <w:r>
        <w:rPr>
          <w:rFonts w:ascii="Calibri"/>
        </w:rPr>
        <w:t>(Sources:</w:t>
      </w:r>
      <w:r>
        <w:rPr>
          <w:rFonts w:ascii="Calibri"/>
          <w:spacing w:val="-3"/>
        </w:rPr>
        <w:t> </w:t>
      </w:r>
      <w:r>
        <w:rPr>
          <w:rFonts w:ascii="Calibri"/>
        </w:rPr>
        <w:t>Researchers</w:t>
      </w:r>
      <w:r>
        <w:rPr>
          <w:rFonts w:ascii="Calibri"/>
          <w:spacing w:val="-5"/>
        </w:rPr>
        <w:t> </w:t>
      </w:r>
      <w:r>
        <w:rPr>
          <w:rFonts w:ascii="Calibri"/>
        </w:rPr>
        <w:t>Field</w:t>
      </w:r>
      <w:r>
        <w:rPr>
          <w:rFonts w:ascii="Calibri"/>
          <w:spacing w:val="-3"/>
        </w:rPr>
        <w:t> </w:t>
      </w:r>
      <w:r>
        <w:rPr>
          <w:rFonts w:ascii="Calibri"/>
        </w:rPr>
        <w:t>Work,</w:t>
      </w:r>
      <w:r>
        <w:rPr>
          <w:rFonts w:ascii="Calibri"/>
          <w:spacing w:val="-2"/>
        </w:rPr>
        <w:t> 2018)</w:t>
      </w:r>
    </w:p>
    <w:p>
      <w:pPr>
        <w:spacing w:after="0"/>
        <w:jc w:val="left"/>
        <w:rPr>
          <w:rFonts w:ascii="Calibri"/>
        </w:rPr>
        <w:sectPr>
          <w:pgSz w:w="12240" w:h="15840"/>
          <w:pgMar w:header="0" w:footer="1017" w:top="1440" w:bottom="1200" w:left="1040" w:right="120"/>
        </w:sectPr>
      </w:pPr>
    </w:p>
    <w:p>
      <w:pPr>
        <w:pStyle w:val="BodyText"/>
        <w:ind w:left="1120"/>
        <w:rPr>
          <w:rFonts w:ascii="Calibri"/>
          <w:sz w:val="20"/>
        </w:rPr>
      </w:pPr>
      <w:r>
        <w:rPr>
          <w:rFonts w:ascii="Calibri"/>
          <w:sz w:val="20"/>
        </w:rPr>
        <mc:AlternateContent>
          <mc:Choice Requires="wps">
            <w:drawing>
              <wp:inline distT="0" distB="0" distL="0" distR="0">
                <wp:extent cx="5431790" cy="2875915"/>
                <wp:effectExtent l="0" t="0" r="0" b="635"/>
                <wp:docPr id="294" name="Group 294"/>
                <wp:cNvGraphicFramePr>
                  <a:graphicFrameLocks/>
                </wp:cNvGraphicFramePr>
                <a:graphic>
                  <a:graphicData uri="http://schemas.microsoft.com/office/word/2010/wordprocessingGroup">
                    <wpg:wgp>
                      <wpg:cNvPr id="294" name="Group 294"/>
                      <wpg:cNvGrpSpPr/>
                      <wpg:grpSpPr>
                        <a:xfrm>
                          <a:off x="0" y="0"/>
                          <a:ext cx="5431790" cy="2875915"/>
                          <a:chExt cx="5431790" cy="2875915"/>
                        </a:xfrm>
                      </wpg:grpSpPr>
                      <pic:pic>
                        <pic:nvPicPr>
                          <pic:cNvPr id="295" name="Image 295" descr="C:\Users\Mrs Alintah Uchechi\Desktop\thesis pictures\2018-08-07 11.32.35.jpg"/>
                          <pic:cNvPicPr/>
                        </pic:nvPicPr>
                        <pic:blipFill>
                          <a:blip r:embed="rId33" cstate="print"/>
                          <a:stretch>
                            <a:fillRect/>
                          </a:stretch>
                        </pic:blipFill>
                        <pic:spPr>
                          <a:xfrm>
                            <a:off x="0" y="0"/>
                            <a:ext cx="2892412" cy="2875913"/>
                          </a:xfrm>
                          <a:prstGeom prst="rect">
                            <a:avLst/>
                          </a:prstGeom>
                        </pic:spPr>
                      </pic:pic>
                      <pic:pic>
                        <pic:nvPicPr>
                          <pic:cNvPr id="296" name="Image 296" descr="C:\Users\Mrs Alintah Uchechi\Desktop\thesis pictures\2018-08-07 11.42.11.jpg"/>
                          <pic:cNvPicPr/>
                        </pic:nvPicPr>
                        <pic:blipFill>
                          <a:blip r:embed="rId34" cstate="print"/>
                          <a:stretch>
                            <a:fillRect/>
                          </a:stretch>
                        </pic:blipFill>
                        <pic:spPr>
                          <a:xfrm>
                            <a:off x="2892423" y="27305"/>
                            <a:ext cx="2539353" cy="2848608"/>
                          </a:xfrm>
                          <a:prstGeom prst="rect">
                            <a:avLst/>
                          </a:prstGeom>
                        </pic:spPr>
                      </pic:pic>
                    </wpg:wgp>
                  </a:graphicData>
                </a:graphic>
              </wp:inline>
            </w:drawing>
          </mc:Choice>
          <mc:Fallback>
            <w:pict>
              <v:group style="width:427.7pt;height:226.45pt;mso-position-horizontal-relative:char;mso-position-vertical-relative:line" id="docshapegroup235" coordorigin="0,0" coordsize="8554,4529">
                <v:shape style="position:absolute;left:0;top:0;width:4555;height:4529" type="#_x0000_t75" id="docshape236" alt="C:\Users\Mrs Alintah Uchechi\Desktop\thesis pictures\2018-08-07 11.32.35.jpg" stroked="false">
                  <v:imagedata r:id="rId33" o:title=""/>
                </v:shape>
                <v:shape style="position:absolute;left:4555;top:43;width:3999;height:4486" type="#_x0000_t75" id="docshape237" alt="C:\Users\Mrs Alintah Uchechi\Desktop\thesis pictures\2018-08-07 11.42.11.jpg" stroked="false">
                  <v:imagedata r:id="rId34" o:title=""/>
                </v:shape>
              </v:group>
            </w:pict>
          </mc:Fallback>
        </mc:AlternateContent>
      </w:r>
      <w:r>
        <w:rPr>
          <w:rFonts w:ascii="Calibri"/>
          <w:sz w:val="20"/>
        </w:rPr>
      </w:r>
    </w:p>
    <w:p>
      <w:pPr>
        <w:pStyle w:val="BodyText"/>
        <w:spacing w:before="186"/>
        <w:rPr>
          <w:rFonts w:ascii="Calibri"/>
          <w:b/>
          <w:i/>
          <w:sz w:val="22"/>
        </w:rPr>
      </w:pPr>
    </w:p>
    <w:p>
      <w:pPr>
        <w:tabs>
          <w:tab w:pos="5294" w:val="left" w:leader="none"/>
        </w:tabs>
        <w:spacing w:before="0"/>
        <w:ind w:left="0" w:right="1835" w:firstLine="0"/>
        <w:jc w:val="center"/>
        <w:rPr>
          <w:rFonts w:ascii="Calibri"/>
          <w:b/>
          <w:sz w:val="22"/>
        </w:rPr>
      </w:pPr>
      <w:r>
        <w:rPr>
          <w:rFonts w:ascii="Calibri"/>
          <w:b/>
          <w:sz w:val="22"/>
          <w:u w:val="single"/>
        </w:rPr>
        <w:t>Plate</w:t>
      </w:r>
      <w:r>
        <w:rPr>
          <w:rFonts w:ascii="Calibri"/>
          <w:b/>
          <w:spacing w:val="-4"/>
          <w:sz w:val="22"/>
          <w:u w:val="single"/>
        </w:rPr>
        <w:t> </w:t>
      </w:r>
      <w:r>
        <w:rPr>
          <w:rFonts w:ascii="Calibri"/>
          <w:b/>
          <w:sz w:val="22"/>
          <w:u w:val="single"/>
        </w:rPr>
        <w:t>V:</w:t>
      </w:r>
      <w:r>
        <w:rPr>
          <w:rFonts w:ascii="Calibri"/>
          <w:b/>
          <w:spacing w:val="-3"/>
          <w:sz w:val="22"/>
        </w:rPr>
        <w:t> </w:t>
      </w:r>
      <w:r>
        <w:rPr>
          <w:rFonts w:ascii="Calibri"/>
          <w:b/>
          <w:sz w:val="22"/>
        </w:rPr>
        <w:t>Major</w:t>
      </w:r>
      <w:r>
        <w:rPr>
          <w:rFonts w:ascii="Calibri"/>
          <w:b/>
          <w:spacing w:val="-4"/>
          <w:sz w:val="22"/>
        </w:rPr>
        <w:t> </w:t>
      </w:r>
      <w:r>
        <w:rPr>
          <w:rFonts w:ascii="Calibri"/>
          <w:b/>
          <w:sz w:val="22"/>
        </w:rPr>
        <w:t>crack</w:t>
      </w:r>
      <w:r>
        <w:rPr>
          <w:rFonts w:ascii="Calibri"/>
          <w:b/>
          <w:spacing w:val="-2"/>
          <w:sz w:val="22"/>
        </w:rPr>
        <w:t> </w:t>
      </w:r>
      <w:r>
        <w:rPr>
          <w:rFonts w:ascii="Calibri"/>
          <w:b/>
          <w:sz w:val="22"/>
        </w:rPr>
        <w:t>in</w:t>
      </w:r>
      <w:r>
        <w:rPr>
          <w:rFonts w:ascii="Calibri"/>
          <w:b/>
          <w:spacing w:val="-3"/>
          <w:sz w:val="22"/>
        </w:rPr>
        <w:t> </w:t>
      </w:r>
      <w:r>
        <w:rPr>
          <w:rFonts w:ascii="Calibri"/>
          <w:b/>
          <w:sz w:val="22"/>
        </w:rPr>
        <w:t>a</w:t>
      </w:r>
      <w:r>
        <w:rPr>
          <w:rFonts w:ascii="Calibri"/>
          <w:b/>
          <w:spacing w:val="-5"/>
          <w:sz w:val="22"/>
        </w:rPr>
        <w:t> </w:t>
      </w:r>
      <w:r>
        <w:rPr>
          <w:rFonts w:ascii="Calibri"/>
          <w:b/>
          <w:sz w:val="22"/>
        </w:rPr>
        <w:t>column</w:t>
      </w:r>
      <w:r>
        <w:rPr>
          <w:rFonts w:ascii="Calibri"/>
          <w:b/>
          <w:spacing w:val="-3"/>
          <w:sz w:val="22"/>
        </w:rPr>
        <w:t> </w:t>
      </w:r>
      <w:r>
        <w:rPr>
          <w:rFonts w:ascii="Calibri"/>
          <w:b/>
          <w:sz w:val="22"/>
        </w:rPr>
        <w:t>of</w:t>
      </w:r>
      <w:r>
        <w:rPr>
          <w:rFonts w:ascii="Calibri"/>
          <w:b/>
          <w:spacing w:val="-2"/>
          <w:sz w:val="22"/>
        </w:rPr>
        <w:t> </w:t>
      </w:r>
      <w:r>
        <w:rPr>
          <w:rFonts w:ascii="Calibri"/>
          <w:b/>
          <w:sz w:val="22"/>
        </w:rPr>
        <w:t>an</w:t>
      </w:r>
      <w:r>
        <w:rPr>
          <w:rFonts w:ascii="Calibri"/>
          <w:b/>
          <w:spacing w:val="-3"/>
          <w:sz w:val="22"/>
        </w:rPr>
        <w:t> </w:t>
      </w:r>
      <w:r>
        <w:rPr>
          <w:rFonts w:ascii="Calibri"/>
          <w:b/>
          <w:sz w:val="22"/>
        </w:rPr>
        <w:t>ongoing</w:t>
      </w:r>
      <w:r>
        <w:rPr>
          <w:rFonts w:ascii="Calibri"/>
          <w:b/>
          <w:spacing w:val="-1"/>
          <w:sz w:val="22"/>
        </w:rPr>
        <w:t> </w:t>
      </w:r>
      <w:r>
        <w:rPr>
          <w:rFonts w:ascii="Calibri"/>
          <w:b/>
          <w:spacing w:val="-2"/>
          <w:sz w:val="22"/>
        </w:rPr>
        <w:t>project</w:t>
      </w:r>
      <w:r>
        <w:rPr>
          <w:rFonts w:ascii="Calibri"/>
          <w:b/>
          <w:sz w:val="22"/>
        </w:rPr>
        <w:tab/>
      </w:r>
      <w:r>
        <w:rPr>
          <w:rFonts w:ascii="Calibri"/>
          <w:b/>
          <w:sz w:val="22"/>
          <w:u w:val="single"/>
        </w:rPr>
        <w:t>Plate</w:t>
      </w:r>
      <w:r>
        <w:rPr>
          <w:rFonts w:ascii="Calibri"/>
          <w:b/>
          <w:spacing w:val="-6"/>
          <w:sz w:val="22"/>
          <w:u w:val="single"/>
        </w:rPr>
        <w:t> </w:t>
      </w:r>
      <w:r>
        <w:rPr>
          <w:rFonts w:ascii="Calibri"/>
          <w:b/>
          <w:sz w:val="22"/>
          <w:u w:val="single"/>
        </w:rPr>
        <w:t>VI:</w:t>
      </w:r>
      <w:r>
        <w:rPr>
          <w:rFonts w:ascii="Calibri"/>
          <w:b/>
          <w:spacing w:val="-3"/>
          <w:sz w:val="22"/>
        </w:rPr>
        <w:t> </w:t>
      </w:r>
      <w:r>
        <w:rPr>
          <w:rFonts w:ascii="Calibri"/>
          <w:b/>
          <w:sz w:val="22"/>
        </w:rPr>
        <w:t>Poor</w:t>
      </w:r>
      <w:r>
        <w:rPr>
          <w:rFonts w:ascii="Calibri"/>
          <w:b/>
          <w:spacing w:val="-4"/>
          <w:sz w:val="22"/>
        </w:rPr>
        <w:t> </w:t>
      </w:r>
      <w:r>
        <w:rPr>
          <w:rFonts w:ascii="Calibri"/>
          <w:b/>
          <w:sz w:val="22"/>
        </w:rPr>
        <w:t>casting</w:t>
      </w:r>
      <w:r>
        <w:rPr>
          <w:rFonts w:ascii="Calibri"/>
          <w:b/>
          <w:spacing w:val="-3"/>
          <w:sz w:val="22"/>
        </w:rPr>
        <w:t> </w:t>
      </w:r>
      <w:r>
        <w:rPr>
          <w:rFonts w:ascii="Calibri"/>
          <w:b/>
          <w:sz w:val="22"/>
        </w:rPr>
        <w:t>and</w:t>
      </w:r>
      <w:r>
        <w:rPr>
          <w:rFonts w:ascii="Calibri"/>
          <w:b/>
          <w:spacing w:val="-3"/>
          <w:sz w:val="22"/>
        </w:rPr>
        <w:t> </w:t>
      </w:r>
      <w:r>
        <w:rPr>
          <w:rFonts w:ascii="Calibri"/>
          <w:b/>
          <w:spacing w:val="-2"/>
          <w:sz w:val="22"/>
        </w:rPr>
        <w:t>exposed</w:t>
      </w:r>
    </w:p>
    <w:p>
      <w:pPr>
        <w:spacing w:before="43"/>
        <w:ind w:left="3458" w:right="1835" w:firstLine="0"/>
        <w:jc w:val="center"/>
        <w:rPr>
          <w:rFonts w:ascii="Calibri"/>
          <w:b/>
          <w:sz w:val="22"/>
        </w:rPr>
      </w:pPr>
      <w:r>
        <w:rPr>
          <w:rFonts w:ascii="Calibri"/>
          <w:b/>
          <w:spacing w:val="-2"/>
          <w:sz w:val="22"/>
        </w:rPr>
        <w:t>reinforcement</w:t>
      </w:r>
    </w:p>
    <w:p>
      <w:pPr>
        <w:spacing w:before="241"/>
        <w:ind w:left="2560" w:right="0" w:firstLine="0"/>
        <w:jc w:val="left"/>
        <w:rPr>
          <w:rFonts w:ascii="Calibri"/>
          <w:b/>
          <w:i/>
          <w:sz w:val="22"/>
        </w:rPr>
      </w:pPr>
      <w:r>
        <w:rPr>
          <w:rFonts w:ascii="Calibri"/>
          <w:b/>
          <w:i/>
          <w:sz w:val="22"/>
        </w:rPr>
        <w:t>(Sources:</w:t>
      </w:r>
      <w:r>
        <w:rPr>
          <w:rFonts w:ascii="Calibri"/>
          <w:b/>
          <w:i/>
          <w:spacing w:val="-6"/>
          <w:sz w:val="22"/>
        </w:rPr>
        <w:t> </w:t>
      </w:r>
      <w:r>
        <w:rPr>
          <w:rFonts w:ascii="Calibri"/>
          <w:b/>
          <w:i/>
          <w:sz w:val="22"/>
        </w:rPr>
        <w:t>Researchers</w:t>
      </w:r>
      <w:r>
        <w:rPr>
          <w:rFonts w:ascii="Calibri"/>
          <w:b/>
          <w:i/>
          <w:spacing w:val="-5"/>
          <w:sz w:val="22"/>
        </w:rPr>
        <w:t> </w:t>
      </w:r>
      <w:r>
        <w:rPr>
          <w:rFonts w:ascii="Calibri"/>
          <w:b/>
          <w:i/>
          <w:sz w:val="22"/>
        </w:rPr>
        <w:t>Field</w:t>
      </w:r>
      <w:r>
        <w:rPr>
          <w:rFonts w:ascii="Calibri"/>
          <w:b/>
          <w:i/>
          <w:spacing w:val="-4"/>
          <w:sz w:val="22"/>
        </w:rPr>
        <w:t> </w:t>
      </w:r>
      <w:r>
        <w:rPr>
          <w:rFonts w:ascii="Calibri"/>
          <w:b/>
          <w:i/>
          <w:sz w:val="22"/>
        </w:rPr>
        <w:t>Work,</w:t>
      </w:r>
      <w:r>
        <w:rPr>
          <w:rFonts w:ascii="Calibri"/>
          <w:b/>
          <w:i/>
          <w:spacing w:val="-4"/>
          <w:sz w:val="22"/>
        </w:rPr>
        <w:t> 2018)</w:t>
      </w:r>
    </w:p>
    <w:p>
      <w:pPr>
        <w:pStyle w:val="BodyText"/>
        <w:spacing w:before="6"/>
        <w:rPr>
          <w:rFonts w:ascii="Calibri"/>
          <w:b/>
          <w:i/>
          <w:sz w:val="17"/>
        </w:rPr>
      </w:pPr>
      <w:r>
        <w:rPr/>
        <mc:AlternateContent>
          <mc:Choice Requires="wps">
            <w:drawing>
              <wp:anchor distT="0" distB="0" distL="0" distR="0" allowOverlap="1" layoutInCell="1" locked="0" behindDoc="1" simplePos="0" relativeHeight="487617024">
                <wp:simplePos x="0" y="0"/>
                <wp:positionH relativeFrom="page">
                  <wp:posOffset>914399</wp:posOffset>
                </wp:positionH>
                <wp:positionV relativeFrom="paragraph">
                  <wp:posOffset>151372</wp:posOffset>
                </wp:positionV>
                <wp:extent cx="5881370" cy="3302635"/>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5881370" cy="3302635"/>
                          <a:chExt cx="5881370" cy="3302635"/>
                        </a:xfrm>
                      </wpg:grpSpPr>
                      <pic:pic>
                        <pic:nvPicPr>
                          <pic:cNvPr id="298" name="Image 298"/>
                          <pic:cNvPicPr/>
                        </pic:nvPicPr>
                        <pic:blipFill>
                          <a:blip r:embed="rId35" cstate="print"/>
                          <a:stretch>
                            <a:fillRect/>
                          </a:stretch>
                        </pic:blipFill>
                        <pic:spPr>
                          <a:xfrm>
                            <a:off x="0" y="0"/>
                            <a:ext cx="3080016" cy="3302508"/>
                          </a:xfrm>
                          <a:prstGeom prst="rect">
                            <a:avLst/>
                          </a:prstGeom>
                        </pic:spPr>
                      </pic:pic>
                      <pic:pic>
                        <pic:nvPicPr>
                          <pic:cNvPr id="299" name="Image 299" descr="C:\Users\Mrs Alintah Uchechi\Desktop\thesis pictures\2018-08-07 11.35.13.jpg"/>
                          <pic:cNvPicPr/>
                        </pic:nvPicPr>
                        <pic:blipFill>
                          <a:blip r:embed="rId36" cstate="print"/>
                          <a:stretch>
                            <a:fillRect/>
                          </a:stretch>
                        </pic:blipFill>
                        <pic:spPr>
                          <a:xfrm>
                            <a:off x="3079749" y="15493"/>
                            <a:ext cx="2801618" cy="3286758"/>
                          </a:xfrm>
                          <a:prstGeom prst="rect">
                            <a:avLst/>
                          </a:prstGeom>
                        </pic:spPr>
                      </pic:pic>
                    </wpg:wgp>
                  </a:graphicData>
                </a:graphic>
              </wp:anchor>
            </w:drawing>
          </mc:Choice>
          <mc:Fallback>
            <w:pict>
              <v:group style="position:absolute;margin-left:71.999985pt;margin-top:11.919063pt;width:463.1pt;height:260.05pt;mso-position-horizontal-relative:page;mso-position-vertical-relative:paragraph;z-index:-15699456;mso-wrap-distance-left:0;mso-wrap-distance-right:0" id="docshapegroup238" coordorigin="1440,238" coordsize="9262,5201">
                <v:shape style="position:absolute;left:1440;top:238;width:4851;height:5201" type="#_x0000_t75" id="docshape239" stroked="false">
                  <v:imagedata r:id="rId35" o:title=""/>
                </v:shape>
                <v:shape style="position:absolute;left:6290;top:262;width:4412;height:5176" type="#_x0000_t75" id="docshape240" alt="C:\Users\Mrs Alintah Uchechi\Desktop\thesis pictures\2018-08-07 11.35.13.jpg" stroked="false">
                  <v:imagedata r:id="rId36" o:title=""/>
                </v:shape>
                <w10:wrap type="topAndBottom"/>
              </v:group>
            </w:pict>
          </mc:Fallback>
        </mc:AlternateContent>
      </w:r>
    </w:p>
    <w:p>
      <w:pPr>
        <w:spacing w:before="213"/>
        <w:ind w:left="400" w:right="0" w:firstLine="0"/>
        <w:jc w:val="left"/>
        <w:rPr>
          <w:rFonts w:ascii="Calibri"/>
          <w:b/>
          <w:sz w:val="20"/>
        </w:rPr>
      </w:pPr>
      <w:r>
        <w:rPr>
          <w:rFonts w:ascii="Calibri"/>
          <w:b/>
          <w:sz w:val="22"/>
          <w:u w:val="single"/>
        </w:rPr>
        <w:t>Plate</w:t>
      </w:r>
      <w:r>
        <w:rPr>
          <w:rFonts w:ascii="Calibri"/>
          <w:b/>
          <w:spacing w:val="-6"/>
          <w:sz w:val="22"/>
          <w:u w:val="single"/>
        </w:rPr>
        <w:t> </w:t>
      </w:r>
      <w:r>
        <w:rPr>
          <w:rFonts w:ascii="Calibri"/>
          <w:b/>
          <w:sz w:val="22"/>
          <w:u w:val="single"/>
        </w:rPr>
        <w:t>VII</w:t>
      </w:r>
      <w:r>
        <w:rPr>
          <w:rFonts w:ascii="Calibri"/>
          <w:b/>
          <w:sz w:val="20"/>
          <w:u w:val="single"/>
        </w:rPr>
        <w:t>:</w:t>
      </w:r>
      <w:r>
        <w:rPr>
          <w:rFonts w:ascii="Calibri"/>
          <w:b/>
          <w:spacing w:val="-5"/>
          <w:sz w:val="20"/>
        </w:rPr>
        <w:t> </w:t>
      </w:r>
      <w:r>
        <w:rPr>
          <w:rFonts w:ascii="Calibri"/>
          <w:b/>
          <w:sz w:val="20"/>
        </w:rPr>
        <w:t>Major</w:t>
      </w:r>
      <w:r>
        <w:rPr>
          <w:rFonts w:ascii="Calibri"/>
          <w:b/>
          <w:spacing w:val="-4"/>
          <w:sz w:val="20"/>
        </w:rPr>
        <w:t> </w:t>
      </w:r>
      <w:r>
        <w:rPr>
          <w:rFonts w:ascii="Calibri"/>
          <w:b/>
          <w:sz w:val="20"/>
        </w:rPr>
        <w:t>crack</w:t>
      </w:r>
      <w:r>
        <w:rPr>
          <w:rFonts w:ascii="Calibri"/>
          <w:b/>
          <w:spacing w:val="-4"/>
          <w:sz w:val="20"/>
        </w:rPr>
        <w:t> </w:t>
      </w:r>
      <w:r>
        <w:rPr>
          <w:rFonts w:ascii="Calibri"/>
          <w:b/>
          <w:sz w:val="20"/>
        </w:rPr>
        <w:t>in</w:t>
      </w:r>
      <w:r>
        <w:rPr>
          <w:rFonts w:ascii="Calibri"/>
          <w:b/>
          <w:spacing w:val="-4"/>
          <w:sz w:val="20"/>
        </w:rPr>
        <w:t> </w:t>
      </w:r>
      <w:r>
        <w:rPr>
          <w:rFonts w:ascii="Calibri"/>
          <w:b/>
          <w:sz w:val="20"/>
        </w:rPr>
        <w:t>a</w:t>
      </w:r>
      <w:r>
        <w:rPr>
          <w:rFonts w:ascii="Calibri"/>
          <w:b/>
          <w:spacing w:val="-5"/>
          <w:sz w:val="20"/>
        </w:rPr>
        <w:t> </w:t>
      </w:r>
      <w:r>
        <w:rPr>
          <w:rFonts w:ascii="Calibri"/>
          <w:b/>
          <w:sz w:val="20"/>
        </w:rPr>
        <w:t>column</w:t>
      </w:r>
      <w:r>
        <w:rPr>
          <w:rFonts w:ascii="Calibri"/>
          <w:b/>
          <w:spacing w:val="-3"/>
          <w:sz w:val="20"/>
        </w:rPr>
        <w:t> </w:t>
      </w:r>
      <w:r>
        <w:rPr>
          <w:rFonts w:ascii="Calibri"/>
          <w:b/>
          <w:sz w:val="20"/>
        </w:rPr>
        <w:t>of</w:t>
      </w:r>
      <w:r>
        <w:rPr>
          <w:rFonts w:ascii="Calibri"/>
          <w:b/>
          <w:spacing w:val="-6"/>
          <w:sz w:val="20"/>
        </w:rPr>
        <w:t> </w:t>
      </w:r>
      <w:r>
        <w:rPr>
          <w:rFonts w:ascii="Calibri"/>
          <w:b/>
          <w:sz w:val="20"/>
        </w:rPr>
        <w:t>an</w:t>
      </w:r>
      <w:r>
        <w:rPr>
          <w:rFonts w:ascii="Calibri"/>
          <w:b/>
          <w:spacing w:val="-3"/>
          <w:sz w:val="20"/>
        </w:rPr>
        <w:t> </w:t>
      </w:r>
      <w:r>
        <w:rPr>
          <w:rFonts w:ascii="Calibri"/>
          <w:b/>
          <w:sz w:val="20"/>
        </w:rPr>
        <w:t>ongoing</w:t>
      </w:r>
      <w:r>
        <w:rPr>
          <w:rFonts w:ascii="Calibri"/>
          <w:b/>
          <w:spacing w:val="-6"/>
          <w:sz w:val="20"/>
        </w:rPr>
        <w:t> </w:t>
      </w:r>
      <w:r>
        <w:rPr>
          <w:rFonts w:ascii="Calibri"/>
          <w:b/>
          <w:sz w:val="20"/>
        </w:rPr>
        <w:t>project</w:t>
      </w:r>
      <w:r>
        <w:rPr>
          <w:rFonts w:ascii="Calibri"/>
          <w:b/>
          <w:spacing w:val="-2"/>
          <w:sz w:val="20"/>
        </w:rPr>
        <w:t> </w:t>
      </w:r>
      <w:r>
        <w:rPr>
          <w:rFonts w:ascii="Calibri"/>
          <w:b/>
          <w:sz w:val="22"/>
          <w:u w:val="single"/>
        </w:rPr>
        <w:t>PlateVIII</w:t>
      </w:r>
      <w:r>
        <w:rPr>
          <w:rFonts w:ascii="Calibri"/>
          <w:b/>
          <w:sz w:val="20"/>
          <w:u w:val="single"/>
        </w:rPr>
        <w:t>:</w:t>
      </w:r>
      <w:r>
        <w:rPr>
          <w:rFonts w:ascii="Calibri"/>
          <w:b/>
          <w:spacing w:val="-4"/>
          <w:sz w:val="20"/>
        </w:rPr>
        <w:t> </w:t>
      </w:r>
      <w:r>
        <w:rPr>
          <w:rFonts w:ascii="Calibri"/>
          <w:b/>
          <w:sz w:val="20"/>
        </w:rPr>
        <w:t>Poor</w:t>
      </w:r>
      <w:r>
        <w:rPr>
          <w:rFonts w:ascii="Calibri"/>
          <w:b/>
          <w:spacing w:val="-6"/>
          <w:sz w:val="20"/>
        </w:rPr>
        <w:t> </w:t>
      </w:r>
      <w:r>
        <w:rPr>
          <w:rFonts w:ascii="Calibri"/>
          <w:b/>
          <w:sz w:val="20"/>
        </w:rPr>
        <w:t>concrete</w:t>
      </w:r>
      <w:r>
        <w:rPr>
          <w:rFonts w:ascii="Calibri"/>
          <w:b/>
          <w:spacing w:val="-4"/>
          <w:sz w:val="20"/>
        </w:rPr>
        <w:t> </w:t>
      </w:r>
      <w:r>
        <w:rPr>
          <w:rFonts w:ascii="Calibri"/>
          <w:b/>
          <w:sz w:val="20"/>
        </w:rPr>
        <w:t>vibration</w:t>
      </w:r>
      <w:r>
        <w:rPr>
          <w:rFonts w:ascii="Calibri"/>
          <w:b/>
          <w:spacing w:val="-4"/>
          <w:sz w:val="20"/>
        </w:rPr>
        <w:t> </w:t>
      </w:r>
      <w:r>
        <w:rPr>
          <w:rFonts w:ascii="Calibri"/>
          <w:b/>
          <w:sz w:val="20"/>
        </w:rPr>
        <w:t>on</w:t>
      </w:r>
      <w:r>
        <w:rPr>
          <w:rFonts w:ascii="Calibri"/>
          <w:b/>
          <w:spacing w:val="-3"/>
          <w:sz w:val="20"/>
        </w:rPr>
        <w:t> </w:t>
      </w:r>
      <w:r>
        <w:rPr>
          <w:rFonts w:ascii="Calibri"/>
          <w:b/>
          <w:sz w:val="20"/>
        </w:rPr>
        <w:t>raking</w:t>
      </w:r>
      <w:r>
        <w:rPr>
          <w:rFonts w:ascii="Calibri"/>
          <w:b/>
          <w:spacing w:val="-5"/>
          <w:sz w:val="20"/>
        </w:rPr>
        <w:t> </w:t>
      </w:r>
      <w:r>
        <w:rPr>
          <w:rFonts w:ascii="Calibri"/>
          <w:b/>
          <w:sz w:val="20"/>
        </w:rPr>
        <w:t>floor</w:t>
      </w:r>
      <w:r>
        <w:rPr>
          <w:rFonts w:ascii="Calibri"/>
          <w:b/>
          <w:spacing w:val="-4"/>
          <w:sz w:val="20"/>
        </w:rPr>
        <w:t> beam</w:t>
      </w:r>
    </w:p>
    <w:p>
      <w:pPr>
        <w:spacing w:before="240"/>
        <w:ind w:left="2560" w:right="0" w:firstLine="0"/>
        <w:jc w:val="left"/>
        <w:rPr>
          <w:b/>
          <w:i/>
          <w:sz w:val="24"/>
        </w:rPr>
      </w:pPr>
      <w:r>
        <w:rPr>
          <w:b/>
          <w:i/>
          <w:sz w:val="24"/>
        </w:rPr>
        <w:t>(Sources:</w:t>
      </w:r>
      <w:r>
        <w:rPr>
          <w:b/>
          <w:i/>
          <w:spacing w:val="-3"/>
          <w:sz w:val="24"/>
        </w:rPr>
        <w:t> </w:t>
      </w:r>
      <w:r>
        <w:rPr>
          <w:b/>
          <w:i/>
          <w:sz w:val="24"/>
        </w:rPr>
        <w:t>Researchers</w:t>
      </w:r>
      <w:r>
        <w:rPr>
          <w:b/>
          <w:i/>
          <w:spacing w:val="-1"/>
          <w:sz w:val="24"/>
        </w:rPr>
        <w:t> </w:t>
      </w:r>
      <w:r>
        <w:rPr>
          <w:b/>
          <w:i/>
          <w:sz w:val="24"/>
        </w:rPr>
        <w:t>Field</w:t>
      </w:r>
      <w:r>
        <w:rPr>
          <w:b/>
          <w:i/>
          <w:spacing w:val="-1"/>
          <w:sz w:val="24"/>
        </w:rPr>
        <w:t> </w:t>
      </w:r>
      <w:r>
        <w:rPr>
          <w:b/>
          <w:i/>
          <w:sz w:val="24"/>
        </w:rPr>
        <w:t>Work,</w:t>
      </w:r>
      <w:r>
        <w:rPr>
          <w:b/>
          <w:i/>
          <w:spacing w:val="-1"/>
          <w:sz w:val="24"/>
        </w:rPr>
        <w:t> </w:t>
      </w:r>
      <w:r>
        <w:rPr>
          <w:b/>
          <w:i/>
          <w:spacing w:val="-2"/>
          <w:sz w:val="24"/>
        </w:rPr>
        <w:t>2018)</w:t>
      </w:r>
    </w:p>
    <w:p>
      <w:pPr>
        <w:spacing w:after="0"/>
        <w:jc w:val="left"/>
        <w:rPr>
          <w:sz w:val="24"/>
        </w:rPr>
        <w:sectPr>
          <w:pgSz w:w="12240" w:h="15840"/>
          <w:pgMar w:header="0" w:footer="1017" w:top="1440" w:bottom="1200" w:left="1040" w:right="120"/>
        </w:sectPr>
      </w:pPr>
    </w:p>
    <w:p>
      <w:pPr>
        <w:pStyle w:val="Heading2"/>
        <w:numPr>
          <w:ilvl w:val="1"/>
          <w:numId w:val="52"/>
        </w:numPr>
        <w:tabs>
          <w:tab w:pos="880" w:val="left" w:leader="none"/>
        </w:tabs>
        <w:spacing w:line="240" w:lineRule="auto" w:before="76" w:after="0"/>
        <w:ind w:left="880" w:right="0" w:hanging="480"/>
        <w:jc w:val="both"/>
      </w:pPr>
      <w:r>
        <w:rPr/>
        <w:t>Model</w:t>
      </w:r>
      <w:r>
        <w:rPr>
          <w:spacing w:val="-2"/>
        </w:rPr>
        <w:t> Development</w:t>
      </w:r>
    </w:p>
    <w:p>
      <w:pPr>
        <w:pStyle w:val="BodyText"/>
        <w:spacing w:before="156"/>
        <w:rPr>
          <w:b/>
        </w:rPr>
      </w:pPr>
    </w:p>
    <w:p>
      <w:pPr>
        <w:pStyle w:val="BodyText"/>
        <w:spacing w:line="480" w:lineRule="auto"/>
        <w:ind w:left="399" w:right="1316" w:firstLine="60"/>
        <w:jc w:val="both"/>
      </w:pPr>
      <w:r>
        <w:rPr/>
        <w:t>A model is a simplified framework that is created to illustrate complex processes. It is a graphical, mathematical (symbolic), physical, or verbal representation or simplified version of a concept, phenomenon, relationship, structure, system, or an aspect of the real world (Muller, 2016). The objectives of a model include (a) to show the interrelationships (direct or indirect)</w:t>
      </w:r>
      <w:r>
        <w:rPr>
          <w:spacing w:val="40"/>
        </w:rPr>
        <w:t> </w:t>
      </w:r>
      <w:r>
        <w:rPr/>
        <w:t>and interrelationship of an action and reaction in terms of a cause and effect, (b) to facilitate understanding by eliminating unnecessary components, (c) to aid in decision making by simulating 'what if' scenarios, (d) to explain, control, and predict events on the basis of past </w:t>
      </w:r>
      <w:r>
        <w:rPr>
          <w:spacing w:val="-2"/>
        </w:rPr>
        <w:t>observations.</w:t>
      </w:r>
    </w:p>
    <w:p>
      <w:pPr>
        <w:pStyle w:val="BodyText"/>
        <w:spacing w:line="480" w:lineRule="auto" w:before="159"/>
        <w:ind w:left="400" w:right="1317"/>
        <w:jc w:val="both"/>
      </w:pPr>
      <w:r>
        <w:rPr/>
        <w:t>Models are divided into three classes on the basis of their degree of abstraction (a) Iconic model: It is the least abstract, physical, 'look-alike' representation of some specific entity, such as a model airplane or train or house. (b) Analogue model: more abstract but having some resemblance to what it represents, such as a chart, graph, map, network diagram.(c) Symbolic model: most-abstract model with no resemblance but only an approximation to what it</w:t>
      </w:r>
      <w:r>
        <w:rPr>
          <w:spacing w:val="40"/>
        </w:rPr>
        <w:t> </w:t>
      </w:r>
      <w:r>
        <w:rPr/>
        <w:t>represents, such as a mathematical equation or formula, financial statement, language, and set of accounts (Stanley, 2017).</w:t>
      </w:r>
      <w:r>
        <w:rPr>
          <w:spacing w:val="40"/>
        </w:rPr>
        <w:t> </w:t>
      </w:r>
      <w:r>
        <w:rPr/>
        <w:t>In the context of this research, the total quality model developed falls into the class of an analogous model.</w:t>
      </w:r>
    </w:p>
    <w:p>
      <w:pPr>
        <w:pStyle w:val="BodyText"/>
        <w:spacing w:before="5"/>
      </w:pPr>
    </w:p>
    <w:p>
      <w:pPr>
        <w:pStyle w:val="Heading2"/>
        <w:numPr>
          <w:ilvl w:val="1"/>
          <w:numId w:val="52"/>
        </w:numPr>
        <w:tabs>
          <w:tab w:pos="894" w:val="left" w:leader="none"/>
        </w:tabs>
        <w:spacing w:line="480" w:lineRule="auto" w:before="0" w:after="0"/>
        <w:ind w:left="400" w:right="1318" w:firstLine="0"/>
        <w:jc w:val="both"/>
      </w:pPr>
      <w:r>
        <w:rPr/>
        <w:t>Basis for the Development of TQM Model for Small and Medium Scale Construction Firms in South-East Nigeria</w:t>
      </w:r>
    </w:p>
    <w:p>
      <w:pPr>
        <w:pStyle w:val="BodyText"/>
        <w:spacing w:line="480" w:lineRule="auto"/>
        <w:ind w:left="400" w:right="1315"/>
        <w:jc w:val="both"/>
      </w:pPr>
      <w:r>
        <w:rPr/>
        <w:t>In this twenty-first century competitive world, construction companies face the challenge of providing quality works to their clients to sustain their competitive advantage. Hence, there</w:t>
      </w:r>
      <w:r>
        <w:rPr>
          <w:spacing w:val="80"/>
        </w:rPr>
        <w:t> </w:t>
      </w:r>
      <w:r>
        <w:rPr/>
        <w:t>is the</w:t>
      </w:r>
      <w:r>
        <w:rPr>
          <w:spacing w:val="69"/>
        </w:rPr>
        <w:t> </w:t>
      </w:r>
      <w:r>
        <w:rPr/>
        <w:t>need</w:t>
      </w:r>
      <w:r>
        <w:rPr>
          <w:spacing w:val="72"/>
        </w:rPr>
        <w:t> </w:t>
      </w:r>
      <w:r>
        <w:rPr/>
        <w:t>for</w:t>
      </w:r>
      <w:r>
        <w:rPr>
          <w:spacing w:val="72"/>
        </w:rPr>
        <w:t> </w:t>
      </w:r>
      <w:r>
        <w:rPr/>
        <w:t>the</w:t>
      </w:r>
      <w:r>
        <w:rPr>
          <w:spacing w:val="69"/>
        </w:rPr>
        <w:t> </w:t>
      </w:r>
      <w:r>
        <w:rPr/>
        <w:t>principles</w:t>
      </w:r>
      <w:r>
        <w:rPr>
          <w:spacing w:val="73"/>
        </w:rPr>
        <w:t> </w:t>
      </w:r>
      <w:r>
        <w:rPr/>
        <w:t>of</w:t>
      </w:r>
      <w:r>
        <w:rPr>
          <w:spacing w:val="71"/>
        </w:rPr>
        <w:t> </w:t>
      </w:r>
      <w:r>
        <w:rPr/>
        <w:t>TQM</w:t>
      </w:r>
      <w:r>
        <w:rPr>
          <w:spacing w:val="71"/>
        </w:rPr>
        <w:t> </w:t>
      </w:r>
      <w:r>
        <w:rPr/>
        <w:t>in</w:t>
      </w:r>
      <w:r>
        <w:rPr>
          <w:spacing w:val="70"/>
        </w:rPr>
        <w:t> </w:t>
      </w:r>
      <w:r>
        <w:rPr/>
        <w:t>small</w:t>
      </w:r>
      <w:r>
        <w:rPr>
          <w:spacing w:val="1"/>
        </w:rPr>
        <w:t> </w:t>
      </w:r>
      <w:r>
        <w:rPr/>
        <w:t>and</w:t>
      </w:r>
      <w:r>
        <w:rPr>
          <w:spacing w:val="6"/>
        </w:rPr>
        <w:t> </w:t>
      </w:r>
      <w:r>
        <w:rPr/>
        <w:t>medium</w:t>
      </w:r>
      <w:r>
        <w:rPr>
          <w:spacing w:val="8"/>
        </w:rPr>
        <w:t> </w:t>
      </w:r>
      <w:r>
        <w:rPr/>
        <w:t>scale</w:t>
      </w:r>
      <w:r>
        <w:rPr>
          <w:spacing w:val="5"/>
        </w:rPr>
        <w:t> </w:t>
      </w:r>
      <w:r>
        <w:rPr/>
        <w:t>construction</w:t>
      </w:r>
      <w:r>
        <w:rPr>
          <w:spacing w:val="6"/>
        </w:rPr>
        <w:t> </w:t>
      </w:r>
      <w:r>
        <w:rPr/>
        <w:t>firms</w:t>
      </w:r>
      <w:r>
        <w:rPr>
          <w:spacing w:val="6"/>
        </w:rPr>
        <w:t> </w:t>
      </w:r>
      <w:r>
        <w:rPr/>
        <w:t>in</w:t>
      </w:r>
      <w:r>
        <w:rPr>
          <w:spacing w:val="4"/>
        </w:rPr>
        <w:t> </w:t>
      </w:r>
      <w:r>
        <w:rPr>
          <w:spacing w:val="-2"/>
        </w:rPr>
        <w:t>South-</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East Nigeria</w:t>
      </w:r>
      <w:r>
        <w:rPr>
          <w:spacing w:val="65"/>
        </w:rPr>
        <w:t> </w:t>
      </w:r>
      <w:r>
        <w:rPr/>
        <w:t>to improve</w:t>
      </w:r>
      <w:r>
        <w:rPr>
          <w:spacing w:val="68"/>
        </w:rPr>
        <w:t> </w:t>
      </w:r>
      <w:r>
        <w:rPr/>
        <w:t>the</w:t>
      </w:r>
      <w:r>
        <w:rPr>
          <w:spacing w:val="65"/>
        </w:rPr>
        <w:t> </w:t>
      </w:r>
      <w:r>
        <w:rPr/>
        <w:t>quality</w:t>
      </w:r>
      <w:r>
        <w:rPr>
          <w:spacing w:val="62"/>
        </w:rPr>
        <w:t> </w:t>
      </w:r>
      <w:r>
        <w:rPr/>
        <w:t>of</w:t>
      </w:r>
      <w:r>
        <w:rPr>
          <w:spacing w:val="65"/>
        </w:rPr>
        <w:t> </w:t>
      </w:r>
      <w:r>
        <w:rPr/>
        <w:t>works.</w:t>
      </w:r>
      <w:r>
        <w:rPr>
          <w:spacing w:val="66"/>
        </w:rPr>
        <w:t> </w:t>
      </w:r>
      <w:r>
        <w:rPr/>
        <w:t>The</w:t>
      </w:r>
      <w:r>
        <w:rPr>
          <w:spacing w:val="65"/>
        </w:rPr>
        <w:t> </w:t>
      </w:r>
      <w:r>
        <w:rPr/>
        <w:t>first</w:t>
      </w:r>
      <w:r>
        <w:rPr>
          <w:spacing w:val="67"/>
        </w:rPr>
        <w:t> </w:t>
      </w:r>
      <w:r>
        <w:rPr/>
        <w:t>step</w:t>
      </w:r>
      <w:r>
        <w:rPr>
          <w:spacing w:val="66"/>
        </w:rPr>
        <w:t> </w:t>
      </w:r>
      <w:r>
        <w:rPr/>
        <w:t>towards</w:t>
      </w:r>
      <w:r>
        <w:rPr>
          <w:spacing w:val="69"/>
        </w:rPr>
        <w:t> </w:t>
      </w:r>
      <w:r>
        <w:rPr/>
        <w:t>this</w:t>
      </w:r>
      <w:r>
        <w:rPr>
          <w:spacing w:val="66"/>
        </w:rPr>
        <w:t> </w:t>
      </w:r>
      <w:r>
        <w:rPr/>
        <w:t>feat</w:t>
      </w:r>
      <w:r>
        <w:rPr>
          <w:spacing w:val="67"/>
        </w:rPr>
        <w:t> </w:t>
      </w:r>
      <w:r>
        <w:rPr/>
        <w:t>is</w:t>
      </w:r>
      <w:r>
        <w:rPr>
          <w:spacing w:val="66"/>
        </w:rPr>
        <w:t> </w:t>
      </w:r>
      <w:r>
        <w:rPr/>
        <w:t>to</w:t>
      </w:r>
      <w:r>
        <w:rPr>
          <w:spacing w:val="66"/>
        </w:rPr>
        <w:t> </w:t>
      </w:r>
      <w:r>
        <w:rPr/>
        <w:t>adopt a</w:t>
      </w:r>
      <w:r>
        <w:rPr>
          <w:spacing w:val="40"/>
        </w:rPr>
        <w:t> </w:t>
      </w:r>
      <w:r>
        <w:rPr/>
        <w:t>simple systematic framework to guide all stakeholders in the construction industry.</w:t>
      </w:r>
    </w:p>
    <w:p>
      <w:pPr>
        <w:pStyle w:val="BodyText"/>
        <w:spacing w:line="480" w:lineRule="auto" w:before="161"/>
        <w:ind w:left="400" w:right="1317"/>
        <w:jc w:val="both"/>
      </w:pPr>
      <w:r>
        <w:rPr/>
        <w:t>TQM implementation is a</w:t>
      </w:r>
      <w:r>
        <w:rPr>
          <w:spacing w:val="-1"/>
        </w:rPr>
        <w:t> </w:t>
      </w:r>
      <w:r>
        <w:rPr/>
        <w:t>never-ending</w:t>
      </w:r>
      <w:r>
        <w:rPr>
          <w:spacing w:val="-2"/>
        </w:rPr>
        <w:t> </w:t>
      </w:r>
      <w:r>
        <w:rPr/>
        <w:t>exercise</w:t>
      </w:r>
      <w:r>
        <w:rPr>
          <w:spacing w:val="-1"/>
        </w:rPr>
        <w:t> </w:t>
      </w:r>
      <w:r>
        <w:rPr/>
        <w:t>and a</w:t>
      </w:r>
      <w:r>
        <w:rPr>
          <w:spacing w:val="-1"/>
        </w:rPr>
        <w:t> </w:t>
      </w:r>
      <w:r>
        <w:rPr/>
        <w:t>very</w:t>
      </w:r>
      <w:r>
        <w:rPr>
          <w:spacing w:val="-2"/>
        </w:rPr>
        <w:t> </w:t>
      </w:r>
      <w:r>
        <w:rPr/>
        <w:t>challenging</w:t>
      </w:r>
      <w:r>
        <w:rPr>
          <w:spacing w:val="-2"/>
        </w:rPr>
        <w:t> </w:t>
      </w:r>
      <w:r>
        <w:rPr/>
        <w:t>task that calls for</w:t>
      </w:r>
      <w:r>
        <w:rPr>
          <w:spacing w:val="-1"/>
        </w:rPr>
        <w:t> </w:t>
      </w:r>
      <w:r>
        <w:rPr/>
        <w:t>a well- structured pragmatic approach (Harrington and Voehl, 2012). TQM provides a holistic framework for the operational activities of construction enterprises.</w:t>
      </w:r>
    </w:p>
    <w:p>
      <w:pPr>
        <w:pStyle w:val="BodyText"/>
        <w:spacing w:line="480" w:lineRule="auto" w:before="158"/>
        <w:ind w:left="400" w:right="1315"/>
        <w:jc w:val="both"/>
      </w:pPr>
      <w:r>
        <w:rPr/>
        <w:t>This chapter therefore seeks to propose a framework that will guide small and medium construction firms in South-East</w:t>
      </w:r>
      <w:r>
        <w:rPr>
          <w:spacing w:val="40"/>
        </w:rPr>
        <w:t> </w:t>
      </w:r>
      <w:r>
        <w:rPr/>
        <w:t>in</w:t>
      </w:r>
      <w:r>
        <w:rPr>
          <w:spacing w:val="40"/>
        </w:rPr>
        <w:t> </w:t>
      </w:r>
      <w:r>
        <w:rPr/>
        <w:t>the implementation of TQM</w:t>
      </w:r>
      <w:r>
        <w:rPr>
          <w:spacing w:val="40"/>
        </w:rPr>
        <w:t> </w:t>
      </w:r>
      <w:r>
        <w:rPr/>
        <w:t>Principles. The proposed framework is based on the literature review and the analysis on critical success factors, SWOT and competitive advantage). All levels of management must be on board for the program to be truly successful. Any lack of effort or resources will undermine the success of a TQM program, causing negative ripples throughout the company.</w:t>
      </w:r>
    </w:p>
    <w:p>
      <w:pPr>
        <w:pStyle w:val="Heading2"/>
        <w:spacing w:before="212"/>
      </w:pPr>
      <w:r>
        <w:rPr/>
        <w:t>5.13.</w:t>
      </w:r>
      <w:r>
        <w:rPr>
          <w:spacing w:val="58"/>
        </w:rPr>
        <w:t>  </w:t>
      </w:r>
      <w:r>
        <w:rPr/>
        <w:t>Factor </w:t>
      </w:r>
      <w:r>
        <w:rPr>
          <w:spacing w:val="-2"/>
        </w:rPr>
        <w:t>Analysis</w:t>
      </w:r>
    </w:p>
    <w:p>
      <w:pPr>
        <w:pStyle w:val="BodyText"/>
        <w:spacing w:line="480" w:lineRule="auto" w:before="271"/>
        <w:ind w:left="399" w:right="1315"/>
        <w:jc w:val="both"/>
      </w:pPr>
      <w:r>
        <w:rPr/>
        <w:t>A principal component analysis to establish factorial validity and to confirm whether. Principal component analysis showed that the factors were logic and reflected accurately what was intended to be measured. The principle components extraction with varimax rotation was used to identify factors with eigenvalues of at least one in order to obtain more easily interpreted factor </w:t>
      </w:r>
      <w:r>
        <w:rPr>
          <w:spacing w:val="-2"/>
        </w:rPr>
        <w:t>loadings.</w:t>
      </w:r>
    </w:p>
    <w:p>
      <w:pPr>
        <w:spacing w:after="0" w:line="480" w:lineRule="auto"/>
        <w:jc w:val="both"/>
        <w:sectPr>
          <w:pgSz w:w="12240" w:h="15840"/>
          <w:pgMar w:header="0" w:footer="1017" w:top="1360" w:bottom="1200" w:left="1040" w:right="120"/>
        </w:sect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1"/>
        <w:gridCol w:w="3125"/>
        <w:gridCol w:w="1383"/>
      </w:tblGrid>
      <w:tr>
        <w:trPr>
          <w:trHeight w:val="570" w:hRule="atLeast"/>
        </w:trPr>
        <w:tc>
          <w:tcPr>
            <w:tcW w:w="6649" w:type="dxa"/>
            <w:gridSpan w:val="3"/>
            <w:tcBorders>
              <w:bottom w:val="single" w:sz="18" w:space="0" w:color="000000"/>
            </w:tcBorders>
          </w:tcPr>
          <w:p>
            <w:pPr>
              <w:pStyle w:val="TableParagraph"/>
              <w:spacing w:line="266" w:lineRule="exact"/>
              <w:ind w:left="40"/>
              <w:jc w:val="center"/>
              <w:rPr>
                <w:b/>
                <w:sz w:val="24"/>
              </w:rPr>
            </w:pPr>
            <w:r>
              <w:rPr>
                <w:b/>
                <w:sz w:val="24"/>
              </w:rPr>
              <w:t>KMO</w:t>
            </w:r>
            <w:r>
              <w:rPr>
                <w:b/>
                <w:spacing w:val="-5"/>
                <w:sz w:val="24"/>
              </w:rPr>
              <w:t> </w:t>
            </w:r>
            <w:r>
              <w:rPr>
                <w:b/>
                <w:sz w:val="24"/>
              </w:rPr>
              <w:t>and</w:t>
            </w:r>
            <w:r>
              <w:rPr>
                <w:b/>
                <w:spacing w:val="-3"/>
                <w:sz w:val="24"/>
              </w:rPr>
              <w:t> </w:t>
            </w:r>
            <w:r>
              <w:rPr>
                <w:b/>
                <w:sz w:val="24"/>
              </w:rPr>
              <w:t>Bartlett's</w:t>
            </w:r>
            <w:r>
              <w:rPr>
                <w:b/>
                <w:spacing w:val="-2"/>
                <w:sz w:val="24"/>
              </w:rPr>
              <w:t> </w:t>
            </w:r>
            <w:r>
              <w:rPr>
                <w:b/>
                <w:spacing w:val="-4"/>
                <w:sz w:val="24"/>
              </w:rPr>
              <w:t>Test</w:t>
            </w:r>
          </w:p>
        </w:tc>
      </w:tr>
      <w:tr>
        <w:trPr>
          <w:trHeight w:val="468" w:hRule="atLeast"/>
        </w:trPr>
        <w:tc>
          <w:tcPr>
            <w:tcW w:w="5266" w:type="dxa"/>
            <w:gridSpan w:val="2"/>
            <w:tcBorders>
              <w:top w:val="single" w:sz="18" w:space="0" w:color="000000"/>
              <w:left w:val="single" w:sz="18" w:space="0" w:color="000000"/>
              <w:right w:val="single" w:sz="18" w:space="0" w:color="000000"/>
            </w:tcBorders>
          </w:tcPr>
          <w:p>
            <w:pPr>
              <w:pStyle w:val="TableParagraph"/>
              <w:spacing w:before="20"/>
              <w:ind w:left="27"/>
              <w:rPr>
                <w:sz w:val="24"/>
              </w:rPr>
            </w:pPr>
            <w:r>
              <w:rPr>
                <w:sz w:val="24"/>
              </w:rPr>
              <w:t>Kaiser-Meyer-Olkin</w:t>
            </w:r>
            <w:r>
              <w:rPr>
                <w:spacing w:val="-3"/>
                <w:sz w:val="24"/>
              </w:rPr>
              <w:t> </w:t>
            </w:r>
            <w:r>
              <w:rPr>
                <w:sz w:val="24"/>
              </w:rPr>
              <w:t>Measure</w:t>
            </w:r>
            <w:r>
              <w:rPr>
                <w:spacing w:val="-3"/>
                <w:sz w:val="24"/>
              </w:rPr>
              <w:t> </w:t>
            </w:r>
            <w:r>
              <w:rPr>
                <w:sz w:val="24"/>
              </w:rPr>
              <w:t>of</w:t>
            </w:r>
            <w:r>
              <w:rPr>
                <w:spacing w:val="-3"/>
                <w:sz w:val="24"/>
              </w:rPr>
              <w:t> </w:t>
            </w:r>
            <w:r>
              <w:rPr>
                <w:sz w:val="24"/>
              </w:rPr>
              <w:t>Sampling</w:t>
            </w:r>
            <w:r>
              <w:rPr>
                <w:spacing w:val="-2"/>
                <w:sz w:val="24"/>
              </w:rPr>
              <w:t> Adequacy.</w:t>
            </w:r>
          </w:p>
        </w:tc>
        <w:tc>
          <w:tcPr>
            <w:tcW w:w="1383" w:type="dxa"/>
            <w:tcBorders>
              <w:top w:val="single" w:sz="18" w:space="0" w:color="000000"/>
              <w:left w:val="single" w:sz="18" w:space="0" w:color="000000"/>
              <w:right w:val="single" w:sz="18" w:space="0" w:color="000000"/>
            </w:tcBorders>
          </w:tcPr>
          <w:p>
            <w:pPr>
              <w:pStyle w:val="TableParagraph"/>
              <w:spacing w:before="20"/>
              <w:ind w:right="-15"/>
              <w:jc w:val="right"/>
              <w:rPr>
                <w:sz w:val="24"/>
              </w:rPr>
            </w:pPr>
            <w:r>
              <w:rPr>
                <w:spacing w:val="-4"/>
                <w:sz w:val="24"/>
              </w:rPr>
              <w:t>.893</w:t>
            </w:r>
          </w:p>
        </w:tc>
      </w:tr>
      <w:tr>
        <w:trPr>
          <w:trHeight w:val="616" w:hRule="atLeast"/>
        </w:trPr>
        <w:tc>
          <w:tcPr>
            <w:tcW w:w="2141" w:type="dxa"/>
            <w:vMerge w:val="restart"/>
            <w:tcBorders>
              <w:left w:val="single" w:sz="18" w:space="0" w:color="000000"/>
            </w:tcBorders>
          </w:tcPr>
          <w:p>
            <w:pPr>
              <w:pStyle w:val="TableParagraph"/>
              <w:spacing w:before="163"/>
              <w:ind w:left="27"/>
              <w:rPr>
                <w:sz w:val="24"/>
              </w:rPr>
            </w:pPr>
            <w:r>
              <w:rPr>
                <w:sz w:val="24"/>
              </w:rPr>
              <w:t>Bartlett's</w:t>
            </w:r>
            <w:r>
              <w:rPr>
                <w:spacing w:val="-4"/>
                <w:sz w:val="24"/>
              </w:rPr>
              <w:t> </w:t>
            </w:r>
            <w:r>
              <w:rPr>
                <w:sz w:val="24"/>
              </w:rPr>
              <w:t>Test</w:t>
            </w:r>
            <w:r>
              <w:rPr>
                <w:spacing w:val="-4"/>
                <w:sz w:val="24"/>
              </w:rPr>
              <w:t> </w:t>
            </w:r>
            <w:r>
              <w:rPr>
                <w:spacing w:val="-5"/>
                <w:sz w:val="24"/>
              </w:rPr>
              <w:t>of</w:t>
            </w:r>
          </w:p>
          <w:p>
            <w:pPr>
              <w:pStyle w:val="TableParagraph"/>
              <w:spacing w:before="276"/>
              <w:ind w:left="27"/>
              <w:rPr>
                <w:sz w:val="24"/>
              </w:rPr>
            </w:pPr>
            <w:r>
              <w:rPr>
                <w:spacing w:val="-2"/>
                <w:sz w:val="24"/>
              </w:rPr>
              <w:t>Sphericity</w:t>
            </w:r>
          </w:p>
        </w:tc>
        <w:tc>
          <w:tcPr>
            <w:tcW w:w="3125" w:type="dxa"/>
            <w:tcBorders>
              <w:right w:val="single" w:sz="18" w:space="0" w:color="000000"/>
            </w:tcBorders>
          </w:tcPr>
          <w:p>
            <w:pPr>
              <w:pStyle w:val="TableParagraph"/>
              <w:spacing w:before="163"/>
              <w:ind w:left="542"/>
              <w:rPr>
                <w:sz w:val="24"/>
              </w:rPr>
            </w:pPr>
            <w:r>
              <w:rPr>
                <w:sz w:val="24"/>
              </w:rPr>
              <w:t>Approx.</w:t>
            </w:r>
            <w:r>
              <w:rPr>
                <w:spacing w:val="-1"/>
                <w:sz w:val="24"/>
              </w:rPr>
              <w:t> </w:t>
            </w:r>
            <w:r>
              <w:rPr>
                <w:sz w:val="24"/>
              </w:rPr>
              <w:t>Chi-</w:t>
            </w:r>
            <w:r>
              <w:rPr>
                <w:spacing w:val="-2"/>
                <w:sz w:val="24"/>
              </w:rPr>
              <w:t>Square</w:t>
            </w:r>
          </w:p>
        </w:tc>
        <w:tc>
          <w:tcPr>
            <w:tcW w:w="1383" w:type="dxa"/>
            <w:tcBorders>
              <w:left w:val="single" w:sz="18" w:space="0" w:color="000000"/>
              <w:right w:val="single" w:sz="18" w:space="0" w:color="000000"/>
            </w:tcBorders>
          </w:tcPr>
          <w:p>
            <w:pPr>
              <w:pStyle w:val="TableParagraph"/>
              <w:spacing w:before="163"/>
              <w:ind w:right="-15"/>
              <w:jc w:val="right"/>
              <w:rPr>
                <w:sz w:val="24"/>
              </w:rPr>
            </w:pPr>
            <w:r>
              <w:rPr>
                <w:spacing w:val="-2"/>
                <w:sz w:val="24"/>
              </w:rPr>
              <w:t>6120.300</w:t>
            </w:r>
          </w:p>
        </w:tc>
      </w:tr>
      <w:tr>
        <w:trPr>
          <w:trHeight w:val="621" w:hRule="atLeast"/>
        </w:trPr>
        <w:tc>
          <w:tcPr>
            <w:tcW w:w="2141" w:type="dxa"/>
            <w:vMerge/>
            <w:tcBorders>
              <w:top w:val="nil"/>
              <w:left w:val="single" w:sz="18" w:space="0" w:color="000000"/>
            </w:tcBorders>
          </w:tcPr>
          <w:p>
            <w:pPr>
              <w:rPr>
                <w:sz w:val="2"/>
                <w:szCs w:val="2"/>
              </w:rPr>
            </w:pPr>
          </w:p>
        </w:tc>
        <w:tc>
          <w:tcPr>
            <w:tcW w:w="3125" w:type="dxa"/>
            <w:tcBorders>
              <w:right w:val="single" w:sz="18" w:space="0" w:color="000000"/>
            </w:tcBorders>
          </w:tcPr>
          <w:p>
            <w:pPr>
              <w:pStyle w:val="TableParagraph"/>
              <w:spacing w:before="167"/>
              <w:ind w:left="542"/>
              <w:rPr>
                <w:sz w:val="24"/>
              </w:rPr>
            </w:pPr>
            <w:r>
              <w:rPr>
                <w:spacing w:val="-5"/>
                <w:sz w:val="24"/>
              </w:rPr>
              <w:t>Df</w:t>
            </w:r>
          </w:p>
        </w:tc>
        <w:tc>
          <w:tcPr>
            <w:tcW w:w="1383" w:type="dxa"/>
            <w:tcBorders>
              <w:left w:val="single" w:sz="18" w:space="0" w:color="000000"/>
              <w:right w:val="single" w:sz="18" w:space="0" w:color="000000"/>
            </w:tcBorders>
          </w:tcPr>
          <w:p>
            <w:pPr>
              <w:pStyle w:val="TableParagraph"/>
              <w:spacing w:before="167"/>
              <w:ind w:right="-15"/>
              <w:jc w:val="right"/>
              <w:rPr>
                <w:sz w:val="24"/>
              </w:rPr>
            </w:pPr>
            <w:r>
              <w:rPr>
                <w:spacing w:val="-5"/>
                <w:sz w:val="24"/>
              </w:rPr>
              <w:t>45</w:t>
            </w:r>
          </w:p>
        </w:tc>
      </w:tr>
      <w:tr>
        <w:trPr>
          <w:trHeight w:val="758" w:hRule="atLeast"/>
        </w:trPr>
        <w:tc>
          <w:tcPr>
            <w:tcW w:w="2141" w:type="dxa"/>
            <w:tcBorders>
              <w:left w:val="single" w:sz="18" w:space="0" w:color="000000"/>
              <w:bottom w:val="single" w:sz="18" w:space="0" w:color="000000"/>
            </w:tcBorders>
          </w:tcPr>
          <w:p>
            <w:pPr>
              <w:pStyle w:val="TableParagraph"/>
              <w:rPr>
                <w:sz w:val="24"/>
              </w:rPr>
            </w:pPr>
          </w:p>
        </w:tc>
        <w:tc>
          <w:tcPr>
            <w:tcW w:w="3125" w:type="dxa"/>
            <w:tcBorders>
              <w:bottom w:val="single" w:sz="18" w:space="0" w:color="000000"/>
              <w:right w:val="single" w:sz="18" w:space="0" w:color="000000"/>
            </w:tcBorders>
          </w:tcPr>
          <w:p>
            <w:pPr>
              <w:pStyle w:val="TableParagraph"/>
              <w:spacing w:before="167"/>
              <w:ind w:left="542"/>
              <w:rPr>
                <w:sz w:val="24"/>
              </w:rPr>
            </w:pPr>
            <w:r>
              <w:rPr>
                <w:spacing w:val="-4"/>
                <w:sz w:val="24"/>
              </w:rPr>
              <w:t>Sig.</w:t>
            </w:r>
          </w:p>
        </w:tc>
        <w:tc>
          <w:tcPr>
            <w:tcW w:w="1383" w:type="dxa"/>
            <w:tcBorders>
              <w:left w:val="single" w:sz="18" w:space="0" w:color="000000"/>
              <w:bottom w:val="single" w:sz="18" w:space="0" w:color="000000"/>
              <w:right w:val="single" w:sz="18" w:space="0" w:color="000000"/>
            </w:tcBorders>
          </w:tcPr>
          <w:p>
            <w:pPr>
              <w:pStyle w:val="TableParagraph"/>
              <w:spacing w:before="167"/>
              <w:ind w:right="-15"/>
              <w:jc w:val="right"/>
              <w:rPr>
                <w:sz w:val="24"/>
              </w:rPr>
            </w:pPr>
            <w:r>
              <w:rPr>
                <w:spacing w:val="-4"/>
                <w:sz w:val="24"/>
              </w:rPr>
              <w:t>.000</w:t>
            </w:r>
          </w:p>
        </w:tc>
      </w:tr>
    </w:tbl>
    <w:p>
      <w:pPr>
        <w:pStyle w:val="BodyText"/>
      </w:pPr>
    </w:p>
    <w:p>
      <w:pPr>
        <w:pStyle w:val="BodyText"/>
        <w:spacing w:before="29"/>
      </w:pPr>
    </w:p>
    <w:p>
      <w:pPr>
        <w:pStyle w:val="BodyText"/>
        <w:spacing w:line="480" w:lineRule="auto" w:after="7"/>
        <w:ind w:left="400" w:right="1315"/>
        <w:jc w:val="both"/>
      </w:pPr>
      <w:r>
        <w:rPr/>
        <w:t>The</w:t>
      </w:r>
      <w:r>
        <w:rPr>
          <w:spacing w:val="-2"/>
        </w:rPr>
        <w:t> </w:t>
      </w:r>
      <w:r>
        <w:rPr/>
        <w:t>table</w:t>
      </w:r>
      <w:r>
        <w:rPr>
          <w:spacing w:val="-2"/>
        </w:rPr>
        <w:t> </w:t>
      </w:r>
      <w:r>
        <w:rPr/>
        <w:t>shows</w:t>
      </w:r>
      <w:r>
        <w:rPr>
          <w:spacing w:val="-1"/>
        </w:rPr>
        <w:t> </w:t>
      </w:r>
      <w:r>
        <w:rPr/>
        <w:t>that</w:t>
      </w:r>
      <w:r>
        <w:rPr>
          <w:spacing w:val="-1"/>
        </w:rPr>
        <w:t> </w:t>
      </w:r>
      <w:r>
        <w:rPr/>
        <w:t>the</w:t>
      </w:r>
      <w:r>
        <w:rPr>
          <w:spacing w:val="-2"/>
        </w:rPr>
        <w:t> </w:t>
      </w:r>
      <w:r>
        <w:rPr/>
        <w:t>Principle</w:t>
      </w:r>
      <w:r>
        <w:rPr>
          <w:spacing w:val="-2"/>
        </w:rPr>
        <w:t> </w:t>
      </w:r>
      <w:r>
        <w:rPr/>
        <w:t>component</w:t>
      </w:r>
      <w:r>
        <w:rPr>
          <w:spacing w:val="-1"/>
        </w:rPr>
        <w:t> </w:t>
      </w:r>
      <w:r>
        <w:rPr/>
        <w:t>analysis</w:t>
      </w:r>
      <w:r>
        <w:rPr>
          <w:spacing w:val="-1"/>
        </w:rPr>
        <w:t> </w:t>
      </w:r>
      <w:r>
        <w:rPr/>
        <w:t>(PCA)</w:t>
      </w:r>
      <w:r>
        <w:rPr>
          <w:spacing w:val="-2"/>
        </w:rPr>
        <w:t> </w:t>
      </w:r>
      <w:r>
        <w:rPr/>
        <w:t>can</w:t>
      </w:r>
      <w:r>
        <w:rPr>
          <w:spacing w:val="-1"/>
        </w:rPr>
        <w:t> </w:t>
      </w:r>
      <w:r>
        <w:rPr/>
        <w:t>confidently</w:t>
      </w:r>
      <w:r>
        <w:rPr>
          <w:spacing w:val="-5"/>
        </w:rPr>
        <w:t> </w:t>
      </w:r>
      <w:r>
        <w:rPr/>
        <w:t>be</w:t>
      </w:r>
      <w:r>
        <w:rPr>
          <w:spacing w:val="-2"/>
        </w:rPr>
        <w:t> </w:t>
      </w:r>
      <w:r>
        <w:rPr/>
        <w:t>conducted</w:t>
      </w:r>
      <w:r>
        <w:rPr>
          <w:spacing w:val="-1"/>
        </w:rPr>
        <w:t> </w:t>
      </w:r>
      <w:r>
        <w:rPr/>
        <w:t>since the Kaiser-Meyer-Olkin Measure of Sampling Adequacy value is 0.893; higher than the minimum. Then the Bartlett's Test of Sphericity has a p – value of 0.000. With the above, we move ahead to do the PCA for the critical success factors.</w:t>
      </w: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9"/>
        <w:gridCol w:w="1145"/>
        <w:gridCol w:w="1381"/>
      </w:tblGrid>
      <w:tr>
        <w:trPr>
          <w:trHeight w:val="474" w:hRule="atLeast"/>
        </w:trPr>
        <w:tc>
          <w:tcPr>
            <w:tcW w:w="6165" w:type="dxa"/>
            <w:gridSpan w:val="3"/>
            <w:tcBorders>
              <w:top w:val="single" w:sz="4" w:space="0" w:color="000000"/>
              <w:bottom w:val="single" w:sz="4" w:space="0" w:color="000000"/>
            </w:tcBorders>
          </w:tcPr>
          <w:p>
            <w:pPr>
              <w:pStyle w:val="TableParagraph"/>
              <w:spacing w:before="30"/>
              <w:ind w:left="17"/>
              <w:jc w:val="center"/>
              <w:rPr>
                <w:b/>
                <w:sz w:val="24"/>
              </w:rPr>
            </w:pPr>
            <w:r>
              <w:rPr>
                <w:b/>
                <w:spacing w:val="-2"/>
                <w:sz w:val="24"/>
              </w:rPr>
              <w:t>Communalities</w:t>
            </w:r>
          </w:p>
        </w:tc>
      </w:tr>
      <w:tr>
        <w:trPr>
          <w:trHeight w:val="474" w:hRule="atLeast"/>
        </w:trPr>
        <w:tc>
          <w:tcPr>
            <w:tcW w:w="3639" w:type="dxa"/>
            <w:tcBorders>
              <w:top w:val="single" w:sz="4" w:space="0" w:color="000000"/>
              <w:bottom w:val="single" w:sz="4" w:space="0" w:color="000000"/>
            </w:tcBorders>
          </w:tcPr>
          <w:p>
            <w:pPr>
              <w:pStyle w:val="TableParagraph"/>
              <w:rPr>
                <w:sz w:val="24"/>
              </w:rPr>
            </w:pPr>
          </w:p>
        </w:tc>
        <w:tc>
          <w:tcPr>
            <w:tcW w:w="1145" w:type="dxa"/>
            <w:tcBorders>
              <w:top w:val="single" w:sz="4" w:space="0" w:color="000000"/>
              <w:bottom w:val="single" w:sz="4" w:space="0" w:color="000000"/>
            </w:tcBorders>
          </w:tcPr>
          <w:p>
            <w:pPr>
              <w:pStyle w:val="TableParagraph"/>
              <w:spacing w:before="25"/>
              <w:ind w:left="66"/>
              <w:rPr>
                <w:sz w:val="24"/>
              </w:rPr>
            </w:pPr>
            <w:r>
              <w:rPr>
                <w:spacing w:val="-2"/>
                <w:sz w:val="24"/>
              </w:rPr>
              <w:t>Initial</w:t>
            </w:r>
          </w:p>
        </w:tc>
        <w:tc>
          <w:tcPr>
            <w:tcW w:w="1381" w:type="dxa"/>
            <w:tcBorders>
              <w:top w:val="single" w:sz="4" w:space="0" w:color="000000"/>
              <w:bottom w:val="single" w:sz="4" w:space="0" w:color="000000"/>
            </w:tcBorders>
          </w:tcPr>
          <w:p>
            <w:pPr>
              <w:pStyle w:val="TableParagraph"/>
              <w:spacing w:before="25"/>
              <w:ind w:left="135"/>
              <w:rPr>
                <w:sz w:val="24"/>
              </w:rPr>
            </w:pPr>
            <w:r>
              <w:rPr>
                <w:spacing w:val="-2"/>
                <w:sz w:val="24"/>
              </w:rPr>
              <w:t>Extraction</w:t>
            </w:r>
          </w:p>
        </w:tc>
      </w:tr>
      <w:tr>
        <w:trPr>
          <w:trHeight w:val="817" w:hRule="atLeast"/>
        </w:trPr>
        <w:tc>
          <w:tcPr>
            <w:tcW w:w="3639" w:type="dxa"/>
            <w:tcBorders>
              <w:top w:val="single" w:sz="4" w:space="0" w:color="000000"/>
            </w:tcBorders>
          </w:tcPr>
          <w:p>
            <w:pPr>
              <w:pStyle w:val="TableParagraph"/>
              <w:spacing w:before="23"/>
              <w:ind w:left="45"/>
              <w:rPr>
                <w:sz w:val="24"/>
              </w:rPr>
            </w:pPr>
            <w:r>
              <w:rPr>
                <w:sz w:val="24"/>
              </w:rPr>
              <w:t>Leadership</w:t>
            </w:r>
            <w:r>
              <w:rPr>
                <w:spacing w:val="-2"/>
                <w:sz w:val="24"/>
              </w:rPr>
              <w:t> </w:t>
            </w:r>
            <w:r>
              <w:rPr>
                <w:sz w:val="24"/>
              </w:rPr>
              <w:t>and</w:t>
            </w:r>
            <w:r>
              <w:rPr>
                <w:spacing w:val="-1"/>
                <w:sz w:val="24"/>
              </w:rPr>
              <w:t> </w:t>
            </w:r>
            <w:r>
              <w:rPr>
                <w:sz w:val="24"/>
              </w:rPr>
              <w:t>top</w:t>
            </w:r>
            <w:r>
              <w:rPr>
                <w:spacing w:val="-1"/>
                <w:sz w:val="24"/>
              </w:rPr>
              <w:t> </w:t>
            </w:r>
            <w:r>
              <w:rPr>
                <w:spacing w:val="-2"/>
                <w:sz w:val="24"/>
              </w:rPr>
              <w:t>management</w:t>
            </w:r>
          </w:p>
          <w:p>
            <w:pPr>
              <w:pStyle w:val="TableParagraph"/>
              <w:spacing w:before="139"/>
              <w:ind w:left="45"/>
              <w:rPr>
                <w:sz w:val="24"/>
              </w:rPr>
            </w:pPr>
            <w:r>
              <w:rPr>
                <w:spacing w:val="-2"/>
                <w:sz w:val="24"/>
              </w:rPr>
              <w:t>commitment</w:t>
            </w:r>
          </w:p>
        </w:tc>
        <w:tc>
          <w:tcPr>
            <w:tcW w:w="1145" w:type="dxa"/>
            <w:tcBorders>
              <w:top w:val="single" w:sz="4" w:space="0" w:color="000000"/>
            </w:tcBorders>
          </w:tcPr>
          <w:p>
            <w:pPr>
              <w:pStyle w:val="TableParagraph"/>
              <w:spacing w:before="231"/>
              <w:ind w:right="133"/>
              <w:jc w:val="right"/>
              <w:rPr>
                <w:sz w:val="24"/>
              </w:rPr>
            </w:pPr>
            <w:r>
              <w:rPr>
                <w:spacing w:val="-2"/>
                <w:sz w:val="24"/>
              </w:rPr>
              <w:t>1.000</w:t>
            </w:r>
          </w:p>
        </w:tc>
        <w:tc>
          <w:tcPr>
            <w:tcW w:w="1381" w:type="dxa"/>
            <w:tcBorders>
              <w:top w:val="single" w:sz="4" w:space="0" w:color="000000"/>
            </w:tcBorders>
          </w:tcPr>
          <w:p>
            <w:pPr>
              <w:pStyle w:val="TableParagraph"/>
              <w:spacing w:before="231"/>
              <w:ind w:right="28"/>
              <w:jc w:val="right"/>
              <w:rPr>
                <w:sz w:val="24"/>
              </w:rPr>
            </w:pPr>
            <w:r>
              <w:rPr>
                <w:spacing w:val="-4"/>
                <w:sz w:val="24"/>
              </w:rPr>
              <w:t>.948</w:t>
            </w:r>
          </w:p>
        </w:tc>
      </w:tr>
      <w:tr>
        <w:trPr>
          <w:trHeight w:val="473" w:hRule="atLeast"/>
        </w:trPr>
        <w:tc>
          <w:tcPr>
            <w:tcW w:w="3639" w:type="dxa"/>
          </w:tcPr>
          <w:p>
            <w:pPr>
              <w:pStyle w:val="TableParagraph"/>
              <w:spacing w:before="93"/>
              <w:ind w:left="45"/>
              <w:rPr>
                <w:sz w:val="24"/>
              </w:rPr>
            </w:pPr>
            <w:r>
              <w:rPr>
                <w:sz w:val="24"/>
              </w:rPr>
              <w:t>Customer</w:t>
            </w:r>
            <w:r>
              <w:rPr>
                <w:spacing w:val="-2"/>
                <w:sz w:val="24"/>
              </w:rPr>
              <w:t> Focus</w:t>
            </w:r>
          </w:p>
        </w:tc>
        <w:tc>
          <w:tcPr>
            <w:tcW w:w="1145" w:type="dxa"/>
          </w:tcPr>
          <w:p>
            <w:pPr>
              <w:pStyle w:val="TableParagraph"/>
              <w:spacing w:before="93"/>
              <w:ind w:right="133"/>
              <w:jc w:val="right"/>
              <w:rPr>
                <w:sz w:val="24"/>
              </w:rPr>
            </w:pPr>
            <w:r>
              <w:rPr>
                <w:spacing w:val="-2"/>
                <w:sz w:val="24"/>
              </w:rPr>
              <w:t>1.000</w:t>
            </w:r>
          </w:p>
        </w:tc>
        <w:tc>
          <w:tcPr>
            <w:tcW w:w="1381" w:type="dxa"/>
          </w:tcPr>
          <w:p>
            <w:pPr>
              <w:pStyle w:val="TableParagraph"/>
              <w:spacing w:before="93"/>
              <w:ind w:right="28"/>
              <w:jc w:val="right"/>
              <w:rPr>
                <w:sz w:val="24"/>
              </w:rPr>
            </w:pPr>
            <w:r>
              <w:rPr>
                <w:spacing w:val="-4"/>
                <w:sz w:val="24"/>
              </w:rPr>
              <w:t>.961</w:t>
            </w:r>
          </w:p>
        </w:tc>
      </w:tr>
      <w:tr>
        <w:trPr>
          <w:trHeight w:val="474" w:hRule="atLeast"/>
        </w:trPr>
        <w:tc>
          <w:tcPr>
            <w:tcW w:w="3639" w:type="dxa"/>
          </w:tcPr>
          <w:p>
            <w:pPr>
              <w:pStyle w:val="TableParagraph"/>
              <w:spacing w:before="94"/>
              <w:ind w:left="45"/>
              <w:rPr>
                <w:sz w:val="24"/>
              </w:rPr>
            </w:pPr>
            <w:r>
              <w:rPr>
                <w:sz w:val="24"/>
              </w:rPr>
              <w:t>Continuous</w:t>
            </w:r>
            <w:r>
              <w:rPr>
                <w:spacing w:val="2"/>
                <w:sz w:val="24"/>
              </w:rPr>
              <w:t> </w:t>
            </w:r>
            <w:r>
              <w:rPr>
                <w:spacing w:val="-2"/>
                <w:sz w:val="24"/>
              </w:rPr>
              <w:t>Improvement</w:t>
            </w:r>
          </w:p>
        </w:tc>
        <w:tc>
          <w:tcPr>
            <w:tcW w:w="1145" w:type="dxa"/>
          </w:tcPr>
          <w:p>
            <w:pPr>
              <w:pStyle w:val="TableParagraph"/>
              <w:spacing w:before="94"/>
              <w:ind w:right="133"/>
              <w:jc w:val="right"/>
              <w:rPr>
                <w:sz w:val="24"/>
              </w:rPr>
            </w:pPr>
            <w:r>
              <w:rPr>
                <w:spacing w:val="-2"/>
                <w:sz w:val="24"/>
              </w:rPr>
              <w:t>1.000</w:t>
            </w:r>
          </w:p>
        </w:tc>
        <w:tc>
          <w:tcPr>
            <w:tcW w:w="1381" w:type="dxa"/>
          </w:tcPr>
          <w:p>
            <w:pPr>
              <w:pStyle w:val="TableParagraph"/>
              <w:spacing w:before="94"/>
              <w:ind w:right="28"/>
              <w:jc w:val="right"/>
              <w:rPr>
                <w:sz w:val="24"/>
              </w:rPr>
            </w:pPr>
            <w:r>
              <w:rPr>
                <w:spacing w:val="-4"/>
                <w:sz w:val="24"/>
              </w:rPr>
              <w:t>.958</w:t>
            </w:r>
          </w:p>
        </w:tc>
      </w:tr>
      <w:tr>
        <w:trPr>
          <w:trHeight w:val="473" w:hRule="atLeast"/>
        </w:trPr>
        <w:tc>
          <w:tcPr>
            <w:tcW w:w="3639" w:type="dxa"/>
          </w:tcPr>
          <w:p>
            <w:pPr>
              <w:pStyle w:val="TableParagraph"/>
              <w:spacing w:before="93"/>
              <w:ind w:left="45"/>
              <w:rPr>
                <w:sz w:val="24"/>
              </w:rPr>
            </w:pPr>
            <w:r>
              <w:rPr>
                <w:sz w:val="24"/>
              </w:rPr>
              <w:t>Employee</w:t>
            </w:r>
            <w:r>
              <w:rPr>
                <w:spacing w:val="-6"/>
                <w:sz w:val="24"/>
              </w:rPr>
              <w:t> </w:t>
            </w:r>
            <w:r>
              <w:rPr>
                <w:spacing w:val="-2"/>
                <w:sz w:val="24"/>
              </w:rPr>
              <w:t>participation</w:t>
            </w:r>
          </w:p>
        </w:tc>
        <w:tc>
          <w:tcPr>
            <w:tcW w:w="1145" w:type="dxa"/>
          </w:tcPr>
          <w:p>
            <w:pPr>
              <w:pStyle w:val="TableParagraph"/>
              <w:spacing w:before="93"/>
              <w:ind w:right="133"/>
              <w:jc w:val="right"/>
              <w:rPr>
                <w:sz w:val="24"/>
              </w:rPr>
            </w:pPr>
            <w:r>
              <w:rPr>
                <w:spacing w:val="-2"/>
                <w:sz w:val="24"/>
              </w:rPr>
              <w:t>1.000</w:t>
            </w:r>
          </w:p>
        </w:tc>
        <w:tc>
          <w:tcPr>
            <w:tcW w:w="1381" w:type="dxa"/>
          </w:tcPr>
          <w:p>
            <w:pPr>
              <w:pStyle w:val="TableParagraph"/>
              <w:spacing w:before="93"/>
              <w:ind w:right="28"/>
              <w:jc w:val="right"/>
              <w:rPr>
                <w:sz w:val="24"/>
              </w:rPr>
            </w:pPr>
            <w:r>
              <w:rPr>
                <w:spacing w:val="-4"/>
                <w:sz w:val="24"/>
              </w:rPr>
              <w:t>.960</w:t>
            </w:r>
          </w:p>
        </w:tc>
      </w:tr>
      <w:tr>
        <w:trPr>
          <w:trHeight w:val="473" w:hRule="atLeast"/>
        </w:trPr>
        <w:tc>
          <w:tcPr>
            <w:tcW w:w="3639" w:type="dxa"/>
          </w:tcPr>
          <w:p>
            <w:pPr>
              <w:pStyle w:val="TableParagraph"/>
              <w:spacing w:before="94"/>
              <w:ind w:left="45"/>
              <w:rPr>
                <w:sz w:val="24"/>
              </w:rPr>
            </w:pPr>
            <w:r>
              <w:rPr>
                <w:sz w:val="24"/>
              </w:rPr>
              <w:t>Recognition</w:t>
            </w:r>
            <w:r>
              <w:rPr>
                <w:spacing w:val="-3"/>
                <w:sz w:val="24"/>
              </w:rPr>
              <w:t> </w:t>
            </w:r>
            <w:r>
              <w:rPr>
                <w:sz w:val="24"/>
              </w:rPr>
              <w:t>and</w:t>
            </w:r>
            <w:r>
              <w:rPr>
                <w:spacing w:val="-3"/>
                <w:sz w:val="24"/>
              </w:rPr>
              <w:t> </w:t>
            </w:r>
            <w:r>
              <w:rPr>
                <w:spacing w:val="-2"/>
                <w:sz w:val="24"/>
              </w:rPr>
              <w:t>Reward</w:t>
            </w:r>
          </w:p>
        </w:tc>
        <w:tc>
          <w:tcPr>
            <w:tcW w:w="1145" w:type="dxa"/>
          </w:tcPr>
          <w:p>
            <w:pPr>
              <w:pStyle w:val="TableParagraph"/>
              <w:spacing w:before="94"/>
              <w:ind w:right="133"/>
              <w:jc w:val="right"/>
              <w:rPr>
                <w:sz w:val="24"/>
              </w:rPr>
            </w:pPr>
            <w:r>
              <w:rPr>
                <w:spacing w:val="-2"/>
                <w:sz w:val="24"/>
              </w:rPr>
              <w:t>1.000</w:t>
            </w:r>
          </w:p>
        </w:tc>
        <w:tc>
          <w:tcPr>
            <w:tcW w:w="1381" w:type="dxa"/>
          </w:tcPr>
          <w:p>
            <w:pPr>
              <w:pStyle w:val="TableParagraph"/>
              <w:spacing w:before="94"/>
              <w:ind w:right="28"/>
              <w:jc w:val="right"/>
              <w:rPr>
                <w:sz w:val="24"/>
              </w:rPr>
            </w:pPr>
            <w:r>
              <w:rPr>
                <w:spacing w:val="-4"/>
                <w:sz w:val="24"/>
              </w:rPr>
              <w:t>.259</w:t>
            </w:r>
          </w:p>
        </w:tc>
      </w:tr>
      <w:tr>
        <w:trPr>
          <w:trHeight w:val="473" w:hRule="atLeast"/>
        </w:trPr>
        <w:tc>
          <w:tcPr>
            <w:tcW w:w="3639" w:type="dxa"/>
          </w:tcPr>
          <w:p>
            <w:pPr>
              <w:pStyle w:val="TableParagraph"/>
              <w:spacing w:before="93"/>
              <w:ind w:left="45"/>
              <w:rPr>
                <w:sz w:val="24"/>
              </w:rPr>
            </w:pPr>
            <w:r>
              <w:rPr>
                <w:spacing w:val="-2"/>
                <w:sz w:val="24"/>
              </w:rPr>
              <w:t>Training</w:t>
            </w:r>
          </w:p>
        </w:tc>
        <w:tc>
          <w:tcPr>
            <w:tcW w:w="1145" w:type="dxa"/>
          </w:tcPr>
          <w:p>
            <w:pPr>
              <w:pStyle w:val="TableParagraph"/>
              <w:spacing w:before="93"/>
              <w:ind w:right="133"/>
              <w:jc w:val="right"/>
              <w:rPr>
                <w:sz w:val="24"/>
              </w:rPr>
            </w:pPr>
            <w:r>
              <w:rPr>
                <w:spacing w:val="-2"/>
                <w:sz w:val="24"/>
              </w:rPr>
              <w:t>1.000</w:t>
            </w:r>
          </w:p>
        </w:tc>
        <w:tc>
          <w:tcPr>
            <w:tcW w:w="1381" w:type="dxa"/>
          </w:tcPr>
          <w:p>
            <w:pPr>
              <w:pStyle w:val="TableParagraph"/>
              <w:spacing w:before="93"/>
              <w:ind w:right="28"/>
              <w:jc w:val="right"/>
              <w:rPr>
                <w:sz w:val="24"/>
              </w:rPr>
            </w:pPr>
            <w:r>
              <w:rPr>
                <w:spacing w:val="-4"/>
                <w:sz w:val="24"/>
              </w:rPr>
              <w:t>.784</w:t>
            </w:r>
          </w:p>
        </w:tc>
      </w:tr>
      <w:tr>
        <w:trPr>
          <w:trHeight w:val="473" w:hRule="atLeast"/>
        </w:trPr>
        <w:tc>
          <w:tcPr>
            <w:tcW w:w="3639" w:type="dxa"/>
          </w:tcPr>
          <w:p>
            <w:pPr>
              <w:pStyle w:val="TableParagraph"/>
              <w:spacing w:before="94"/>
              <w:ind w:left="45"/>
              <w:rPr>
                <w:sz w:val="24"/>
              </w:rPr>
            </w:pPr>
            <w:r>
              <w:rPr>
                <w:sz w:val="24"/>
              </w:rPr>
              <w:t>Quality</w:t>
            </w:r>
            <w:r>
              <w:rPr>
                <w:spacing w:val="-5"/>
                <w:sz w:val="24"/>
              </w:rPr>
              <w:t> </w:t>
            </w:r>
            <w:r>
              <w:rPr>
                <w:spacing w:val="-2"/>
                <w:sz w:val="24"/>
              </w:rPr>
              <w:t>Culture</w:t>
            </w:r>
          </w:p>
        </w:tc>
        <w:tc>
          <w:tcPr>
            <w:tcW w:w="1145" w:type="dxa"/>
          </w:tcPr>
          <w:p>
            <w:pPr>
              <w:pStyle w:val="TableParagraph"/>
              <w:spacing w:before="94"/>
              <w:ind w:right="133"/>
              <w:jc w:val="right"/>
              <w:rPr>
                <w:sz w:val="24"/>
              </w:rPr>
            </w:pPr>
            <w:r>
              <w:rPr>
                <w:spacing w:val="-2"/>
                <w:sz w:val="24"/>
              </w:rPr>
              <w:t>1.000</w:t>
            </w:r>
          </w:p>
        </w:tc>
        <w:tc>
          <w:tcPr>
            <w:tcW w:w="1381" w:type="dxa"/>
          </w:tcPr>
          <w:p>
            <w:pPr>
              <w:pStyle w:val="TableParagraph"/>
              <w:spacing w:before="94"/>
              <w:ind w:right="28"/>
              <w:jc w:val="right"/>
              <w:rPr>
                <w:sz w:val="24"/>
              </w:rPr>
            </w:pPr>
            <w:r>
              <w:rPr>
                <w:spacing w:val="-4"/>
                <w:sz w:val="24"/>
              </w:rPr>
              <w:t>.617</w:t>
            </w:r>
          </w:p>
        </w:tc>
      </w:tr>
      <w:tr>
        <w:trPr>
          <w:trHeight w:val="474" w:hRule="atLeast"/>
        </w:trPr>
        <w:tc>
          <w:tcPr>
            <w:tcW w:w="3639" w:type="dxa"/>
          </w:tcPr>
          <w:p>
            <w:pPr>
              <w:pStyle w:val="TableParagraph"/>
              <w:spacing w:before="93"/>
              <w:ind w:left="45"/>
              <w:rPr>
                <w:sz w:val="24"/>
              </w:rPr>
            </w:pPr>
            <w:r>
              <w:rPr>
                <w:spacing w:val="-2"/>
                <w:sz w:val="24"/>
              </w:rPr>
              <w:t>Communication</w:t>
            </w:r>
          </w:p>
        </w:tc>
        <w:tc>
          <w:tcPr>
            <w:tcW w:w="1145" w:type="dxa"/>
          </w:tcPr>
          <w:p>
            <w:pPr>
              <w:pStyle w:val="TableParagraph"/>
              <w:spacing w:before="93"/>
              <w:ind w:right="133"/>
              <w:jc w:val="right"/>
              <w:rPr>
                <w:sz w:val="24"/>
              </w:rPr>
            </w:pPr>
            <w:r>
              <w:rPr>
                <w:spacing w:val="-2"/>
                <w:sz w:val="24"/>
              </w:rPr>
              <w:t>1.000</w:t>
            </w:r>
          </w:p>
        </w:tc>
        <w:tc>
          <w:tcPr>
            <w:tcW w:w="1381" w:type="dxa"/>
          </w:tcPr>
          <w:p>
            <w:pPr>
              <w:pStyle w:val="TableParagraph"/>
              <w:spacing w:before="93"/>
              <w:ind w:right="28"/>
              <w:jc w:val="right"/>
              <w:rPr>
                <w:sz w:val="24"/>
              </w:rPr>
            </w:pPr>
            <w:r>
              <w:rPr>
                <w:spacing w:val="-4"/>
                <w:sz w:val="24"/>
              </w:rPr>
              <w:t>.542</w:t>
            </w:r>
          </w:p>
        </w:tc>
      </w:tr>
      <w:tr>
        <w:trPr>
          <w:trHeight w:val="474" w:hRule="atLeast"/>
        </w:trPr>
        <w:tc>
          <w:tcPr>
            <w:tcW w:w="3639" w:type="dxa"/>
          </w:tcPr>
          <w:p>
            <w:pPr>
              <w:pStyle w:val="TableParagraph"/>
              <w:spacing w:before="94"/>
              <w:ind w:left="45"/>
              <w:rPr>
                <w:sz w:val="24"/>
              </w:rPr>
            </w:pPr>
            <w:r>
              <w:rPr>
                <w:sz w:val="24"/>
              </w:rPr>
              <w:t>Performance</w:t>
            </w:r>
            <w:r>
              <w:rPr>
                <w:spacing w:val="-5"/>
                <w:sz w:val="24"/>
              </w:rPr>
              <w:t> </w:t>
            </w:r>
            <w:r>
              <w:rPr>
                <w:spacing w:val="-2"/>
                <w:sz w:val="24"/>
              </w:rPr>
              <w:t>Measurement</w:t>
            </w:r>
          </w:p>
        </w:tc>
        <w:tc>
          <w:tcPr>
            <w:tcW w:w="1145" w:type="dxa"/>
          </w:tcPr>
          <w:p>
            <w:pPr>
              <w:pStyle w:val="TableParagraph"/>
              <w:spacing w:before="94"/>
              <w:ind w:right="133"/>
              <w:jc w:val="right"/>
              <w:rPr>
                <w:sz w:val="24"/>
              </w:rPr>
            </w:pPr>
            <w:r>
              <w:rPr>
                <w:spacing w:val="-2"/>
                <w:sz w:val="24"/>
              </w:rPr>
              <w:t>1.000</w:t>
            </w:r>
          </w:p>
        </w:tc>
        <w:tc>
          <w:tcPr>
            <w:tcW w:w="1381" w:type="dxa"/>
          </w:tcPr>
          <w:p>
            <w:pPr>
              <w:pStyle w:val="TableParagraph"/>
              <w:spacing w:before="94"/>
              <w:ind w:right="28"/>
              <w:jc w:val="right"/>
              <w:rPr>
                <w:sz w:val="24"/>
              </w:rPr>
            </w:pPr>
            <w:r>
              <w:rPr>
                <w:spacing w:val="-4"/>
                <w:sz w:val="24"/>
              </w:rPr>
              <w:t>.966</w:t>
            </w:r>
          </w:p>
        </w:tc>
      </w:tr>
      <w:tr>
        <w:trPr>
          <w:trHeight w:val="473" w:hRule="atLeast"/>
        </w:trPr>
        <w:tc>
          <w:tcPr>
            <w:tcW w:w="3639" w:type="dxa"/>
          </w:tcPr>
          <w:p>
            <w:pPr>
              <w:pStyle w:val="TableParagraph"/>
              <w:spacing w:before="93"/>
              <w:ind w:left="45"/>
              <w:rPr>
                <w:sz w:val="24"/>
              </w:rPr>
            </w:pPr>
            <w:r>
              <w:rPr>
                <w:sz w:val="24"/>
              </w:rPr>
              <w:t>Strategic</w:t>
            </w:r>
            <w:r>
              <w:rPr>
                <w:spacing w:val="-7"/>
                <w:sz w:val="24"/>
              </w:rPr>
              <w:t> </w:t>
            </w:r>
            <w:r>
              <w:rPr>
                <w:spacing w:val="-2"/>
                <w:sz w:val="24"/>
              </w:rPr>
              <w:t>Planning</w:t>
            </w:r>
          </w:p>
        </w:tc>
        <w:tc>
          <w:tcPr>
            <w:tcW w:w="1145" w:type="dxa"/>
          </w:tcPr>
          <w:p>
            <w:pPr>
              <w:pStyle w:val="TableParagraph"/>
              <w:spacing w:before="93"/>
              <w:ind w:right="133"/>
              <w:jc w:val="right"/>
              <w:rPr>
                <w:sz w:val="24"/>
              </w:rPr>
            </w:pPr>
            <w:r>
              <w:rPr>
                <w:spacing w:val="-2"/>
                <w:sz w:val="24"/>
              </w:rPr>
              <w:t>1.000</w:t>
            </w:r>
          </w:p>
        </w:tc>
        <w:tc>
          <w:tcPr>
            <w:tcW w:w="1381" w:type="dxa"/>
          </w:tcPr>
          <w:p>
            <w:pPr>
              <w:pStyle w:val="TableParagraph"/>
              <w:spacing w:before="93"/>
              <w:ind w:right="28"/>
              <w:jc w:val="right"/>
              <w:rPr>
                <w:sz w:val="24"/>
              </w:rPr>
            </w:pPr>
            <w:r>
              <w:rPr>
                <w:spacing w:val="-4"/>
                <w:sz w:val="24"/>
              </w:rPr>
              <w:t>.956</w:t>
            </w:r>
          </w:p>
        </w:tc>
      </w:tr>
      <w:tr>
        <w:trPr>
          <w:trHeight w:val="543" w:hRule="atLeast"/>
        </w:trPr>
        <w:tc>
          <w:tcPr>
            <w:tcW w:w="6165" w:type="dxa"/>
            <w:gridSpan w:val="3"/>
            <w:tcBorders>
              <w:bottom w:val="single" w:sz="4" w:space="0" w:color="000000"/>
            </w:tcBorders>
          </w:tcPr>
          <w:p>
            <w:pPr>
              <w:pStyle w:val="TableParagraph"/>
              <w:spacing w:before="94"/>
              <w:ind w:left="45"/>
              <w:rPr>
                <w:sz w:val="24"/>
              </w:rPr>
            </w:pPr>
            <w:r>
              <w:rPr>
                <w:sz w:val="24"/>
              </w:rPr>
              <w:t>Extraction</w:t>
            </w:r>
            <w:r>
              <w:rPr>
                <w:spacing w:val="-2"/>
                <w:sz w:val="24"/>
              </w:rPr>
              <w:t> </w:t>
            </w:r>
            <w:r>
              <w:rPr>
                <w:sz w:val="24"/>
              </w:rPr>
              <w:t>Method:</w:t>
            </w:r>
            <w:r>
              <w:rPr>
                <w:spacing w:val="-2"/>
                <w:sz w:val="24"/>
              </w:rPr>
              <w:t> </w:t>
            </w:r>
            <w:r>
              <w:rPr>
                <w:sz w:val="24"/>
              </w:rPr>
              <w:t>Principal</w:t>
            </w:r>
            <w:r>
              <w:rPr>
                <w:spacing w:val="-2"/>
                <w:sz w:val="24"/>
              </w:rPr>
              <w:t> </w:t>
            </w:r>
            <w:r>
              <w:rPr>
                <w:sz w:val="24"/>
              </w:rPr>
              <w:t>Component</w:t>
            </w:r>
            <w:r>
              <w:rPr>
                <w:spacing w:val="-1"/>
                <w:sz w:val="24"/>
              </w:rPr>
              <w:t> </w:t>
            </w:r>
            <w:r>
              <w:rPr>
                <w:spacing w:val="-2"/>
                <w:sz w:val="24"/>
              </w:rPr>
              <w:t>Analysis.</w:t>
            </w:r>
          </w:p>
        </w:tc>
      </w:tr>
    </w:tbl>
    <w:p>
      <w:pPr>
        <w:spacing w:after="0"/>
        <w:rPr>
          <w:sz w:val="24"/>
        </w:rPr>
        <w:sectPr>
          <w:pgSz w:w="12240" w:h="15840"/>
          <w:pgMar w:header="0" w:footer="1017" w:top="1440" w:bottom="1200" w:left="1040" w:right="120"/>
        </w:sectPr>
      </w:pPr>
    </w:p>
    <w:p>
      <w:pPr>
        <w:pStyle w:val="BodyText"/>
        <w:spacing w:before="72"/>
        <w:ind w:left="400"/>
        <w:jc w:val="both"/>
      </w:pPr>
      <w:r>
        <w:rPr/>
        <w:t>Table</w:t>
      </w:r>
      <w:r>
        <w:rPr>
          <w:spacing w:val="-3"/>
        </w:rPr>
        <w:t> </w:t>
      </w:r>
      <w:r>
        <w:rPr>
          <w:spacing w:val="-4"/>
        </w:rPr>
        <w:t>5.19</w:t>
      </w:r>
    </w:p>
    <w:p>
      <w:pPr>
        <w:pStyle w:val="BodyText"/>
        <w:spacing w:before="54"/>
        <w:rPr>
          <w:sz w:val="20"/>
        </w:rPr>
      </w:pPr>
    </w:p>
    <w:tbl>
      <w:tblPr>
        <w:tblW w:w="0" w:type="auto"/>
        <w:jc w:val="left"/>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7"/>
        <w:gridCol w:w="996"/>
        <w:gridCol w:w="1652"/>
        <w:gridCol w:w="1692"/>
        <w:gridCol w:w="982"/>
        <w:gridCol w:w="1691"/>
        <w:gridCol w:w="1563"/>
      </w:tblGrid>
      <w:tr>
        <w:trPr>
          <w:trHeight w:val="474" w:hRule="atLeast"/>
        </w:trPr>
        <w:tc>
          <w:tcPr>
            <w:tcW w:w="9373" w:type="dxa"/>
            <w:gridSpan w:val="7"/>
            <w:tcBorders>
              <w:top w:val="single" w:sz="4" w:space="0" w:color="000000"/>
            </w:tcBorders>
          </w:tcPr>
          <w:p>
            <w:pPr>
              <w:pStyle w:val="TableParagraph"/>
              <w:spacing w:before="27"/>
              <w:ind w:left="5"/>
              <w:jc w:val="center"/>
              <w:rPr>
                <w:b/>
                <w:sz w:val="24"/>
              </w:rPr>
            </w:pPr>
            <w:r>
              <w:rPr>
                <w:b/>
                <w:sz w:val="24"/>
              </w:rPr>
              <w:t>Total</w:t>
            </w:r>
            <w:r>
              <w:rPr>
                <w:b/>
                <w:spacing w:val="-3"/>
                <w:sz w:val="24"/>
              </w:rPr>
              <w:t> </w:t>
            </w:r>
            <w:r>
              <w:rPr>
                <w:b/>
                <w:sz w:val="24"/>
              </w:rPr>
              <w:t>Variance</w:t>
            </w:r>
            <w:r>
              <w:rPr>
                <w:b/>
                <w:spacing w:val="-2"/>
                <w:sz w:val="24"/>
              </w:rPr>
              <w:t> Explained</w:t>
            </w:r>
          </w:p>
        </w:tc>
      </w:tr>
      <w:tr>
        <w:trPr>
          <w:trHeight w:val="749" w:hRule="atLeast"/>
        </w:trPr>
        <w:tc>
          <w:tcPr>
            <w:tcW w:w="797" w:type="dxa"/>
            <w:vMerge w:val="restart"/>
            <w:tcBorders>
              <w:bottom w:val="single" w:sz="4" w:space="0" w:color="000000"/>
            </w:tcBorders>
          </w:tcPr>
          <w:p>
            <w:pPr>
              <w:pStyle w:val="TableParagraph"/>
              <w:spacing w:line="480" w:lineRule="auto" w:before="230"/>
              <w:ind w:left="38" w:right="42"/>
              <w:rPr>
                <w:sz w:val="24"/>
              </w:rPr>
            </w:pPr>
            <w:r>
              <w:rPr>
                <w:spacing w:val="-2"/>
                <w:sz w:val="24"/>
              </w:rPr>
              <w:t>Compo </w:t>
            </w:r>
            <w:r>
              <w:rPr>
                <w:spacing w:val="-4"/>
                <w:sz w:val="24"/>
              </w:rPr>
              <w:t>nent</w:t>
            </w:r>
          </w:p>
        </w:tc>
        <w:tc>
          <w:tcPr>
            <w:tcW w:w="996" w:type="dxa"/>
            <w:tcBorders>
              <w:bottom w:val="single" w:sz="4" w:space="0" w:color="000000"/>
            </w:tcBorders>
          </w:tcPr>
          <w:p>
            <w:pPr>
              <w:pStyle w:val="TableParagraph"/>
              <w:rPr>
                <w:sz w:val="22"/>
              </w:rPr>
            </w:pPr>
          </w:p>
        </w:tc>
        <w:tc>
          <w:tcPr>
            <w:tcW w:w="3344" w:type="dxa"/>
            <w:gridSpan w:val="2"/>
            <w:tcBorders>
              <w:bottom w:val="single" w:sz="4" w:space="0" w:color="000000"/>
            </w:tcBorders>
          </w:tcPr>
          <w:p>
            <w:pPr>
              <w:pStyle w:val="TableParagraph"/>
              <w:spacing w:before="160"/>
              <w:ind w:left="203"/>
              <w:rPr>
                <w:sz w:val="24"/>
              </w:rPr>
            </w:pPr>
            <w:r>
              <w:rPr>
                <w:sz w:val="24"/>
              </w:rPr>
              <w:t>Initial</w:t>
            </w:r>
            <w:r>
              <w:rPr>
                <w:spacing w:val="-5"/>
                <w:sz w:val="24"/>
              </w:rPr>
              <w:t> </w:t>
            </w:r>
            <w:r>
              <w:rPr>
                <w:spacing w:val="-2"/>
                <w:sz w:val="24"/>
              </w:rPr>
              <w:t>Eigenvalues</w:t>
            </w:r>
          </w:p>
        </w:tc>
        <w:tc>
          <w:tcPr>
            <w:tcW w:w="4236" w:type="dxa"/>
            <w:gridSpan w:val="3"/>
            <w:tcBorders>
              <w:bottom w:val="single" w:sz="4" w:space="0" w:color="000000"/>
            </w:tcBorders>
          </w:tcPr>
          <w:p>
            <w:pPr>
              <w:pStyle w:val="TableParagraph"/>
              <w:spacing w:before="160"/>
              <w:ind w:left="224"/>
              <w:rPr>
                <w:sz w:val="24"/>
              </w:rPr>
            </w:pPr>
            <w:r>
              <w:rPr>
                <w:sz w:val="24"/>
              </w:rPr>
              <w:t>Extraction</w:t>
            </w:r>
            <w:r>
              <w:rPr>
                <w:spacing w:val="-2"/>
                <w:sz w:val="24"/>
              </w:rPr>
              <w:t> </w:t>
            </w:r>
            <w:r>
              <w:rPr>
                <w:sz w:val="24"/>
              </w:rPr>
              <w:t>Sums</w:t>
            </w:r>
            <w:r>
              <w:rPr>
                <w:spacing w:val="-2"/>
                <w:sz w:val="24"/>
              </w:rPr>
              <w:t> </w:t>
            </w:r>
            <w:r>
              <w:rPr>
                <w:sz w:val="24"/>
              </w:rPr>
              <w:t>of</w:t>
            </w:r>
            <w:r>
              <w:rPr>
                <w:spacing w:val="-3"/>
                <w:sz w:val="24"/>
              </w:rPr>
              <w:t> </w:t>
            </w:r>
            <w:r>
              <w:rPr>
                <w:sz w:val="24"/>
              </w:rPr>
              <w:t>Squared </w:t>
            </w:r>
            <w:r>
              <w:rPr>
                <w:spacing w:val="-2"/>
                <w:sz w:val="24"/>
              </w:rPr>
              <w:t>Loadings</w:t>
            </w:r>
          </w:p>
        </w:tc>
      </w:tr>
      <w:tr>
        <w:trPr>
          <w:trHeight w:val="611" w:hRule="atLeast"/>
        </w:trPr>
        <w:tc>
          <w:tcPr>
            <w:tcW w:w="797" w:type="dxa"/>
            <w:vMerge/>
            <w:tcBorders>
              <w:top w:val="nil"/>
              <w:bottom w:val="single" w:sz="4" w:space="0" w:color="000000"/>
            </w:tcBorders>
          </w:tcPr>
          <w:p>
            <w:pPr>
              <w:rPr>
                <w:sz w:val="2"/>
                <w:szCs w:val="2"/>
              </w:rPr>
            </w:pPr>
          </w:p>
        </w:tc>
        <w:tc>
          <w:tcPr>
            <w:tcW w:w="996" w:type="dxa"/>
            <w:tcBorders>
              <w:top w:val="single" w:sz="4" w:space="0" w:color="000000"/>
              <w:bottom w:val="single" w:sz="4" w:space="0" w:color="000000"/>
            </w:tcBorders>
          </w:tcPr>
          <w:p>
            <w:pPr>
              <w:pStyle w:val="TableParagraph"/>
              <w:spacing w:before="23"/>
              <w:ind w:left="95" w:right="1"/>
              <w:jc w:val="center"/>
              <w:rPr>
                <w:sz w:val="24"/>
              </w:rPr>
            </w:pPr>
            <w:r>
              <w:rPr>
                <w:spacing w:val="-4"/>
                <w:sz w:val="24"/>
              </w:rPr>
              <w:t>Total</w:t>
            </w:r>
          </w:p>
        </w:tc>
        <w:tc>
          <w:tcPr>
            <w:tcW w:w="1652" w:type="dxa"/>
            <w:tcBorders>
              <w:top w:val="single" w:sz="4" w:space="0" w:color="000000"/>
              <w:bottom w:val="single" w:sz="4" w:space="0" w:color="000000"/>
            </w:tcBorders>
          </w:tcPr>
          <w:p>
            <w:pPr>
              <w:pStyle w:val="TableParagraph"/>
              <w:spacing w:before="23"/>
              <w:ind w:left="92" w:right="2"/>
              <w:jc w:val="center"/>
              <w:rPr>
                <w:sz w:val="24"/>
              </w:rPr>
            </w:pPr>
            <w:r>
              <w:rPr>
                <w:sz w:val="24"/>
              </w:rPr>
              <w:t>%</w:t>
            </w:r>
            <w:r>
              <w:rPr>
                <w:spacing w:val="-1"/>
                <w:sz w:val="24"/>
              </w:rPr>
              <w:t> </w:t>
            </w:r>
            <w:r>
              <w:rPr>
                <w:sz w:val="24"/>
              </w:rPr>
              <w:t>of</w:t>
            </w:r>
            <w:r>
              <w:rPr>
                <w:spacing w:val="-1"/>
                <w:sz w:val="24"/>
              </w:rPr>
              <w:t> </w:t>
            </w:r>
            <w:r>
              <w:rPr>
                <w:spacing w:val="-2"/>
                <w:sz w:val="24"/>
              </w:rPr>
              <w:t>Variance</w:t>
            </w:r>
          </w:p>
        </w:tc>
        <w:tc>
          <w:tcPr>
            <w:tcW w:w="1692" w:type="dxa"/>
            <w:tcBorders>
              <w:top w:val="single" w:sz="4" w:space="0" w:color="000000"/>
              <w:bottom w:val="single" w:sz="4" w:space="0" w:color="000000"/>
            </w:tcBorders>
          </w:tcPr>
          <w:p>
            <w:pPr>
              <w:pStyle w:val="TableParagraph"/>
              <w:spacing w:before="23"/>
              <w:ind w:left="1" w:right="134"/>
              <w:jc w:val="center"/>
              <w:rPr>
                <w:sz w:val="24"/>
              </w:rPr>
            </w:pPr>
            <w:r>
              <w:rPr>
                <w:sz w:val="24"/>
              </w:rPr>
              <w:t>Cumulative</w:t>
            </w:r>
            <w:r>
              <w:rPr>
                <w:spacing w:val="-2"/>
                <w:sz w:val="24"/>
              </w:rPr>
              <w:t> </w:t>
            </w:r>
            <w:r>
              <w:rPr>
                <w:spacing w:val="-10"/>
                <w:sz w:val="24"/>
              </w:rPr>
              <w:t>%</w:t>
            </w:r>
          </w:p>
        </w:tc>
        <w:tc>
          <w:tcPr>
            <w:tcW w:w="982" w:type="dxa"/>
            <w:tcBorders>
              <w:top w:val="single" w:sz="4" w:space="0" w:color="000000"/>
              <w:bottom w:val="single" w:sz="4" w:space="0" w:color="000000"/>
            </w:tcBorders>
          </w:tcPr>
          <w:p>
            <w:pPr>
              <w:pStyle w:val="TableParagraph"/>
              <w:spacing w:before="23"/>
              <w:ind w:left="2" w:right="2"/>
              <w:jc w:val="center"/>
              <w:rPr>
                <w:sz w:val="24"/>
              </w:rPr>
            </w:pPr>
            <w:r>
              <w:rPr>
                <w:spacing w:val="-4"/>
                <w:sz w:val="24"/>
              </w:rPr>
              <w:t>Total</w:t>
            </w:r>
          </w:p>
        </w:tc>
        <w:tc>
          <w:tcPr>
            <w:tcW w:w="1691" w:type="dxa"/>
            <w:tcBorders>
              <w:top w:val="single" w:sz="4" w:space="0" w:color="000000"/>
              <w:bottom w:val="single" w:sz="4" w:space="0" w:color="000000"/>
            </w:tcBorders>
          </w:tcPr>
          <w:p>
            <w:pPr>
              <w:pStyle w:val="TableParagraph"/>
              <w:spacing w:before="23"/>
              <w:ind w:left="127" w:right="1"/>
              <w:jc w:val="center"/>
              <w:rPr>
                <w:sz w:val="24"/>
              </w:rPr>
            </w:pPr>
            <w:r>
              <w:rPr>
                <w:sz w:val="24"/>
              </w:rPr>
              <w:t>%</w:t>
            </w:r>
            <w:r>
              <w:rPr>
                <w:spacing w:val="-1"/>
                <w:sz w:val="24"/>
              </w:rPr>
              <w:t> </w:t>
            </w:r>
            <w:r>
              <w:rPr>
                <w:sz w:val="24"/>
              </w:rPr>
              <w:t>of</w:t>
            </w:r>
            <w:r>
              <w:rPr>
                <w:spacing w:val="-1"/>
                <w:sz w:val="24"/>
              </w:rPr>
              <w:t> </w:t>
            </w:r>
            <w:r>
              <w:rPr>
                <w:spacing w:val="-2"/>
                <w:sz w:val="24"/>
              </w:rPr>
              <w:t>Variance</w:t>
            </w:r>
          </w:p>
        </w:tc>
        <w:tc>
          <w:tcPr>
            <w:tcW w:w="1563" w:type="dxa"/>
            <w:tcBorders>
              <w:top w:val="single" w:sz="4" w:space="0" w:color="000000"/>
              <w:bottom w:val="single" w:sz="4" w:space="0" w:color="000000"/>
            </w:tcBorders>
          </w:tcPr>
          <w:p>
            <w:pPr>
              <w:pStyle w:val="TableParagraph"/>
              <w:spacing w:before="23"/>
              <w:ind w:left="2" w:right="10"/>
              <w:jc w:val="center"/>
              <w:rPr>
                <w:sz w:val="24"/>
              </w:rPr>
            </w:pPr>
            <w:r>
              <w:rPr>
                <w:sz w:val="24"/>
              </w:rPr>
              <w:t>Cumulative</w:t>
            </w:r>
            <w:r>
              <w:rPr>
                <w:spacing w:val="-2"/>
                <w:sz w:val="24"/>
              </w:rPr>
              <w:t> </w:t>
            </w:r>
            <w:r>
              <w:rPr>
                <w:spacing w:val="-10"/>
                <w:sz w:val="24"/>
              </w:rPr>
              <w:t>%</w:t>
            </w:r>
          </w:p>
        </w:tc>
      </w:tr>
      <w:tr>
        <w:trPr>
          <w:trHeight w:val="472" w:hRule="atLeast"/>
        </w:trPr>
        <w:tc>
          <w:tcPr>
            <w:tcW w:w="797" w:type="dxa"/>
            <w:tcBorders>
              <w:top w:val="single" w:sz="4" w:space="0" w:color="000000"/>
            </w:tcBorders>
          </w:tcPr>
          <w:p>
            <w:pPr>
              <w:pStyle w:val="TableParagraph"/>
              <w:spacing w:before="23"/>
              <w:ind w:left="38"/>
              <w:rPr>
                <w:sz w:val="24"/>
              </w:rPr>
            </w:pPr>
            <w:r>
              <w:rPr>
                <w:spacing w:val="-10"/>
                <w:sz w:val="24"/>
              </w:rPr>
              <w:t>1</w:t>
            </w:r>
          </w:p>
        </w:tc>
        <w:tc>
          <w:tcPr>
            <w:tcW w:w="996" w:type="dxa"/>
            <w:tcBorders>
              <w:top w:val="single" w:sz="4" w:space="0" w:color="000000"/>
            </w:tcBorders>
          </w:tcPr>
          <w:p>
            <w:pPr>
              <w:pStyle w:val="TableParagraph"/>
              <w:spacing w:before="23"/>
              <w:ind w:left="95"/>
              <w:jc w:val="center"/>
              <w:rPr>
                <w:sz w:val="24"/>
              </w:rPr>
            </w:pPr>
            <w:r>
              <w:rPr>
                <w:spacing w:val="-2"/>
                <w:sz w:val="24"/>
              </w:rPr>
              <w:t>7.953</w:t>
            </w:r>
          </w:p>
        </w:tc>
        <w:tc>
          <w:tcPr>
            <w:tcW w:w="1652" w:type="dxa"/>
            <w:tcBorders>
              <w:top w:val="single" w:sz="4" w:space="0" w:color="000000"/>
            </w:tcBorders>
          </w:tcPr>
          <w:p>
            <w:pPr>
              <w:pStyle w:val="TableParagraph"/>
              <w:spacing w:before="23"/>
              <w:ind w:left="92"/>
              <w:jc w:val="center"/>
              <w:rPr>
                <w:sz w:val="24"/>
              </w:rPr>
            </w:pPr>
            <w:r>
              <w:rPr>
                <w:spacing w:val="-2"/>
                <w:sz w:val="24"/>
              </w:rPr>
              <w:t>79.528</w:t>
            </w:r>
          </w:p>
        </w:tc>
        <w:tc>
          <w:tcPr>
            <w:tcW w:w="1692" w:type="dxa"/>
            <w:tcBorders>
              <w:top w:val="single" w:sz="4" w:space="0" w:color="000000"/>
            </w:tcBorders>
          </w:tcPr>
          <w:p>
            <w:pPr>
              <w:pStyle w:val="TableParagraph"/>
              <w:spacing w:before="23"/>
              <w:ind w:right="134"/>
              <w:jc w:val="center"/>
              <w:rPr>
                <w:sz w:val="24"/>
              </w:rPr>
            </w:pPr>
            <w:r>
              <w:rPr>
                <w:spacing w:val="-2"/>
                <w:sz w:val="24"/>
              </w:rPr>
              <w:t>79.528</w:t>
            </w:r>
          </w:p>
        </w:tc>
        <w:tc>
          <w:tcPr>
            <w:tcW w:w="982" w:type="dxa"/>
            <w:tcBorders>
              <w:top w:val="single" w:sz="4" w:space="0" w:color="000000"/>
            </w:tcBorders>
          </w:tcPr>
          <w:p>
            <w:pPr>
              <w:pStyle w:val="TableParagraph"/>
              <w:spacing w:before="23"/>
              <w:ind w:left="2"/>
              <w:jc w:val="center"/>
              <w:rPr>
                <w:sz w:val="24"/>
              </w:rPr>
            </w:pPr>
            <w:r>
              <w:rPr>
                <w:spacing w:val="-2"/>
                <w:sz w:val="24"/>
              </w:rPr>
              <w:t>7.953</w:t>
            </w:r>
          </w:p>
        </w:tc>
        <w:tc>
          <w:tcPr>
            <w:tcW w:w="1691" w:type="dxa"/>
            <w:tcBorders>
              <w:top w:val="single" w:sz="4" w:space="0" w:color="000000"/>
            </w:tcBorders>
          </w:tcPr>
          <w:p>
            <w:pPr>
              <w:pStyle w:val="TableParagraph"/>
              <w:spacing w:before="23"/>
              <w:ind w:left="127"/>
              <w:jc w:val="center"/>
              <w:rPr>
                <w:sz w:val="24"/>
              </w:rPr>
            </w:pPr>
            <w:r>
              <w:rPr>
                <w:spacing w:val="-2"/>
                <w:sz w:val="24"/>
              </w:rPr>
              <w:t>79.528</w:t>
            </w:r>
          </w:p>
        </w:tc>
        <w:tc>
          <w:tcPr>
            <w:tcW w:w="1563" w:type="dxa"/>
            <w:tcBorders>
              <w:top w:val="single" w:sz="4" w:space="0" w:color="000000"/>
            </w:tcBorders>
          </w:tcPr>
          <w:p>
            <w:pPr>
              <w:pStyle w:val="TableParagraph"/>
              <w:spacing w:before="23"/>
              <w:ind w:right="10"/>
              <w:jc w:val="center"/>
              <w:rPr>
                <w:sz w:val="24"/>
              </w:rPr>
            </w:pPr>
            <w:r>
              <w:rPr>
                <w:spacing w:val="-2"/>
                <w:sz w:val="24"/>
              </w:rPr>
              <w:t>79.528</w:t>
            </w:r>
          </w:p>
        </w:tc>
      </w:tr>
      <w:tr>
        <w:trPr>
          <w:trHeight w:val="611" w:hRule="atLeast"/>
        </w:trPr>
        <w:tc>
          <w:tcPr>
            <w:tcW w:w="797" w:type="dxa"/>
          </w:tcPr>
          <w:p>
            <w:pPr>
              <w:pStyle w:val="TableParagraph"/>
              <w:spacing w:before="163"/>
              <w:ind w:left="38"/>
              <w:rPr>
                <w:sz w:val="24"/>
              </w:rPr>
            </w:pPr>
            <w:r>
              <w:rPr>
                <w:spacing w:val="-10"/>
                <w:sz w:val="24"/>
              </w:rPr>
              <w:t>2</w:t>
            </w:r>
          </w:p>
        </w:tc>
        <w:tc>
          <w:tcPr>
            <w:tcW w:w="996" w:type="dxa"/>
          </w:tcPr>
          <w:p>
            <w:pPr>
              <w:pStyle w:val="TableParagraph"/>
              <w:spacing w:before="163"/>
              <w:ind w:left="95"/>
              <w:jc w:val="center"/>
              <w:rPr>
                <w:sz w:val="24"/>
              </w:rPr>
            </w:pPr>
            <w:r>
              <w:rPr>
                <w:spacing w:val="-4"/>
                <w:sz w:val="24"/>
              </w:rPr>
              <w:t>.806</w:t>
            </w:r>
          </w:p>
        </w:tc>
        <w:tc>
          <w:tcPr>
            <w:tcW w:w="1652" w:type="dxa"/>
          </w:tcPr>
          <w:p>
            <w:pPr>
              <w:pStyle w:val="TableParagraph"/>
              <w:spacing w:before="163"/>
              <w:ind w:left="92"/>
              <w:jc w:val="center"/>
              <w:rPr>
                <w:sz w:val="24"/>
              </w:rPr>
            </w:pPr>
            <w:r>
              <w:rPr>
                <w:spacing w:val="-2"/>
                <w:sz w:val="24"/>
              </w:rPr>
              <w:t>8.058</w:t>
            </w:r>
          </w:p>
        </w:tc>
        <w:tc>
          <w:tcPr>
            <w:tcW w:w="1692" w:type="dxa"/>
          </w:tcPr>
          <w:p>
            <w:pPr>
              <w:pStyle w:val="TableParagraph"/>
              <w:spacing w:before="163"/>
              <w:ind w:right="134"/>
              <w:jc w:val="center"/>
              <w:rPr>
                <w:sz w:val="24"/>
              </w:rPr>
            </w:pPr>
            <w:r>
              <w:rPr>
                <w:spacing w:val="-2"/>
                <w:sz w:val="24"/>
              </w:rPr>
              <w:t>87.586</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2" w:hRule="atLeast"/>
        </w:trPr>
        <w:tc>
          <w:tcPr>
            <w:tcW w:w="797" w:type="dxa"/>
          </w:tcPr>
          <w:p>
            <w:pPr>
              <w:pStyle w:val="TableParagraph"/>
              <w:spacing w:before="163"/>
              <w:ind w:left="38"/>
              <w:rPr>
                <w:sz w:val="24"/>
              </w:rPr>
            </w:pPr>
            <w:r>
              <w:rPr>
                <w:spacing w:val="-10"/>
                <w:sz w:val="24"/>
              </w:rPr>
              <w:t>3</w:t>
            </w:r>
          </w:p>
        </w:tc>
        <w:tc>
          <w:tcPr>
            <w:tcW w:w="996" w:type="dxa"/>
          </w:tcPr>
          <w:p>
            <w:pPr>
              <w:pStyle w:val="TableParagraph"/>
              <w:spacing w:before="163"/>
              <w:ind w:left="95"/>
              <w:jc w:val="center"/>
              <w:rPr>
                <w:sz w:val="24"/>
              </w:rPr>
            </w:pPr>
            <w:r>
              <w:rPr>
                <w:spacing w:val="-4"/>
                <w:sz w:val="24"/>
              </w:rPr>
              <w:t>.711</w:t>
            </w:r>
          </w:p>
        </w:tc>
        <w:tc>
          <w:tcPr>
            <w:tcW w:w="1652" w:type="dxa"/>
          </w:tcPr>
          <w:p>
            <w:pPr>
              <w:pStyle w:val="TableParagraph"/>
              <w:spacing w:before="163"/>
              <w:ind w:left="92"/>
              <w:jc w:val="center"/>
              <w:rPr>
                <w:sz w:val="24"/>
              </w:rPr>
            </w:pPr>
            <w:r>
              <w:rPr>
                <w:spacing w:val="-2"/>
                <w:sz w:val="24"/>
              </w:rPr>
              <w:t>7.114</w:t>
            </w:r>
          </w:p>
        </w:tc>
        <w:tc>
          <w:tcPr>
            <w:tcW w:w="1692" w:type="dxa"/>
          </w:tcPr>
          <w:p>
            <w:pPr>
              <w:pStyle w:val="TableParagraph"/>
              <w:spacing w:before="163"/>
              <w:ind w:right="134"/>
              <w:jc w:val="center"/>
              <w:rPr>
                <w:sz w:val="24"/>
              </w:rPr>
            </w:pPr>
            <w:r>
              <w:rPr>
                <w:spacing w:val="-2"/>
                <w:sz w:val="24"/>
              </w:rPr>
              <w:t>94.700</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1" w:hRule="atLeast"/>
        </w:trPr>
        <w:tc>
          <w:tcPr>
            <w:tcW w:w="797" w:type="dxa"/>
          </w:tcPr>
          <w:p>
            <w:pPr>
              <w:pStyle w:val="TableParagraph"/>
              <w:spacing w:before="163"/>
              <w:ind w:left="38"/>
              <w:rPr>
                <w:sz w:val="24"/>
              </w:rPr>
            </w:pPr>
            <w:r>
              <w:rPr>
                <w:spacing w:val="-10"/>
                <w:sz w:val="24"/>
              </w:rPr>
              <w:t>4</w:t>
            </w:r>
          </w:p>
        </w:tc>
        <w:tc>
          <w:tcPr>
            <w:tcW w:w="996" w:type="dxa"/>
          </w:tcPr>
          <w:p>
            <w:pPr>
              <w:pStyle w:val="TableParagraph"/>
              <w:spacing w:before="163"/>
              <w:ind w:left="95"/>
              <w:jc w:val="center"/>
              <w:rPr>
                <w:sz w:val="24"/>
              </w:rPr>
            </w:pPr>
            <w:r>
              <w:rPr>
                <w:spacing w:val="-4"/>
                <w:sz w:val="24"/>
              </w:rPr>
              <w:t>.250</w:t>
            </w:r>
          </w:p>
        </w:tc>
        <w:tc>
          <w:tcPr>
            <w:tcW w:w="1652" w:type="dxa"/>
          </w:tcPr>
          <w:p>
            <w:pPr>
              <w:pStyle w:val="TableParagraph"/>
              <w:spacing w:before="163"/>
              <w:ind w:left="92"/>
              <w:jc w:val="center"/>
              <w:rPr>
                <w:sz w:val="24"/>
              </w:rPr>
            </w:pPr>
            <w:r>
              <w:rPr>
                <w:spacing w:val="-2"/>
                <w:sz w:val="24"/>
              </w:rPr>
              <w:t>2.499</w:t>
            </w:r>
          </w:p>
        </w:tc>
        <w:tc>
          <w:tcPr>
            <w:tcW w:w="1692" w:type="dxa"/>
          </w:tcPr>
          <w:p>
            <w:pPr>
              <w:pStyle w:val="TableParagraph"/>
              <w:spacing w:before="163"/>
              <w:ind w:right="134"/>
              <w:jc w:val="center"/>
              <w:rPr>
                <w:sz w:val="24"/>
              </w:rPr>
            </w:pPr>
            <w:r>
              <w:rPr>
                <w:spacing w:val="-2"/>
                <w:sz w:val="24"/>
              </w:rPr>
              <w:t>97.199</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1" w:hRule="atLeast"/>
        </w:trPr>
        <w:tc>
          <w:tcPr>
            <w:tcW w:w="797" w:type="dxa"/>
          </w:tcPr>
          <w:p>
            <w:pPr>
              <w:pStyle w:val="TableParagraph"/>
              <w:spacing w:before="163"/>
              <w:ind w:left="38"/>
              <w:rPr>
                <w:sz w:val="24"/>
              </w:rPr>
            </w:pPr>
            <w:r>
              <w:rPr>
                <w:spacing w:val="-10"/>
                <w:sz w:val="24"/>
              </w:rPr>
              <w:t>5</w:t>
            </w:r>
          </w:p>
        </w:tc>
        <w:tc>
          <w:tcPr>
            <w:tcW w:w="996" w:type="dxa"/>
          </w:tcPr>
          <w:p>
            <w:pPr>
              <w:pStyle w:val="TableParagraph"/>
              <w:spacing w:before="163"/>
              <w:ind w:left="95"/>
              <w:jc w:val="center"/>
              <w:rPr>
                <w:sz w:val="24"/>
              </w:rPr>
            </w:pPr>
            <w:r>
              <w:rPr>
                <w:spacing w:val="-4"/>
                <w:sz w:val="24"/>
              </w:rPr>
              <w:t>.143</w:t>
            </w:r>
          </w:p>
        </w:tc>
        <w:tc>
          <w:tcPr>
            <w:tcW w:w="1652" w:type="dxa"/>
          </w:tcPr>
          <w:p>
            <w:pPr>
              <w:pStyle w:val="TableParagraph"/>
              <w:spacing w:before="163"/>
              <w:ind w:left="92"/>
              <w:jc w:val="center"/>
              <w:rPr>
                <w:sz w:val="24"/>
              </w:rPr>
            </w:pPr>
            <w:r>
              <w:rPr>
                <w:spacing w:val="-2"/>
                <w:sz w:val="24"/>
              </w:rPr>
              <w:t>1.431</w:t>
            </w:r>
          </w:p>
        </w:tc>
        <w:tc>
          <w:tcPr>
            <w:tcW w:w="1692" w:type="dxa"/>
          </w:tcPr>
          <w:p>
            <w:pPr>
              <w:pStyle w:val="TableParagraph"/>
              <w:spacing w:before="163"/>
              <w:ind w:right="134"/>
              <w:jc w:val="center"/>
              <w:rPr>
                <w:sz w:val="24"/>
              </w:rPr>
            </w:pPr>
            <w:r>
              <w:rPr>
                <w:spacing w:val="-2"/>
                <w:sz w:val="24"/>
              </w:rPr>
              <w:t>98.630</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2" w:hRule="atLeast"/>
        </w:trPr>
        <w:tc>
          <w:tcPr>
            <w:tcW w:w="797" w:type="dxa"/>
          </w:tcPr>
          <w:p>
            <w:pPr>
              <w:pStyle w:val="TableParagraph"/>
              <w:spacing w:before="163"/>
              <w:ind w:left="38"/>
              <w:rPr>
                <w:sz w:val="24"/>
              </w:rPr>
            </w:pPr>
            <w:r>
              <w:rPr>
                <w:spacing w:val="-10"/>
                <w:sz w:val="24"/>
              </w:rPr>
              <w:t>6</w:t>
            </w:r>
          </w:p>
        </w:tc>
        <w:tc>
          <w:tcPr>
            <w:tcW w:w="996" w:type="dxa"/>
          </w:tcPr>
          <w:p>
            <w:pPr>
              <w:pStyle w:val="TableParagraph"/>
              <w:spacing w:before="163"/>
              <w:ind w:left="95"/>
              <w:jc w:val="center"/>
              <w:rPr>
                <w:sz w:val="24"/>
              </w:rPr>
            </w:pPr>
            <w:r>
              <w:rPr>
                <w:spacing w:val="-4"/>
                <w:sz w:val="24"/>
              </w:rPr>
              <w:t>.049</w:t>
            </w:r>
          </w:p>
        </w:tc>
        <w:tc>
          <w:tcPr>
            <w:tcW w:w="1652" w:type="dxa"/>
          </w:tcPr>
          <w:p>
            <w:pPr>
              <w:pStyle w:val="TableParagraph"/>
              <w:spacing w:before="163"/>
              <w:ind w:left="92"/>
              <w:jc w:val="center"/>
              <w:rPr>
                <w:sz w:val="24"/>
              </w:rPr>
            </w:pPr>
            <w:r>
              <w:rPr>
                <w:spacing w:val="-4"/>
                <w:sz w:val="24"/>
              </w:rPr>
              <w:t>.490</w:t>
            </w:r>
          </w:p>
        </w:tc>
        <w:tc>
          <w:tcPr>
            <w:tcW w:w="1692" w:type="dxa"/>
          </w:tcPr>
          <w:p>
            <w:pPr>
              <w:pStyle w:val="TableParagraph"/>
              <w:spacing w:before="163"/>
              <w:ind w:right="134"/>
              <w:jc w:val="center"/>
              <w:rPr>
                <w:sz w:val="24"/>
              </w:rPr>
            </w:pPr>
            <w:r>
              <w:rPr>
                <w:spacing w:val="-2"/>
                <w:sz w:val="24"/>
              </w:rPr>
              <w:t>99.119</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2" w:hRule="atLeast"/>
        </w:trPr>
        <w:tc>
          <w:tcPr>
            <w:tcW w:w="797" w:type="dxa"/>
          </w:tcPr>
          <w:p>
            <w:pPr>
              <w:pStyle w:val="TableParagraph"/>
              <w:spacing w:before="163"/>
              <w:ind w:left="38"/>
              <w:rPr>
                <w:sz w:val="24"/>
              </w:rPr>
            </w:pPr>
            <w:r>
              <w:rPr>
                <w:spacing w:val="-10"/>
                <w:sz w:val="24"/>
              </w:rPr>
              <w:t>7</w:t>
            </w:r>
          </w:p>
        </w:tc>
        <w:tc>
          <w:tcPr>
            <w:tcW w:w="996" w:type="dxa"/>
          </w:tcPr>
          <w:p>
            <w:pPr>
              <w:pStyle w:val="TableParagraph"/>
              <w:spacing w:before="163"/>
              <w:ind w:left="95"/>
              <w:jc w:val="center"/>
              <w:rPr>
                <w:sz w:val="24"/>
              </w:rPr>
            </w:pPr>
            <w:r>
              <w:rPr>
                <w:spacing w:val="-4"/>
                <w:sz w:val="24"/>
              </w:rPr>
              <w:t>.038</w:t>
            </w:r>
          </w:p>
        </w:tc>
        <w:tc>
          <w:tcPr>
            <w:tcW w:w="1652" w:type="dxa"/>
          </w:tcPr>
          <w:p>
            <w:pPr>
              <w:pStyle w:val="TableParagraph"/>
              <w:spacing w:before="163"/>
              <w:ind w:left="92"/>
              <w:jc w:val="center"/>
              <w:rPr>
                <w:sz w:val="24"/>
              </w:rPr>
            </w:pPr>
            <w:r>
              <w:rPr>
                <w:spacing w:val="-4"/>
                <w:sz w:val="24"/>
              </w:rPr>
              <w:t>.382</w:t>
            </w:r>
          </w:p>
        </w:tc>
        <w:tc>
          <w:tcPr>
            <w:tcW w:w="1692" w:type="dxa"/>
          </w:tcPr>
          <w:p>
            <w:pPr>
              <w:pStyle w:val="TableParagraph"/>
              <w:spacing w:before="163"/>
              <w:ind w:right="134"/>
              <w:jc w:val="center"/>
              <w:rPr>
                <w:sz w:val="24"/>
              </w:rPr>
            </w:pPr>
            <w:r>
              <w:rPr>
                <w:spacing w:val="-2"/>
                <w:sz w:val="24"/>
              </w:rPr>
              <w:t>99.501</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1" w:hRule="atLeast"/>
        </w:trPr>
        <w:tc>
          <w:tcPr>
            <w:tcW w:w="797" w:type="dxa"/>
          </w:tcPr>
          <w:p>
            <w:pPr>
              <w:pStyle w:val="TableParagraph"/>
              <w:spacing w:before="163"/>
              <w:ind w:left="38"/>
              <w:rPr>
                <w:sz w:val="24"/>
              </w:rPr>
            </w:pPr>
            <w:r>
              <w:rPr>
                <w:spacing w:val="-10"/>
                <w:sz w:val="24"/>
              </w:rPr>
              <w:t>8</w:t>
            </w:r>
          </w:p>
        </w:tc>
        <w:tc>
          <w:tcPr>
            <w:tcW w:w="996" w:type="dxa"/>
          </w:tcPr>
          <w:p>
            <w:pPr>
              <w:pStyle w:val="TableParagraph"/>
              <w:spacing w:before="163"/>
              <w:ind w:left="95"/>
              <w:jc w:val="center"/>
              <w:rPr>
                <w:sz w:val="24"/>
              </w:rPr>
            </w:pPr>
            <w:r>
              <w:rPr>
                <w:spacing w:val="-4"/>
                <w:sz w:val="24"/>
              </w:rPr>
              <w:t>.021</w:t>
            </w:r>
          </w:p>
        </w:tc>
        <w:tc>
          <w:tcPr>
            <w:tcW w:w="1652" w:type="dxa"/>
          </w:tcPr>
          <w:p>
            <w:pPr>
              <w:pStyle w:val="TableParagraph"/>
              <w:spacing w:before="163"/>
              <w:ind w:left="92"/>
              <w:jc w:val="center"/>
              <w:rPr>
                <w:sz w:val="24"/>
              </w:rPr>
            </w:pPr>
            <w:r>
              <w:rPr>
                <w:spacing w:val="-4"/>
                <w:sz w:val="24"/>
              </w:rPr>
              <w:t>.213</w:t>
            </w:r>
          </w:p>
        </w:tc>
        <w:tc>
          <w:tcPr>
            <w:tcW w:w="1692" w:type="dxa"/>
          </w:tcPr>
          <w:p>
            <w:pPr>
              <w:pStyle w:val="TableParagraph"/>
              <w:spacing w:before="163"/>
              <w:ind w:right="134"/>
              <w:jc w:val="center"/>
              <w:rPr>
                <w:sz w:val="24"/>
              </w:rPr>
            </w:pPr>
            <w:r>
              <w:rPr>
                <w:spacing w:val="-2"/>
                <w:sz w:val="24"/>
              </w:rPr>
              <w:t>99.714</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2" w:hRule="atLeast"/>
        </w:trPr>
        <w:tc>
          <w:tcPr>
            <w:tcW w:w="797" w:type="dxa"/>
          </w:tcPr>
          <w:p>
            <w:pPr>
              <w:pStyle w:val="TableParagraph"/>
              <w:spacing w:before="163"/>
              <w:ind w:left="38"/>
              <w:rPr>
                <w:sz w:val="24"/>
              </w:rPr>
            </w:pPr>
            <w:r>
              <w:rPr>
                <w:spacing w:val="-10"/>
                <w:sz w:val="24"/>
              </w:rPr>
              <w:t>9</w:t>
            </w:r>
          </w:p>
        </w:tc>
        <w:tc>
          <w:tcPr>
            <w:tcW w:w="996" w:type="dxa"/>
          </w:tcPr>
          <w:p>
            <w:pPr>
              <w:pStyle w:val="TableParagraph"/>
              <w:spacing w:before="163"/>
              <w:ind w:left="95"/>
              <w:jc w:val="center"/>
              <w:rPr>
                <w:sz w:val="24"/>
              </w:rPr>
            </w:pPr>
            <w:r>
              <w:rPr>
                <w:spacing w:val="-4"/>
                <w:sz w:val="24"/>
              </w:rPr>
              <w:t>.019</w:t>
            </w:r>
          </w:p>
        </w:tc>
        <w:tc>
          <w:tcPr>
            <w:tcW w:w="1652" w:type="dxa"/>
          </w:tcPr>
          <w:p>
            <w:pPr>
              <w:pStyle w:val="TableParagraph"/>
              <w:spacing w:before="163"/>
              <w:ind w:left="92"/>
              <w:jc w:val="center"/>
              <w:rPr>
                <w:sz w:val="24"/>
              </w:rPr>
            </w:pPr>
            <w:r>
              <w:rPr>
                <w:spacing w:val="-4"/>
                <w:sz w:val="24"/>
              </w:rPr>
              <w:t>.188</w:t>
            </w:r>
          </w:p>
        </w:tc>
        <w:tc>
          <w:tcPr>
            <w:tcW w:w="1692" w:type="dxa"/>
          </w:tcPr>
          <w:p>
            <w:pPr>
              <w:pStyle w:val="TableParagraph"/>
              <w:spacing w:before="163"/>
              <w:ind w:right="134"/>
              <w:jc w:val="center"/>
              <w:rPr>
                <w:sz w:val="24"/>
              </w:rPr>
            </w:pPr>
            <w:r>
              <w:rPr>
                <w:spacing w:val="-2"/>
                <w:sz w:val="24"/>
              </w:rPr>
              <w:t>99.903</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611" w:hRule="atLeast"/>
        </w:trPr>
        <w:tc>
          <w:tcPr>
            <w:tcW w:w="797" w:type="dxa"/>
          </w:tcPr>
          <w:p>
            <w:pPr>
              <w:pStyle w:val="TableParagraph"/>
              <w:spacing w:before="163"/>
              <w:ind w:left="38"/>
              <w:rPr>
                <w:sz w:val="24"/>
              </w:rPr>
            </w:pPr>
            <w:r>
              <w:rPr>
                <w:spacing w:val="-5"/>
                <w:sz w:val="24"/>
              </w:rPr>
              <w:t>10</w:t>
            </w:r>
          </w:p>
        </w:tc>
        <w:tc>
          <w:tcPr>
            <w:tcW w:w="996" w:type="dxa"/>
          </w:tcPr>
          <w:p>
            <w:pPr>
              <w:pStyle w:val="TableParagraph"/>
              <w:spacing w:before="163"/>
              <w:ind w:left="95"/>
              <w:jc w:val="center"/>
              <w:rPr>
                <w:sz w:val="24"/>
              </w:rPr>
            </w:pPr>
            <w:r>
              <w:rPr>
                <w:spacing w:val="-4"/>
                <w:sz w:val="24"/>
              </w:rPr>
              <w:t>.010</w:t>
            </w:r>
          </w:p>
        </w:tc>
        <w:tc>
          <w:tcPr>
            <w:tcW w:w="1652" w:type="dxa"/>
          </w:tcPr>
          <w:p>
            <w:pPr>
              <w:pStyle w:val="TableParagraph"/>
              <w:spacing w:before="163"/>
              <w:ind w:left="92"/>
              <w:jc w:val="center"/>
              <w:rPr>
                <w:sz w:val="24"/>
              </w:rPr>
            </w:pPr>
            <w:r>
              <w:rPr>
                <w:spacing w:val="-4"/>
                <w:sz w:val="24"/>
              </w:rPr>
              <w:t>.097</w:t>
            </w:r>
          </w:p>
        </w:tc>
        <w:tc>
          <w:tcPr>
            <w:tcW w:w="1692" w:type="dxa"/>
          </w:tcPr>
          <w:p>
            <w:pPr>
              <w:pStyle w:val="TableParagraph"/>
              <w:spacing w:before="163"/>
              <w:ind w:right="134"/>
              <w:jc w:val="center"/>
              <w:rPr>
                <w:sz w:val="24"/>
              </w:rPr>
            </w:pPr>
            <w:r>
              <w:rPr>
                <w:spacing w:val="-2"/>
                <w:sz w:val="24"/>
              </w:rPr>
              <w:t>100.000</w:t>
            </w:r>
          </w:p>
        </w:tc>
        <w:tc>
          <w:tcPr>
            <w:tcW w:w="982" w:type="dxa"/>
          </w:tcPr>
          <w:p>
            <w:pPr>
              <w:pStyle w:val="TableParagraph"/>
              <w:rPr>
                <w:sz w:val="22"/>
              </w:rPr>
            </w:pPr>
          </w:p>
        </w:tc>
        <w:tc>
          <w:tcPr>
            <w:tcW w:w="1691" w:type="dxa"/>
          </w:tcPr>
          <w:p>
            <w:pPr>
              <w:pStyle w:val="TableParagraph"/>
              <w:rPr>
                <w:sz w:val="22"/>
              </w:rPr>
            </w:pPr>
          </w:p>
        </w:tc>
        <w:tc>
          <w:tcPr>
            <w:tcW w:w="1563" w:type="dxa"/>
          </w:tcPr>
          <w:p>
            <w:pPr>
              <w:pStyle w:val="TableParagraph"/>
              <w:rPr>
                <w:sz w:val="22"/>
              </w:rPr>
            </w:pPr>
          </w:p>
        </w:tc>
      </w:tr>
      <w:tr>
        <w:trPr>
          <w:trHeight w:val="751" w:hRule="atLeast"/>
        </w:trPr>
        <w:tc>
          <w:tcPr>
            <w:tcW w:w="5137" w:type="dxa"/>
            <w:gridSpan w:val="4"/>
            <w:tcBorders>
              <w:bottom w:val="single" w:sz="4" w:space="0" w:color="000000"/>
            </w:tcBorders>
          </w:tcPr>
          <w:p>
            <w:pPr>
              <w:pStyle w:val="TableParagraph"/>
              <w:spacing w:before="163"/>
              <w:ind w:left="38"/>
              <w:rPr>
                <w:sz w:val="24"/>
              </w:rPr>
            </w:pPr>
            <w:r>
              <w:rPr>
                <w:sz w:val="24"/>
              </w:rPr>
              <w:t>Extraction</w:t>
            </w:r>
            <w:r>
              <w:rPr>
                <w:spacing w:val="-2"/>
                <w:sz w:val="24"/>
              </w:rPr>
              <w:t> </w:t>
            </w:r>
            <w:r>
              <w:rPr>
                <w:sz w:val="24"/>
              </w:rPr>
              <w:t>Method:</w:t>
            </w:r>
            <w:r>
              <w:rPr>
                <w:spacing w:val="-2"/>
                <w:sz w:val="24"/>
              </w:rPr>
              <w:t> </w:t>
            </w:r>
            <w:r>
              <w:rPr>
                <w:sz w:val="24"/>
              </w:rPr>
              <w:t>Principal</w:t>
            </w:r>
            <w:r>
              <w:rPr>
                <w:spacing w:val="-2"/>
                <w:sz w:val="24"/>
              </w:rPr>
              <w:t> </w:t>
            </w:r>
            <w:r>
              <w:rPr>
                <w:sz w:val="24"/>
              </w:rPr>
              <w:t>Component</w:t>
            </w:r>
            <w:r>
              <w:rPr>
                <w:spacing w:val="-1"/>
                <w:sz w:val="24"/>
              </w:rPr>
              <w:t> </w:t>
            </w:r>
            <w:r>
              <w:rPr>
                <w:spacing w:val="-2"/>
                <w:sz w:val="24"/>
              </w:rPr>
              <w:t>Analysis.</w:t>
            </w:r>
          </w:p>
        </w:tc>
        <w:tc>
          <w:tcPr>
            <w:tcW w:w="982" w:type="dxa"/>
            <w:tcBorders>
              <w:bottom w:val="single" w:sz="4" w:space="0" w:color="000000"/>
            </w:tcBorders>
          </w:tcPr>
          <w:p>
            <w:pPr>
              <w:pStyle w:val="TableParagraph"/>
              <w:rPr>
                <w:sz w:val="22"/>
              </w:rPr>
            </w:pPr>
          </w:p>
        </w:tc>
        <w:tc>
          <w:tcPr>
            <w:tcW w:w="1691" w:type="dxa"/>
            <w:tcBorders>
              <w:bottom w:val="single" w:sz="4" w:space="0" w:color="000000"/>
            </w:tcBorders>
          </w:tcPr>
          <w:p>
            <w:pPr>
              <w:pStyle w:val="TableParagraph"/>
              <w:rPr>
                <w:sz w:val="22"/>
              </w:rPr>
            </w:pPr>
          </w:p>
        </w:tc>
        <w:tc>
          <w:tcPr>
            <w:tcW w:w="1563" w:type="dxa"/>
            <w:tcBorders>
              <w:bottom w:val="single" w:sz="4" w:space="0" w:color="000000"/>
            </w:tcBorders>
          </w:tcPr>
          <w:p>
            <w:pPr>
              <w:pStyle w:val="TableParagraph"/>
              <w:rPr>
                <w:sz w:val="22"/>
              </w:rPr>
            </w:pPr>
          </w:p>
        </w:tc>
      </w:tr>
    </w:tbl>
    <w:p>
      <w:pPr>
        <w:pStyle w:val="BodyText"/>
        <w:spacing w:before="274"/>
      </w:pPr>
    </w:p>
    <w:p>
      <w:pPr>
        <w:pStyle w:val="BodyText"/>
        <w:spacing w:line="480" w:lineRule="auto"/>
        <w:ind w:left="400" w:right="1318"/>
        <w:jc w:val="both"/>
      </w:pPr>
      <w:r>
        <w:rPr/>
        <w:t>We can see that total variance explained by the PCA is 79.528%; that is the Principal Components Analysis was able to explain about 79.528% of variations in the critical success </w:t>
      </w:r>
      <w:r>
        <w:rPr>
          <w:spacing w:val="-2"/>
        </w:rPr>
        <w:t>factors.</w:t>
      </w:r>
    </w:p>
    <w:p>
      <w:pPr>
        <w:spacing w:after="0" w:line="480" w:lineRule="auto"/>
        <w:jc w:val="both"/>
        <w:sectPr>
          <w:pgSz w:w="12240" w:h="15840"/>
          <w:pgMar w:header="0" w:footer="1017" w:top="1360" w:bottom="1200" w:left="1040" w:right="120"/>
        </w:sectPr>
      </w:pPr>
    </w:p>
    <w:tbl>
      <w:tblPr>
        <w:tblW w:w="0" w:type="auto"/>
        <w:jc w:val="left"/>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9"/>
        <w:gridCol w:w="1771"/>
      </w:tblGrid>
      <w:tr>
        <w:trPr>
          <w:trHeight w:val="335" w:hRule="atLeast"/>
        </w:trPr>
        <w:tc>
          <w:tcPr>
            <w:tcW w:w="5679" w:type="dxa"/>
            <w:tcBorders>
              <w:top w:val="single" w:sz="4" w:space="0" w:color="000000"/>
              <w:bottom w:val="single" w:sz="4" w:space="0" w:color="000000"/>
            </w:tcBorders>
          </w:tcPr>
          <w:p>
            <w:pPr>
              <w:pStyle w:val="TableParagraph"/>
              <w:spacing w:before="22"/>
              <w:ind w:left="2700"/>
              <w:rPr>
                <w:b/>
                <w:sz w:val="16"/>
              </w:rPr>
            </w:pPr>
            <w:r>
              <w:rPr>
                <w:b/>
                <w:sz w:val="24"/>
              </w:rPr>
              <w:t>Component</w:t>
            </w:r>
            <w:r>
              <w:rPr>
                <w:b/>
                <w:spacing w:val="-5"/>
                <w:sz w:val="24"/>
              </w:rPr>
              <w:t> </w:t>
            </w:r>
            <w:r>
              <w:rPr>
                <w:b/>
                <w:spacing w:val="-2"/>
                <w:sz w:val="24"/>
              </w:rPr>
              <w:t>Matrix</w:t>
            </w:r>
            <w:r>
              <w:rPr>
                <w:b/>
                <w:spacing w:val="-2"/>
                <w:position w:val="8"/>
                <w:sz w:val="16"/>
              </w:rPr>
              <w:t>a</w:t>
            </w:r>
          </w:p>
        </w:tc>
        <w:tc>
          <w:tcPr>
            <w:tcW w:w="1771" w:type="dxa"/>
            <w:tcBorders>
              <w:top w:val="single" w:sz="4" w:space="0" w:color="000000"/>
              <w:bottom w:val="single" w:sz="4" w:space="0" w:color="000000"/>
            </w:tcBorders>
          </w:tcPr>
          <w:p>
            <w:pPr>
              <w:pStyle w:val="TableParagraph"/>
              <w:rPr>
                <w:sz w:val="22"/>
              </w:rPr>
            </w:pPr>
          </w:p>
        </w:tc>
      </w:tr>
      <w:tr>
        <w:trPr>
          <w:trHeight w:val="611" w:hRule="atLeast"/>
        </w:trPr>
        <w:tc>
          <w:tcPr>
            <w:tcW w:w="7450" w:type="dxa"/>
            <w:gridSpan w:val="2"/>
            <w:tcBorders>
              <w:top w:val="single" w:sz="4" w:space="0" w:color="000000"/>
              <w:bottom w:val="single" w:sz="4" w:space="0" w:color="000000"/>
            </w:tcBorders>
          </w:tcPr>
          <w:p>
            <w:pPr>
              <w:pStyle w:val="TableParagraph"/>
              <w:spacing w:before="23"/>
              <w:ind w:right="732"/>
              <w:jc w:val="right"/>
              <w:rPr>
                <w:sz w:val="24"/>
              </w:rPr>
            </w:pPr>
            <w:r>
              <w:rPr>
                <w:spacing w:val="-2"/>
                <w:sz w:val="24"/>
              </w:rPr>
              <w:t>Component</w:t>
            </w:r>
          </w:p>
        </w:tc>
      </w:tr>
      <w:tr>
        <w:trPr>
          <w:trHeight w:val="611" w:hRule="atLeast"/>
        </w:trPr>
        <w:tc>
          <w:tcPr>
            <w:tcW w:w="5679" w:type="dxa"/>
            <w:tcBorders>
              <w:top w:val="single" w:sz="4" w:space="0" w:color="000000"/>
              <w:bottom w:val="single" w:sz="4" w:space="0" w:color="000000"/>
            </w:tcBorders>
          </w:tcPr>
          <w:p>
            <w:pPr>
              <w:pStyle w:val="TableParagraph"/>
              <w:rPr>
                <w:sz w:val="22"/>
              </w:rPr>
            </w:pPr>
          </w:p>
        </w:tc>
        <w:tc>
          <w:tcPr>
            <w:tcW w:w="1771" w:type="dxa"/>
            <w:tcBorders>
              <w:top w:val="single" w:sz="4" w:space="0" w:color="000000"/>
              <w:bottom w:val="single" w:sz="4" w:space="0" w:color="000000"/>
            </w:tcBorders>
          </w:tcPr>
          <w:p>
            <w:pPr>
              <w:pStyle w:val="TableParagraph"/>
              <w:spacing w:before="23"/>
              <w:ind w:left="419"/>
              <w:rPr>
                <w:sz w:val="24"/>
              </w:rPr>
            </w:pPr>
            <w:r>
              <w:rPr>
                <w:spacing w:val="-10"/>
                <w:sz w:val="24"/>
              </w:rPr>
              <w:t>1</w:t>
            </w:r>
          </w:p>
        </w:tc>
      </w:tr>
      <w:tr>
        <w:trPr>
          <w:trHeight w:val="472" w:hRule="atLeast"/>
        </w:trPr>
        <w:tc>
          <w:tcPr>
            <w:tcW w:w="5679" w:type="dxa"/>
            <w:tcBorders>
              <w:top w:val="single" w:sz="4" w:space="0" w:color="000000"/>
            </w:tcBorders>
          </w:tcPr>
          <w:p>
            <w:pPr>
              <w:pStyle w:val="TableParagraph"/>
              <w:spacing w:before="23"/>
              <w:ind w:left="38"/>
              <w:rPr>
                <w:sz w:val="24"/>
              </w:rPr>
            </w:pPr>
            <w:r>
              <w:rPr>
                <w:sz w:val="24"/>
              </w:rPr>
              <w:t>Performance</w:t>
            </w:r>
            <w:r>
              <w:rPr>
                <w:spacing w:val="-5"/>
                <w:sz w:val="24"/>
              </w:rPr>
              <w:t> </w:t>
            </w:r>
            <w:r>
              <w:rPr>
                <w:spacing w:val="-2"/>
                <w:sz w:val="24"/>
              </w:rPr>
              <w:t>Measurement</w:t>
            </w:r>
          </w:p>
        </w:tc>
        <w:tc>
          <w:tcPr>
            <w:tcW w:w="1771" w:type="dxa"/>
            <w:tcBorders>
              <w:top w:val="single" w:sz="4" w:space="0" w:color="000000"/>
            </w:tcBorders>
          </w:tcPr>
          <w:p>
            <w:pPr>
              <w:pStyle w:val="TableParagraph"/>
              <w:spacing w:before="23"/>
              <w:ind w:right="27"/>
              <w:jc w:val="right"/>
              <w:rPr>
                <w:sz w:val="24"/>
              </w:rPr>
            </w:pPr>
            <w:r>
              <w:rPr>
                <w:spacing w:val="-4"/>
                <w:sz w:val="24"/>
              </w:rPr>
              <w:t>.983</w:t>
            </w:r>
          </w:p>
        </w:tc>
      </w:tr>
      <w:tr>
        <w:trPr>
          <w:trHeight w:val="612" w:hRule="atLeast"/>
        </w:trPr>
        <w:tc>
          <w:tcPr>
            <w:tcW w:w="5679" w:type="dxa"/>
          </w:tcPr>
          <w:p>
            <w:pPr>
              <w:pStyle w:val="TableParagraph"/>
              <w:spacing w:before="163"/>
              <w:ind w:left="38"/>
              <w:rPr>
                <w:sz w:val="24"/>
              </w:rPr>
            </w:pPr>
            <w:r>
              <w:rPr>
                <w:sz w:val="24"/>
              </w:rPr>
              <w:t>Customer</w:t>
            </w:r>
            <w:r>
              <w:rPr>
                <w:spacing w:val="-2"/>
                <w:sz w:val="24"/>
              </w:rPr>
              <w:t> Focus</w:t>
            </w:r>
          </w:p>
        </w:tc>
        <w:tc>
          <w:tcPr>
            <w:tcW w:w="1771" w:type="dxa"/>
          </w:tcPr>
          <w:p>
            <w:pPr>
              <w:pStyle w:val="TableParagraph"/>
              <w:spacing w:before="163"/>
              <w:ind w:right="27"/>
              <w:jc w:val="right"/>
              <w:rPr>
                <w:sz w:val="24"/>
              </w:rPr>
            </w:pPr>
            <w:r>
              <w:rPr>
                <w:spacing w:val="-4"/>
                <w:sz w:val="24"/>
              </w:rPr>
              <w:t>.980</w:t>
            </w:r>
          </w:p>
        </w:tc>
      </w:tr>
      <w:tr>
        <w:trPr>
          <w:trHeight w:val="611" w:hRule="atLeast"/>
        </w:trPr>
        <w:tc>
          <w:tcPr>
            <w:tcW w:w="5679" w:type="dxa"/>
          </w:tcPr>
          <w:p>
            <w:pPr>
              <w:pStyle w:val="TableParagraph"/>
              <w:spacing w:before="163"/>
              <w:ind w:left="38"/>
              <w:rPr>
                <w:sz w:val="24"/>
              </w:rPr>
            </w:pPr>
            <w:r>
              <w:rPr>
                <w:sz w:val="24"/>
              </w:rPr>
              <w:t>Employee</w:t>
            </w:r>
            <w:r>
              <w:rPr>
                <w:spacing w:val="-6"/>
                <w:sz w:val="24"/>
              </w:rPr>
              <w:t> </w:t>
            </w:r>
            <w:r>
              <w:rPr>
                <w:spacing w:val="-2"/>
                <w:sz w:val="24"/>
              </w:rPr>
              <w:t>participation</w:t>
            </w:r>
          </w:p>
        </w:tc>
        <w:tc>
          <w:tcPr>
            <w:tcW w:w="1771" w:type="dxa"/>
          </w:tcPr>
          <w:p>
            <w:pPr>
              <w:pStyle w:val="TableParagraph"/>
              <w:spacing w:before="163"/>
              <w:ind w:right="27"/>
              <w:jc w:val="right"/>
              <w:rPr>
                <w:sz w:val="24"/>
              </w:rPr>
            </w:pPr>
            <w:r>
              <w:rPr>
                <w:spacing w:val="-4"/>
                <w:sz w:val="24"/>
              </w:rPr>
              <w:t>.980</w:t>
            </w:r>
          </w:p>
        </w:tc>
      </w:tr>
      <w:tr>
        <w:trPr>
          <w:trHeight w:val="612" w:hRule="atLeast"/>
        </w:trPr>
        <w:tc>
          <w:tcPr>
            <w:tcW w:w="5679" w:type="dxa"/>
          </w:tcPr>
          <w:p>
            <w:pPr>
              <w:pStyle w:val="TableParagraph"/>
              <w:spacing w:before="163"/>
              <w:ind w:left="38"/>
              <w:rPr>
                <w:sz w:val="24"/>
              </w:rPr>
            </w:pPr>
            <w:r>
              <w:rPr>
                <w:sz w:val="24"/>
              </w:rPr>
              <w:t>Continuous</w:t>
            </w:r>
            <w:r>
              <w:rPr>
                <w:spacing w:val="2"/>
                <w:sz w:val="24"/>
              </w:rPr>
              <w:t> </w:t>
            </w:r>
            <w:r>
              <w:rPr>
                <w:spacing w:val="-2"/>
                <w:sz w:val="24"/>
              </w:rPr>
              <w:t>Improvement</w:t>
            </w:r>
          </w:p>
        </w:tc>
        <w:tc>
          <w:tcPr>
            <w:tcW w:w="1771" w:type="dxa"/>
          </w:tcPr>
          <w:p>
            <w:pPr>
              <w:pStyle w:val="TableParagraph"/>
              <w:spacing w:before="163"/>
              <w:ind w:right="27"/>
              <w:jc w:val="right"/>
              <w:rPr>
                <w:sz w:val="24"/>
              </w:rPr>
            </w:pPr>
            <w:r>
              <w:rPr>
                <w:spacing w:val="-4"/>
                <w:sz w:val="24"/>
              </w:rPr>
              <w:t>.979</w:t>
            </w:r>
          </w:p>
        </w:tc>
      </w:tr>
      <w:tr>
        <w:trPr>
          <w:trHeight w:val="611" w:hRule="atLeast"/>
        </w:trPr>
        <w:tc>
          <w:tcPr>
            <w:tcW w:w="5679" w:type="dxa"/>
          </w:tcPr>
          <w:p>
            <w:pPr>
              <w:pStyle w:val="TableParagraph"/>
              <w:spacing w:before="163"/>
              <w:ind w:left="38"/>
              <w:rPr>
                <w:sz w:val="24"/>
              </w:rPr>
            </w:pPr>
            <w:r>
              <w:rPr>
                <w:sz w:val="24"/>
              </w:rPr>
              <w:t>Strategic</w:t>
            </w:r>
            <w:r>
              <w:rPr>
                <w:spacing w:val="-7"/>
                <w:sz w:val="24"/>
              </w:rPr>
              <w:t> </w:t>
            </w:r>
            <w:r>
              <w:rPr>
                <w:spacing w:val="-2"/>
                <w:sz w:val="24"/>
              </w:rPr>
              <w:t>Planning</w:t>
            </w:r>
          </w:p>
        </w:tc>
        <w:tc>
          <w:tcPr>
            <w:tcW w:w="1771" w:type="dxa"/>
          </w:tcPr>
          <w:p>
            <w:pPr>
              <w:pStyle w:val="TableParagraph"/>
              <w:spacing w:before="163"/>
              <w:ind w:right="27"/>
              <w:jc w:val="right"/>
              <w:rPr>
                <w:sz w:val="24"/>
              </w:rPr>
            </w:pPr>
            <w:r>
              <w:rPr>
                <w:spacing w:val="-4"/>
                <w:sz w:val="24"/>
              </w:rPr>
              <w:t>.978</w:t>
            </w:r>
          </w:p>
        </w:tc>
      </w:tr>
      <w:tr>
        <w:trPr>
          <w:trHeight w:val="611" w:hRule="atLeast"/>
        </w:trPr>
        <w:tc>
          <w:tcPr>
            <w:tcW w:w="5679" w:type="dxa"/>
          </w:tcPr>
          <w:p>
            <w:pPr>
              <w:pStyle w:val="TableParagraph"/>
              <w:spacing w:before="163"/>
              <w:ind w:left="38"/>
              <w:rPr>
                <w:sz w:val="24"/>
              </w:rPr>
            </w:pPr>
            <w:r>
              <w:rPr>
                <w:sz w:val="24"/>
              </w:rPr>
              <w:t>Leadership</w:t>
            </w:r>
            <w:r>
              <w:rPr>
                <w:spacing w:val="-2"/>
                <w:sz w:val="24"/>
              </w:rPr>
              <w:t> </w:t>
            </w:r>
            <w:r>
              <w:rPr>
                <w:sz w:val="24"/>
              </w:rPr>
              <w:t>and</w:t>
            </w:r>
            <w:r>
              <w:rPr>
                <w:spacing w:val="-2"/>
                <w:sz w:val="24"/>
              </w:rPr>
              <w:t> </w:t>
            </w:r>
            <w:r>
              <w:rPr>
                <w:sz w:val="24"/>
              </w:rPr>
              <w:t>top</w:t>
            </w:r>
            <w:r>
              <w:rPr>
                <w:spacing w:val="-2"/>
                <w:sz w:val="24"/>
              </w:rPr>
              <w:t> </w:t>
            </w:r>
            <w:r>
              <w:rPr>
                <w:sz w:val="24"/>
              </w:rPr>
              <w:t>management</w:t>
            </w:r>
            <w:r>
              <w:rPr>
                <w:spacing w:val="-1"/>
                <w:sz w:val="24"/>
              </w:rPr>
              <w:t> </w:t>
            </w:r>
            <w:r>
              <w:rPr>
                <w:spacing w:val="-2"/>
                <w:sz w:val="24"/>
              </w:rPr>
              <w:t>commitment</w:t>
            </w:r>
          </w:p>
        </w:tc>
        <w:tc>
          <w:tcPr>
            <w:tcW w:w="1771" w:type="dxa"/>
          </w:tcPr>
          <w:p>
            <w:pPr>
              <w:pStyle w:val="TableParagraph"/>
              <w:spacing w:before="163"/>
              <w:ind w:right="27"/>
              <w:jc w:val="right"/>
              <w:rPr>
                <w:sz w:val="24"/>
              </w:rPr>
            </w:pPr>
            <w:r>
              <w:rPr>
                <w:spacing w:val="-4"/>
                <w:sz w:val="24"/>
              </w:rPr>
              <w:t>.974</w:t>
            </w:r>
          </w:p>
        </w:tc>
      </w:tr>
      <w:tr>
        <w:trPr>
          <w:trHeight w:val="612" w:hRule="atLeast"/>
        </w:trPr>
        <w:tc>
          <w:tcPr>
            <w:tcW w:w="5679" w:type="dxa"/>
          </w:tcPr>
          <w:p>
            <w:pPr>
              <w:pStyle w:val="TableParagraph"/>
              <w:spacing w:before="163"/>
              <w:ind w:left="38"/>
              <w:rPr>
                <w:sz w:val="24"/>
              </w:rPr>
            </w:pPr>
            <w:r>
              <w:rPr>
                <w:spacing w:val="-2"/>
                <w:sz w:val="24"/>
              </w:rPr>
              <w:t>Training</w:t>
            </w:r>
          </w:p>
        </w:tc>
        <w:tc>
          <w:tcPr>
            <w:tcW w:w="1771" w:type="dxa"/>
          </w:tcPr>
          <w:p>
            <w:pPr>
              <w:pStyle w:val="TableParagraph"/>
              <w:spacing w:before="163"/>
              <w:ind w:right="27"/>
              <w:jc w:val="right"/>
              <w:rPr>
                <w:sz w:val="24"/>
              </w:rPr>
            </w:pPr>
            <w:r>
              <w:rPr>
                <w:spacing w:val="-4"/>
                <w:sz w:val="24"/>
              </w:rPr>
              <w:t>.886</w:t>
            </w:r>
          </w:p>
        </w:tc>
      </w:tr>
      <w:tr>
        <w:trPr>
          <w:trHeight w:val="611" w:hRule="atLeast"/>
        </w:trPr>
        <w:tc>
          <w:tcPr>
            <w:tcW w:w="5679" w:type="dxa"/>
          </w:tcPr>
          <w:p>
            <w:pPr>
              <w:pStyle w:val="TableParagraph"/>
              <w:spacing w:before="163"/>
              <w:ind w:left="38"/>
              <w:rPr>
                <w:sz w:val="24"/>
              </w:rPr>
            </w:pPr>
            <w:r>
              <w:rPr>
                <w:sz w:val="24"/>
              </w:rPr>
              <w:t>Quality</w:t>
            </w:r>
            <w:r>
              <w:rPr>
                <w:spacing w:val="-5"/>
                <w:sz w:val="24"/>
              </w:rPr>
              <w:t> </w:t>
            </w:r>
            <w:r>
              <w:rPr>
                <w:spacing w:val="-2"/>
                <w:sz w:val="24"/>
              </w:rPr>
              <w:t>Culture</w:t>
            </w:r>
          </w:p>
        </w:tc>
        <w:tc>
          <w:tcPr>
            <w:tcW w:w="1771" w:type="dxa"/>
          </w:tcPr>
          <w:p>
            <w:pPr>
              <w:pStyle w:val="TableParagraph"/>
              <w:spacing w:before="163"/>
              <w:ind w:right="27"/>
              <w:jc w:val="right"/>
              <w:rPr>
                <w:sz w:val="24"/>
              </w:rPr>
            </w:pPr>
            <w:r>
              <w:rPr>
                <w:spacing w:val="-2"/>
                <w:sz w:val="24"/>
              </w:rPr>
              <w:t>-</w:t>
            </w:r>
            <w:r>
              <w:rPr>
                <w:spacing w:val="-4"/>
                <w:sz w:val="24"/>
              </w:rPr>
              <w:t>.786</w:t>
            </w:r>
          </w:p>
        </w:tc>
      </w:tr>
      <w:tr>
        <w:trPr>
          <w:trHeight w:val="612" w:hRule="atLeast"/>
        </w:trPr>
        <w:tc>
          <w:tcPr>
            <w:tcW w:w="5679" w:type="dxa"/>
          </w:tcPr>
          <w:p>
            <w:pPr>
              <w:pStyle w:val="TableParagraph"/>
              <w:spacing w:before="163"/>
              <w:ind w:left="38"/>
              <w:rPr>
                <w:sz w:val="24"/>
              </w:rPr>
            </w:pPr>
            <w:r>
              <w:rPr>
                <w:spacing w:val="-2"/>
                <w:sz w:val="24"/>
              </w:rPr>
              <w:t>Communication</w:t>
            </w:r>
          </w:p>
        </w:tc>
        <w:tc>
          <w:tcPr>
            <w:tcW w:w="1771" w:type="dxa"/>
          </w:tcPr>
          <w:p>
            <w:pPr>
              <w:pStyle w:val="TableParagraph"/>
              <w:spacing w:before="163"/>
              <w:ind w:right="27"/>
              <w:jc w:val="right"/>
              <w:rPr>
                <w:sz w:val="24"/>
              </w:rPr>
            </w:pPr>
            <w:r>
              <w:rPr>
                <w:spacing w:val="-4"/>
                <w:sz w:val="24"/>
              </w:rPr>
              <w:t>.736</w:t>
            </w:r>
          </w:p>
        </w:tc>
      </w:tr>
      <w:tr>
        <w:trPr>
          <w:trHeight w:val="612" w:hRule="atLeast"/>
        </w:trPr>
        <w:tc>
          <w:tcPr>
            <w:tcW w:w="5679" w:type="dxa"/>
          </w:tcPr>
          <w:p>
            <w:pPr>
              <w:pStyle w:val="TableParagraph"/>
              <w:spacing w:before="163"/>
              <w:ind w:left="38"/>
              <w:rPr>
                <w:sz w:val="24"/>
              </w:rPr>
            </w:pPr>
            <w:r>
              <w:rPr>
                <w:sz w:val="24"/>
              </w:rPr>
              <w:t>Recognition</w:t>
            </w:r>
            <w:r>
              <w:rPr>
                <w:spacing w:val="-3"/>
                <w:sz w:val="24"/>
              </w:rPr>
              <w:t> </w:t>
            </w:r>
            <w:r>
              <w:rPr>
                <w:sz w:val="24"/>
              </w:rPr>
              <w:t>and</w:t>
            </w:r>
            <w:r>
              <w:rPr>
                <w:spacing w:val="-3"/>
                <w:sz w:val="24"/>
              </w:rPr>
              <w:t> </w:t>
            </w:r>
            <w:r>
              <w:rPr>
                <w:spacing w:val="-2"/>
                <w:sz w:val="24"/>
              </w:rPr>
              <w:t>Reward</w:t>
            </w:r>
          </w:p>
        </w:tc>
        <w:tc>
          <w:tcPr>
            <w:tcW w:w="1771" w:type="dxa"/>
          </w:tcPr>
          <w:p>
            <w:pPr>
              <w:pStyle w:val="TableParagraph"/>
              <w:spacing w:before="163"/>
              <w:ind w:right="27"/>
              <w:jc w:val="right"/>
              <w:rPr>
                <w:sz w:val="24"/>
              </w:rPr>
            </w:pPr>
            <w:r>
              <w:rPr>
                <w:spacing w:val="-2"/>
                <w:sz w:val="24"/>
              </w:rPr>
              <w:t>-</w:t>
            </w:r>
            <w:r>
              <w:rPr>
                <w:spacing w:val="-4"/>
                <w:sz w:val="24"/>
              </w:rPr>
              <w:t>.509</w:t>
            </w:r>
          </w:p>
        </w:tc>
      </w:tr>
      <w:tr>
        <w:trPr>
          <w:trHeight w:val="611" w:hRule="atLeast"/>
        </w:trPr>
        <w:tc>
          <w:tcPr>
            <w:tcW w:w="5679" w:type="dxa"/>
          </w:tcPr>
          <w:p>
            <w:pPr>
              <w:pStyle w:val="TableParagraph"/>
              <w:spacing w:before="163"/>
              <w:ind w:left="38"/>
              <w:rPr>
                <w:sz w:val="24"/>
              </w:rPr>
            </w:pPr>
            <w:r>
              <w:rPr>
                <w:sz w:val="24"/>
              </w:rPr>
              <w:t>Extraction</w:t>
            </w:r>
            <w:r>
              <w:rPr>
                <w:spacing w:val="-2"/>
                <w:sz w:val="24"/>
              </w:rPr>
              <w:t> </w:t>
            </w:r>
            <w:r>
              <w:rPr>
                <w:sz w:val="24"/>
              </w:rPr>
              <w:t>Method:</w:t>
            </w:r>
            <w:r>
              <w:rPr>
                <w:spacing w:val="-2"/>
                <w:sz w:val="24"/>
              </w:rPr>
              <w:t> </w:t>
            </w:r>
            <w:r>
              <w:rPr>
                <w:sz w:val="24"/>
              </w:rPr>
              <w:t>Principal</w:t>
            </w:r>
            <w:r>
              <w:rPr>
                <w:spacing w:val="-2"/>
                <w:sz w:val="24"/>
              </w:rPr>
              <w:t> </w:t>
            </w:r>
            <w:r>
              <w:rPr>
                <w:sz w:val="24"/>
              </w:rPr>
              <w:t>Component</w:t>
            </w:r>
            <w:r>
              <w:rPr>
                <w:spacing w:val="-1"/>
                <w:sz w:val="24"/>
              </w:rPr>
              <w:t> </w:t>
            </w:r>
            <w:r>
              <w:rPr>
                <w:spacing w:val="-2"/>
                <w:sz w:val="24"/>
              </w:rPr>
              <w:t>Analysis.</w:t>
            </w:r>
          </w:p>
        </w:tc>
        <w:tc>
          <w:tcPr>
            <w:tcW w:w="1771" w:type="dxa"/>
          </w:tcPr>
          <w:p>
            <w:pPr>
              <w:pStyle w:val="TableParagraph"/>
              <w:rPr>
                <w:sz w:val="22"/>
              </w:rPr>
            </w:pPr>
          </w:p>
        </w:tc>
      </w:tr>
      <w:tr>
        <w:trPr>
          <w:trHeight w:val="753" w:hRule="atLeast"/>
        </w:trPr>
        <w:tc>
          <w:tcPr>
            <w:tcW w:w="5679" w:type="dxa"/>
            <w:tcBorders>
              <w:bottom w:val="single" w:sz="4" w:space="0" w:color="000000"/>
            </w:tcBorders>
          </w:tcPr>
          <w:p>
            <w:pPr>
              <w:pStyle w:val="TableParagraph"/>
              <w:spacing w:before="163"/>
              <w:ind w:left="38"/>
              <w:rPr>
                <w:sz w:val="24"/>
              </w:rPr>
            </w:pPr>
            <w:r>
              <w:rPr>
                <w:sz w:val="24"/>
              </w:rPr>
              <w:t>a.</w:t>
            </w:r>
            <w:r>
              <w:rPr>
                <w:spacing w:val="-1"/>
                <w:sz w:val="24"/>
              </w:rPr>
              <w:t> </w:t>
            </w:r>
            <w:r>
              <w:rPr>
                <w:sz w:val="24"/>
              </w:rPr>
              <w:t>1</w:t>
            </w:r>
            <w:r>
              <w:rPr>
                <w:spacing w:val="-1"/>
                <w:sz w:val="24"/>
              </w:rPr>
              <w:t> </w:t>
            </w:r>
            <w:r>
              <w:rPr>
                <w:sz w:val="24"/>
              </w:rPr>
              <w:t>components</w:t>
            </w:r>
            <w:r>
              <w:rPr>
                <w:spacing w:val="-1"/>
                <w:sz w:val="24"/>
              </w:rPr>
              <w:t> </w:t>
            </w:r>
            <w:r>
              <w:rPr>
                <w:spacing w:val="-2"/>
                <w:sz w:val="24"/>
              </w:rPr>
              <w:t>extracted.</w:t>
            </w:r>
          </w:p>
        </w:tc>
        <w:tc>
          <w:tcPr>
            <w:tcW w:w="1771" w:type="dxa"/>
            <w:tcBorders>
              <w:bottom w:val="single" w:sz="4" w:space="0" w:color="000000"/>
            </w:tcBorders>
          </w:tcPr>
          <w:p>
            <w:pPr>
              <w:pStyle w:val="TableParagraph"/>
              <w:rPr>
                <w:sz w:val="22"/>
              </w:rPr>
            </w:pPr>
          </w:p>
        </w:tc>
      </w:tr>
    </w:tbl>
    <w:p>
      <w:pPr>
        <w:pStyle w:val="BodyText"/>
      </w:pPr>
    </w:p>
    <w:p>
      <w:pPr>
        <w:pStyle w:val="BodyText"/>
        <w:spacing w:before="19"/>
      </w:pPr>
    </w:p>
    <w:p>
      <w:pPr>
        <w:pStyle w:val="BodyText"/>
        <w:spacing w:line="480" w:lineRule="auto"/>
        <w:ind w:left="400" w:right="1316"/>
        <w:jc w:val="both"/>
      </w:pPr>
      <w:r>
        <w:rPr/>
        <w:t>From here, we see that the critical success factors increase with increasing performance measurement, followed by customer focus and employee participation (they</w:t>
      </w:r>
      <w:r>
        <w:rPr>
          <w:spacing w:val="-1"/>
        </w:rPr>
        <w:t> </w:t>
      </w:r>
      <w:r>
        <w:rPr/>
        <w:t>increase at the same rate), after the follow continuous improvement, strategic planning,</w:t>
      </w:r>
      <w:r>
        <w:rPr>
          <w:spacing w:val="40"/>
        </w:rPr>
        <w:t> </w:t>
      </w:r>
      <w:r>
        <w:rPr/>
        <w:t>leadership and top management commitment, training, then with decreasing quality culture, communication and recognition and reward.</w:t>
      </w:r>
    </w:p>
    <w:p>
      <w:pPr>
        <w:spacing w:after="0" w:line="480" w:lineRule="auto"/>
        <w:jc w:val="both"/>
        <w:sectPr>
          <w:pgSz w:w="12240" w:h="15840"/>
          <w:pgMar w:header="0" w:footer="1017" w:top="1420" w:bottom="1200" w:left="1040" w:right="120"/>
        </w:sectPr>
      </w:pPr>
    </w:p>
    <w:p>
      <w:pPr>
        <w:pStyle w:val="Heading2"/>
        <w:numPr>
          <w:ilvl w:val="1"/>
          <w:numId w:val="53"/>
        </w:numPr>
        <w:tabs>
          <w:tab w:pos="931" w:val="left" w:leader="none"/>
        </w:tabs>
        <w:spacing w:line="360" w:lineRule="auto" w:before="79" w:after="0"/>
        <w:ind w:left="399" w:right="1317" w:firstLine="0"/>
        <w:jc w:val="both"/>
      </w:pPr>
      <w:r>
        <w:rPr/>
        <w:t>The TQM Model for Small and Medium Scale Construction Firms in South-East </w:t>
      </w:r>
      <w:r>
        <w:rPr>
          <w:spacing w:val="-2"/>
        </w:rPr>
        <w:t>Nigeria</w:t>
      </w:r>
    </w:p>
    <w:p>
      <w:pPr>
        <w:pStyle w:val="BodyText"/>
        <w:spacing w:line="480" w:lineRule="auto" w:before="233"/>
        <w:ind w:left="400" w:right="1318"/>
        <w:jc w:val="both"/>
      </w:pPr>
      <w:r>
        <w:rPr/>
        <w:t>One of the objective of this study is to postulate the development of TQM model for SMCFs for efficiency and sustainability in service delivery. .The total quality management model will thus, be</w:t>
      </w:r>
      <w:r>
        <w:rPr>
          <w:spacing w:val="-3"/>
        </w:rPr>
        <w:t> </w:t>
      </w:r>
      <w:r>
        <w:rPr/>
        <w:t>a</w:t>
      </w:r>
      <w:r>
        <w:rPr>
          <w:spacing w:val="-3"/>
        </w:rPr>
        <w:t> </w:t>
      </w:r>
      <w:r>
        <w:rPr/>
        <w:t>road</w:t>
      </w:r>
      <w:r>
        <w:rPr>
          <w:spacing w:val="-3"/>
        </w:rPr>
        <w:t> </w:t>
      </w:r>
      <w:r>
        <w:rPr/>
        <w:t>map</w:t>
      </w:r>
      <w:r>
        <w:rPr>
          <w:spacing w:val="-3"/>
        </w:rPr>
        <w:t> </w:t>
      </w:r>
      <w:r>
        <w:rPr/>
        <w:t>or</w:t>
      </w:r>
      <w:r>
        <w:rPr>
          <w:spacing w:val="-2"/>
        </w:rPr>
        <w:t> </w:t>
      </w:r>
      <w:r>
        <w:rPr/>
        <w:t>framework</w:t>
      </w:r>
      <w:r>
        <w:rPr>
          <w:spacing w:val="-3"/>
        </w:rPr>
        <w:t> </w:t>
      </w:r>
      <w:r>
        <w:rPr/>
        <w:t>for</w:t>
      </w:r>
      <w:r>
        <w:rPr>
          <w:spacing w:val="-3"/>
        </w:rPr>
        <w:t> </w:t>
      </w:r>
      <w:r>
        <w:rPr/>
        <w:t>successful</w:t>
      </w:r>
      <w:r>
        <w:rPr>
          <w:spacing w:val="-3"/>
        </w:rPr>
        <w:t> </w:t>
      </w:r>
      <w:r>
        <w:rPr/>
        <w:t>implementation</w:t>
      </w:r>
      <w:r>
        <w:rPr>
          <w:spacing w:val="-3"/>
        </w:rPr>
        <w:t> </w:t>
      </w:r>
      <w:r>
        <w:rPr/>
        <w:t>of</w:t>
      </w:r>
      <w:r>
        <w:rPr>
          <w:spacing w:val="-3"/>
        </w:rPr>
        <w:t> </w:t>
      </w:r>
      <w:r>
        <w:rPr/>
        <w:t>total</w:t>
      </w:r>
      <w:r>
        <w:rPr>
          <w:spacing w:val="-3"/>
        </w:rPr>
        <w:t> </w:t>
      </w:r>
      <w:r>
        <w:rPr/>
        <w:t>quality</w:t>
      </w:r>
      <w:r>
        <w:rPr>
          <w:spacing w:val="-5"/>
        </w:rPr>
        <w:t> </w:t>
      </w:r>
      <w:r>
        <w:rPr/>
        <w:t>management</w:t>
      </w:r>
      <w:r>
        <w:rPr>
          <w:spacing w:val="-3"/>
        </w:rPr>
        <w:t> </w:t>
      </w:r>
      <w:r>
        <w:rPr/>
        <w:t>for</w:t>
      </w:r>
      <w:r>
        <w:rPr>
          <w:spacing w:val="-3"/>
        </w:rPr>
        <w:t> </w:t>
      </w:r>
      <w:r>
        <w:rPr/>
        <w:t>small and medium scale construction firms in south east Nigeria, which is ultimately aimed at improving service delivery and competitive advantage.</w:t>
      </w:r>
    </w:p>
    <w:p>
      <w:pPr>
        <w:pStyle w:val="BodyText"/>
        <w:spacing w:line="480" w:lineRule="auto" w:before="242"/>
        <w:ind w:left="400" w:right="1314"/>
        <w:jc w:val="both"/>
      </w:pPr>
      <w:r>
        <w:rPr/>
        <w:t>This new model focuses on the use of TQM critical success factors in the construction industry with a focus on TQM implementation impact on competitiveness (profitability, market share and quality services) towards improve customer satisfaction. Clearly the construction industry has much to gain from adopting TQM. In addition, SWOT analysis of the small and medium scale construction firms were</w:t>
      </w:r>
      <w:r>
        <w:rPr>
          <w:spacing w:val="-1"/>
        </w:rPr>
        <w:t> </w:t>
      </w:r>
      <w:r>
        <w:rPr/>
        <w:t>taken into account in forming</w:t>
      </w:r>
      <w:r>
        <w:rPr>
          <w:spacing w:val="-2"/>
        </w:rPr>
        <w:t> </w:t>
      </w:r>
      <w:r>
        <w:rPr/>
        <w:t>the</w:t>
      </w:r>
      <w:r>
        <w:rPr>
          <w:spacing w:val="-1"/>
        </w:rPr>
        <w:t> </w:t>
      </w:r>
      <w:r>
        <w:rPr/>
        <w:t>new</w:t>
      </w:r>
      <w:r>
        <w:rPr>
          <w:spacing w:val="-1"/>
        </w:rPr>
        <w:t> </w:t>
      </w:r>
      <w:r>
        <w:rPr/>
        <w:t>model. An outline</w:t>
      </w:r>
      <w:r>
        <w:rPr>
          <w:spacing w:val="-1"/>
        </w:rPr>
        <w:t> </w:t>
      </w:r>
      <w:r>
        <w:rPr/>
        <w:t>and description of this model is illustrated in figure 5.7</w:t>
      </w:r>
    </w:p>
    <w:p>
      <w:pPr>
        <w:spacing w:after="0" w:line="480" w:lineRule="auto"/>
        <w:jc w:val="both"/>
        <w:sectPr>
          <w:pgSz w:w="12240" w:h="15840"/>
          <w:pgMar w:header="0" w:footer="1017" w:top="1360" w:bottom="1200" w:left="1040" w:right="120"/>
        </w:sectPr>
      </w:pPr>
    </w:p>
    <w:p>
      <w:pPr>
        <w:pStyle w:val="BodyText"/>
        <w:spacing w:before="4"/>
        <w:rPr>
          <w:sz w:val="17"/>
        </w:rPr>
      </w:pPr>
    </w:p>
    <w:p>
      <w:pPr>
        <w:spacing w:after="0"/>
        <w:rPr>
          <w:sz w:val="17"/>
        </w:rPr>
        <w:sectPr>
          <w:pgSz w:w="12240" w:h="15840"/>
          <w:pgMar w:header="0" w:footer="1017" w:top="1820" w:bottom="1200" w:left="1040" w:right="120"/>
        </w:sectPr>
      </w:pPr>
    </w:p>
    <w:p>
      <w:pPr>
        <w:pStyle w:val="BodyText"/>
        <w:spacing w:line="480" w:lineRule="auto" w:before="72"/>
        <w:ind w:left="400" w:right="1316"/>
        <w:jc w:val="both"/>
      </w:pPr>
      <w:r>
        <w:rPr/>
        <w:t>The Total Quality Management model, as evidenced in figure 5.7 above, describes the relationship and operationalization of the variables identified from the analysis, literature survey and those based on the researcher’s field work.</w:t>
      </w:r>
      <w:r>
        <w:rPr>
          <w:spacing w:val="80"/>
        </w:rPr>
        <w:t> </w:t>
      </w:r>
      <w:r>
        <w:rPr/>
        <w:t>This approach recognizes best practices identified in the study and can transform the current situation of the small and medium construction firms in South-East Nigeria to a more systematic way of improving</w:t>
      </w:r>
      <w:r>
        <w:rPr>
          <w:spacing w:val="40"/>
        </w:rPr>
        <w:t> </w:t>
      </w:r>
      <w:r>
        <w:rPr/>
        <w:t>competitiveness. The model is a holistic one; built around a combination, mix or harmony of the following perspectives:</w:t>
      </w:r>
    </w:p>
    <w:p>
      <w:pPr>
        <w:pStyle w:val="Heading2"/>
        <w:numPr>
          <w:ilvl w:val="2"/>
          <w:numId w:val="53"/>
        </w:numPr>
        <w:tabs>
          <w:tab w:pos="1120" w:val="left" w:leader="none"/>
        </w:tabs>
        <w:spacing w:line="240" w:lineRule="auto" w:before="190" w:after="0"/>
        <w:ind w:left="1120" w:right="0" w:hanging="720"/>
        <w:jc w:val="both"/>
      </w:pPr>
      <w:r>
        <w:rPr/>
        <w:t>Critical</w:t>
      </w:r>
      <w:r>
        <w:rPr>
          <w:spacing w:val="-2"/>
        </w:rPr>
        <w:t> </w:t>
      </w:r>
      <w:r>
        <w:rPr/>
        <w:t>success</w:t>
      </w:r>
      <w:r>
        <w:rPr>
          <w:spacing w:val="-2"/>
        </w:rPr>
        <w:t> </w:t>
      </w:r>
      <w:r>
        <w:rPr/>
        <w:t>factors of </w:t>
      </w:r>
      <w:r>
        <w:rPr>
          <w:spacing w:val="-5"/>
        </w:rPr>
        <w:t>TQM</w:t>
      </w:r>
    </w:p>
    <w:p>
      <w:pPr>
        <w:pStyle w:val="BodyText"/>
        <w:spacing w:before="153"/>
        <w:rPr>
          <w:b/>
        </w:rPr>
      </w:pPr>
    </w:p>
    <w:p>
      <w:pPr>
        <w:pStyle w:val="BodyText"/>
        <w:spacing w:line="480" w:lineRule="auto"/>
        <w:ind w:left="400" w:right="1315"/>
        <w:jc w:val="both"/>
      </w:pPr>
      <w:r>
        <w:rPr/>
        <w:t>Effective implementation of Total Quality</w:t>
      </w:r>
      <w:r>
        <w:rPr>
          <w:spacing w:val="-1"/>
        </w:rPr>
        <w:t> </w:t>
      </w:r>
      <w:r>
        <w:rPr/>
        <w:t>Management by</w:t>
      </w:r>
      <w:r>
        <w:rPr>
          <w:spacing w:val="-1"/>
        </w:rPr>
        <w:t> </w:t>
      </w:r>
      <w:r>
        <w:rPr/>
        <w:t>small and medium scale construction firms in South-East Nigeria requires a strong</w:t>
      </w:r>
      <w:r>
        <w:rPr>
          <w:spacing w:val="-1"/>
        </w:rPr>
        <w:t> </w:t>
      </w:r>
      <w:r>
        <w:rPr/>
        <w:t>commitment from all members of the organisations to the critical success factors. Thus identification of these factors is a key component of successful implementation of total quality</w:t>
      </w:r>
      <w:r>
        <w:rPr>
          <w:spacing w:val="-1"/>
        </w:rPr>
        <w:t> </w:t>
      </w:r>
      <w:r>
        <w:rPr/>
        <w:t>management. This has been discussed in the literature review, see Section (2.4.1.1) and the result of the questionnaires and Interviews in section (5.6) and Section (5.9.3) respectively.</w:t>
      </w:r>
    </w:p>
    <w:p>
      <w:pPr>
        <w:pStyle w:val="BodyText"/>
        <w:spacing w:before="5"/>
      </w:pPr>
    </w:p>
    <w:p>
      <w:pPr>
        <w:pStyle w:val="Heading3"/>
        <w:numPr>
          <w:ilvl w:val="3"/>
          <w:numId w:val="53"/>
        </w:numPr>
        <w:tabs>
          <w:tab w:pos="1839" w:val="left" w:leader="none"/>
        </w:tabs>
        <w:spacing w:line="240" w:lineRule="auto" w:before="0" w:after="0"/>
        <w:ind w:left="1839" w:right="0" w:hanging="1439"/>
        <w:jc w:val="both"/>
      </w:pPr>
      <w:r>
        <w:rPr/>
        <w:t>Leadership</w:t>
      </w:r>
      <w:r>
        <w:rPr>
          <w:spacing w:val="-1"/>
        </w:rPr>
        <w:t> </w:t>
      </w:r>
      <w:r>
        <w:rPr/>
        <w:t>and</w:t>
      </w:r>
      <w:r>
        <w:rPr>
          <w:spacing w:val="-1"/>
        </w:rPr>
        <w:t> </w:t>
      </w:r>
      <w:r>
        <w:rPr/>
        <w:t>top</w:t>
      </w:r>
      <w:r>
        <w:rPr>
          <w:spacing w:val="-3"/>
        </w:rPr>
        <w:t> </w:t>
      </w:r>
      <w:r>
        <w:rPr/>
        <w:t>management </w:t>
      </w:r>
      <w:r>
        <w:rPr>
          <w:spacing w:val="-2"/>
        </w:rPr>
        <w:t>commitment</w:t>
      </w:r>
    </w:p>
    <w:p>
      <w:pPr>
        <w:pStyle w:val="BodyText"/>
        <w:spacing w:line="480" w:lineRule="auto" w:before="272"/>
        <w:ind w:left="400" w:right="1315" w:firstLine="122"/>
        <w:jc w:val="both"/>
      </w:pPr>
      <w:r>
        <w:rPr/>
        <w:t>Leadership and top management play leading role in driving the TQM implementation towards a successful conclusion. The degree of support and visibility that top management offers in implementing a total quality environment is fundamental to the successful implementation of TQM with construction organisations. The</w:t>
      </w:r>
      <w:r>
        <w:rPr>
          <w:spacing w:val="80"/>
        </w:rPr>
        <w:t> </w:t>
      </w:r>
      <w:r>
        <w:rPr/>
        <w:t>top</w:t>
      </w:r>
      <w:r>
        <w:rPr>
          <w:spacing w:val="80"/>
        </w:rPr>
        <w:t> </w:t>
      </w:r>
      <w:r>
        <w:rPr/>
        <w:t>management</w:t>
      </w:r>
      <w:r>
        <w:rPr>
          <w:spacing w:val="80"/>
        </w:rPr>
        <w:t> </w:t>
      </w:r>
      <w:r>
        <w:rPr/>
        <w:t>or</w:t>
      </w:r>
      <w:r>
        <w:rPr>
          <w:spacing w:val="80"/>
        </w:rPr>
        <w:t> </w:t>
      </w:r>
      <w:r>
        <w:rPr/>
        <w:t>leadership</w:t>
      </w:r>
      <w:r>
        <w:rPr>
          <w:spacing w:val="80"/>
        </w:rPr>
        <w:t> </w:t>
      </w:r>
      <w:r>
        <w:rPr/>
        <w:t>must</w:t>
      </w:r>
      <w:r>
        <w:rPr>
          <w:spacing w:val="80"/>
        </w:rPr>
        <w:t> </w:t>
      </w:r>
      <w:r>
        <w:rPr/>
        <w:t>be</w:t>
      </w:r>
      <w:r>
        <w:rPr>
          <w:spacing w:val="80"/>
        </w:rPr>
        <w:t> </w:t>
      </w:r>
      <w:r>
        <w:rPr/>
        <w:t>at</w:t>
      </w:r>
      <w:r>
        <w:rPr>
          <w:spacing w:val="80"/>
        </w:rPr>
        <w:t> </w:t>
      </w:r>
      <w:r>
        <w:rPr/>
        <w:t>the top</w:t>
      </w:r>
      <w:r>
        <w:rPr>
          <w:spacing w:val="40"/>
        </w:rPr>
        <w:t> </w:t>
      </w:r>
      <w:r>
        <w:rPr/>
        <w:t>of</w:t>
      </w:r>
      <w:r>
        <w:rPr>
          <w:spacing w:val="40"/>
        </w:rPr>
        <w:t> </w:t>
      </w:r>
      <w:r>
        <w:rPr/>
        <w:t>the quality hierarchy because without active participation from the top management, the TQM</w:t>
      </w:r>
      <w:r>
        <w:rPr>
          <w:spacing w:val="-1"/>
        </w:rPr>
        <w:t> </w:t>
      </w:r>
      <w:r>
        <w:rPr/>
        <w:t>effort will</w:t>
      </w:r>
      <w:r>
        <w:rPr>
          <w:spacing w:val="1"/>
        </w:rPr>
        <w:t> </w:t>
      </w:r>
      <w:r>
        <w:rPr/>
        <w:t>fail.</w:t>
      </w:r>
      <w:r>
        <w:rPr>
          <w:spacing w:val="62"/>
        </w:rPr>
        <w:t> </w:t>
      </w:r>
      <w:r>
        <w:rPr/>
        <w:t>The commitment</w:t>
      </w:r>
      <w:r>
        <w:rPr>
          <w:spacing w:val="1"/>
        </w:rPr>
        <w:t> </w:t>
      </w:r>
      <w:r>
        <w:rPr/>
        <w:t>of leadership</w:t>
      </w:r>
      <w:r>
        <w:rPr>
          <w:spacing w:val="1"/>
        </w:rPr>
        <w:t> </w:t>
      </w:r>
      <w:r>
        <w:rPr/>
        <w:t>to</w:t>
      </w:r>
      <w:r>
        <w:rPr>
          <w:spacing w:val="1"/>
        </w:rPr>
        <w:t> </w:t>
      </w:r>
      <w:r>
        <w:rPr/>
        <w:t>the TQM</w:t>
      </w:r>
      <w:r>
        <w:rPr>
          <w:spacing w:val="1"/>
        </w:rPr>
        <w:t> </w:t>
      </w:r>
      <w:r>
        <w:rPr/>
        <w:t>strategy as</w:t>
      </w:r>
      <w:r>
        <w:rPr>
          <w:spacing w:val="1"/>
        </w:rPr>
        <w:t> </w:t>
      </w:r>
      <w:r>
        <w:rPr/>
        <w:t>shown</w:t>
      </w:r>
      <w:r>
        <w:rPr>
          <w:spacing w:val="1"/>
        </w:rPr>
        <w:t> </w:t>
      </w:r>
      <w:r>
        <w:rPr/>
        <w:t>in their</w:t>
      </w:r>
      <w:r>
        <w:rPr>
          <w:spacing w:val="1"/>
        </w:rPr>
        <w:t> </w:t>
      </w:r>
      <w:r>
        <w:rPr>
          <w:spacing w:val="-2"/>
        </w:rPr>
        <w:t>daily</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disposition to work will go a long way in motivating employees to deliver quality services that exceeds the expectation of customers.</w:t>
      </w:r>
    </w:p>
    <w:p>
      <w:pPr>
        <w:pStyle w:val="Heading3"/>
        <w:numPr>
          <w:ilvl w:val="3"/>
          <w:numId w:val="53"/>
        </w:numPr>
        <w:tabs>
          <w:tab w:pos="1839" w:val="left" w:leader="none"/>
        </w:tabs>
        <w:spacing w:line="240" w:lineRule="auto" w:before="189" w:after="0"/>
        <w:ind w:left="1839" w:right="0" w:hanging="1439"/>
        <w:jc w:val="both"/>
      </w:pPr>
      <w:r>
        <w:rPr/>
        <w:t>Continuous</w:t>
      </w:r>
      <w:r>
        <w:rPr>
          <w:spacing w:val="-5"/>
        </w:rPr>
        <w:t> </w:t>
      </w:r>
      <w:r>
        <w:rPr>
          <w:spacing w:val="-2"/>
        </w:rPr>
        <w:t>improvement</w:t>
      </w:r>
    </w:p>
    <w:p>
      <w:pPr>
        <w:pStyle w:val="BodyText"/>
        <w:spacing w:line="480" w:lineRule="auto" w:before="272"/>
        <w:ind w:left="400" w:right="1317"/>
        <w:jc w:val="both"/>
      </w:pPr>
      <w:r>
        <w:rPr/>
        <w:t>Adoption</w:t>
      </w:r>
      <w:r>
        <w:rPr>
          <w:spacing w:val="40"/>
        </w:rPr>
        <w:t> </w:t>
      </w:r>
      <w:r>
        <w:rPr/>
        <w:t>of</w:t>
      </w:r>
      <w:r>
        <w:rPr>
          <w:spacing w:val="40"/>
        </w:rPr>
        <w:t> </w:t>
      </w:r>
      <w:r>
        <w:rPr/>
        <w:t>a</w:t>
      </w:r>
      <w:r>
        <w:rPr>
          <w:spacing w:val="40"/>
        </w:rPr>
        <w:t> </w:t>
      </w:r>
      <w:r>
        <w:rPr/>
        <w:t>continuous</w:t>
      </w:r>
      <w:r>
        <w:rPr>
          <w:spacing w:val="40"/>
        </w:rPr>
        <w:t> </w:t>
      </w:r>
      <w:r>
        <w:rPr/>
        <w:t>improvement</w:t>
      </w:r>
      <w:r>
        <w:rPr>
          <w:spacing w:val="40"/>
        </w:rPr>
        <w:t> </w:t>
      </w:r>
      <w:r>
        <w:rPr/>
        <w:t>approach</w:t>
      </w:r>
      <w:r>
        <w:rPr>
          <w:spacing w:val="40"/>
        </w:rPr>
        <w:t> </w:t>
      </w:r>
      <w:r>
        <w:rPr/>
        <w:t>in</w:t>
      </w:r>
      <w:r>
        <w:rPr>
          <w:spacing w:val="40"/>
        </w:rPr>
        <w:t> </w:t>
      </w:r>
      <w:r>
        <w:rPr/>
        <w:t>small and medium scale construction firms in South-East Nigeria requires not only upper administration commitment, but also uncovering</w:t>
      </w:r>
      <w:r>
        <w:rPr>
          <w:spacing w:val="40"/>
        </w:rPr>
        <w:t> </w:t>
      </w:r>
      <w:r>
        <w:rPr/>
        <w:t>the</w:t>
      </w:r>
      <w:r>
        <w:rPr>
          <w:spacing w:val="-4"/>
        </w:rPr>
        <w:t> </w:t>
      </w:r>
      <w:r>
        <w:rPr/>
        <w:t>current</w:t>
      </w:r>
      <w:r>
        <w:rPr>
          <w:spacing w:val="-1"/>
        </w:rPr>
        <w:t> </w:t>
      </w:r>
      <w:r>
        <w:rPr/>
        <w:t>underlying</w:t>
      </w:r>
      <w:r>
        <w:rPr>
          <w:spacing w:val="-3"/>
        </w:rPr>
        <w:t> </w:t>
      </w:r>
      <w:r>
        <w:rPr/>
        <w:t>culture</w:t>
      </w:r>
      <w:r>
        <w:rPr>
          <w:spacing w:val="-2"/>
        </w:rPr>
        <w:t> </w:t>
      </w:r>
      <w:r>
        <w:rPr/>
        <w:t>and</w:t>
      </w:r>
      <w:r>
        <w:rPr>
          <w:spacing w:val="-1"/>
        </w:rPr>
        <w:t> </w:t>
      </w:r>
      <w:r>
        <w:rPr/>
        <w:t>examining</w:t>
      </w:r>
      <w:r>
        <w:rPr>
          <w:spacing w:val="-5"/>
        </w:rPr>
        <w:t> </w:t>
      </w:r>
      <w:r>
        <w:rPr/>
        <w:t>the</w:t>
      </w:r>
      <w:r>
        <w:rPr>
          <w:spacing w:val="-2"/>
        </w:rPr>
        <w:t> </w:t>
      </w:r>
      <w:r>
        <w:rPr/>
        <w:t>appropriateness</w:t>
      </w:r>
      <w:r>
        <w:rPr>
          <w:spacing w:val="-3"/>
        </w:rPr>
        <w:t> </w:t>
      </w:r>
      <w:r>
        <w:rPr/>
        <w:t>of</w:t>
      </w:r>
      <w:r>
        <w:rPr>
          <w:spacing w:val="-4"/>
        </w:rPr>
        <w:t> </w:t>
      </w:r>
      <w:r>
        <w:rPr/>
        <w:t>the</w:t>
      </w:r>
      <w:r>
        <w:rPr>
          <w:spacing w:val="-4"/>
        </w:rPr>
        <w:t> </w:t>
      </w:r>
      <w:r>
        <w:rPr/>
        <w:t>objectives</w:t>
      </w:r>
      <w:r>
        <w:rPr>
          <w:spacing w:val="-3"/>
        </w:rPr>
        <w:t> </w:t>
      </w:r>
      <w:r>
        <w:rPr/>
        <w:t>to adopt continuous improvement. There should be continuous improvement in all the process of production, from the levels of planning and decision making to the execution of work by the frontline staff. It will help to identify and eliminate the cause of a mistake in order to prevent its reoccurrence. The focus on continuous improvement will lead to the formation of formidable </w:t>
      </w:r>
      <w:r>
        <w:rPr>
          <w:spacing w:val="-2"/>
        </w:rPr>
        <w:t>team.</w:t>
      </w:r>
    </w:p>
    <w:p>
      <w:pPr>
        <w:pStyle w:val="Heading3"/>
        <w:numPr>
          <w:ilvl w:val="3"/>
          <w:numId w:val="53"/>
        </w:numPr>
        <w:tabs>
          <w:tab w:pos="1839" w:val="left" w:leader="none"/>
        </w:tabs>
        <w:spacing w:line="240" w:lineRule="auto" w:before="187" w:after="0"/>
        <w:ind w:left="1839" w:right="0" w:hanging="1439"/>
        <w:jc w:val="both"/>
      </w:pPr>
      <w:r>
        <w:rPr/>
        <w:t>Quality</w:t>
      </w:r>
      <w:r>
        <w:rPr>
          <w:spacing w:val="-2"/>
        </w:rPr>
        <w:t> culture</w:t>
      </w:r>
    </w:p>
    <w:p>
      <w:pPr>
        <w:pStyle w:val="BodyText"/>
        <w:spacing w:line="480" w:lineRule="auto" w:before="271"/>
        <w:ind w:left="400" w:right="1316"/>
        <w:jc w:val="both"/>
      </w:pPr>
      <w:r>
        <w:rPr/>
        <w:t>Within the TQM culture a co-operative and open culture has to be created by the organization management in which all the employees have to be made to feel that all of them are responsible for satisfying the organization’s customers. They are going to feel and consider this only if they are involved in the development of the vision, plans and strategies of the organization.</w:t>
      </w:r>
      <w:r>
        <w:rPr>
          <w:spacing w:val="40"/>
        </w:rPr>
        <w:t> </w:t>
      </w:r>
      <w:r>
        <w:rPr/>
        <w:t>In addition, the work culture must be very conducive. There should be an active interaction</w:t>
      </w:r>
      <w:r>
        <w:rPr>
          <w:spacing w:val="40"/>
        </w:rPr>
        <w:t> </w:t>
      </w:r>
      <w:r>
        <w:rPr/>
        <w:t>amongst the peers and support from supervisors.</w:t>
      </w:r>
    </w:p>
    <w:p>
      <w:pPr>
        <w:pStyle w:val="Heading3"/>
        <w:numPr>
          <w:ilvl w:val="3"/>
          <w:numId w:val="53"/>
        </w:numPr>
        <w:tabs>
          <w:tab w:pos="1839" w:val="left" w:leader="none"/>
        </w:tabs>
        <w:spacing w:line="240" w:lineRule="auto" w:before="142" w:after="0"/>
        <w:ind w:left="1839" w:right="0" w:hanging="1439"/>
        <w:jc w:val="both"/>
      </w:pPr>
      <w:r>
        <w:rPr/>
        <w:t>Customer</w:t>
      </w:r>
      <w:r>
        <w:rPr>
          <w:spacing w:val="-2"/>
        </w:rPr>
        <w:t> focus</w:t>
      </w:r>
    </w:p>
    <w:p>
      <w:pPr>
        <w:pStyle w:val="BodyText"/>
        <w:spacing w:line="480" w:lineRule="auto" w:before="271"/>
        <w:ind w:left="400" w:right="1315"/>
        <w:jc w:val="both"/>
      </w:pPr>
      <w:r>
        <w:rPr/>
        <w:t>It is necessary for organisation to maintain a close link with their customers in order to know their requirements and to measure how it has been successful in meeting up to customers’ requirements.</w:t>
      </w:r>
      <w:r>
        <w:rPr>
          <w:spacing w:val="23"/>
        </w:rPr>
        <w:t> </w:t>
      </w:r>
      <w:r>
        <w:rPr/>
        <w:t>TQM</w:t>
      </w:r>
      <w:r>
        <w:rPr>
          <w:spacing w:val="27"/>
        </w:rPr>
        <w:t> </w:t>
      </w:r>
      <w:r>
        <w:rPr/>
        <w:t>require</w:t>
      </w:r>
      <w:r>
        <w:rPr>
          <w:spacing w:val="25"/>
        </w:rPr>
        <w:t> </w:t>
      </w:r>
      <w:r>
        <w:rPr/>
        <w:t>organisations</w:t>
      </w:r>
      <w:r>
        <w:rPr>
          <w:spacing w:val="27"/>
        </w:rPr>
        <w:t> </w:t>
      </w:r>
      <w:r>
        <w:rPr/>
        <w:t>to</w:t>
      </w:r>
      <w:r>
        <w:rPr>
          <w:spacing w:val="25"/>
        </w:rPr>
        <w:t> </w:t>
      </w:r>
      <w:r>
        <w:rPr/>
        <w:t>develop</w:t>
      </w:r>
      <w:r>
        <w:rPr>
          <w:spacing w:val="26"/>
        </w:rPr>
        <w:t> </w:t>
      </w:r>
      <w:r>
        <w:rPr/>
        <w:t>a</w:t>
      </w:r>
      <w:r>
        <w:rPr>
          <w:spacing w:val="25"/>
        </w:rPr>
        <w:t> </w:t>
      </w:r>
      <w:r>
        <w:rPr/>
        <w:t>customer</w:t>
      </w:r>
      <w:r>
        <w:rPr>
          <w:spacing w:val="26"/>
        </w:rPr>
        <w:t> </w:t>
      </w:r>
      <w:r>
        <w:rPr/>
        <w:t>focused</w:t>
      </w:r>
      <w:r>
        <w:rPr>
          <w:spacing w:val="26"/>
        </w:rPr>
        <w:t> </w:t>
      </w:r>
      <w:r>
        <w:rPr/>
        <w:t>operational</w:t>
      </w:r>
      <w:r>
        <w:rPr>
          <w:spacing w:val="27"/>
        </w:rPr>
        <w:t> </w:t>
      </w:r>
      <w:r>
        <w:rPr>
          <w:spacing w:val="-2"/>
        </w:rPr>
        <w:t>processes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7"/>
        <w:jc w:val="both"/>
      </w:pPr>
      <w:r>
        <w:rPr/>
        <w:t>and at the same time committing the resources that position customers and meeting their expectation as an asset to the financial wellbeing of the organisation.</w:t>
      </w:r>
    </w:p>
    <w:p>
      <w:pPr>
        <w:pStyle w:val="Heading3"/>
        <w:numPr>
          <w:ilvl w:val="3"/>
          <w:numId w:val="53"/>
        </w:numPr>
        <w:tabs>
          <w:tab w:pos="1839" w:val="left" w:leader="none"/>
        </w:tabs>
        <w:spacing w:line="240" w:lineRule="auto" w:before="189" w:after="0"/>
        <w:ind w:left="1839" w:right="0" w:hanging="1439"/>
        <w:jc w:val="both"/>
      </w:pPr>
      <w:r>
        <w:rPr>
          <w:spacing w:val="-2"/>
        </w:rPr>
        <w:t>Training</w:t>
      </w:r>
    </w:p>
    <w:p>
      <w:pPr>
        <w:pStyle w:val="BodyText"/>
        <w:spacing w:line="480" w:lineRule="auto" w:before="272"/>
        <w:ind w:left="400" w:right="1316"/>
        <w:jc w:val="both"/>
      </w:pPr>
      <w:r>
        <w:rPr/>
        <w:t>Results from the survey prove that formal training is not a regular exercise done in the small and medium scale construction firms in South-East Nigeria. Training equips people with the necessary skills and techniques of quality improvement. Training programme should not be seen as a onetime event but a lifelong process. Through training, employees are able to identify improvement opportunities as it is directed at providing necessary skills and knowledge for all employees to be able to contribute to ongoing quality improvement process of production. Training helps individuals and organizations to improve for quality, competitiveness, productivity, incoming changes and seek out future ideas. Most organizations</w:t>
      </w:r>
      <w:r>
        <w:rPr>
          <w:spacing w:val="40"/>
        </w:rPr>
        <w:t> </w:t>
      </w:r>
      <w:r>
        <w:rPr/>
        <w:t>have</w:t>
      </w:r>
      <w:r>
        <w:rPr>
          <w:spacing w:val="-1"/>
        </w:rPr>
        <w:t> </w:t>
      </w:r>
      <w:r>
        <w:rPr/>
        <w:t>excellent training</w:t>
      </w:r>
      <w:r>
        <w:rPr>
          <w:spacing w:val="40"/>
        </w:rPr>
        <w:t> </w:t>
      </w:r>
      <w:r>
        <w:rPr/>
        <w:t>policies</w:t>
      </w:r>
      <w:r>
        <w:rPr>
          <w:spacing w:val="80"/>
        </w:rPr>
        <w:t> </w:t>
      </w:r>
      <w:r>
        <w:rPr/>
        <w:t>and</w:t>
      </w:r>
      <w:r>
        <w:rPr>
          <w:spacing w:val="40"/>
        </w:rPr>
        <w:t> </w:t>
      </w:r>
      <w:r>
        <w:rPr/>
        <w:t>facilities</w:t>
      </w:r>
      <w:r>
        <w:rPr>
          <w:spacing w:val="80"/>
        </w:rPr>
        <w:t> </w:t>
      </w:r>
      <w:r>
        <w:rPr/>
        <w:t>for employees</w:t>
      </w:r>
      <w:r>
        <w:rPr>
          <w:spacing w:val="80"/>
        </w:rPr>
        <w:t> </w:t>
      </w:r>
      <w:r>
        <w:rPr/>
        <w:t>but</w:t>
      </w:r>
      <w:r>
        <w:rPr>
          <w:spacing w:val="80"/>
        </w:rPr>
        <w:t> </w:t>
      </w:r>
      <w:r>
        <w:rPr/>
        <w:t>when</w:t>
      </w:r>
      <w:r>
        <w:rPr>
          <w:spacing w:val="40"/>
        </w:rPr>
        <w:t> </w:t>
      </w:r>
      <w:r>
        <w:rPr/>
        <w:t>sales</w:t>
      </w:r>
      <w:r>
        <w:rPr>
          <w:spacing w:val="80"/>
        </w:rPr>
        <w:t> </w:t>
      </w:r>
      <w:r>
        <w:rPr/>
        <w:t>are</w:t>
      </w:r>
      <w:r>
        <w:rPr>
          <w:spacing w:val="40"/>
        </w:rPr>
        <w:t> </w:t>
      </w:r>
      <w:r>
        <w:rPr/>
        <w:t>down,</w:t>
      </w:r>
      <w:r>
        <w:rPr>
          <w:spacing w:val="40"/>
        </w:rPr>
        <w:t> </w:t>
      </w:r>
      <w:r>
        <w:rPr/>
        <w:t>the organizations may</w:t>
      </w:r>
      <w:r>
        <w:rPr>
          <w:spacing w:val="40"/>
        </w:rPr>
        <w:t> </w:t>
      </w:r>
      <w:r>
        <w:rPr/>
        <w:t>carry</w:t>
      </w:r>
      <w:r>
        <w:rPr>
          <w:spacing w:val="40"/>
        </w:rPr>
        <w:t> </w:t>
      </w:r>
      <w:r>
        <w:rPr/>
        <w:t>out</w:t>
      </w:r>
      <w:r>
        <w:rPr>
          <w:spacing w:val="80"/>
        </w:rPr>
        <w:t> </w:t>
      </w:r>
      <w:r>
        <w:rPr/>
        <w:t>cost-netting</w:t>
      </w:r>
      <w:r>
        <w:rPr>
          <w:spacing w:val="40"/>
        </w:rPr>
        <w:t> </w:t>
      </w:r>
      <w:r>
        <w:rPr/>
        <w:t>exercises and may see training as luxury.</w:t>
      </w:r>
    </w:p>
    <w:p>
      <w:pPr>
        <w:pStyle w:val="BodyText"/>
        <w:spacing w:line="480" w:lineRule="auto" w:before="158"/>
        <w:ind w:left="399" w:right="1315" w:firstLine="60"/>
        <w:jc w:val="both"/>
      </w:pPr>
      <w:r>
        <w:rPr/>
        <w:t>Staff</w:t>
      </w:r>
      <w:r>
        <w:rPr>
          <w:spacing w:val="40"/>
        </w:rPr>
        <w:t> </w:t>
      </w:r>
      <w:r>
        <w:rPr/>
        <w:t>should</w:t>
      </w:r>
      <w:r>
        <w:rPr>
          <w:spacing w:val="40"/>
        </w:rPr>
        <w:t> </w:t>
      </w:r>
      <w:r>
        <w:rPr/>
        <w:t>be</w:t>
      </w:r>
      <w:r>
        <w:rPr>
          <w:spacing w:val="40"/>
        </w:rPr>
        <w:t> </w:t>
      </w:r>
      <w:r>
        <w:rPr/>
        <w:t>encouraged</w:t>
      </w:r>
      <w:r>
        <w:rPr>
          <w:spacing w:val="40"/>
        </w:rPr>
        <w:t> </w:t>
      </w:r>
      <w:r>
        <w:rPr/>
        <w:t>to</w:t>
      </w:r>
      <w:r>
        <w:rPr>
          <w:spacing w:val="40"/>
        </w:rPr>
        <w:t> </w:t>
      </w:r>
      <w:r>
        <w:rPr/>
        <w:t>attend</w:t>
      </w:r>
      <w:r>
        <w:rPr>
          <w:spacing w:val="40"/>
        </w:rPr>
        <w:t> </w:t>
      </w:r>
      <w:r>
        <w:rPr/>
        <w:t>seminar</w:t>
      </w:r>
      <w:r>
        <w:rPr>
          <w:spacing w:val="40"/>
        </w:rPr>
        <w:t> </w:t>
      </w:r>
      <w:r>
        <w:rPr/>
        <w:t>or conferences</w:t>
      </w:r>
      <w:r>
        <w:rPr>
          <w:spacing w:val="40"/>
        </w:rPr>
        <w:t> </w:t>
      </w:r>
      <w:r>
        <w:rPr/>
        <w:t>so</w:t>
      </w:r>
      <w:r>
        <w:rPr>
          <w:spacing w:val="40"/>
        </w:rPr>
        <w:t> </w:t>
      </w:r>
      <w:r>
        <w:rPr/>
        <w:t>as</w:t>
      </w:r>
      <w:r>
        <w:rPr>
          <w:spacing w:val="40"/>
        </w:rPr>
        <w:t> </w:t>
      </w:r>
      <w:r>
        <w:rPr/>
        <w:t>to</w:t>
      </w:r>
      <w:r>
        <w:rPr>
          <w:spacing w:val="40"/>
        </w:rPr>
        <w:t> </w:t>
      </w:r>
      <w:r>
        <w:rPr/>
        <w:t>be</w:t>
      </w:r>
      <w:r>
        <w:rPr>
          <w:spacing w:val="40"/>
        </w:rPr>
        <w:t> </w:t>
      </w:r>
      <w:r>
        <w:rPr/>
        <w:t>able</w:t>
      </w:r>
      <w:r>
        <w:rPr>
          <w:spacing w:val="40"/>
        </w:rPr>
        <w:t> </w:t>
      </w:r>
      <w:r>
        <w:rPr/>
        <w:t>to</w:t>
      </w:r>
      <w:r>
        <w:rPr>
          <w:spacing w:val="40"/>
        </w:rPr>
        <w:t> </w:t>
      </w:r>
      <w:r>
        <w:rPr/>
        <w:t>keep abreast</w:t>
      </w:r>
      <w:r>
        <w:rPr>
          <w:spacing w:val="40"/>
        </w:rPr>
        <w:t> </w:t>
      </w:r>
      <w:r>
        <w:rPr/>
        <w:t>of current development; The</w:t>
      </w:r>
      <w:r>
        <w:rPr>
          <w:spacing w:val="40"/>
        </w:rPr>
        <w:t> </w:t>
      </w:r>
      <w:r>
        <w:rPr/>
        <w:t>choice</w:t>
      </w:r>
      <w:r>
        <w:rPr>
          <w:spacing w:val="40"/>
        </w:rPr>
        <w:t> </w:t>
      </w:r>
      <w:r>
        <w:rPr/>
        <w:t>of</w:t>
      </w:r>
      <w:r>
        <w:rPr>
          <w:spacing w:val="40"/>
        </w:rPr>
        <w:t> </w:t>
      </w:r>
      <w:r>
        <w:rPr/>
        <w:t>most</w:t>
      </w:r>
      <w:r>
        <w:rPr>
          <w:spacing w:val="40"/>
        </w:rPr>
        <w:t> </w:t>
      </w:r>
      <w:r>
        <w:rPr/>
        <w:t>appropriate</w:t>
      </w:r>
      <w:r>
        <w:rPr>
          <w:spacing w:val="40"/>
        </w:rPr>
        <w:t> </w:t>
      </w:r>
      <w:r>
        <w:rPr/>
        <w:t>methods</w:t>
      </w:r>
      <w:r>
        <w:rPr>
          <w:spacing w:val="40"/>
        </w:rPr>
        <w:t> </w:t>
      </w:r>
      <w:r>
        <w:rPr/>
        <w:t>of training must be given consideration; the method elected</w:t>
      </w:r>
      <w:r>
        <w:rPr>
          <w:spacing w:val="40"/>
        </w:rPr>
        <w:t> </w:t>
      </w:r>
      <w:r>
        <w:rPr/>
        <w:t>will</w:t>
      </w:r>
      <w:r>
        <w:rPr>
          <w:spacing w:val="40"/>
        </w:rPr>
        <w:t> </w:t>
      </w:r>
      <w:r>
        <w:rPr/>
        <w:t>depend</w:t>
      </w:r>
      <w:r>
        <w:rPr>
          <w:spacing w:val="40"/>
        </w:rPr>
        <w:t> </w:t>
      </w:r>
      <w:r>
        <w:rPr/>
        <w:t>on</w:t>
      </w:r>
      <w:r>
        <w:rPr>
          <w:spacing w:val="40"/>
        </w:rPr>
        <w:t> </w:t>
      </w:r>
      <w:r>
        <w:rPr/>
        <w:t>the</w:t>
      </w:r>
      <w:r>
        <w:rPr>
          <w:spacing w:val="40"/>
        </w:rPr>
        <w:t> </w:t>
      </w:r>
      <w:r>
        <w:rPr/>
        <w:t>needs</w:t>
      </w:r>
      <w:r>
        <w:rPr>
          <w:spacing w:val="40"/>
        </w:rPr>
        <w:t> </w:t>
      </w:r>
      <w:r>
        <w:rPr/>
        <w:t>of</w:t>
      </w:r>
      <w:r>
        <w:rPr>
          <w:spacing w:val="40"/>
        </w:rPr>
        <w:t> </w:t>
      </w:r>
      <w:r>
        <w:rPr/>
        <w:t>the organization, employees and</w:t>
      </w:r>
      <w:r>
        <w:rPr>
          <w:spacing w:val="80"/>
        </w:rPr>
        <w:t> </w:t>
      </w:r>
      <w:r>
        <w:rPr/>
        <w:t>technological changes; there</w:t>
      </w:r>
      <w:r>
        <w:rPr>
          <w:spacing w:val="40"/>
        </w:rPr>
        <w:t> </w:t>
      </w:r>
      <w:r>
        <w:rPr/>
        <w:t>should</w:t>
      </w:r>
      <w:r>
        <w:rPr>
          <w:spacing w:val="40"/>
        </w:rPr>
        <w:t> </w:t>
      </w:r>
      <w:r>
        <w:rPr/>
        <w:t>be</w:t>
      </w:r>
      <w:r>
        <w:rPr>
          <w:spacing w:val="40"/>
        </w:rPr>
        <w:t> </w:t>
      </w:r>
      <w:r>
        <w:rPr/>
        <w:t>clear</w:t>
      </w:r>
      <w:r>
        <w:rPr>
          <w:spacing w:val="40"/>
        </w:rPr>
        <w:t> </w:t>
      </w:r>
      <w:r>
        <w:rPr/>
        <w:t>set</w:t>
      </w:r>
      <w:r>
        <w:rPr>
          <w:spacing w:val="40"/>
        </w:rPr>
        <w:t> </w:t>
      </w:r>
      <w:r>
        <w:rPr/>
        <w:t>of</w:t>
      </w:r>
      <w:r>
        <w:rPr>
          <w:spacing w:val="40"/>
        </w:rPr>
        <w:t> </w:t>
      </w:r>
      <w:r>
        <w:rPr/>
        <w:t>objectives</w:t>
      </w:r>
      <w:r>
        <w:rPr>
          <w:spacing w:val="40"/>
        </w:rPr>
        <w:t> </w:t>
      </w:r>
      <w:r>
        <w:rPr/>
        <w:t>and defined policy for training</w:t>
      </w:r>
      <w:r>
        <w:rPr>
          <w:spacing w:val="40"/>
        </w:rPr>
        <w:t> </w:t>
      </w:r>
      <w:r>
        <w:rPr/>
        <w:t>and</w:t>
      </w:r>
      <w:r>
        <w:rPr>
          <w:spacing w:val="40"/>
        </w:rPr>
        <w:t> </w:t>
      </w:r>
      <w:r>
        <w:rPr/>
        <w:t>the</w:t>
      </w:r>
      <w:r>
        <w:rPr>
          <w:spacing w:val="80"/>
        </w:rPr>
        <w:t> </w:t>
      </w:r>
      <w:r>
        <w:rPr/>
        <w:t>criteria</w:t>
      </w:r>
      <w:r>
        <w:rPr>
          <w:spacing w:val="80"/>
        </w:rPr>
        <w:t> </w:t>
      </w:r>
      <w:r>
        <w:rPr/>
        <w:t>used</w:t>
      </w:r>
      <w:r>
        <w:rPr>
          <w:spacing w:val="80"/>
        </w:rPr>
        <w:t> </w:t>
      </w:r>
      <w:r>
        <w:rPr/>
        <w:t>for</w:t>
      </w:r>
      <w:r>
        <w:rPr>
          <w:spacing w:val="80"/>
        </w:rPr>
        <w:t> </w:t>
      </w:r>
      <w:r>
        <w:rPr/>
        <w:t>selecting</w:t>
      </w:r>
      <w:r>
        <w:rPr>
          <w:spacing w:val="80"/>
        </w:rPr>
        <w:t> </w:t>
      </w:r>
      <w:r>
        <w:rPr/>
        <w:t>training participants</w:t>
      </w:r>
      <w:r>
        <w:rPr>
          <w:spacing w:val="80"/>
        </w:rPr>
        <w:t> </w:t>
      </w:r>
      <w:r>
        <w:rPr/>
        <w:t>should</w:t>
      </w:r>
      <w:r>
        <w:rPr>
          <w:spacing w:val="80"/>
        </w:rPr>
        <w:t> </w:t>
      </w:r>
      <w:r>
        <w:rPr/>
        <w:t>be carefully</w:t>
      </w:r>
      <w:r>
        <w:rPr>
          <w:spacing w:val="40"/>
        </w:rPr>
        <w:t> </w:t>
      </w:r>
      <w:r>
        <w:rPr/>
        <w:t>designed</w:t>
      </w:r>
      <w:r>
        <w:rPr>
          <w:spacing w:val="40"/>
        </w:rPr>
        <w:t> </w:t>
      </w:r>
      <w:r>
        <w:rPr/>
        <w:t>and publicized within the organization.</w:t>
      </w:r>
    </w:p>
    <w:p>
      <w:pPr>
        <w:pStyle w:val="Heading3"/>
        <w:numPr>
          <w:ilvl w:val="3"/>
          <w:numId w:val="53"/>
        </w:numPr>
        <w:tabs>
          <w:tab w:pos="1839" w:val="left" w:leader="none"/>
        </w:tabs>
        <w:spacing w:line="240" w:lineRule="auto" w:before="166" w:after="0"/>
        <w:ind w:left="1839" w:right="0" w:hanging="1440"/>
        <w:jc w:val="both"/>
      </w:pPr>
      <w:r>
        <w:rPr/>
        <w:t>Employee</w:t>
      </w:r>
      <w:r>
        <w:rPr>
          <w:spacing w:val="-3"/>
        </w:rPr>
        <w:t> </w:t>
      </w:r>
      <w:r>
        <w:rPr>
          <w:spacing w:val="-2"/>
        </w:rPr>
        <w:t>participation</w:t>
      </w:r>
    </w:p>
    <w:p>
      <w:pPr>
        <w:pStyle w:val="BodyText"/>
        <w:spacing w:before="154"/>
        <w:rPr>
          <w:b/>
          <w:i/>
        </w:rPr>
      </w:pPr>
    </w:p>
    <w:p>
      <w:pPr>
        <w:pStyle w:val="BodyText"/>
        <w:spacing w:line="480" w:lineRule="auto"/>
        <w:ind w:left="399" w:right="1318"/>
        <w:jc w:val="both"/>
      </w:pPr>
      <w:r>
        <w:rPr/>
        <w:t>The study reveals that employee involvement though considered to have influence in business performance</w:t>
      </w:r>
      <w:r>
        <w:rPr>
          <w:spacing w:val="43"/>
        </w:rPr>
        <w:t> </w:t>
      </w:r>
      <w:r>
        <w:rPr/>
        <w:t>of</w:t>
      </w:r>
      <w:r>
        <w:rPr>
          <w:spacing w:val="45"/>
        </w:rPr>
        <w:t> </w:t>
      </w:r>
      <w:r>
        <w:rPr/>
        <w:t>the</w:t>
      </w:r>
      <w:r>
        <w:rPr>
          <w:spacing w:val="46"/>
        </w:rPr>
        <w:t> </w:t>
      </w:r>
      <w:r>
        <w:rPr/>
        <w:t>firm</w:t>
      </w:r>
      <w:r>
        <w:rPr>
          <w:spacing w:val="48"/>
        </w:rPr>
        <w:t> </w:t>
      </w:r>
      <w:r>
        <w:rPr/>
        <w:t>has</w:t>
      </w:r>
      <w:r>
        <w:rPr>
          <w:spacing w:val="46"/>
        </w:rPr>
        <w:t> </w:t>
      </w:r>
      <w:r>
        <w:rPr/>
        <w:t>not</w:t>
      </w:r>
      <w:r>
        <w:rPr>
          <w:spacing w:val="47"/>
        </w:rPr>
        <w:t> </w:t>
      </w:r>
      <w:r>
        <w:rPr/>
        <w:t>been</w:t>
      </w:r>
      <w:r>
        <w:rPr>
          <w:spacing w:val="46"/>
        </w:rPr>
        <w:t> </w:t>
      </w:r>
      <w:r>
        <w:rPr/>
        <w:t>given</w:t>
      </w:r>
      <w:r>
        <w:rPr>
          <w:spacing w:val="46"/>
        </w:rPr>
        <w:t> </w:t>
      </w:r>
      <w:r>
        <w:rPr/>
        <w:t>the</w:t>
      </w:r>
      <w:r>
        <w:rPr>
          <w:spacing w:val="48"/>
        </w:rPr>
        <w:t> </w:t>
      </w:r>
      <w:r>
        <w:rPr/>
        <w:t>required</w:t>
      </w:r>
      <w:r>
        <w:rPr>
          <w:spacing w:val="46"/>
        </w:rPr>
        <w:t> </w:t>
      </w:r>
      <w:r>
        <w:rPr/>
        <w:t>level</w:t>
      </w:r>
      <w:r>
        <w:rPr>
          <w:spacing w:val="46"/>
        </w:rPr>
        <w:t> </w:t>
      </w:r>
      <w:r>
        <w:rPr/>
        <w:t>of</w:t>
      </w:r>
      <w:r>
        <w:rPr>
          <w:spacing w:val="46"/>
        </w:rPr>
        <w:t> </w:t>
      </w:r>
      <w:r>
        <w:rPr/>
        <w:t>attention.</w:t>
      </w:r>
      <w:r>
        <w:rPr>
          <w:spacing w:val="46"/>
        </w:rPr>
        <w:t> </w:t>
      </w:r>
      <w:r>
        <w:rPr/>
        <w:t>This</w:t>
      </w:r>
      <w:r>
        <w:rPr>
          <w:spacing w:val="46"/>
        </w:rPr>
        <w:t> </w:t>
      </w:r>
      <w:r>
        <w:rPr/>
        <w:t>affects</w:t>
      </w:r>
      <w:r>
        <w:rPr>
          <w:spacing w:val="47"/>
        </w:rPr>
        <w:t> </w:t>
      </w:r>
      <w:r>
        <w:rPr>
          <w:spacing w:val="-5"/>
        </w:rPr>
        <w:t>the</w:t>
      </w:r>
    </w:p>
    <w:p>
      <w:pPr>
        <w:spacing w:after="0" w:line="480" w:lineRule="auto"/>
        <w:jc w:val="both"/>
        <w:sectPr>
          <w:pgSz w:w="12240" w:h="15840"/>
          <w:pgMar w:header="0" w:footer="1017" w:top="1360" w:bottom="1200" w:left="1040" w:right="120"/>
        </w:sectPr>
      </w:pPr>
    </w:p>
    <w:p>
      <w:pPr>
        <w:pStyle w:val="BodyText"/>
        <w:spacing w:line="480" w:lineRule="auto" w:before="72"/>
        <w:ind w:left="400" w:right="1319"/>
        <w:jc w:val="both"/>
      </w:pPr>
      <w:r>
        <w:rPr/>
        <w:t>business performance in their organization, since the organization</w:t>
      </w:r>
      <w:r>
        <w:rPr>
          <w:spacing w:val="40"/>
        </w:rPr>
        <w:t> </w:t>
      </w:r>
      <w:r>
        <w:rPr/>
        <w:t>has</w:t>
      </w:r>
      <w:r>
        <w:rPr>
          <w:spacing w:val="40"/>
        </w:rPr>
        <w:t> </w:t>
      </w:r>
      <w:r>
        <w:rPr/>
        <w:t>attained</w:t>
      </w:r>
      <w:r>
        <w:rPr>
          <w:spacing w:val="40"/>
        </w:rPr>
        <w:t> </w:t>
      </w:r>
      <w:r>
        <w:rPr/>
        <w:t>the</w:t>
      </w:r>
      <w:r>
        <w:rPr>
          <w:spacing w:val="40"/>
        </w:rPr>
        <w:t> </w:t>
      </w:r>
      <w:r>
        <w:rPr/>
        <w:t>expected environment</w:t>
      </w:r>
      <w:r>
        <w:rPr>
          <w:spacing w:val="40"/>
        </w:rPr>
        <w:t> </w:t>
      </w:r>
      <w:r>
        <w:rPr/>
        <w:t>where</w:t>
      </w:r>
      <w:r>
        <w:rPr>
          <w:spacing w:val="40"/>
        </w:rPr>
        <w:t> </w:t>
      </w:r>
      <w:r>
        <w:rPr/>
        <w:t>employees</w:t>
      </w:r>
      <w:r>
        <w:rPr>
          <w:spacing w:val="40"/>
        </w:rPr>
        <w:t> </w:t>
      </w:r>
      <w:r>
        <w:rPr/>
        <w:t>can</w:t>
      </w:r>
      <w:r>
        <w:rPr>
          <w:spacing w:val="40"/>
        </w:rPr>
        <w:t> </w:t>
      </w:r>
      <w:r>
        <w:rPr/>
        <w:t>absolutely,</w:t>
      </w:r>
      <w:r>
        <w:rPr>
          <w:spacing w:val="40"/>
        </w:rPr>
        <w:t> </w:t>
      </w:r>
      <w:r>
        <w:rPr/>
        <w:t>freely, openly discuss problems and issues; share knowledge and experience; actively seek opportunities to enhance their competence, knowledge and experience;</w:t>
      </w:r>
      <w:r>
        <w:rPr>
          <w:spacing w:val="80"/>
        </w:rPr>
        <w:t> </w:t>
      </w:r>
      <w:r>
        <w:rPr/>
        <w:t>valuate their performance against their personal goals and objectives;</w:t>
      </w:r>
      <w:r>
        <w:rPr>
          <w:spacing w:val="40"/>
        </w:rPr>
        <w:t> </w:t>
      </w:r>
      <w:r>
        <w:rPr/>
        <w:t>accept</w:t>
      </w:r>
      <w:r>
        <w:rPr>
          <w:spacing w:val="40"/>
        </w:rPr>
        <w:t> </w:t>
      </w:r>
      <w:r>
        <w:rPr/>
        <w:t>ownership of problems and their responsibility for solving them; and understand the importance of their contribution and role in their firms</w:t>
      </w:r>
    </w:p>
    <w:p>
      <w:pPr>
        <w:pStyle w:val="BodyText"/>
        <w:spacing w:line="480" w:lineRule="auto" w:before="161"/>
        <w:ind w:left="399" w:right="1318"/>
        <w:jc w:val="both"/>
      </w:pPr>
      <w:r>
        <w:rPr/>
        <w:t>Employees</w:t>
      </w:r>
      <w:r>
        <w:rPr>
          <w:spacing w:val="40"/>
        </w:rPr>
        <w:t> </w:t>
      </w:r>
      <w:r>
        <w:rPr/>
        <w:t>at</w:t>
      </w:r>
      <w:r>
        <w:rPr>
          <w:spacing w:val="40"/>
        </w:rPr>
        <w:t> </w:t>
      </w:r>
      <w:r>
        <w:rPr/>
        <w:t>all</w:t>
      </w:r>
      <w:r>
        <w:rPr>
          <w:spacing w:val="40"/>
        </w:rPr>
        <w:t> </w:t>
      </w:r>
      <w:r>
        <w:rPr/>
        <w:t>levels</w:t>
      </w:r>
      <w:r>
        <w:rPr>
          <w:spacing w:val="40"/>
        </w:rPr>
        <w:t> </w:t>
      </w:r>
      <w:r>
        <w:rPr/>
        <w:t>are</w:t>
      </w:r>
      <w:r>
        <w:rPr>
          <w:spacing w:val="40"/>
        </w:rPr>
        <w:t> </w:t>
      </w:r>
      <w:r>
        <w:rPr/>
        <w:t>the</w:t>
      </w:r>
      <w:r>
        <w:rPr>
          <w:spacing w:val="40"/>
        </w:rPr>
        <w:t> </w:t>
      </w:r>
      <w:r>
        <w:rPr/>
        <w:t>essence</w:t>
      </w:r>
      <w:r>
        <w:rPr>
          <w:spacing w:val="40"/>
        </w:rPr>
        <w:t> </w:t>
      </w:r>
      <w:r>
        <w:rPr/>
        <w:t>of</w:t>
      </w:r>
      <w:r>
        <w:rPr>
          <w:spacing w:val="40"/>
        </w:rPr>
        <w:t> </w:t>
      </w:r>
      <w:r>
        <w:rPr/>
        <w:t>an</w:t>
      </w:r>
      <w:r>
        <w:rPr>
          <w:spacing w:val="40"/>
        </w:rPr>
        <w:t> </w:t>
      </w:r>
      <w:r>
        <w:rPr/>
        <w:t>organization</w:t>
      </w:r>
      <w:r>
        <w:rPr>
          <w:spacing w:val="40"/>
        </w:rPr>
        <w:t> </w:t>
      </w:r>
      <w:r>
        <w:rPr/>
        <w:t>and</w:t>
      </w:r>
      <w:r>
        <w:rPr>
          <w:spacing w:val="40"/>
        </w:rPr>
        <w:t> </w:t>
      </w:r>
      <w:r>
        <w:rPr/>
        <w:t>their</w:t>
      </w:r>
      <w:r>
        <w:rPr>
          <w:spacing w:val="40"/>
        </w:rPr>
        <w:t> </w:t>
      </w:r>
      <w:r>
        <w:rPr/>
        <w:t>full</w:t>
      </w:r>
      <w:r>
        <w:rPr>
          <w:spacing w:val="40"/>
        </w:rPr>
        <w:t> </w:t>
      </w:r>
      <w:r>
        <w:rPr/>
        <w:t>involvement</w:t>
      </w:r>
      <w:r>
        <w:rPr>
          <w:spacing w:val="40"/>
        </w:rPr>
        <w:t> </w:t>
      </w:r>
      <w:r>
        <w:rPr/>
        <w:t>enables their abilities to be used for the organization benefit. Motivated, committed, and</w:t>
      </w:r>
      <w:r>
        <w:rPr>
          <w:spacing w:val="40"/>
        </w:rPr>
        <w:t> </w:t>
      </w:r>
      <w:r>
        <w:rPr/>
        <w:t>involved employees within the organization; innovation and creativity in furthering the organization's objectives; employees being accountable for their own performance; and employees eager to participate in and contribute to continual improvement, is considered to be the outcome of employee involvement in the organization.</w:t>
      </w:r>
    </w:p>
    <w:p>
      <w:pPr>
        <w:pStyle w:val="BodyText"/>
        <w:spacing w:before="2"/>
      </w:pPr>
    </w:p>
    <w:p>
      <w:pPr>
        <w:pStyle w:val="Heading3"/>
        <w:numPr>
          <w:ilvl w:val="3"/>
          <w:numId w:val="53"/>
        </w:numPr>
        <w:tabs>
          <w:tab w:pos="1839" w:val="left" w:leader="none"/>
        </w:tabs>
        <w:spacing w:line="240" w:lineRule="auto" w:before="0" w:after="0"/>
        <w:ind w:left="1839" w:right="0" w:hanging="1439"/>
        <w:jc w:val="both"/>
      </w:pPr>
      <w:r>
        <w:rPr/>
        <w:t>Strategic</w:t>
      </w:r>
      <w:r>
        <w:rPr>
          <w:spacing w:val="-2"/>
        </w:rPr>
        <w:t> planning</w:t>
      </w:r>
    </w:p>
    <w:p>
      <w:pPr>
        <w:pStyle w:val="BodyText"/>
        <w:spacing w:line="480" w:lineRule="auto" w:before="272"/>
        <w:ind w:left="400" w:right="1314"/>
        <w:jc w:val="both"/>
      </w:pPr>
      <w:r>
        <w:rPr/>
        <w:t>Strategic Planning</w:t>
      </w:r>
      <w:r>
        <w:rPr>
          <w:spacing w:val="-2"/>
        </w:rPr>
        <w:t> </w:t>
      </w:r>
      <w:r>
        <w:rPr/>
        <w:t>deals with</w:t>
      </w:r>
      <w:r>
        <w:rPr>
          <w:spacing w:val="-1"/>
        </w:rPr>
        <w:t> </w:t>
      </w:r>
      <w:r>
        <w:rPr/>
        <w:t>ways to</w:t>
      </w:r>
      <w:r>
        <w:rPr>
          <w:spacing w:val="-1"/>
        </w:rPr>
        <w:t> </w:t>
      </w:r>
      <w:r>
        <w:rPr/>
        <w:t>achieve</w:t>
      </w:r>
      <w:r>
        <w:rPr>
          <w:spacing w:val="-1"/>
        </w:rPr>
        <w:t> </w:t>
      </w:r>
      <w:r>
        <w:rPr/>
        <w:t>organisational</w:t>
      </w:r>
      <w:r>
        <w:rPr>
          <w:spacing w:val="-1"/>
        </w:rPr>
        <w:t> </w:t>
      </w:r>
      <w:r>
        <w:rPr/>
        <w:t>goals</w:t>
      </w:r>
      <w:r>
        <w:rPr>
          <w:spacing w:val="-1"/>
        </w:rPr>
        <w:t> </w:t>
      </w:r>
      <w:r>
        <w:rPr/>
        <w:t>and</w:t>
      </w:r>
      <w:r>
        <w:rPr>
          <w:spacing w:val="-1"/>
        </w:rPr>
        <w:t> </w:t>
      </w:r>
      <w:r>
        <w:rPr/>
        <w:t>objectives</w:t>
      </w:r>
      <w:r>
        <w:rPr>
          <w:spacing w:val="-1"/>
        </w:rPr>
        <w:t> </w:t>
      </w:r>
      <w:r>
        <w:rPr/>
        <w:t>leading</w:t>
      </w:r>
      <w:r>
        <w:rPr>
          <w:spacing w:val="-2"/>
        </w:rPr>
        <w:t> </w:t>
      </w:r>
      <w:r>
        <w:rPr/>
        <w:t>to</w:t>
      </w:r>
      <w:r>
        <w:rPr>
          <w:spacing w:val="-1"/>
        </w:rPr>
        <w:t> </w:t>
      </w:r>
      <w:r>
        <w:rPr/>
        <w:t>long term performance of the company. Involving a critical look at the whole business, deciding</w:t>
      </w:r>
      <w:r>
        <w:rPr>
          <w:spacing w:val="40"/>
        </w:rPr>
        <w:t> </w:t>
      </w:r>
      <w:r>
        <w:rPr/>
        <w:t>which way the company will head, and what actions management will take, so that the company will get there or rather achieve the set goals. Hence, questions such as; what do we set out for? Where are we? Where should we be?</w:t>
      </w:r>
      <w:r>
        <w:rPr>
          <w:spacing w:val="80"/>
        </w:rPr>
        <w:t> </w:t>
      </w:r>
      <w:r>
        <w:rPr/>
        <w:t>What is our strength?</w:t>
      </w:r>
      <w:r>
        <w:rPr>
          <w:spacing w:val="80"/>
        </w:rPr>
        <w:t> </w:t>
      </w:r>
      <w:r>
        <w:rPr/>
        <w:t>What are our weaknesses?</w:t>
      </w:r>
      <w:r>
        <w:rPr>
          <w:spacing w:val="80"/>
        </w:rPr>
        <w:t> </w:t>
      </w:r>
      <w:r>
        <w:rPr/>
        <w:t>All these are required to be adequately answered. Firms that adopt strategic planning predict unfavourable circumstances and apportion capital consequently. Strategic planning should be used to plan, develop and implement strategies that should result in improved customer and employee satisfaction.</w:t>
      </w:r>
    </w:p>
    <w:p>
      <w:pPr>
        <w:spacing w:after="0" w:line="480" w:lineRule="auto"/>
        <w:jc w:val="both"/>
        <w:sectPr>
          <w:pgSz w:w="12240" w:h="15840"/>
          <w:pgMar w:header="0" w:footer="1017" w:top="1360" w:bottom="1200" w:left="1040" w:right="120"/>
        </w:sectPr>
      </w:pPr>
    </w:p>
    <w:p>
      <w:pPr>
        <w:pStyle w:val="Heading3"/>
        <w:numPr>
          <w:ilvl w:val="3"/>
          <w:numId w:val="53"/>
        </w:numPr>
        <w:tabs>
          <w:tab w:pos="1839" w:val="left" w:leader="none"/>
        </w:tabs>
        <w:spacing w:line="240" w:lineRule="auto" w:before="76" w:after="0"/>
        <w:ind w:left="1839" w:right="0" w:hanging="1439"/>
        <w:jc w:val="both"/>
      </w:pPr>
      <w:r>
        <w:rPr>
          <w:spacing w:val="-2"/>
        </w:rPr>
        <w:t>Communication</w:t>
      </w:r>
    </w:p>
    <w:p>
      <w:pPr>
        <w:pStyle w:val="BodyText"/>
        <w:spacing w:line="480" w:lineRule="auto" w:before="272"/>
        <w:ind w:left="399" w:right="1317"/>
        <w:jc w:val="both"/>
      </w:pPr>
      <w:r>
        <w:rPr/>
        <w:t>Total quality managers use effective communication to enlist the support of other employees, towards achieving corporate objectives.</w:t>
      </w:r>
      <w:r>
        <w:rPr>
          <w:spacing w:val="80"/>
        </w:rPr>
        <w:t> </w:t>
      </w:r>
      <w:r>
        <w:rPr/>
        <w:t>When</w:t>
      </w:r>
      <w:r>
        <w:rPr>
          <w:spacing w:val="80"/>
        </w:rPr>
        <w:t> </w:t>
      </w:r>
      <w:r>
        <w:rPr/>
        <w:t>an organization's</w:t>
      </w:r>
      <w:r>
        <w:rPr>
          <w:spacing w:val="80"/>
        </w:rPr>
        <w:t> </w:t>
      </w:r>
      <w:r>
        <w:rPr/>
        <w:t>vision</w:t>
      </w:r>
      <w:r>
        <w:rPr>
          <w:spacing w:val="80"/>
        </w:rPr>
        <w:t> </w:t>
      </w:r>
      <w:r>
        <w:rPr/>
        <w:t>is</w:t>
      </w:r>
      <w:r>
        <w:rPr>
          <w:spacing w:val="80"/>
        </w:rPr>
        <w:t> </w:t>
      </w:r>
      <w:r>
        <w:rPr/>
        <w:t>communicated</w:t>
      </w:r>
      <w:r>
        <w:rPr>
          <w:spacing w:val="80"/>
        </w:rPr>
        <w:t> </w:t>
      </w:r>
      <w:r>
        <w:rPr/>
        <w:t>to its</w:t>
      </w:r>
      <w:r>
        <w:rPr>
          <w:spacing w:val="40"/>
        </w:rPr>
        <w:t> </w:t>
      </w:r>
      <w:r>
        <w:rPr/>
        <w:t>entire employees,</w:t>
      </w:r>
      <w:r>
        <w:rPr>
          <w:spacing w:val="40"/>
        </w:rPr>
        <w:t> </w:t>
      </w:r>
      <w:r>
        <w:rPr/>
        <w:t>the</w:t>
      </w:r>
      <w:r>
        <w:rPr>
          <w:spacing w:val="40"/>
        </w:rPr>
        <w:t> </w:t>
      </w:r>
      <w:r>
        <w:rPr/>
        <w:t>whole picture, the path, the future, and everything about the ultimate goal is made known,</w:t>
      </w:r>
      <w:r>
        <w:rPr>
          <w:spacing w:val="40"/>
        </w:rPr>
        <w:t> </w:t>
      </w:r>
      <w:r>
        <w:rPr/>
        <w:t>the</w:t>
      </w:r>
      <w:r>
        <w:rPr>
          <w:spacing w:val="40"/>
        </w:rPr>
        <w:t> </w:t>
      </w:r>
      <w:r>
        <w:rPr/>
        <w:t>organization</w:t>
      </w:r>
      <w:r>
        <w:rPr>
          <w:spacing w:val="40"/>
        </w:rPr>
        <w:t> </w:t>
      </w:r>
      <w:r>
        <w:rPr/>
        <w:t>moves</w:t>
      </w:r>
      <w:r>
        <w:rPr>
          <w:spacing w:val="40"/>
        </w:rPr>
        <w:t> </w:t>
      </w:r>
      <w:r>
        <w:rPr/>
        <w:t>systematically</w:t>
      </w:r>
      <w:r>
        <w:rPr>
          <w:spacing w:val="40"/>
        </w:rPr>
        <w:t> </w:t>
      </w:r>
      <w:r>
        <w:rPr/>
        <w:t>towards</w:t>
      </w:r>
      <w:r>
        <w:rPr>
          <w:spacing w:val="40"/>
        </w:rPr>
        <w:t> </w:t>
      </w:r>
      <w:r>
        <w:rPr/>
        <w:t>total</w:t>
      </w:r>
      <w:r>
        <w:rPr>
          <w:spacing w:val="40"/>
        </w:rPr>
        <w:t> </w:t>
      </w:r>
      <w:r>
        <w:rPr/>
        <w:t>customer satisfaction,</w:t>
      </w:r>
      <w:r>
        <w:rPr>
          <w:spacing w:val="40"/>
        </w:rPr>
        <w:t> </w:t>
      </w:r>
      <w:r>
        <w:rPr/>
        <w:t>rapid</w:t>
      </w:r>
      <w:r>
        <w:rPr>
          <w:spacing w:val="40"/>
        </w:rPr>
        <w:t> </w:t>
      </w:r>
      <w:r>
        <w:rPr/>
        <w:t>rates</w:t>
      </w:r>
      <w:r>
        <w:rPr>
          <w:spacing w:val="40"/>
        </w:rPr>
        <w:t> </w:t>
      </w:r>
      <w:r>
        <w:rPr/>
        <w:t>of</w:t>
      </w:r>
      <w:r>
        <w:rPr>
          <w:spacing w:val="40"/>
        </w:rPr>
        <w:t> </w:t>
      </w:r>
      <w:r>
        <w:rPr/>
        <w:t>improvement</w:t>
      </w:r>
      <w:r>
        <w:rPr>
          <w:spacing w:val="40"/>
        </w:rPr>
        <w:t> </w:t>
      </w:r>
      <w:r>
        <w:rPr/>
        <w:t>and</w:t>
      </w:r>
      <w:r>
        <w:rPr>
          <w:spacing w:val="40"/>
        </w:rPr>
        <w:t> </w:t>
      </w:r>
      <w:r>
        <w:rPr/>
        <w:t>world-class</w:t>
      </w:r>
      <w:r>
        <w:rPr>
          <w:spacing w:val="40"/>
        </w:rPr>
        <w:t> </w:t>
      </w:r>
      <w:r>
        <w:rPr/>
        <w:t>levels</w:t>
      </w:r>
      <w:r>
        <w:rPr>
          <w:spacing w:val="40"/>
        </w:rPr>
        <w:t> </w:t>
      </w:r>
      <w:r>
        <w:rPr/>
        <w:t>of performance. Communication</w:t>
      </w:r>
      <w:r>
        <w:rPr>
          <w:spacing w:val="40"/>
        </w:rPr>
        <w:t> </w:t>
      </w:r>
      <w:r>
        <w:rPr/>
        <w:t>is</w:t>
      </w:r>
      <w:r>
        <w:rPr>
          <w:spacing w:val="40"/>
        </w:rPr>
        <w:t> </w:t>
      </w:r>
      <w:r>
        <w:rPr/>
        <w:t>so important</w:t>
      </w:r>
      <w:r>
        <w:rPr>
          <w:spacing w:val="40"/>
        </w:rPr>
        <w:t> </w:t>
      </w:r>
      <w:r>
        <w:rPr/>
        <w:t>to</w:t>
      </w:r>
      <w:r>
        <w:rPr>
          <w:spacing w:val="40"/>
        </w:rPr>
        <w:t> </w:t>
      </w:r>
      <w:r>
        <w:rPr/>
        <w:t>the</w:t>
      </w:r>
      <w:r>
        <w:rPr>
          <w:spacing w:val="40"/>
        </w:rPr>
        <w:t> </w:t>
      </w:r>
      <w:r>
        <w:rPr/>
        <w:t>extent that quality objectives are stated in the business plan in the same way that costs</w:t>
      </w:r>
      <w:r>
        <w:rPr>
          <w:spacing w:val="40"/>
        </w:rPr>
        <w:t> </w:t>
      </w:r>
      <w:r>
        <w:rPr/>
        <w:t>and</w:t>
      </w:r>
      <w:r>
        <w:rPr>
          <w:spacing w:val="40"/>
        </w:rPr>
        <w:t> </w:t>
      </w:r>
      <w:r>
        <w:rPr/>
        <w:t>schedules</w:t>
      </w:r>
      <w:r>
        <w:rPr>
          <w:spacing w:val="40"/>
        </w:rPr>
        <w:t> </w:t>
      </w:r>
      <w:r>
        <w:rPr/>
        <w:t>are'</w:t>
      </w:r>
      <w:r>
        <w:rPr>
          <w:spacing w:val="40"/>
        </w:rPr>
        <w:t> </w:t>
      </w:r>
      <w:r>
        <w:rPr/>
        <w:t>included.</w:t>
      </w:r>
      <w:r>
        <w:rPr>
          <w:spacing w:val="40"/>
        </w:rPr>
        <w:t> </w:t>
      </w:r>
      <w:r>
        <w:rPr/>
        <w:t>Communication is an essential prerequisite for employee improvement, as information IS required to make meaningful and correct decisions.</w:t>
      </w:r>
    </w:p>
    <w:p>
      <w:pPr>
        <w:pStyle w:val="BodyText"/>
        <w:spacing w:line="480" w:lineRule="auto" w:before="158"/>
        <w:ind w:left="400" w:right="1316"/>
        <w:jc w:val="both"/>
      </w:pPr>
      <w:r>
        <w:rPr/>
        <w:t>Communication</w:t>
      </w:r>
      <w:r>
        <w:rPr>
          <w:spacing w:val="40"/>
        </w:rPr>
        <w:t> </w:t>
      </w:r>
      <w:r>
        <w:rPr/>
        <w:t>with</w:t>
      </w:r>
      <w:r>
        <w:rPr>
          <w:spacing w:val="40"/>
        </w:rPr>
        <w:t> </w:t>
      </w:r>
      <w:r>
        <w:rPr/>
        <w:t>the</w:t>
      </w:r>
      <w:r>
        <w:rPr>
          <w:spacing w:val="40"/>
        </w:rPr>
        <w:t> </w:t>
      </w:r>
      <w:r>
        <w:rPr/>
        <w:t>customer</w:t>
      </w:r>
      <w:r>
        <w:rPr>
          <w:spacing w:val="40"/>
        </w:rPr>
        <w:t> </w:t>
      </w:r>
      <w:r>
        <w:rPr/>
        <w:t>is</w:t>
      </w:r>
      <w:r>
        <w:rPr>
          <w:spacing w:val="40"/>
        </w:rPr>
        <w:t> </w:t>
      </w:r>
      <w:r>
        <w:rPr/>
        <w:t>also</w:t>
      </w:r>
      <w:r>
        <w:rPr>
          <w:spacing w:val="40"/>
        </w:rPr>
        <w:t> </w:t>
      </w:r>
      <w:r>
        <w:rPr/>
        <w:t>an</w:t>
      </w:r>
      <w:r>
        <w:rPr>
          <w:spacing w:val="40"/>
        </w:rPr>
        <w:t> </w:t>
      </w:r>
      <w:r>
        <w:rPr/>
        <w:t>essential</w:t>
      </w:r>
      <w:r>
        <w:rPr>
          <w:spacing w:val="40"/>
        </w:rPr>
        <w:t> </w:t>
      </w:r>
      <w:r>
        <w:rPr/>
        <w:t>part</w:t>
      </w:r>
      <w:r>
        <w:rPr>
          <w:spacing w:val="40"/>
        </w:rPr>
        <w:t> </w:t>
      </w:r>
      <w:r>
        <w:rPr/>
        <w:t>of</w:t>
      </w:r>
      <w:r>
        <w:rPr>
          <w:spacing w:val="40"/>
        </w:rPr>
        <w:t> </w:t>
      </w:r>
      <w:r>
        <w:rPr/>
        <w:t>TQM</w:t>
      </w:r>
      <w:r>
        <w:rPr>
          <w:spacing w:val="40"/>
        </w:rPr>
        <w:t> </w:t>
      </w:r>
      <w:r>
        <w:rPr/>
        <w:t>as</w:t>
      </w:r>
      <w:r>
        <w:rPr>
          <w:spacing w:val="40"/>
        </w:rPr>
        <w:t> </w:t>
      </w:r>
      <w:r>
        <w:rPr/>
        <w:t>the feedback is required to know what exactly the customer expects as well as to measure customer satisfaction. Providing</w:t>
      </w:r>
      <w:r>
        <w:rPr>
          <w:spacing w:val="-5"/>
        </w:rPr>
        <w:t> </w:t>
      </w:r>
      <w:r>
        <w:rPr/>
        <w:t>a</w:t>
      </w:r>
      <w:r>
        <w:rPr>
          <w:spacing w:val="-2"/>
        </w:rPr>
        <w:t> </w:t>
      </w:r>
      <w:r>
        <w:rPr/>
        <w:t>quality</w:t>
      </w:r>
      <w:r>
        <w:rPr>
          <w:spacing w:val="-7"/>
        </w:rPr>
        <w:t> </w:t>
      </w:r>
      <w:r>
        <w:rPr/>
        <w:t>service</w:t>
      </w:r>
      <w:r>
        <w:rPr>
          <w:spacing w:val="-3"/>
        </w:rPr>
        <w:t> </w:t>
      </w:r>
      <w:r>
        <w:rPr/>
        <w:t>or</w:t>
      </w:r>
      <w:r>
        <w:rPr>
          <w:spacing w:val="-2"/>
        </w:rPr>
        <w:t> </w:t>
      </w:r>
      <w:r>
        <w:rPr/>
        <w:t>product</w:t>
      </w:r>
      <w:r>
        <w:rPr>
          <w:spacing w:val="-2"/>
        </w:rPr>
        <w:t> </w:t>
      </w:r>
      <w:r>
        <w:rPr/>
        <w:t>to</w:t>
      </w:r>
      <w:r>
        <w:rPr>
          <w:spacing w:val="-1"/>
        </w:rPr>
        <w:t> </w:t>
      </w:r>
      <w:r>
        <w:rPr/>
        <w:t>the</w:t>
      </w:r>
      <w:r>
        <w:rPr>
          <w:spacing w:val="-3"/>
        </w:rPr>
        <w:t> </w:t>
      </w:r>
      <w:r>
        <w:rPr/>
        <w:t>customer,</w:t>
      </w:r>
      <w:r>
        <w:rPr>
          <w:spacing w:val="-2"/>
        </w:rPr>
        <w:t> </w:t>
      </w:r>
      <w:r>
        <w:rPr/>
        <w:t>and</w:t>
      </w:r>
      <w:r>
        <w:rPr>
          <w:spacing w:val="-1"/>
        </w:rPr>
        <w:t> </w:t>
      </w:r>
      <w:r>
        <w:rPr/>
        <w:t>good</w:t>
      </w:r>
      <w:r>
        <w:rPr>
          <w:spacing w:val="-1"/>
        </w:rPr>
        <w:t> </w:t>
      </w:r>
      <w:r>
        <w:rPr/>
        <w:t>communication,</w:t>
      </w:r>
      <w:r>
        <w:rPr>
          <w:spacing w:val="-2"/>
        </w:rPr>
        <w:t> </w:t>
      </w:r>
      <w:r>
        <w:rPr/>
        <w:t>are</w:t>
      </w:r>
      <w:r>
        <w:rPr>
          <w:spacing w:val="-2"/>
        </w:rPr>
        <w:t> </w:t>
      </w:r>
      <w:r>
        <w:rPr/>
        <w:t>inextricably linked. Listening to your customers, whether internal or external, is a founding principle of </w:t>
      </w:r>
      <w:r>
        <w:rPr>
          <w:spacing w:val="-2"/>
        </w:rPr>
        <w:t>quality”.</w:t>
      </w:r>
    </w:p>
    <w:p>
      <w:pPr>
        <w:pStyle w:val="Heading3"/>
        <w:numPr>
          <w:ilvl w:val="3"/>
          <w:numId w:val="53"/>
        </w:numPr>
        <w:tabs>
          <w:tab w:pos="1839" w:val="left" w:leader="none"/>
        </w:tabs>
        <w:spacing w:line="240" w:lineRule="auto" w:before="145" w:after="0"/>
        <w:ind w:left="1839" w:right="0" w:hanging="1439"/>
        <w:jc w:val="both"/>
      </w:pPr>
      <w:r>
        <w:rPr/>
        <w:t>Recognition</w:t>
      </w:r>
      <w:r>
        <w:rPr>
          <w:spacing w:val="-1"/>
        </w:rPr>
        <w:t> </w:t>
      </w:r>
      <w:r>
        <w:rPr/>
        <w:t>and</w:t>
      </w:r>
      <w:r>
        <w:rPr>
          <w:spacing w:val="-1"/>
        </w:rPr>
        <w:t> </w:t>
      </w:r>
      <w:r>
        <w:rPr>
          <w:spacing w:val="-2"/>
        </w:rPr>
        <w:t>award</w:t>
      </w:r>
    </w:p>
    <w:p>
      <w:pPr>
        <w:pStyle w:val="BodyText"/>
        <w:spacing w:line="480" w:lineRule="auto" w:before="271"/>
        <w:ind w:left="400" w:right="1318"/>
        <w:jc w:val="both"/>
      </w:pPr>
      <w:r>
        <w:rPr/>
        <w:t>To effectively support organizational quality efforts, firms need to implement an employee compensation system that strongly</w:t>
      </w:r>
      <w:r>
        <w:rPr>
          <w:spacing w:val="-1"/>
        </w:rPr>
        <w:t> </w:t>
      </w:r>
      <w:r>
        <w:rPr/>
        <w:t>links quality and customer satisfaction with pay. Rewards for quality appear to have a positive relationship with employee morale.</w:t>
      </w:r>
      <w:r>
        <w:rPr>
          <w:spacing w:val="40"/>
        </w:rPr>
        <w:t> </w:t>
      </w:r>
      <w:r>
        <w:rPr/>
        <w:t>Recognition and reward activities</w:t>
      </w:r>
      <w:r>
        <w:rPr>
          <w:spacing w:val="-1"/>
        </w:rPr>
        <w:t> </w:t>
      </w:r>
      <w:r>
        <w:rPr/>
        <w:t>are</w:t>
      </w:r>
      <w:r>
        <w:rPr>
          <w:spacing w:val="-2"/>
        </w:rPr>
        <w:t> </w:t>
      </w:r>
      <w:r>
        <w:rPr/>
        <w:t>valued</w:t>
      </w:r>
      <w:r>
        <w:rPr>
          <w:spacing w:val="-1"/>
        </w:rPr>
        <w:t> </w:t>
      </w:r>
      <w:r>
        <w:rPr/>
        <w:t>by</w:t>
      </w:r>
      <w:r>
        <w:rPr>
          <w:spacing w:val="-5"/>
        </w:rPr>
        <w:t> </w:t>
      </w:r>
      <w:r>
        <w:rPr/>
        <w:t>employees, and</w:t>
      </w:r>
      <w:r>
        <w:rPr>
          <w:spacing w:val="-1"/>
        </w:rPr>
        <w:t> </w:t>
      </w:r>
      <w:r>
        <w:rPr/>
        <w:t>therefore provide</w:t>
      </w:r>
      <w:r>
        <w:rPr>
          <w:spacing w:val="-2"/>
        </w:rPr>
        <w:t> </w:t>
      </w:r>
      <w:r>
        <w:rPr/>
        <w:t>motivation</w:t>
      </w:r>
      <w:r>
        <w:rPr>
          <w:spacing w:val="-1"/>
        </w:rPr>
        <w:t> </w:t>
      </w:r>
      <w:r>
        <w:rPr/>
        <w:t>or</w:t>
      </w:r>
      <w:r>
        <w:rPr>
          <w:spacing w:val="-2"/>
        </w:rPr>
        <w:t> </w:t>
      </w:r>
      <w:r>
        <w:rPr/>
        <w:t>incentives.</w:t>
      </w:r>
      <w:r>
        <w:rPr>
          <w:spacing w:val="-1"/>
        </w:rPr>
        <w:t> </w:t>
      </w:r>
      <w:r>
        <w:rPr/>
        <w:t>Giving</w:t>
      </w:r>
      <w:r>
        <w:rPr>
          <w:spacing w:val="-3"/>
        </w:rPr>
        <w:t> </w:t>
      </w:r>
      <w:r>
        <w:rPr/>
        <w:t>public visibility to quality efforts that identify and remedy problems sends a strong message that such efforts are a valued part of employees’ contributions to the firm. Recognition is a motivator, which</w:t>
      </w:r>
      <w:r>
        <w:rPr>
          <w:spacing w:val="45"/>
        </w:rPr>
        <w:t> </w:t>
      </w:r>
      <w:r>
        <w:rPr/>
        <w:t>can</w:t>
      </w:r>
      <w:r>
        <w:rPr>
          <w:spacing w:val="48"/>
        </w:rPr>
        <w:t> </w:t>
      </w:r>
      <w:r>
        <w:rPr/>
        <w:t>contribute</w:t>
      </w:r>
      <w:r>
        <w:rPr>
          <w:spacing w:val="47"/>
        </w:rPr>
        <w:t> </w:t>
      </w:r>
      <w:r>
        <w:rPr/>
        <w:t>to</w:t>
      </w:r>
      <w:r>
        <w:rPr>
          <w:spacing w:val="48"/>
        </w:rPr>
        <w:t> </w:t>
      </w:r>
      <w:r>
        <w:rPr/>
        <w:t>employee</w:t>
      </w:r>
      <w:r>
        <w:rPr>
          <w:spacing w:val="48"/>
        </w:rPr>
        <w:t> </w:t>
      </w:r>
      <w:r>
        <w:rPr/>
        <w:t>satisfaction</w:t>
      </w:r>
      <w:r>
        <w:rPr>
          <w:spacing w:val="49"/>
        </w:rPr>
        <w:t> </w:t>
      </w:r>
      <w:r>
        <w:rPr/>
        <w:t>when</w:t>
      </w:r>
      <w:r>
        <w:rPr>
          <w:spacing w:val="47"/>
        </w:rPr>
        <w:t> </w:t>
      </w:r>
      <w:r>
        <w:rPr/>
        <w:t>it</w:t>
      </w:r>
      <w:r>
        <w:rPr>
          <w:spacing w:val="47"/>
        </w:rPr>
        <w:t> </w:t>
      </w:r>
      <w:r>
        <w:rPr/>
        <w:t>is</w:t>
      </w:r>
      <w:r>
        <w:rPr>
          <w:spacing w:val="47"/>
        </w:rPr>
        <w:t> </w:t>
      </w:r>
      <w:r>
        <w:rPr/>
        <w:t>present.</w:t>
      </w:r>
      <w:r>
        <w:rPr>
          <w:spacing w:val="49"/>
        </w:rPr>
        <w:t> </w:t>
      </w:r>
      <w:r>
        <w:rPr/>
        <w:t>Besides</w:t>
      </w:r>
      <w:r>
        <w:rPr>
          <w:spacing w:val="47"/>
        </w:rPr>
        <w:t> </w:t>
      </w:r>
      <w:r>
        <w:rPr/>
        <w:t>monetary</w:t>
      </w:r>
      <w:r>
        <w:rPr>
          <w:spacing w:val="45"/>
        </w:rPr>
        <w:t> </w:t>
      </w:r>
      <w:r>
        <w:rPr>
          <w:spacing w:val="-2"/>
        </w:rPr>
        <w:t>reward,</w:t>
      </w:r>
    </w:p>
    <w:p>
      <w:pPr>
        <w:spacing w:after="0" w:line="480" w:lineRule="auto"/>
        <w:jc w:val="both"/>
        <w:sectPr>
          <w:pgSz w:w="12240" w:h="15840"/>
          <w:pgMar w:header="0" w:footer="1017" w:top="1360" w:bottom="1200" w:left="1040" w:right="120"/>
        </w:sectPr>
      </w:pPr>
    </w:p>
    <w:p>
      <w:pPr>
        <w:pStyle w:val="BodyText"/>
        <w:spacing w:line="480" w:lineRule="auto" w:before="72"/>
        <w:ind w:left="400" w:right="1314"/>
        <w:jc w:val="both"/>
      </w:pPr>
      <w:r>
        <w:rPr/>
        <w:t>today’s employees require reinforcement of a sense of accomplishment in their jobs and the positive recognition that they are personally contributing to achievement of firm goals.</w:t>
      </w:r>
      <w:r>
        <w:rPr>
          <w:spacing w:val="40"/>
        </w:rPr>
        <w:t> </w:t>
      </w:r>
      <w:r>
        <w:rPr/>
        <w:t>Promotion can have positive effects on employee satisfaction. Effective recognition and reward activities can make employees commit to their jobs and make their jobs more enjoyable.</w:t>
      </w:r>
    </w:p>
    <w:p>
      <w:pPr>
        <w:pStyle w:val="BodyText"/>
        <w:spacing w:line="480" w:lineRule="auto" w:before="161"/>
        <w:ind w:left="399" w:right="1315"/>
        <w:jc w:val="both"/>
      </w:pPr>
      <w:r>
        <w:rPr/>
        <w:t>Firms should institute a serious recognition and reward program which must be consistent with organizational values and objectives. If individual or team efforts cannot contribute to the realization of the overall organizational objectives, they cannot be recognized and rewarded. Therefore, objectives of individuals or teams need to be continuously reviewed and updated.</w:t>
      </w:r>
      <w:r>
        <w:rPr>
          <w:spacing w:val="40"/>
        </w:rPr>
        <w:t> </w:t>
      </w:r>
      <w:r>
        <w:rPr/>
        <w:t>Also the program should be approved by the workers’ congress and strictly implemented. Otherwise, recognition and reward activities cannot effectively</w:t>
      </w:r>
      <w:r>
        <w:rPr>
          <w:spacing w:val="-3"/>
        </w:rPr>
        <w:t> </w:t>
      </w:r>
      <w:r>
        <w:rPr/>
        <w:t>stimulate employee commitment, enthusiasm, and creativity. Finally, recognition and reward can be provided at several levels: Individual, team, department, or business unit.</w:t>
      </w:r>
    </w:p>
    <w:p>
      <w:pPr>
        <w:pStyle w:val="BodyText"/>
        <w:spacing w:before="2"/>
      </w:pPr>
    </w:p>
    <w:p>
      <w:pPr>
        <w:pStyle w:val="Heading3"/>
        <w:numPr>
          <w:ilvl w:val="3"/>
          <w:numId w:val="53"/>
        </w:numPr>
        <w:tabs>
          <w:tab w:pos="1840" w:val="left" w:leader="none"/>
        </w:tabs>
        <w:spacing w:line="240" w:lineRule="auto" w:before="0" w:after="0"/>
        <w:ind w:left="1840" w:right="0" w:hanging="1440"/>
        <w:jc w:val="both"/>
      </w:pPr>
      <w:r>
        <w:rPr/>
        <w:t>Performance</w:t>
      </w:r>
      <w:r>
        <w:rPr>
          <w:spacing w:val="-3"/>
        </w:rPr>
        <w:t> </w:t>
      </w:r>
      <w:r>
        <w:rPr>
          <w:spacing w:val="-2"/>
        </w:rPr>
        <w:t>measurement</w:t>
      </w:r>
    </w:p>
    <w:p>
      <w:pPr>
        <w:pStyle w:val="BodyText"/>
        <w:spacing w:line="480" w:lineRule="auto" w:before="272"/>
        <w:ind w:left="400" w:right="1318"/>
        <w:jc w:val="both"/>
      </w:pPr>
      <w:r>
        <w:rPr/>
        <w:t>It is important for organisations to have a comprehensive and balanced view of their performance, lest they focus on the short term and the wrong issues. There should be a metric used</w:t>
      </w:r>
      <w:r>
        <w:rPr>
          <w:spacing w:val="-2"/>
        </w:rPr>
        <w:t> </w:t>
      </w:r>
      <w:r>
        <w:rPr/>
        <w:t>to</w:t>
      </w:r>
      <w:r>
        <w:rPr>
          <w:spacing w:val="-2"/>
        </w:rPr>
        <w:t> </w:t>
      </w:r>
      <w:r>
        <w:rPr/>
        <w:t>quantify</w:t>
      </w:r>
      <w:r>
        <w:rPr>
          <w:spacing w:val="-7"/>
        </w:rPr>
        <w:t> </w:t>
      </w:r>
      <w:r>
        <w:rPr/>
        <w:t>the</w:t>
      </w:r>
      <w:r>
        <w:rPr>
          <w:spacing w:val="-1"/>
        </w:rPr>
        <w:t> </w:t>
      </w:r>
      <w:r>
        <w:rPr/>
        <w:t>efficiency</w:t>
      </w:r>
      <w:r>
        <w:rPr>
          <w:spacing w:val="-7"/>
        </w:rPr>
        <w:t> </w:t>
      </w:r>
      <w:r>
        <w:rPr/>
        <w:t>and/or</w:t>
      </w:r>
      <w:r>
        <w:rPr>
          <w:spacing w:val="-1"/>
        </w:rPr>
        <w:t> </w:t>
      </w:r>
      <w:r>
        <w:rPr/>
        <w:t>effectiveness</w:t>
      </w:r>
      <w:r>
        <w:rPr>
          <w:spacing w:val="-2"/>
        </w:rPr>
        <w:t> </w:t>
      </w:r>
      <w:r>
        <w:rPr/>
        <w:t>of</w:t>
      </w:r>
      <w:r>
        <w:rPr>
          <w:spacing w:val="-3"/>
        </w:rPr>
        <w:t> </w:t>
      </w:r>
      <w:r>
        <w:rPr/>
        <w:t>an action.</w:t>
      </w:r>
      <w:r>
        <w:rPr>
          <w:spacing w:val="-2"/>
        </w:rPr>
        <w:t> </w:t>
      </w:r>
      <w:r>
        <w:rPr/>
        <w:t>This</w:t>
      </w:r>
      <w:r>
        <w:rPr>
          <w:spacing w:val="-2"/>
        </w:rPr>
        <w:t> </w:t>
      </w:r>
      <w:r>
        <w:rPr/>
        <w:t>should</w:t>
      </w:r>
      <w:r>
        <w:rPr>
          <w:spacing w:val="-2"/>
        </w:rPr>
        <w:t> </w:t>
      </w:r>
      <w:r>
        <w:rPr/>
        <w:t>be</w:t>
      </w:r>
      <w:r>
        <w:rPr>
          <w:spacing w:val="-3"/>
        </w:rPr>
        <w:t> </w:t>
      </w:r>
      <w:r>
        <w:rPr/>
        <w:t>achieved through key performance indicators (KPIs) in order to be able to take corrective actions to keep the organisation on track. The performance measurement system encompasses the process of setting goals,</w:t>
      </w:r>
      <w:r>
        <w:rPr>
          <w:spacing w:val="-1"/>
        </w:rPr>
        <w:t> </w:t>
      </w:r>
      <w:r>
        <w:rPr/>
        <w:t>developing</w:t>
      </w:r>
      <w:r>
        <w:rPr>
          <w:spacing w:val="-1"/>
        </w:rPr>
        <w:t> </w:t>
      </w:r>
      <w:r>
        <w:rPr/>
        <w:t>a</w:t>
      </w:r>
      <w:r>
        <w:rPr>
          <w:spacing w:val="-2"/>
        </w:rPr>
        <w:t> </w:t>
      </w:r>
      <w:r>
        <w:rPr/>
        <w:t>set</w:t>
      </w:r>
      <w:r>
        <w:rPr>
          <w:spacing w:val="-1"/>
        </w:rPr>
        <w:t> </w:t>
      </w:r>
      <w:r>
        <w:rPr/>
        <w:t>of performance</w:t>
      </w:r>
      <w:r>
        <w:rPr>
          <w:spacing w:val="-2"/>
        </w:rPr>
        <w:t> </w:t>
      </w:r>
      <w:r>
        <w:rPr/>
        <w:t>indicators, after</w:t>
      </w:r>
      <w:r>
        <w:rPr>
          <w:spacing w:val="-2"/>
        </w:rPr>
        <w:t> </w:t>
      </w:r>
      <w:r>
        <w:rPr/>
        <w:t>which</w:t>
      </w:r>
      <w:r>
        <w:rPr>
          <w:spacing w:val="-1"/>
        </w:rPr>
        <w:t> </w:t>
      </w:r>
      <w:r>
        <w:rPr/>
        <w:t>performance data</w:t>
      </w:r>
      <w:r>
        <w:rPr>
          <w:spacing w:val="-2"/>
        </w:rPr>
        <w:t> </w:t>
      </w:r>
      <w:r>
        <w:rPr/>
        <w:t>can</w:t>
      </w:r>
      <w:r>
        <w:rPr>
          <w:spacing w:val="-1"/>
        </w:rPr>
        <w:t> </w:t>
      </w:r>
      <w:r>
        <w:rPr/>
        <w:t>be</w:t>
      </w:r>
      <w:r>
        <w:rPr>
          <w:spacing w:val="-2"/>
        </w:rPr>
        <w:t> </w:t>
      </w:r>
      <w:r>
        <w:rPr/>
        <w:t>collected, analysed and interpreted. The objective of this process is to use this information to assess the effectiveness</w:t>
      </w:r>
      <w:r>
        <w:rPr>
          <w:spacing w:val="-1"/>
        </w:rPr>
        <w:t> </w:t>
      </w:r>
      <w:r>
        <w:rPr/>
        <w:t>and efficiency</w:t>
      </w:r>
      <w:r>
        <w:rPr>
          <w:spacing w:val="-6"/>
        </w:rPr>
        <w:t> </w:t>
      </w:r>
      <w:r>
        <w:rPr/>
        <w:t>of</w:t>
      </w:r>
      <w:r>
        <w:rPr>
          <w:spacing w:val="-2"/>
        </w:rPr>
        <w:t> </w:t>
      </w:r>
      <w:r>
        <w:rPr/>
        <w:t>actions</w:t>
      </w:r>
      <w:r>
        <w:rPr>
          <w:spacing w:val="-1"/>
        </w:rPr>
        <w:t> </w:t>
      </w:r>
      <w:r>
        <w:rPr/>
        <w:t>that</w:t>
      </w:r>
      <w:r>
        <w:rPr>
          <w:spacing w:val="-1"/>
        </w:rPr>
        <w:t> </w:t>
      </w:r>
      <w:r>
        <w:rPr/>
        <w:t>are</w:t>
      </w:r>
      <w:r>
        <w:rPr>
          <w:spacing w:val="-2"/>
        </w:rPr>
        <w:t> </w:t>
      </w:r>
      <w:r>
        <w:rPr/>
        <w:t>undertaken</w:t>
      </w:r>
      <w:r>
        <w:rPr>
          <w:spacing w:val="-1"/>
        </w:rPr>
        <w:t> </w:t>
      </w:r>
      <w:r>
        <w:rPr/>
        <w:t>involving</w:t>
      </w:r>
      <w:r>
        <w:rPr>
          <w:spacing w:val="-3"/>
        </w:rPr>
        <w:t> </w:t>
      </w:r>
      <w:r>
        <w:rPr/>
        <w:t>management</w:t>
      </w:r>
      <w:r>
        <w:rPr>
          <w:spacing w:val="-1"/>
        </w:rPr>
        <w:t> </w:t>
      </w:r>
      <w:r>
        <w:rPr/>
        <w:t>and</w:t>
      </w:r>
      <w:r>
        <w:rPr>
          <w:spacing w:val="-1"/>
        </w:rPr>
        <w:t> </w:t>
      </w:r>
      <w:r>
        <w:rPr/>
        <w:t>employees in a dialogue and communication on organisational improvements</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Performance measurement is thus considered critical for effective and efficient control and correction of a business. Moreover, the system</w:t>
      </w:r>
      <w:r>
        <w:rPr>
          <w:spacing w:val="40"/>
        </w:rPr>
        <w:t> </w:t>
      </w:r>
      <w:r>
        <w:rPr/>
        <w:t>also communicates strategic intent and importance to the rest of</w:t>
      </w:r>
      <w:r>
        <w:rPr>
          <w:spacing w:val="68"/>
        </w:rPr>
        <w:t> </w:t>
      </w:r>
      <w:r>
        <w:rPr/>
        <w:t>the</w:t>
      </w:r>
      <w:r>
        <w:rPr>
          <w:spacing w:val="65"/>
        </w:rPr>
        <w:t> </w:t>
      </w:r>
      <w:r>
        <w:rPr/>
        <w:t>organisations</w:t>
      </w:r>
      <w:r>
        <w:rPr>
          <w:spacing w:val="66"/>
        </w:rPr>
        <w:t> </w:t>
      </w:r>
      <w:r>
        <w:rPr/>
        <w:t>in</w:t>
      </w:r>
      <w:r>
        <w:rPr>
          <w:spacing w:val="66"/>
        </w:rPr>
        <w:t> </w:t>
      </w:r>
      <w:r>
        <w:rPr/>
        <w:t>terms</w:t>
      </w:r>
      <w:r>
        <w:rPr>
          <w:spacing w:val="66"/>
        </w:rPr>
        <w:t> </w:t>
      </w:r>
      <w:r>
        <w:rPr/>
        <w:t>of</w:t>
      </w:r>
      <w:r>
        <w:rPr>
          <w:spacing w:val="65"/>
        </w:rPr>
        <w:t> </w:t>
      </w:r>
      <w:r>
        <w:rPr/>
        <w:t>what</w:t>
      </w:r>
      <w:r>
        <w:rPr>
          <w:spacing w:val="67"/>
        </w:rPr>
        <w:t> </w:t>
      </w:r>
      <w:r>
        <w:rPr/>
        <w:t>is</w:t>
      </w:r>
      <w:r>
        <w:rPr>
          <w:spacing w:val="66"/>
        </w:rPr>
        <w:t> </w:t>
      </w:r>
      <w:r>
        <w:rPr/>
        <w:t>and</w:t>
      </w:r>
      <w:r>
        <w:rPr>
          <w:spacing w:val="66"/>
        </w:rPr>
        <w:t> </w:t>
      </w:r>
      <w:r>
        <w:rPr/>
        <w:t>is</w:t>
      </w:r>
      <w:r>
        <w:rPr>
          <w:spacing w:val="66"/>
        </w:rPr>
        <w:t> </w:t>
      </w:r>
      <w:r>
        <w:rPr/>
        <w:t>not</w:t>
      </w:r>
      <w:r>
        <w:rPr>
          <w:spacing w:val="67"/>
        </w:rPr>
        <w:t> </w:t>
      </w:r>
      <w:r>
        <w:rPr/>
        <w:t>being</w:t>
      </w:r>
      <w:r>
        <w:rPr>
          <w:spacing w:val="40"/>
        </w:rPr>
        <w:t> </w:t>
      </w:r>
      <w:r>
        <w:rPr/>
        <w:t>measured. By</w:t>
      </w:r>
      <w:r>
        <w:rPr>
          <w:spacing w:val="-7"/>
        </w:rPr>
        <w:t> </w:t>
      </w:r>
      <w:r>
        <w:rPr/>
        <w:t>measuring</w:t>
      </w:r>
      <w:r>
        <w:rPr>
          <w:spacing w:val="-2"/>
        </w:rPr>
        <w:t> </w:t>
      </w:r>
      <w:r>
        <w:rPr/>
        <w:t>and</w:t>
      </w:r>
      <w:r>
        <w:rPr>
          <w:spacing w:val="-2"/>
        </w:rPr>
        <w:t> </w:t>
      </w:r>
      <w:r>
        <w:rPr/>
        <w:t>evaluating</w:t>
      </w:r>
      <w:r>
        <w:rPr>
          <w:spacing w:val="-5"/>
        </w:rPr>
        <w:t> </w:t>
      </w:r>
      <w:r>
        <w:rPr/>
        <w:t>the</w:t>
      </w:r>
      <w:r>
        <w:rPr>
          <w:spacing w:val="-3"/>
        </w:rPr>
        <w:t> </w:t>
      </w:r>
      <w:r>
        <w:rPr/>
        <w:t>current</w:t>
      </w:r>
      <w:r>
        <w:rPr>
          <w:spacing w:val="-2"/>
        </w:rPr>
        <w:t> </w:t>
      </w:r>
      <w:r>
        <w:rPr/>
        <w:t>level</w:t>
      </w:r>
      <w:r>
        <w:rPr>
          <w:spacing w:val="-2"/>
        </w:rPr>
        <w:t> </w:t>
      </w:r>
      <w:r>
        <w:rPr/>
        <w:t>of</w:t>
      </w:r>
      <w:r>
        <w:rPr>
          <w:spacing w:val="-3"/>
        </w:rPr>
        <w:t> </w:t>
      </w:r>
      <w:r>
        <w:rPr/>
        <w:t>performance</w:t>
      </w:r>
      <w:r>
        <w:rPr>
          <w:spacing w:val="-3"/>
        </w:rPr>
        <w:t> </w:t>
      </w:r>
      <w:r>
        <w:rPr/>
        <w:t>via</w:t>
      </w:r>
      <w:r>
        <w:rPr>
          <w:spacing w:val="-3"/>
        </w:rPr>
        <w:t> </w:t>
      </w:r>
      <w:r>
        <w:rPr/>
        <w:t>the</w:t>
      </w:r>
      <w:r>
        <w:rPr>
          <w:spacing w:val="-3"/>
        </w:rPr>
        <w:t> </w:t>
      </w:r>
      <w:r>
        <w:rPr/>
        <w:t>performance</w:t>
      </w:r>
      <w:r>
        <w:rPr>
          <w:spacing w:val="-3"/>
        </w:rPr>
        <w:t> </w:t>
      </w:r>
      <w:r>
        <w:rPr/>
        <w:t>indicators,</w:t>
      </w:r>
      <w:r>
        <w:rPr>
          <w:spacing w:val="-2"/>
        </w:rPr>
        <w:t> </w:t>
      </w:r>
      <w:r>
        <w:rPr/>
        <w:t>the progress towards goals can be monitored.</w:t>
      </w:r>
    </w:p>
    <w:p>
      <w:pPr>
        <w:pStyle w:val="Heading2"/>
        <w:numPr>
          <w:ilvl w:val="2"/>
          <w:numId w:val="53"/>
        </w:numPr>
        <w:tabs>
          <w:tab w:pos="1120" w:val="left" w:leader="none"/>
        </w:tabs>
        <w:spacing w:line="240" w:lineRule="auto" w:before="189" w:after="0"/>
        <w:ind w:left="1120" w:right="0" w:hanging="720"/>
        <w:jc w:val="both"/>
      </w:pPr>
      <w:r>
        <w:rPr/>
        <w:t>Strength</w:t>
      </w:r>
      <w:r>
        <w:rPr>
          <w:spacing w:val="-3"/>
        </w:rPr>
        <w:t> </w:t>
      </w:r>
      <w:r>
        <w:rPr/>
        <w:t>and</w:t>
      </w:r>
      <w:r>
        <w:rPr>
          <w:spacing w:val="-3"/>
        </w:rPr>
        <w:t> </w:t>
      </w:r>
      <w:r>
        <w:rPr/>
        <w:t>opportunities</w:t>
      </w:r>
      <w:r>
        <w:rPr>
          <w:spacing w:val="-2"/>
        </w:rPr>
        <w:t> </w:t>
      </w:r>
      <w:r>
        <w:rPr/>
        <w:t>of</w:t>
      </w:r>
      <w:r>
        <w:rPr>
          <w:spacing w:val="-2"/>
        </w:rPr>
        <w:t> </w:t>
      </w:r>
      <w:r>
        <w:rPr/>
        <w:t>a</w:t>
      </w:r>
      <w:r>
        <w:rPr>
          <w:spacing w:val="-2"/>
        </w:rPr>
        <w:t> </w:t>
      </w:r>
      <w:r>
        <w:rPr/>
        <w:t>small</w:t>
      </w:r>
      <w:r>
        <w:rPr>
          <w:spacing w:val="-3"/>
        </w:rPr>
        <w:t> </w:t>
      </w:r>
      <w:r>
        <w:rPr/>
        <w:t>and</w:t>
      </w:r>
      <w:r>
        <w:rPr>
          <w:spacing w:val="-2"/>
        </w:rPr>
        <w:t> </w:t>
      </w:r>
      <w:r>
        <w:rPr/>
        <w:t>medium</w:t>
      </w:r>
      <w:r>
        <w:rPr>
          <w:spacing w:val="-6"/>
        </w:rPr>
        <w:t> </w:t>
      </w:r>
      <w:r>
        <w:rPr/>
        <w:t>scale</w:t>
      </w:r>
      <w:r>
        <w:rPr>
          <w:spacing w:val="-2"/>
        </w:rPr>
        <w:t> </w:t>
      </w:r>
      <w:r>
        <w:rPr/>
        <w:t>construction</w:t>
      </w:r>
      <w:r>
        <w:rPr>
          <w:spacing w:val="-2"/>
        </w:rPr>
        <w:t> </w:t>
      </w:r>
      <w:r>
        <w:rPr>
          <w:spacing w:val="-4"/>
        </w:rPr>
        <w:t>firm</w:t>
      </w:r>
    </w:p>
    <w:p>
      <w:pPr>
        <w:pStyle w:val="BodyText"/>
        <w:spacing w:line="480" w:lineRule="auto" w:before="272"/>
        <w:ind w:left="400" w:right="1315"/>
        <w:jc w:val="both"/>
      </w:pPr>
      <w:r>
        <w:rPr/>
        <w:t>For small and medium scale construction firms to stand in the market, it is necessary for them to face new challenges by adopting proper strategy. SWOT (Strength, Opportunity, Weakness, and Threats) analysis is one of the techniques used to undertake a more structural analysis to formulate the best strategy. The purpose of conducting a SWOT analysis is to capitalize on a company’s strength, minimize any weaknesses, exploit market opportunities as they arise and avoid, as far as possible, any threats.</w:t>
      </w:r>
    </w:p>
    <w:p>
      <w:pPr>
        <w:pStyle w:val="BodyText"/>
        <w:spacing w:line="480" w:lineRule="auto" w:before="158"/>
        <w:ind w:left="399" w:right="1316" w:firstLine="60"/>
        <w:jc w:val="both"/>
      </w:pPr>
      <w:r>
        <w:rPr/>
        <w:t>The aim of SWOT analysis is to identify the extent to which the current strategy of an organization and its more specify strength and weakness are relevant to, and capable of dealing with the changes taking place in the business environment. Every unit must be aware of their Strength, Opportunity, Weakness and Threats. From the study it was observed that there is an increasing</w:t>
      </w:r>
      <w:r>
        <w:rPr>
          <w:spacing w:val="-2"/>
        </w:rPr>
        <w:t> </w:t>
      </w:r>
      <w:r>
        <w:rPr/>
        <w:t>relationship between critical success factors and issues considered to be</w:t>
      </w:r>
      <w:r>
        <w:rPr>
          <w:spacing w:val="-1"/>
        </w:rPr>
        <w:t> </w:t>
      </w:r>
      <w:r>
        <w:rPr/>
        <w:t>of advantages to firms. This implies that as the CSFs are increasing, the strength and opportunities of small and medium scale construction firms in South-East Nigeria will equally be significantly increasing. Effects should be made to implement the critical success factors so that the strength and opportunities of the firms will increase whereas the weakness and threats will equally reduce since to succeed in any field, weakness must be overcome through strength and threats must be transferred into opportunities.</w:t>
      </w:r>
    </w:p>
    <w:p>
      <w:pPr>
        <w:spacing w:after="0" w:line="480" w:lineRule="auto"/>
        <w:jc w:val="both"/>
        <w:sectPr>
          <w:pgSz w:w="12240" w:h="15840"/>
          <w:pgMar w:header="0" w:footer="1017" w:top="1360" w:bottom="1200" w:left="1040" w:right="120"/>
        </w:sectPr>
      </w:pPr>
    </w:p>
    <w:p>
      <w:pPr>
        <w:pStyle w:val="Heading2"/>
        <w:numPr>
          <w:ilvl w:val="2"/>
          <w:numId w:val="53"/>
        </w:numPr>
        <w:tabs>
          <w:tab w:pos="1120" w:val="left" w:leader="none"/>
        </w:tabs>
        <w:spacing w:line="240" w:lineRule="auto" w:before="76" w:after="0"/>
        <w:ind w:left="1120" w:right="0" w:hanging="720"/>
        <w:jc w:val="both"/>
      </w:pPr>
      <w:r>
        <w:rPr/>
        <w:t>Competitive</w:t>
      </w:r>
      <w:r>
        <w:rPr>
          <w:spacing w:val="-7"/>
        </w:rPr>
        <w:t> </w:t>
      </w:r>
      <w:r>
        <w:rPr>
          <w:spacing w:val="-2"/>
        </w:rPr>
        <w:t>advantage</w:t>
      </w:r>
    </w:p>
    <w:p>
      <w:pPr>
        <w:pStyle w:val="BodyText"/>
        <w:spacing w:line="480" w:lineRule="auto" w:before="272"/>
        <w:ind w:left="400" w:right="1318"/>
        <w:jc w:val="both"/>
      </w:pPr>
      <w:r>
        <w:rPr/>
        <w:t>From section 5.7, it shows that there is a significant relationship between implementation of TQM and competitive advantages. This indicates that when the total quality management are implemented the competitive advantage will increase. The competitive advantage which include profitability, market shares and quality service. The</w:t>
      </w:r>
      <w:r>
        <w:rPr>
          <w:spacing w:val="73"/>
        </w:rPr>
        <w:t> </w:t>
      </w:r>
      <w:r>
        <w:rPr/>
        <w:t>organization</w:t>
      </w:r>
      <w:r>
        <w:rPr>
          <w:spacing w:val="74"/>
        </w:rPr>
        <w:t> </w:t>
      </w:r>
      <w:r>
        <w:rPr/>
        <w:t>focuses</w:t>
      </w:r>
      <w:r>
        <w:rPr>
          <w:spacing w:val="76"/>
        </w:rPr>
        <w:t> </w:t>
      </w:r>
      <w:r>
        <w:rPr/>
        <w:t>on</w:t>
      </w:r>
      <w:r>
        <w:rPr>
          <w:spacing w:val="74"/>
        </w:rPr>
        <w:t> </w:t>
      </w:r>
      <w:r>
        <w:rPr/>
        <w:t>customer</w:t>
      </w:r>
      <w:r>
        <w:rPr>
          <w:spacing w:val="73"/>
        </w:rPr>
        <w:t> </w:t>
      </w:r>
      <w:r>
        <w:rPr/>
        <w:t>needs; it</w:t>
      </w:r>
      <w:r>
        <w:rPr>
          <w:spacing w:val="40"/>
        </w:rPr>
        <w:t> </w:t>
      </w:r>
      <w:r>
        <w:rPr/>
        <w:t>focuses</w:t>
      </w:r>
      <w:r>
        <w:rPr>
          <w:spacing w:val="40"/>
        </w:rPr>
        <w:t> </w:t>
      </w:r>
      <w:r>
        <w:rPr/>
        <w:t>on</w:t>
      </w:r>
      <w:r>
        <w:rPr>
          <w:spacing w:val="40"/>
        </w:rPr>
        <w:t> </w:t>
      </w:r>
      <w:r>
        <w:rPr/>
        <w:t>understanding</w:t>
      </w:r>
      <w:r>
        <w:rPr>
          <w:spacing w:val="40"/>
        </w:rPr>
        <w:t> </w:t>
      </w:r>
      <w:r>
        <w:rPr/>
        <w:t>current</w:t>
      </w:r>
      <w:r>
        <w:rPr>
          <w:spacing w:val="40"/>
        </w:rPr>
        <w:t> </w:t>
      </w:r>
      <w:r>
        <w:rPr/>
        <w:t>and future customer needs. Similarly, increased revenue and market share obtained through flexible and fast response to market opportunities is considered to be an outcome of customer focus in the organization.</w:t>
      </w:r>
      <w:r>
        <w:rPr>
          <w:spacing w:val="80"/>
        </w:rPr>
        <w:t> </w:t>
      </w:r>
      <w:r>
        <w:rPr/>
        <w:t>In</w:t>
      </w:r>
      <w:r>
        <w:rPr>
          <w:spacing w:val="80"/>
        </w:rPr>
        <w:t> </w:t>
      </w:r>
      <w:r>
        <w:rPr/>
        <w:t>addition</w:t>
      </w:r>
      <w:r>
        <w:rPr>
          <w:spacing w:val="80"/>
        </w:rPr>
        <w:t> </w:t>
      </w:r>
      <w:r>
        <w:rPr/>
        <w:t>increased</w:t>
      </w:r>
      <w:r>
        <w:rPr>
          <w:spacing w:val="80"/>
        </w:rPr>
        <w:t> </w:t>
      </w:r>
      <w:r>
        <w:rPr/>
        <w:t>use of the organization's resources to enhance customer's satisfaction, and improved customer</w:t>
      </w:r>
      <w:r>
        <w:rPr>
          <w:spacing w:val="80"/>
        </w:rPr>
        <w:t> </w:t>
      </w:r>
      <w:r>
        <w:rPr/>
        <w:t>loyalty leading to repeat business is considered to be an outcome of customer focus in the </w:t>
      </w:r>
      <w:r>
        <w:rPr>
          <w:spacing w:val="-2"/>
        </w:rPr>
        <w:t>organization.</w:t>
      </w:r>
    </w:p>
    <w:p>
      <w:pPr>
        <w:pStyle w:val="BodyText"/>
        <w:spacing w:line="480" w:lineRule="auto" w:before="159"/>
        <w:ind w:left="400" w:right="1316"/>
        <w:jc w:val="both"/>
      </w:pPr>
      <w:r>
        <w:rPr/>
        <w:t>Any organisation contemplating on identifying a sustainable source of competitive advantage should take a comprehensive analysis of its internal environment to identify its strength and weaknesses. Quality product and services ensure not only the customer's future return but also fewer complaints and lower warranty costs. Higher profits improve reputation and hence increased market share. Quality in constructed facilities is one of the factors that determine clients’</w:t>
      </w:r>
      <w:r>
        <w:rPr>
          <w:spacing w:val="40"/>
        </w:rPr>
        <w:t> </w:t>
      </w:r>
      <w:r>
        <w:rPr/>
        <w:t>satisfaction. Furthermore, only clients who are fully satisfied with the quality of constructed facility would be willing to do repetitive work with the same contractor or would be willing to refer other clients to such a contractor. By achieving high quality in constructed facilities, small and medium construction firms in South-East Nigeria are able to secure</w:t>
      </w:r>
      <w:r>
        <w:rPr>
          <w:spacing w:val="40"/>
        </w:rPr>
        <w:t> </w:t>
      </w:r>
      <w:r>
        <w:rPr/>
        <w:t>repetitive</w:t>
      </w:r>
      <w:r>
        <w:rPr>
          <w:spacing w:val="-3"/>
        </w:rPr>
        <w:t> </w:t>
      </w:r>
      <w:r>
        <w:rPr/>
        <w:t>works</w:t>
      </w:r>
      <w:r>
        <w:rPr>
          <w:spacing w:val="-1"/>
        </w:rPr>
        <w:t> </w:t>
      </w:r>
      <w:r>
        <w:rPr/>
        <w:t>thereby</w:t>
      </w:r>
      <w:r>
        <w:rPr>
          <w:spacing w:val="-5"/>
        </w:rPr>
        <w:t> </w:t>
      </w:r>
      <w:r>
        <w:rPr/>
        <w:t>improve</w:t>
      </w:r>
      <w:r>
        <w:rPr>
          <w:spacing w:val="-3"/>
        </w:rPr>
        <w:t> </w:t>
      </w:r>
      <w:r>
        <w:rPr/>
        <w:t>their</w:t>
      </w:r>
      <w:r>
        <w:rPr>
          <w:spacing w:val="-2"/>
        </w:rPr>
        <w:t> </w:t>
      </w:r>
      <w:r>
        <w:rPr/>
        <w:t>competitiveness</w:t>
      </w:r>
      <w:r>
        <w:rPr>
          <w:spacing w:val="-2"/>
        </w:rPr>
        <w:t> </w:t>
      </w:r>
      <w:r>
        <w:rPr/>
        <w:t>and</w:t>
      </w:r>
      <w:r>
        <w:rPr>
          <w:spacing w:val="-1"/>
        </w:rPr>
        <w:t> </w:t>
      </w:r>
      <w:r>
        <w:rPr/>
        <w:t>market</w:t>
      </w:r>
      <w:r>
        <w:rPr>
          <w:spacing w:val="-2"/>
        </w:rPr>
        <w:t> </w:t>
      </w:r>
      <w:r>
        <w:rPr/>
        <w:t>share.</w:t>
      </w:r>
      <w:r>
        <w:rPr>
          <w:spacing w:val="-1"/>
        </w:rPr>
        <w:t> </w:t>
      </w:r>
      <w:r>
        <w:rPr/>
        <w:t>This</w:t>
      </w:r>
      <w:r>
        <w:rPr>
          <w:spacing w:val="-2"/>
        </w:rPr>
        <w:t> </w:t>
      </w:r>
      <w:r>
        <w:rPr/>
        <w:t>explains</w:t>
      </w:r>
      <w:r>
        <w:rPr>
          <w:spacing w:val="-2"/>
        </w:rPr>
        <w:t> </w:t>
      </w:r>
      <w:r>
        <w:rPr/>
        <w:t>why</w:t>
      </w:r>
      <w:r>
        <w:rPr>
          <w:spacing w:val="-7"/>
        </w:rPr>
        <w:t> </w:t>
      </w:r>
      <w:r>
        <w:rPr/>
        <w:t>they rated achieving high quality in constructed facility as a great way for gaining competitive advantage in the Nigerian construction market.</w:t>
      </w:r>
    </w:p>
    <w:p>
      <w:pPr>
        <w:spacing w:after="0" w:line="480" w:lineRule="auto"/>
        <w:jc w:val="both"/>
        <w:sectPr>
          <w:pgSz w:w="12240" w:h="15840"/>
          <w:pgMar w:header="0" w:footer="1017" w:top="1360" w:bottom="1200" w:left="1040" w:right="120"/>
        </w:sectPr>
      </w:pPr>
    </w:p>
    <w:p>
      <w:pPr>
        <w:pStyle w:val="Heading2"/>
        <w:numPr>
          <w:ilvl w:val="2"/>
          <w:numId w:val="53"/>
        </w:numPr>
        <w:tabs>
          <w:tab w:pos="1060" w:val="left" w:leader="none"/>
        </w:tabs>
        <w:spacing w:line="240" w:lineRule="auto" w:before="76" w:after="0"/>
        <w:ind w:left="1060" w:right="0" w:hanging="660"/>
        <w:jc w:val="both"/>
      </w:pPr>
      <w:r>
        <w:rPr/>
        <w:t>Customer</w:t>
      </w:r>
      <w:r>
        <w:rPr>
          <w:spacing w:val="-5"/>
        </w:rPr>
        <w:t> </w:t>
      </w:r>
      <w:r>
        <w:rPr>
          <w:spacing w:val="-2"/>
        </w:rPr>
        <w:t>satisfaction</w:t>
      </w:r>
    </w:p>
    <w:p>
      <w:pPr>
        <w:pStyle w:val="BodyText"/>
        <w:spacing w:line="480" w:lineRule="auto" w:before="272"/>
        <w:ind w:left="399" w:right="1317"/>
        <w:jc w:val="both"/>
      </w:pPr>
      <w:r>
        <w:rPr/>
        <w:t>A successful project occurs when the contractor knows that customer satisfaction is the ultimate goal of TQM. Most organisations know throughout its ranks that the purpose for all efforts at work is to please the customer better. This implies that</w:t>
      </w:r>
      <w:r>
        <w:rPr>
          <w:spacing w:val="40"/>
        </w:rPr>
        <w:t> </w:t>
      </w:r>
      <w:r>
        <w:rPr/>
        <w:t>organisations</w:t>
      </w:r>
      <w:r>
        <w:rPr>
          <w:spacing w:val="40"/>
        </w:rPr>
        <w:t> </w:t>
      </w:r>
      <w:r>
        <w:rPr/>
        <w:t>must know</w:t>
      </w:r>
      <w:r>
        <w:rPr>
          <w:spacing w:val="40"/>
        </w:rPr>
        <w:t> </w:t>
      </w:r>
      <w:r>
        <w:rPr/>
        <w:t>through feedbacks and measurements how the customer views their product. There are internal and external customers in every organisation. Internal customers are the process</w:t>
      </w:r>
      <w:r>
        <w:rPr>
          <w:spacing w:val="40"/>
        </w:rPr>
        <w:t> </w:t>
      </w:r>
      <w:r>
        <w:rPr/>
        <w:t>owners</w:t>
      </w:r>
      <w:r>
        <w:rPr>
          <w:spacing w:val="40"/>
        </w:rPr>
        <w:t> </w:t>
      </w:r>
      <w:r>
        <w:rPr/>
        <w:t>within</w:t>
      </w:r>
      <w:r>
        <w:rPr>
          <w:spacing w:val="40"/>
        </w:rPr>
        <w:t> </w:t>
      </w:r>
      <w:r>
        <w:rPr/>
        <w:t>the organisation</w:t>
      </w:r>
      <w:r>
        <w:rPr>
          <w:spacing w:val="40"/>
        </w:rPr>
        <w:t> </w:t>
      </w:r>
      <w:r>
        <w:rPr/>
        <w:t>and</w:t>
      </w:r>
      <w:r>
        <w:rPr>
          <w:spacing w:val="64"/>
        </w:rPr>
        <w:t> </w:t>
      </w:r>
      <w:r>
        <w:rPr/>
        <w:t>external</w:t>
      </w:r>
      <w:r>
        <w:rPr>
          <w:spacing w:val="40"/>
        </w:rPr>
        <w:t> </w:t>
      </w:r>
      <w:r>
        <w:rPr/>
        <w:t>customer</w:t>
      </w:r>
      <w:r>
        <w:rPr>
          <w:spacing w:val="63"/>
        </w:rPr>
        <w:t> </w:t>
      </w:r>
      <w:r>
        <w:rPr/>
        <w:t>is</w:t>
      </w:r>
      <w:r>
        <w:rPr>
          <w:spacing w:val="40"/>
        </w:rPr>
        <w:t> </w:t>
      </w:r>
      <w:r>
        <w:rPr/>
        <w:t>the</w:t>
      </w:r>
      <w:r>
        <w:rPr>
          <w:spacing w:val="63"/>
        </w:rPr>
        <w:t> </w:t>
      </w:r>
      <w:r>
        <w:rPr/>
        <w:t>final</w:t>
      </w:r>
      <w:r>
        <w:rPr>
          <w:spacing w:val="64"/>
        </w:rPr>
        <w:t> </w:t>
      </w:r>
      <w:r>
        <w:rPr/>
        <w:t>user</w:t>
      </w:r>
      <w:r>
        <w:rPr>
          <w:spacing w:val="63"/>
        </w:rPr>
        <w:t> </w:t>
      </w:r>
      <w:r>
        <w:rPr/>
        <w:t>of</w:t>
      </w:r>
      <w:r>
        <w:rPr>
          <w:spacing w:val="63"/>
        </w:rPr>
        <w:t> </w:t>
      </w:r>
      <w:r>
        <w:rPr/>
        <w:t>the</w:t>
      </w:r>
      <w:r>
        <w:rPr>
          <w:spacing w:val="-1"/>
        </w:rPr>
        <w:t> </w:t>
      </w:r>
      <w:r>
        <w:rPr/>
        <w:t>constructed work. The</w:t>
      </w:r>
      <w:r>
        <w:rPr>
          <w:spacing w:val="-1"/>
        </w:rPr>
        <w:t> </w:t>
      </w:r>
      <w:r>
        <w:rPr/>
        <w:t>key</w:t>
      </w:r>
      <w:r>
        <w:rPr>
          <w:spacing w:val="-2"/>
        </w:rPr>
        <w:t> </w:t>
      </w:r>
      <w:r>
        <w:rPr/>
        <w:t>factor to ensure customer satisfaction is in knowing, understanding and meeting the clear and realistic objectives of the customer.</w:t>
      </w:r>
    </w:p>
    <w:p>
      <w:pPr>
        <w:pStyle w:val="BodyText"/>
        <w:spacing w:line="480" w:lineRule="auto" w:before="158"/>
        <w:ind w:left="399" w:right="1316"/>
        <w:jc w:val="both"/>
      </w:pPr>
      <w:r>
        <w:rPr/>
        <w:t>For companies, customer satisfaction is emphasised to gain competitive advantages, to differentiate themselves from competitors, but it is also an effective way to improve quality by using various approaches in developing and monitoring products and offering services to</w:t>
      </w:r>
      <w:r>
        <w:rPr>
          <w:spacing w:val="40"/>
        </w:rPr>
        <w:t> </w:t>
      </w:r>
      <w:r>
        <w:rPr/>
        <w:t>improve customer relationships. By addressing and understanding client needs and expectations, anticipating their evolving interests, and establishing a communication network with clients, organisations can overcome their competitors and improve their market-share and, thus,</w:t>
      </w:r>
      <w:r>
        <w:rPr>
          <w:spacing w:val="40"/>
        </w:rPr>
        <w:t> </w:t>
      </w:r>
      <w:r>
        <w:rPr/>
        <w:t>customer satisfaction is directly related to company success and quality improvement.</w:t>
      </w:r>
    </w:p>
    <w:p>
      <w:pPr>
        <w:pStyle w:val="Heading2"/>
        <w:numPr>
          <w:ilvl w:val="1"/>
          <w:numId w:val="53"/>
        </w:numPr>
        <w:tabs>
          <w:tab w:pos="1119" w:val="left" w:leader="none"/>
        </w:tabs>
        <w:spacing w:line="240" w:lineRule="auto" w:before="166" w:after="0"/>
        <w:ind w:left="1119" w:right="0" w:hanging="720"/>
        <w:jc w:val="both"/>
      </w:pPr>
      <w:r>
        <w:rPr/>
        <w:t>SWOT</w:t>
      </w:r>
      <w:r>
        <w:rPr>
          <w:spacing w:val="-2"/>
        </w:rPr>
        <w:t> </w:t>
      </w:r>
      <w:r>
        <w:rPr/>
        <w:t>Analysis</w:t>
      </w:r>
      <w:r>
        <w:rPr>
          <w:spacing w:val="-1"/>
        </w:rPr>
        <w:t> </w:t>
      </w:r>
      <w:r>
        <w:rPr/>
        <w:t>of</w:t>
      </w:r>
      <w:r>
        <w:rPr>
          <w:spacing w:val="-1"/>
        </w:rPr>
        <w:t> </w:t>
      </w:r>
      <w:r>
        <w:rPr/>
        <w:t>the</w:t>
      </w:r>
      <w:r>
        <w:rPr>
          <w:spacing w:val="-5"/>
        </w:rPr>
        <w:t> </w:t>
      </w:r>
      <w:r>
        <w:rPr/>
        <w:t>New </w:t>
      </w:r>
      <w:r>
        <w:rPr>
          <w:spacing w:val="-4"/>
        </w:rPr>
        <w:t>Model</w:t>
      </w:r>
    </w:p>
    <w:p>
      <w:pPr>
        <w:pStyle w:val="BodyText"/>
        <w:spacing w:before="161"/>
        <w:rPr>
          <w:b/>
        </w:rPr>
      </w:pPr>
    </w:p>
    <w:p>
      <w:pPr>
        <w:pStyle w:val="ListParagraph"/>
        <w:numPr>
          <w:ilvl w:val="2"/>
          <w:numId w:val="53"/>
        </w:numPr>
        <w:tabs>
          <w:tab w:pos="1119" w:val="left" w:leader="none"/>
        </w:tabs>
        <w:spacing w:line="240" w:lineRule="auto" w:before="0" w:after="0"/>
        <w:ind w:left="1119" w:right="0" w:hanging="720"/>
        <w:jc w:val="both"/>
        <w:rPr>
          <w:b/>
          <w:sz w:val="24"/>
        </w:rPr>
      </w:pPr>
      <w:r>
        <w:rPr>
          <w:b/>
          <w:spacing w:val="-2"/>
          <w:sz w:val="24"/>
        </w:rPr>
        <w:t>Strengths</w:t>
      </w:r>
    </w:p>
    <w:p>
      <w:pPr>
        <w:pStyle w:val="BodyText"/>
        <w:spacing w:before="156"/>
        <w:rPr>
          <w:b/>
        </w:rPr>
      </w:pPr>
    </w:p>
    <w:p>
      <w:pPr>
        <w:pStyle w:val="ListParagraph"/>
        <w:numPr>
          <w:ilvl w:val="0"/>
          <w:numId w:val="54"/>
        </w:numPr>
        <w:tabs>
          <w:tab w:pos="693" w:val="left" w:leader="none"/>
        </w:tabs>
        <w:spacing w:line="360" w:lineRule="auto" w:before="0" w:after="0"/>
        <w:ind w:left="399" w:right="1321" w:firstLine="0"/>
        <w:jc w:val="both"/>
        <w:rPr>
          <w:sz w:val="24"/>
        </w:rPr>
      </w:pPr>
      <w:r>
        <w:rPr>
          <w:sz w:val="24"/>
        </w:rPr>
        <w:t>This is the first model to be developed to assess the TQM implementation in small and medium scale construction in South-East in Nigeria.</w:t>
      </w:r>
    </w:p>
    <w:p>
      <w:pPr>
        <w:pStyle w:val="ListParagraph"/>
        <w:numPr>
          <w:ilvl w:val="0"/>
          <w:numId w:val="54"/>
        </w:numPr>
        <w:tabs>
          <w:tab w:pos="726" w:val="left" w:leader="none"/>
        </w:tabs>
        <w:spacing w:line="360" w:lineRule="auto" w:before="161" w:after="0"/>
        <w:ind w:left="399" w:right="1316" w:firstLine="0"/>
        <w:jc w:val="both"/>
        <w:rPr>
          <w:sz w:val="24"/>
        </w:rPr>
      </w:pPr>
      <w:r>
        <w:rPr>
          <w:sz w:val="24"/>
        </w:rPr>
        <w:t>This model was built not only by considering the internal environment in construction companies, but also the role of external factors that affect TQM implementation.</w:t>
      </w:r>
    </w:p>
    <w:p>
      <w:pPr>
        <w:spacing w:after="0" w:line="360" w:lineRule="auto"/>
        <w:jc w:val="both"/>
        <w:rPr>
          <w:sz w:val="24"/>
        </w:rPr>
        <w:sectPr>
          <w:pgSz w:w="12240" w:h="15840"/>
          <w:pgMar w:header="0" w:footer="1017" w:top="1360" w:bottom="1200" w:left="1040" w:right="120"/>
        </w:sectPr>
      </w:pPr>
    </w:p>
    <w:p>
      <w:pPr>
        <w:pStyle w:val="ListParagraph"/>
        <w:numPr>
          <w:ilvl w:val="0"/>
          <w:numId w:val="54"/>
        </w:numPr>
        <w:tabs>
          <w:tab w:pos="607" w:val="left" w:leader="none"/>
        </w:tabs>
        <w:spacing w:line="480" w:lineRule="auto" w:before="72" w:after="0"/>
        <w:ind w:left="400" w:right="1321" w:firstLine="0"/>
        <w:jc w:val="both"/>
        <w:rPr>
          <w:sz w:val="24"/>
        </w:rPr>
      </w:pPr>
      <w:r>
        <w:rPr>
          <w:sz w:val="24"/>
        </w:rPr>
        <w:t>This model is based on the common critical success factors of TQM implementation, based on evaluating TQM guru beliefs, quality awards and the literature review.</w:t>
      </w:r>
    </w:p>
    <w:p>
      <w:pPr>
        <w:pStyle w:val="ListParagraph"/>
        <w:numPr>
          <w:ilvl w:val="0"/>
          <w:numId w:val="54"/>
        </w:numPr>
        <w:tabs>
          <w:tab w:pos="639" w:val="left" w:leader="none"/>
        </w:tabs>
        <w:spacing w:line="480" w:lineRule="auto" w:before="161" w:after="0"/>
        <w:ind w:left="400" w:right="1320" w:firstLine="0"/>
        <w:jc w:val="both"/>
        <w:rPr>
          <w:sz w:val="24"/>
        </w:rPr>
      </w:pPr>
      <w:r>
        <w:rPr>
          <w:sz w:val="24"/>
        </w:rPr>
        <w:t>It shows the positive effects of TQM implementation on company competitiveness as one of the major concerns for small and medium construction firms in South-East Nigeria to be able to compete with the counter parts in other parts of the country and large construction firms operating in Nigeria.</w:t>
      </w:r>
    </w:p>
    <w:p>
      <w:pPr>
        <w:pStyle w:val="ListParagraph"/>
        <w:numPr>
          <w:ilvl w:val="0"/>
          <w:numId w:val="54"/>
        </w:numPr>
        <w:tabs>
          <w:tab w:pos="607" w:val="left" w:leader="none"/>
        </w:tabs>
        <w:spacing w:line="360" w:lineRule="auto" w:before="161" w:after="0"/>
        <w:ind w:left="400" w:right="1318" w:firstLine="0"/>
        <w:jc w:val="both"/>
        <w:rPr>
          <w:sz w:val="24"/>
        </w:rPr>
      </w:pPr>
      <w:r>
        <w:rPr>
          <w:sz w:val="24"/>
        </w:rPr>
        <w:t>This</w:t>
      </w:r>
      <w:r>
        <w:rPr>
          <w:spacing w:val="-1"/>
          <w:sz w:val="24"/>
        </w:rPr>
        <w:t> </w:t>
      </w:r>
      <w:r>
        <w:rPr>
          <w:sz w:val="24"/>
        </w:rPr>
        <w:t>model can be implemented in different States of the South-East with the same culture and business environment.</w:t>
      </w:r>
    </w:p>
    <w:p>
      <w:pPr>
        <w:pStyle w:val="ListParagraph"/>
        <w:numPr>
          <w:ilvl w:val="0"/>
          <w:numId w:val="54"/>
        </w:numPr>
        <w:tabs>
          <w:tab w:pos="617" w:val="left" w:leader="none"/>
        </w:tabs>
        <w:spacing w:line="360" w:lineRule="auto" w:before="160" w:after="0"/>
        <w:ind w:left="400" w:right="1321" w:firstLine="0"/>
        <w:jc w:val="both"/>
        <w:rPr>
          <w:sz w:val="24"/>
        </w:rPr>
      </w:pPr>
      <w:r>
        <w:rPr>
          <w:sz w:val="24"/>
        </w:rPr>
        <w:t>Give valuable insights into the organisation's strengths, weaknesses, opportunities and threats; its overall strategic position in the market -place;</w:t>
      </w:r>
    </w:p>
    <w:p>
      <w:pPr>
        <w:pStyle w:val="Heading2"/>
        <w:numPr>
          <w:ilvl w:val="2"/>
          <w:numId w:val="55"/>
        </w:numPr>
        <w:tabs>
          <w:tab w:pos="1120" w:val="left" w:leader="none"/>
        </w:tabs>
        <w:spacing w:line="240" w:lineRule="auto" w:before="178" w:after="0"/>
        <w:ind w:left="1120" w:right="0" w:hanging="720"/>
        <w:jc w:val="both"/>
      </w:pPr>
      <w:r>
        <w:rPr>
          <w:spacing w:val="-2"/>
        </w:rPr>
        <w:t>Weaknesses</w:t>
      </w:r>
    </w:p>
    <w:p>
      <w:pPr>
        <w:pStyle w:val="ListParagraph"/>
        <w:numPr>
          <w:ilvl w:val="3"/>
          <w:numId w:val="55"/>
        </w:numPr>
        <w:tabs>
          <w:tab w:pos="660" w:val="left" w:leader="none"/>
        </w:tabs>
        <w:spacing w:line="360" w:lineRule="auto" w:before="132" w:after="0"/>
        <w:ind w:left="400" w:right="1319" w:firstLine="0"/>
        <w:jc w:val="both"/>
        <w:rPr>
          <w:sz w:val="24"/>
        </w:rPr>
      </w:pPr>
      <w:r>
        <w:rPr>
          <w:sz w:val="24"/>
        </w:rPr>
        <w:t>This model was built for small and medium scale construction firms in South-East Nigeria which may limit the model and might mean that it cannot to be used by other small and medium construction firms in other parts of Nigeria.</w:t>
      </w:r>
    </w:p>
    <w:p>
      <w:pPr>
        <w:pStyle w:val="ListParagraph"/>
        <w:numPr>
          <w:ilvl w:val="3"/>
          <w:numId w:val="55"/>
        </w:numPr>
        <w:tabs>
          <w:tab w:pos="598" w:val="left" w:leader="none"/>
        </w:tabs>
        <w:spacing w:line="240" w:lineRule="auto" w:before="160" w:after="0"/>
        <w:ind w:left="598" w:right="0" w:hanging="198"/>
        <w:jc w:val="both"/>
        <w:rPr>
          <w:sz w:val="24"/>
        </w:rPr>
      </w:pPr>
      <w:r>
        <w:rPr>
          <w:sz w:val="24"/>
        </w:rPr>
        <w:t>This</w:t>
      </w:r>
      <w:r>
        <w:rPr>
          <w:spacing w:val="-1"/>
          <w:sz w:val="24"/>
        </w:rPr>
        <w:t> </w:t>
      </w:r>
      <w:r>
        <w:rPr>
          <w:sz w:val="24"/>
        </w:rPr>
        <w:t>model</w:t>
      </w:r>
      <w:r>
        <w:rPr>
          <w:spacing w:val="-1"/>
          <w:sz w:val="24"/>
        </w:rPr>
        <w:t> </w:t>
      </w:r>
      <w:r>
        <w:rPr>
          <w:sz w:val="24"/>
        </w:rPr>
        <w:t>was</w:t>
      </w:r>
      <w:r>
        <w:rPr>
          <w:spacing w:val="-1"/>
          <w:sz w:val="24"/>
        </w:rPr>
        <w:t> </w:t>
      </w:r>
      <w:r>
        <w:rPr>
          <w:sz w:val="24"/>
        </w:rPr>
        <w:t>not</w:t>
      </w:r>
      <w:r>
        <w:rPr>
          <w:spacing w:val="-1"/>
          <w:sz w:val="24"/>
        </w:rPr>
        <w:t> </w:t>
      </w:r>
      <w:r>
        <w:rPr>
          <w:sz w:val="24"/>
        </w:rPr>
        <w:t>been</w:t>
      </w:r>
      <w:r>
        <w:rPr>
          <w:spacing w:val="-1"/>
          <w:sz w:val="24"/>
        </w:rPr>
        <w:t> </w:t>
      </w:r>
      <w:r>
        <w:rPr>
          <w:sz w:val="24"/>
        </w:rPr>
        <w:t>tested</w:t>
      </w:r>
      <w:r>
        <w:rPr>
          <w:spacing w:val="-2"/>
          <w:sz w:val="24"/>
        </w:rPr>
        <w:t> </w:t>
      </w:r>
      <w:r>
        <w:rPr>
          <w:sz w:val="24"/>
        </w:rPr>
        <w:t>as</w:t>
      </w:r>
      <w:r>
        <w:rPr>
          <w:spacing w:val="-1"/>
          <w:sz w:val="24"/>
        </w:rPr>
        <w:t> </w:t>
      </w:r>
      <w:r>
        <w:rPr>
          <w:sz w:val="24"/>
        </w:rPr>
        <w:t>a result,</w:t>
      </w:r>
      <w:r>
        <w:rPr>
          <w:spacing w:val="-1"/>
          <w:sz w:val="24"/>
        </w:rPr>
        <w:t> </w:t>
      </w:r>
      <w:r>
        <w:rPr>
          <w:sz w:val="24"/>
        </w:rPr>
        <w:t>it</w:t>
      </w:r>
      <w:r>
        <w:rPr>
          <w:spacing w:val="-1"/>
          <w:sz w:val="24"/>
        </w:rPr>
        <w:t> </w:t>
      </w:r>
      <w:r>
        <w:rPr>
          <w:sz w:val="24"/>
        </w:rPr>
        <w:t>purely</w:t>
      </w:r>
      <w:r>
        <w:rPr>
          <w:spacing w:val="-4"/>
          <w:sz w:val="24"/>
        </w:rPr>
        <w:t> </w:t>
      </w:r>
      <w:r>
        <w:rPr>
          <w:sz w:val="24"/>
        </w:rPr>
        <w:t>an</w:t>
      </w:r>
      <w:r>
        <w:rPr>
          <w:spacing w:val="-1"/>
          <w:sz w:val="24"/>
        </w:rPr>
        <w:t> </w:t>
      </w:r>
      <w:r>
        <w:rPr>
          <w:sz w:val="24"/>
        </w:rPr>
        <w:t>academic</w:t>
      </w:r>
      <w:r>
        <w:rPr>
          <w:spacing w:val="-1"/>
          <w:sz w:val="24"/>
        </w:rPr>
        <w:t> </w:t>
      </w:r>
      <w:r>
        <w:rPr>
          <w:spacing w:val="-2"/>
          <w:sz w:val="24"/>
        </w:rPr>
        <w:t>Model.</w:t>
      </w:r>
    </w:p>
    <w:p>
      <w:pPr>
        <w:pStyle w:val="BodyText"/>
        <w:spacing w:before="4"/>
      </w:pPr>
    </w:p>
    <w:p>
      <w:pPr>
        <w:pStyle w:val="Heading2"/>
        <w:numPr>
          <w:ilvl w:val="2"/>
          <w:numId w:val="55"/>
        </w:numPr>
        <w:tabs>
          <w:tab w:pos="1120" w:val="left" w:leader="none"/>
        </w:tabs>
        <w:spacing w:line="240" w:lineRule="auto" w:before="1" w:after="0"/>
        <w:ind w:left="1120" w:right="0" w:hanging="720"/>
        <w:jc w:val="both"/>
      </w:pPr>
      <w:r>
        <w:rPr>
          <w:spacing w:val="-2"/>
        </w:rPr>
        <w:t>Opportunities</w:t>
      </w:r>
    </w:p>
    <w:p>
      <w:pPr>
        <w:pStyle w:val="ListParagraph"/>
        <w:numPr>
          <w:ilvl w:val="3"/>
          <w:numId w:val="55"/>
        </w:numPr>
        <w:tabs>
          <w:tab w:pos="582" w:val="left" w:leader="none"/>
        </w:tabs>
        <w:spacing w:line="360" w:lineRule="auto" w:before="134" w:after="0"/>
        <w:ind w:left="399" w:right="1316" w:firstLine="0"/>
        <w:jc w:val="both"/>
        <w:rPr>
          <w:sz w:val="24"/>
        </w:rPr>
      </w:pPr>
      <w:r>
        <w:rPr>
          <w:sz w:val="24"/>
        </w:rPr>
        <w:t>It is expected that model will assist in re-engineering and restructuring small and medium construction firms in South-East Nigeria to be able to have confidence and compete favourably with their counter parts in other regions.</w:t>
      </w:r>
    </w:p>
    <w:p>
      <w:pPr>
        <w:pStyle w:val="BodyText"/>
        <w:spacing w:before="186"/>
      </w:pPr>
    </w:p>
    <w:p>
      <w:pPr>
        <w:pStyle w:val="Heading2"/>
        <w:numPr>
          <w:ilvl w:val="2"/>
          <w:numId w:val="55"/>
        </w:numPr>
        <w:tabs>
          <w:tab w:pos="1120" w:val="left" w:leader="none"/>
        </w:tabs>
        <w:spacing w:line="240" w:lineRule="auto" w:before="0" w:after="0"/>
        <w:ind w:left="1120" w:right="0" w:hanging="720"/>
        <w:jc w:val="both"/>
      </w:pPr>
      <w:r>
        <w:rPr>
          <w:spacing w:val="-2"/>
        </w:rPr>
        <w:t>Threats</w:t>
      </w:r>
    </w:p>
    <w:p>
      <w:pPr>
        <w:pStyle w:val="ListParagraph"/>
        <w:numPr>
          <w:ilvl w:val="3"/>
          <w:numId w:val="55"/>
        </w:numPr>
        <w:tabs>
          <w:tab w:pos="665" w:val="left" w:leader="none"/>
        </w:tabs>
        <w:spacing w:line="480" w:lineRule="auto" w:before="271" w:after="0"/>
        <w:ind w:left="400" w:right="1318" w:firstLine="0"/>
        <w:jc w:val="both"/>
        <w:rPr>
          <w:sz w:val="24"/>
        </w:rPr>
      </w:pPr>
      <w:r>
        <w:rPr>
          <w:sz w:val="24"/>
        </w:rPr>
        <w:t>Because South-East Nigeria faces rapid changes in its economic, social, legal and business environment, this model might be limited to the current economy and business environment.</w:t>
      </w:r>
    </w:p>
    <w:p>
      <w:pPr>
        <w:spacing w:after="0" w:line="480" w:lineRule="auto"/>
        <w:jc w:val="both"/>
        <w:rPr>
          <w:sz w:val="24"/>
        </w:rPr>
        <w:sectPr>
          <w:pgSz w:w="12240" w:h="15840"/>
          <w:pgMar w:header="0" w:footer="1017" w:top="1360" w:bottom="1200" w:left="1040" w:right="120"/>
        </w:sectPr>
      </w:pPr>
    </w:p>
    <w:p>
      <w:pPr>
        <w:pStyle w:val="Heading2"/>
        <w:spacing w:before="76"/>
        <w:ind w:left="0" w:right="922"/>
        <w:jc w:val="center"/>
      </w:pPr>
      <w:r>
        <w:rPr/>
        <w:t>CHAPTER</w:t>
      </w:r>
      <w:r>
        <w:rPr>
          <w:spacing w:val="-6"/>
        </w:rPr>
        <w:t> </w:t>
      </w:r>
      <w:r>
        <w:rPr>
          <w:spacing w:val="-5"/>
        </w:rPr>
        <w:t>SIX</w:t>
      </w:r>
    </w:p>
    <w:p>
      <w:pPr>
        <w:pStyle w:val="BodyText"/>
        <w:spacing w:before="161"/>
        <w:rPr>
          <w:b/>
        </w:rPr>
      </w:pPr>
    </w:p>
    <w:p>
      <w:pPr>
        <w:spacing w:line="616" w:lineRule="auto" w:before="0"/>
        <w:ind w:left="1599" w:right="2521" w:firstLine="0"/>
        <w:jc w:val="center"/>
        <w:rPr>
          <w:b/>
          <w:sz w:val="24"/>
        </w:rPr>
      </w:pPr>
      <w:r>
        <w:rPr>
          <w:b/>
          <w:sz w:val="24"/>
        </w:rPr>
        <w:t>SUMMARY</w:t>
      </w:r>
      <w:r>
        <w:rPr>
          <w:b/>
          <w:spacing w:val="-8"/>
          <w:sz w:val="24"/>
        </w:rPr>
        <w:t> </w:t>
      </w:r>
      <w:r>
        <w:rPr>
          <w:b/>
          <w:sz w:val="24"/>
        </w:rPr>
        <w:t>OF</w:t>
      </w:r>
      <w:r>
        <w:rPr>
          <w:b/>
          <w:spacing w:val="-8"/>
          <w:sz w:val="24"/>
        </w:rPr>
        <w:t> </w:t>
      </w:r>
      <w:r>
        <w:rPr>
          <w:b/>
          <w:sz w:val="24"/>
        </w:rPr>
        <w:t>FINDINGS,</w:t>
      </w:r>
      <w:r>
        <w:rPr>
          <w:b/>
          <w:spacing w:val="-7"/>
          <w:sz w:val="24"/>
        </w:rPr>
        <w:t> </w:t>
      </w:r>
      <w:r>
        <w:rPr>
          <w:b/>
          <w:sz w:val="24"/>
        </w:rPr>
        <w:t>DISCUSSIONS,</w:t>
      </w:r>
      <w:r>
        <w:rPr>
          <w:b/>
          <w:spacing w:val="-7"/>
          <w:sz w:val="24"/>
        </w:rPr>
        <w:t> </w:t>
      </w:r>
      <w:r>
        <w:rPr>
          <w:b/>
          <w:sz w:val="24"/>
        </w:rPr>
        <w:t>CONCLUSION</w:t>
      </w:r>
      <w:r>
        <w:rPr>
          <w:b/>
          <w:spacing w:val="-8"/>
          <w:sz w:val="24"/>
        </w:rPr>
        <w:t> </w:t>
      </w:r>
      <w:r>
        <w:rPr>
          <w:b/>
          <w:sz w:val="24"/>
        </w:rPr>
        <w:t>AND </w:t>
      </w:r>
      <w:r>
        <w:rPr>
          <w:b/>
          <w:spacing w:val="-2"/>
          <w:sz w:val="24"/>
        </w:rPr>
        <w:t>RECOMMENDATIONS</w:t>
      </w:r>
    </w:p>
    <w:p>
      <w:pPr>
        <w:pStyle w:val="BodyText"/>
        <w:spacing w:line="480" w:lineRule="auto"/>
        <w:ind w:left="400" w:right="1320"/>
        <w:jc w:val="both"/>
      </w:pPr>
      <w:r>
        <w:rPr/>
        <w:t>This chapter provides the summary of key findings of the research, discussions, conclusions, recommendations, contribution to knowledge and suggestions for further studies with particular reference to the aim and research objectives.</w:t>
      </w:r>
    </w:p>
    <w:p>
      <w:pPr>
        <w:pStyle w:val="Heading2"/>
        <w:numPr>
          <w:ilvl w:val="1"/>
          <w:numId w:val="56"/>
        </w:numPr>
        <w:tabs>
          <w:tab w:pos="760" w:val="left" w:leader="none"/>
        </w:tabs>
        <w:spacing w:line="240" w:lineRule="auto" w:before="5" w:after="0"/>
        <w:ind w:left="760" w:right="0" w:hanging="360"/>
        <w:jc w:val="both"/>
      </w:pPr>
      <w:r>
        <w:rPr/>
        <w:t>Summary</w:t>
      </w:r>
      <w:r>
        <w:rPr>
          <w:spacing w:val="-3"/>
        </w:rPr>
        <w:t> </w:t>
      </w:r>
      <w:r>
        <w:rPr/>
        <w:t>of</w:t>
      </w:r>
      <w:r>
        <w:rPr>
          <w:spacing w:val="-1"/>
        </w:rPr>
        <w:t> </w:t>
      </w:r>
      <w:r>
        <w:rPr/>
        <w:t>key </w:t>
      </w:r>
      <w:r>
        <w:rPr>
          <w:spacing w:val="-2"/>
        </w:rPr>
        <w:t>Findings</w:t>
      </w:r>
    </w:p>
    <w:p>
      <w:pPr>
        <w:pStyle w:val="ListParagraph"/>
        <w:numPr>
          <w:ilvl w:val="0"/>
          <w:numId w:val="57"/>
        </w:numPr>
        <w:tabs>
          <w:tab w:pos="1041" w:val="left" w:leader="none"/>
        </w:tabs>
        <w:spacing w:line="240" w:lineRule="auto" w:before="271" w:after="0"/>
        <w:ind w:left="1041" w:right="0" w:hanging="646"/>
        <w:jc w:val="both"/>
        <w:rPr>
          <w:sz w:val="24"/>
        </w:rPr>
      </w:pPr>
      <w:r>
        <w:rPr>
          <w:sz w:val="24"/>
        </w:rPr>
        <w:t>Majority</w:t>
      </w:r>
      <w:r>
        <w:rPr>
          <w:spacing w:val="-7"/>
          <w:sz w:val="24"/>
        </w:rPr>
        <w:t> </w:t>
      </w:r>
      <w:r>
        <w:rPr>
          <w:sz w:val="24"/>
        </w:rPr>
        <w:t>of construction firms</w:t>
      </w:r>
      <w:r>
        <w:rPr>
          <w:spacing w:val="-1"/>
          <w:sz w:val="24"/>
        </w:rPr>
        <w:t> </w:t>
      </w:r>
      <w:r>
        <w:rPr>
          <w:sz w:val="24"/>
        </w:rPr>
        <w:t>in</w:t>
      </w:r>
      <w:r>
        <w:rPr>
          <w:spacing w:val="-2"/>
          <w:sz w:val="24"/>
        </w:rPr>
        <w:t> </w:t>
      </w:r>
      <w:r>
        <w:rPr>
          <w:sz w:val="24"/>
        </w:rPr>
        <w:t>South-East</w:t>
      </w:r>
      <w:r>
        <w:rPr>
          <w:spacing w:val="-2"/>
          <w:sz w:val="24"/>
        </w:rPr>
        <w:t> </w:t>
      </w:r>
      <w:r>
        <w:rPr>
          <w:sz w:val="24"/>
        </w:rPr>
        <w:t>Nigeria</w:t>
      </w:r>
      <w:r>
        <w:rPr>
          <w:spacing w:val="-2"/>
          <w:sz w:val="24"/>
        </w:rPr>
        <w:t> </w:t>
      </w:r>
      <w:r>
        <w:rPr>
          <w:sz w:val="24"/>
        </w:rPr>
        <w:t>are</w:t>
      </w:r>
      <w:r>
        <w:rPr>
          <w:spacing w:val="-2"/>
          <w:sz w:val="24"/>
        </w:rPr>
        <w:t> </w:t>
      </w:r>
      <w:r>
        <w:rPr>
          <w:sz w:val="24"/>
        </w:rPr>
        <w:t>medium</w:t>
      </w:r>
      <w:r>
        <w:rPr>
          <w:spacing w:val="-2"/>
          <w:sz w:val="24"/>
        </w:rPr>
        <w:t> </w:t>
      </w:r>
      <w:r>
        <w:rPr>
          <w:sz w:val="24"/>
        </w:rPr>
        <w:t>size</w:t>
      </w:r>
      <w:r>
        <w:rPr>
          <w:spacing w:val="-2"/>
          <w:sz w:val="24"/>
        </w:rPr>
        <w:t> </w:t>
      </w:r>
      <w:r>
        <w:rPr>
          <w:sz w:val="24"/>
        </w:rPr>
        <w:t>companies</w:t>
      </w:r>
      <w:r>
        <w:rPr>
          <w:spacing w:val="-2"/>
          <w:sz w:val="24"/>
        </w:rPr>
        <w:t> </w:t>
      </w:r>
      <w:r>
        <w:rPr>
          <w:sz w:val="24"/>
        </w:rPr>
        <w:t>(Table</w:t>
      </w:r>
      <w:r>
        <w:rPr>
          <w:spacing w:val="-2"/>
          <w:sz w:val="24"/>
        </w:rPr>
        <w:t> </w:t>
      </w:r>
      <w:r>
        <w:rPr>
          <w:spacing w:val="-5"/>
          <w:sz w:val="24"/>
        </w:rPr>
        <w:t>5.</w:t>
      </w:r>
    </w:p>
    <w:p>
      <w:pPr>
        <w:pStyle w:val="BodyText"/>
        <w:spacing w:before="240"/>
      </w:pPr>
    </w:p>
    <w:p>
      <w:pPr>
        <w:pStyle w:val="ListParagraph"/>
        <w:numPr>
          <w:ilvl w:val="0"/>
          <w:numId w:val="57"/>
        </w:numPr>
        <w:tabs>
          <w:tab w:pos="1043" w:val="left" w:leader="none"/>
          <w:tab w:pos="1101" w:val="left" w:leader="none"/>
        </w:tabs>
        <w:spacing w:line="480" w:lineRule="auto" w:before="0" w:after="0"/>
        <w:ind w:left="1043" w:right="1315" w:hanging="648"/>
        <w:jc w:val="both"/>
        <w:rPr>
          <w:sz w:val="24"/>
        </w:rPr>
      </w:pPr>
      <w:r>
        <w:rPr>
          <w:sz w:val="24"/>
        </w:rPr>
        <w:tab/>
        <w:t>Quality improvement programme is very important for any construction firm to survive (table 5.5)</w:t>
      </w:r>
    </w:p>
    <w:p>
      <w:pPr>
        <w:pStyle w:val="ListParagraph"/>
        <w:numPr>
          <w:ilvl w:val="0"/>
          <w:numId w:val="57"/>
        </w:numPr>
        <w:tabs>
          <w:tab w:pos="1041" w:val="left" w:leader="none"/>
          <w:tab w:pos="1043" w:val="left" w:leader="none"/>
        </w:tabs>
        <w:spacing w:line="480" w:lineRule="auto" w:before="240" w:after="0"/>
        <w:ind w:left="1043" w:right="1316" w:hanging="648"/>
        <w:jc w:val="both"/>
        <w:rPr>
          <w:sz w:val="24"/>
        </w:rPr>
      </w:pPr>
      <w:r>
        <w:rPr>
          <w:sz w:val="24"/>
        </w:rPr>
        <w:t>Majority of quality improvement programme that is being adopted by small and medium construction firms in South-East Nigeria are</w:t>
      </w:r>
      <w:r>
        <w:rPr>
          <w:spacing w:val="-1"/>
          <w:sz w:val="24"/>
        </w:rPr>
        <w:t> </w:t>
      </w:r>
      <w:r>
        <w:rPr>
          <w:sz w:val="24"/>
        </w:rPr>
        <w:t>quality</w:t>
      </w:r>
      <w:r>
        <w:rPr>
          <w:spacing w:val="-3"/>
          <w:sz w:val="24"/>
        </w:rPr>
        <w:t> </w:t>
      </w:r>
      <w:r>
        <w:rPr>
          <w:sz w:val="24"/>
        </w:rPr>
        <w:t>control / quality</w:t>
      </w:r>
      <w:r>
        <w:rPr>
          <w:spacing w:val="-5"/>
          <w:sz w:val="24"/>
        </w:rPr>
        <w:t> </w:t>
      </w:r>
      <w:r>
        <w:rPr>
          <w:sz w:val="24"/>
        </w:rPr>
        <w:t>assurance</w:t>
      </w:r>
      <w:r>
        <w:rPr>
          <w:spacing w:val="-1"/>
          <w:sz w:val="24"/>
        </w:rPr>
        <w:t> </w:t>
      </w:r>
      <w:r>
        <w:rPr>
          <w:sz w:val="24"/>
        </w:rPr>
        <w:t>(Table</w:t>
      </w:r>
      <w:r>
        <w:rPr>
          <w:spacing w:val="-1"/>
          <w:sz w:val="24"/>
        </w:rPr>
        <w:t> </w:t>
      </w:r>
      <w:r>
        <w:rPr>
          <w:sz w:val="24"/>
        </w:rPr>
        <w:t>5.5)</w:t>
      </w:r>
    </w:p>
    <w:p>
      <w:pPr>
        <w:pStyle w:val="ListParagraph"/>
        <w:numPr>
          <w:ilvl w:val="0"/>
          <w:numId w:val="57"/>
        </w:numPr>
        <w:tabs>
          <w:tab w:pos="1041" w:val="left" w:leader="none"/>
          <w:tab w:pos="1043" w:val="left" w:leader="none"/>
        </w:tabs>
        <w:spacing w:line="480" w:lineRule="auto" w:before="241" w:after="0"/>
        <w:ind w:left="1043" w:right="1319" w:hanging="648"/>
        <w:jc w:val="both"/>
        <w:rPr>
          <w:sz w:val="24"/>
        </w:rPr>
      </w:pPr>
      <w:r>
        <w:rPr>
          <w:sz w:val="24"/>
        </w:rPr>
        <w:t>TQM is presented differently</w:t>
      </w:r>
      <w:r>
        <w:rPr>
          <w:spacing w:val="-3"/>
          <w:sz w:val="24"/>
        </w:rPr>
        <w:t> </w:t>
      </w:r>
      <w:r>
        <w:rPr>
          <w:sz w:val="24"/>
        </w:rPr>
        <w:t>in different points of view, as there is no general and formal definition of TQM which can fit or be implemented in all organisations within all sectors (Section 5.4.2)</w:t>
      </w:r>
    </w:p>
    <w:p>
      <w:pPr>
        <w:pStyle w:val="ListParagraph"/>
        <w:numPr>
          <w:ilvl w:val="0"/>
          <w:numId w:val="57"/>
        </w:numPr>
        <w:tabs>
          <w:tab w:pos="1041" w:val="left" w:leader="none"/>
          <w:tab w:pos="1043" w:val="left" w:leader="none"/>
        </w:tabs>
        <w:spacing w:line="480" w:lineRule="auto" w:before="240" w:after="0"/>
        <w:ind w:left="1043" w:right="1318" w:hanging="648"/>
        <w:jc w:val="both"/>
        <w:rPr>
          <w:sz w:val="24"/>
        </w:rPr>
      </w:pPr>
      <w:r>
        <w:rPr>
          <w:sz w:val="24"/>
        </w:rPr>
        <w:t>Majority</w:t>
      </w:r>
      <w:r>
        <w:rPr>
          <w:spacing w:val="-5"/>
          <w:sz w:val="24"/>
        </w:rPr>
        <w:t> </w:t>
      </w:r>
      <w:r>
        <w:rPr>
          <w:sz w:val="24"/>
        </w:rPr>
        <w:t>of</w:t>
      </w:r>
      <w:r>
        <w:rPr>
          <w:spacing w:val="-1"/>
          <w:sz w:val="24"/>
        </w:rPr>
        <w:t> </w:t>
      </w:r>
      <w:r>
        <w:rPr>
          <w:sz w:val="24"/>
        </w:rPr>
        <w:t>staff and management of small and medium scale construction firms in South- East Nigeria are aware and understand the concept of total quality management (Figure 5.6, 5.7)</w:t>
      </w:r>
    </w:p>
    <w:p>
      <w:pPr>
        <w:pStyle w:val="ListParagraph"/>
        <w:numPr>
          <w:ilvl w:val="0"/>
          <w:numId w:val="57"/>
        </w:numPr>
        <w:tabs>
          <w:tab w:pos="1041" w:val="left" w:leader="none"/>
          <w:tab w:pos="1043" w:val="left" w:leader="none"/>
        </w:tabs>
        <w:spacing w:line="480" w:lineRule="auto" w:before="240" w:after="0"/>
        <w:ind w:left="1043" w:right="1317" w:hanging="648"/>
        <w:jc w:val="both"/>
        <w:rPr>
          <w:sz w:val="24"/>
        </w:rPr>
      </w:pPr>
      <w:r>
        <w:rPr>
          <w:sz w:val="24"/>
        </w:rPr>
        <w:t>The level of implementation of total quality management in small and medium construction firms in South-East Nigeria is low (slightly below average) (Table 5.6, 5.7).</w:t>
      </w:r>
    </w:p>
    <w:p>
      <w:pPr>
        <w:spacing w:after="0" w:line="480" w:lineRule="auto"/>
        <w:jc w:val="both"/>
        <w:rPr>
          <w:sz w:val="24"/>
        </w:rPr>
        <w:sectPr>
          <w:pgSz w:w="12240" w:h="15840"/>
          <w:pgMar w:header="0" w:footer="1017" w:top="1360" w:bottom="1200" w:left="1040" w:right="120"/>
        </w:sectPr>
      </w:pPr>
    </w:p>
    <w:p>
      <w:pPr>
        <w:pStyle w:val="ListParagraph"/>
        <w:numPr>
          <w:ilvl w:val="0"/>
          <w:numId w:val="57"/>
        </w:numPr>
        <w:tabs>
          <w:tab w:pos="1041" w:val="left" w:leader="none"/>
          <w:tab w:pos="1043" w:val="left" w:leader="none"/>
        </w:tabs>
        <w:spacing w:line="480" w:lineRule="auto" w:before="72" w:after="0"/>
        <w:ind w:left="1043" w:right="1317" w:hanging="648"/>
        <w:jc w:val="both"/>
        <w:rPr>
          <w:sz w:val="24"/>
        </w:rPr>
      </w:pPr>
      <w:r>
        <w:rPr>
          <w:sz w:val="24"/>
        </w:rPr>
        <w:t>The major critical success factors of total quality management by small and medium scale construction firms in South-East Nigeria are leadership and top management and strategic planning (Table 5.8, 5.14.1.1).</w:t>
      </w:r>
    </w:p>
    <w:p>
      <w:pPr>
        <w:pStyle w:val="ListParagraph"/>
        <w:numPr>
          <w:ilvl w:val="0"/>
          <w:numId w:val="57"/>
        </w:numPr>
        <w:tabs>
          <w:tab w:pos="1041" w:val="left" w:leader="none"/>
          <w:tab w:pos="1043" w:val="left" w:leader="none"/>
        </w:tabs>
        <w:spacing w:line="480" w:lineRule="auto" w:before="240" w:after="0"/>
        <w:ind w:left="1043" w:right="1315" w:hanging="648"/>
        <w:jc w:val="both"/>
        <w:rPr>
          <w:sz w:val="24"/>
        </w:rPr>
      </w:pPr>
      <w:r>
        <w:rPr>
          <w:sz w:val="24"/>
        </w:rPr>
        <w:t>There are various benefits of implementing total quality management in small and</w:t>
      </w:r>
      <w:r>
        <w:rPr>
          <w:spacing w:val="40"/>
          <w:sz w:val="24"/>
        </w:rPr>
        <w:t> </w:t>
      </w:r>
      <w:r>
        <w:rPr>
          <w:sz w:val="24"/>
        </w:rPr>
        <w:t>medium scale construction firms In South-East Nigeria. The major one by the work is Client’s satisfaction. others include ensures continuous improvement, enhances efficiency</w:t>
      </w:r>
    </w:p>
    <w:p>
      <w:pPr>
        <w:pStyle w:val="BodyText"/>
        <w:spacing w:line="480" w:lineRule="auto"/>
        <w:ind w:left="1043" w:right="1319"/>
        <w:jc w:val="both"/>
      </w:pPr>
      <w:r>
        <w:rPr/>
        <w:t>, improves materials and service input and promotes effectiveness (Table 5.4 and section </w:t>
      </w:r>
      <w:r>
        <w:rPr>
          <w:spacing w:val="-2"/>
        </w:rPr>
        <w:t>5.9.4)</w:t>
      </w:r>
    </w:p>
    <w:p>
      <w:pPr>
        <w:pStyle w:val="ListParagraph"/>
        <w:numPr>
          <w:ilvl w:val="0"/>
          <w:numId w:val="57"/>
        </w:numPr>
        <w:tabs>
          <w:tab w:pos="1041" w:val="left" w:leader="none"/>
          <w:tab w:pos="1043" w:val="left" w:leader="none"/>
        </w:tabs>
        <w:spacing w:line="480" w:lineRule="auto" w:before="240" w:after="0"/>
        <w:ind w:left="1043" w:right="1317" w:hanging="648"/>
        <w:jc w:val="both"/>
        <w:rPr>
          <w:sz w:val="24"/>
        </w:rPr>
      </w:pPr>
      <w:r>
        <w:rPr>
          <w:sz w:val="24"/>
        </w:rPr>
        <w:t>Challenges to the implementation of total quality management in small and medium scale construction firms in South-East Nigeria were discovered. These include Poor capitalization, poor management strategies, time consuming and lack of immediate results (section 5.9.5).</w:t>
      </w:r>
    </w:p>
    <w:p>
      <w:pPr>
        <w:pStyle w:val="ListParagraph"/>
        <w:numPr>
          <w:ilvl w:val="0"/>
          <w:numId w:val="57"/>
        </w:numPr>
        <w:tabs>
          <w:tab w:pos="1041" w:val="left" w:leader="none"/>
          <w:tab w:pos="1043" w:val="left" w:leader="none"/>
        </w:tabs>
        <w:spacing w:line="480" w:lineRule="auto" w:before="240" w:after="0"/>
        <w:ind w:left="1043" w:right="1316" w:hanging="648"/>
        <w:jc w:val="both"/>
        <w:rPr>
          <w:sz w:val="24"/>
        </w:rPr>
      </w:pPr>
      <w:r>
        <w:rPr>
          <w:sz w:val="24"/>
        </w:rPr>
        <w:t>Customer Satisfaction is an important element for organization which has helped to build their reputation in the Nigerian market (5.9.8).</w:t>
      </w:r>
    </w:p>
    <w:p>
      <w:pPr>
        <w:pStyle w:val="ListParagraph"/>
        <w:numPr>
          <w:ilvl w:val="0"/>
          <w:numId w:val="57"/>
        </w:numPr>
        <w:tabs>
          <w:tab w:pos="1041" w:val="left" w:leader="none"/>
          <w:tab w:pos="1043" w:val="left" w:leader="none"/>
        </w:tabs>
        <w:spacing w:line="480" w:lineRule="auto" w:before="240" w:after="0"/>
        <w:ind w:left="1043" w:right="1318" w:hanging="648"/>
        <w:jc w:val="both"/>
        <w:rPr>
          <w:sz w:val="24"/>
        </w:rPr>
      </w:pPr>
      <w:r>
        <w:rPr>
          <w:sz w:val="24"/>
        </w:rPr>
        <w:t>The main strengths of small and medium scale construction firms in South-East Nigeria are Small start-up and operating capital and locational flexibility and lower overhead</w:t>
      </w:r>
      <w:r>
        <w:rPr>
          <w:spacing w:val="40"/>
          <w:sz w:val="24"/>
        </w:rPr>
        <w:t> </w:t>
      </w:r>
      <w:r>
        <w:rPr>
          <w:sz w:val="24"/>
        </w:rPr>
        <w:t>while the opportunities are New Business technologies and high speed of construction industry development (Table 5.9).</w:t>
      </w:r>
    </w:p>
    <w:p>
      <w:pPr>
        <w:pStyle w:val="ListParagraph"/>
        <w:numPr>
          <w:ilvl w:val="0"/>
          <w:numId w:val="57"/>
        </w:numPr>
        <w:tabs>
          <w:tab w:pos="1041" w:val="left" w:leader="none"/>
          <w:tab w:pos="1043" w:val="left" w:leader="none"/>
        </w:tabs>
        <w:spacing w:line="480" w:lineRule="auto" w:before="240" w:after="0"/>
        <w:ind w:left="1043" w:right="1317" w:hanging="648"/>
        <w:jc w:val="both"/>
        <w:rPr>
          <w:sz w:val="24"/>
        </w:rPr>
      </w:pPr>
      <w:r>
        <w:rPr>
          <w:sz w:val="24"/>
        </w:rPr>
        <w:t>The main weakness of small and medium scale construction firms identified include Poor capitalization</w:t>
      </w:r>
      <w:r>
        <w:rPr>
          <w:spacing w:val="40"/>
          <w:sz w:val="24"/>
        </w:rPr>
        <w:t> </w:t>
      </w:r>
      <w:r>
        <w:rPr>
          <w:sz w:val="24"/>
        </w:rPr>
        <w:t>and</w:t>
      </w:r>
      <w:r>
        <w:rPr>
          <w:spacing w:val="40"/>
          <w:sz w:val="24"/>
        </w:rPr>
        <w:t> </w:t>
      </w:r>
      <w:r>
        <w:rPr>
          <w:sz w:val="24"/>
        </w:rPr>
        <w:t>lack</w:t>
      </w:r>
      <w:r>
        <w:rPr>
          <w:spacing w:val="40"/>
          <w:sz w:val="24"/>
        </w:rPr>
        <w:t> </w:t>
      </w:r>
      <w:r>
        <w:rPr>
          <w:sz w:val="24"/>
        </w:rPr>
        <w:t>of</w:t>
      </w:r>
      <w:r>
        <w:rPr>
          <w:spacing w:val="40"/>
          <w:sz w:val="24"/>
        </w:rPr>
        <w:t> </w:t>
      </w:r>
      <w:r>
        <w:rPr>
          <w:sz w:val="24"/>
        </w:rPr>
        <w:t>procedures</w:t>
      </w:r>
      <w:r>
        <w:rPr>
          <w:spacing w:val="40"/>
          <w:sz w:val="24"/>
        </w:rPr>
        <w:t> </w:t>
      </w:r>
      <w:r>
        <w:rPr>
          <w:sz w:val="24"/>
        </w:rPr>
        <w:t>for</w:t>
      </w:r>
      <w:r>
        <w:rPr>
          <w:spacing w:val="40"/>
          <w:sz w:val="24"/>
        </w:rPr>
        <w:t> </w:t>
      </w:r>
      <w:r>
        <w:rPr>
          <w:sz w:val="24"/>
        </w:rPr>
        <w:t>monitoring</w:t>
      </w:r>
      <w:r>
        <w:rPr>
          <w:spacing w:val="40"/>
          <w:sz w:val="24"/>
        </w:rPr>
        <w:t> </w:t>
      </w:r>
      <w:r>
        <w:rPr>
          <w:sz w:val="24"/>
        </w:rPr>
        <w:t>quality</w:t>
      </w:r>
      <w:r>
        <w:rPr>
          <w:spacing w:val="40"/>
          <w:sz w:val="24"/>
        </w:rPr>
        <w:t> </w:t>
      </w:r>
      <w:r>
        <w:rPr>
          <w:sz w:val="24"/>
        </w:rPr>
        <w:t>while</w:t>
      </w:r>
      <w:r>
        <w:rPr>
          <w:spacing w:val="40"/>
          <w:sz w:val="24"/>
        </w:rPr>
        <w:t> </w:t>
      </w:r>
      <w:r>
        <w:rPr>
          <w:sz w:val="24"/>
        </w:rPr>
        <w:t>the</w:t>
      </w:r>
      <w:r>
        <w:rPr>
          <w:spacing w:val="40"/>
          <w:sz w:val="24"/>
        </w:rPr>
        <w:t> </w:t>
      </w:r>
      <w:r>
        <w:rPr>
          <w:sz w:val="24"/>
        </w:rPr>
        <w:t>threats</w:t>
      </w:r>
      <w:r>
        <w:rPr>
          <w:spacing w:val="40"/>
          <w:sz w:val="24"/>
        </w:rPr>
        <w:t> </w:t>
      </w:r>
      <w:r>
        <w:rPr>
          <w:sz w:val="24"/>
        </w:rPr>
        <w:t>include</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043" w:right="1320"/>
        <w:jc w:val="both"/>
      </w:pPr>
      <w:r>
        <w:rPr/>
        <w:t>strong competition from the large firms and excessive corruption and lack of transparencies (table 5.10)</w:t>
      </w:r>
    </w:p>
    <w:p>
      <w:pPr>
        <w:pStyle w:val="ListParagraph"/>
        <w:numPr>
          <w:ilvl w:val="0"/>
          <w:numId w:val="57"/>
        </w:numPr>
        <w:tabs>
          <w:tab w:pos="1041" w:val="left" w:leader="none"/>
          <w:tab w:pos="1043" w:val="left" w:leader="none"/>
        </w:tabs>
        <w:spacing w:line="480" w:lineRule="auto" w:before="240" w:after="0"/>
        <w:ind w:left="1043" w:right="1317" w:hanging="648"/>
        <w:jc w:val="both"/>
        <w:rPr>
          <w:sz w:val="24"/>
        </w:rPr>
      </w:pPr>
      <w:r>
        <w:rPr>
          <w:sz w:val="24"/>
        </w:rPr>
        <w:t>The Null hypothesis for hypothesis two was rejected implying that there is a relationship between the identified critical success factors and competitive strategies in small and medium scale construction firms in South-East Nigeria. There is an increase in strength and opportunities and a decrease with weakness and opportunities</w:t>
      </w:r>
      <w:r>
        <w:rPr>
          <w:spacing w:val="40"/>
          <w:sz w:val="24"/>
        </w:rPr>
        <w:t> </w:t>
      </w:r>
      <w:r>
        <w:rPr>
          <w:sz w:val="24"/>
        </w:rPr>
        <w:t>(Table 5.11 and table </w:t>
      </w:r>
      <w:r>
        <w:rPr>
          <w:spacing w:val="-2"/>
          <w:sz w:val="24"/>
        </w:rPr>
        <w:t>5.12)</w:t>
      </w:r>
    </w:p>
    <w:p>
      <w:pPr>
        <w:pStyle w:val="ListParagraph"/>
        <w:numPr>
          <w:ilvl w:val="0"/>
          <w:numId w:val="57"/>
        </w:numPr>
        <w:tabs>
          <w:tab w:pos="1041" w:val="left" w:leader="none"/>
          <w:tab w:pos="1043" w:val="left" w:leader="none"/>
        </w:tabs>
        <w:spacing w:line="480" w:lineRule="auto" w:before="240" w:after="0"/>
        <w:ind w:left="1043" w:right="1316" w:hanging="648"/>
        <w:jc w:val="both"/>
        <w:rPr>
          <w:sz w:val="24"/>
        </w:rPr>
      </w:pPr>
      <w:r>
        <w:rPr>
          <w:sz w:val="24"/>
        </w:rPr>
        <w:t>Using regression equation, the relationship between level of implementation and competitive advantage is level of implementation = 0.574 measures of competitive </w:t>
      </w:r>
      <w:r>
        <w:rPr>
          <w:spacing w:val="-2"/>
          <w:sz w:val="24"/>
        </w:rPr>
        <w:t>advantage.</w:t>
      </w:r>
    </w:p>
    <w:p>
      <w:pPr>
        <w:pStyle w:val="ListParagraph"/>
        <w:numPr>
          <w:ilvl w:val="0"/>
          <w:numId w:val="57"/>
        </w:numPr>
        <w:tabs>
          <w:tab w:pos="1041" w:val="left" w:leader="none"/>
          <w:tab w:pos="1043" w:val="left" w:leader="none"/>
        </w:tabs>
        <w:spacing w:line="480" w:lineRule="auto" w:before="240" w:after="0"/>
        <w:ind w:left="1043" w:right="1320" w:hanging="648"/>
        <w:jc w:val="both"/>
        <w:rPr>
          <w:sz w:val="24"/>
        </w:rPr>
      </w:pPr>
      <w:r>
        <w:rPr>
          <w:sz w:val="24"/>
        </w:rPr>
        <w:t>The three (3) major competitive advantages in small and medium scale construction firms in South-East Nigeria include price, market shares and quality services (Table 5.13)</w:t>
      </w:r>
    </w:p>
    <w:p>
      <w:pPr>
        <w:pStyle w:val="ListParagraph"/>
        <w:numPr>
          <w:ilvl w:val="0"/>
          <w:numId w:val="57"/>
        </w:numPr>
        <w:tabs>
          <w:tab w:pos="1041" w:val="left" w:leader="none"/>
          <w:tab w:pos="1043" w:val="left" w:leader="none"/>
        </w:tabs>
        <w:spacing w:line="480" w:lineRule="auto" w:before="240" w:after="0"/>
        <w:ind w:left="1043" w:right="1319" w:hanging="648"/>
        <w:jc w:val="both"/>
        <w:rPr>
          <w:sz w:val="24"/>
        </w:rPr>
      </w:pPr>
      <w:r>
        <w:rPr>
          <w:sz w:val="24"/>
        </w:rPr>
        <w:t>In Hypothesis three, the Null hypothesis was rejected indicating that there is a significant relationship between application of total quality management and competitive Advantage</w:t>
      </w:r>
      <w:r>
        <w:rPr>
          <w:spacing w:val="80"/>
          <w:sz w:val="24"/>
        </w:rPr>
        <w:t> </w:t>
      </w:r>
      <w:r>
        <w:rPr>
          <w:sz w:val="24"/>
        </w:rPr>
        <w:t>( Table 5.13, 5.14)</w:t>
      </w:r>
    </w:p>
    <w:p>
      <w:pPr>
        <w:pStyle w:val="ListParagraph"/>
        <w:numPr>
          <w:ilvl w:val="0"/>
          <w:numId w:val="57"/>
        </w:numPr>
        <w:tabs>
          <w:tab w:pos="1041" w:val="left" w:leader="none"/>
          <w:tab w:pos="1043" w:val="left" w:leader="none"/>
        </w:tabs>
        <w:spacing w:line="480" w:lineRule="auto" w:before="240" w:after="0"/>
        <w:ind w:left="1043" w:right="1318" w:hanging="648"/>
        <w:jc w:val="both"/>
        <w:rPr>
          <w:sz w:val="24"/>
        </w:rPr>
      </w:pPr>
      <w:r>
        <w:rPr>
          <w:sz w:val="24"/>
        </w:rPr>
        <w:t>In Hypothesis four, the Null hypothesis was rejected indicating that there is a significant impact of SMCFs’ strategies on competitive advantage (Section 5.8). The strength and opportunities impact positively while the weakness and threats impact negatively.</w:t>
      </w:r>
    </w:p>
    <w:p>
      <w:pPr>
        <w:pStyle w:val="ListParagraph"/>
        <w:numPr>
          <w:ilvl w:val="0"/>
          <w:numId w:val="57"/>
        </w:numPr>
        <w:tabs>
          <w:tab w:pos="1041" w:val="left" w:leader="none"/>
          <w:tab w:pos="1043" w:val="left" w:leader="none"/>
        </w:tabs>
        <w:spacing w:line="480" w:lineRule="auto" w:before="240" w:after="0"/>
        <w:ind w:left="1043" w:right="1317" w:hanging="648"/>
        <w:jc w:val="both"/>
        <w:rPr>
          <w:sz w:val="24"/>
        </w:rPr>
      </w:pPr>
      <w:r>
        <w:rPr>
          <w:sz w:val="24"/>
        </w:rPr>
        <w:t>There is presently no clear or systematic mechanism for measuring the successful implementation of total quality management by small and medium scale construction</w:t>
      </w:r>
      <w:r>
        <w:rPr>
          <w:spacing w:val="40"/>
          <w:sz w:val="24"/>
        </w:rPr>
        <w:t> </w:t>
      </w:r>
      <w:r>
        <w:rPr>
          <w:sz w:val="24"/>
        </w:rPr>
        <w:t>firms in South-East Nigeria (5.9.6).</w:t>
      </w:r>
    </w:p>
    <w:p>
      <w:pPr>
        <w:spacing w:after="0" w:line="480" w:lineRule="auto"/>
        <w:jc w:val="both"/>
        <w:rPr>
          <w:sz w:val="24"/>
        </w:rPr>
        <w:sectPr>
          <w:pgSz w:w="12240" w:h="15840"/>
          <w:pgMar w:header="0" w:footer="1017" w:top="1360" w:bottom="1200" w:left="1040" w:right="120"/>
        </w:sectPr>
      </w:pPr>
    </w:p>
    <w:p>
      <w:pPr>
        <w:pStyle w:val="Heading2"/>
        <w:numPr>
          <w:ilvl w:val="1"/>
          <w:numId w:val="56"/>
        </w:numPr>
        <w:tabs>
          <w:tab w:pos="1120" w:val="left" w:leader="none"/>
        </w:tabs>
        <w:spacing w:line="240" w:lineRule="auto" w:before="76" w:after="0"/>
        <w:ind w:left="1120" w:right="0" w:hanging="720"/>
        <w:jc w:val="both"/>
      </w:pPr>
      <w:r>
        <w:rPr>
          <w:spacing w:val="-2"/>
        </w:rPr>
        <w:t>Discussions</w:t>
      </w:r>
    </w:p>
    <w:p>
      <w:pPr>
        <w:pStyle w:val="BodyText"/>
        <w:spacing w:line="480" w:lineRule="auto" w:before="272"/>
        <w:ind w:left="400" w:right="1316"/>
        <w:jc w:val="both"/>
      </w:pPr>
      <w:r>
        <w:rPr/>
        <w:t>This research is based on the development of total quality management model for small and medium scale construction firms in South- East Nigeria for a competitive advantage. The research explored quantitative method of data generation which comprised the design, pre-test and</w:t>
      </w:r>
      <w:r>
        <w:rPr>
          <w:spacing w:val="-1"/>
        </w:rPr>
        <w:t> </w:t>
      </w:r>
      <w:r>
        <w:rPr/>
        <w:t>administration</w:t>
      </w:r>
      <w:r>
        <w:rPr>
          <w:spacing w:val="2"/>
        </w:rPr>
        <w:t> </w:t>
      </w:r>
      <w:r>
        <w:rPr/>
        <w:t>of</w:t>
      </w:r>
      <w:r>
        <w:rPr>
          <w:spacing w:val="2"/>
        </w:rPr>
        <w:t> </w:t>
      </w:r>
      <w:r>
        <w:rPr/>
        <w:t>structured</w:t>
      </w:r>
      <w:r>
        <w:rPr>
          <w:spacing w:val="2"/>
        </w:rPr>
        <w:t> </w:t>
      </w:r>
      <w:r>
        <w:rPr/>
        <w:t>questionnaire</w:t>
      </w:r>
      <w:r>
        <w:rPr>
          <w:spacing w:val="1"/>
        </w:rPr>
        <w:t> </w:t>
      </w:r>
      <w:r>
        <w:rPr/>
        <w:t>to</w:t>
      </w:r>
      <w:r>
        <w:rPr>
          <w:spacing w:val="2"/>
        </w:rPr>
        <w:t> </w:t>
      </w:r>
      <w:r>
        <w:rPr/>
        <w:t>staff</w:t>
      </w:r>
      <w:r>
        <w:rPr>
          <w:spacing w:val="2"/>
        </w:rPr>
        <w:t> </w:t>
      </w:r>
      <w:r>
        <w:rPr/>
        <w:t>of</w:t>
      </w:r>
      <w:r>
        <w:rPr>
          <w:spacing w:val="2"/>
        </w:rPr>
        <w:t> </w:t>
      </w:r>
      <w:r>
        <w:rPr/>
        <w:t>small</w:t>
      </w:r>
      <w:r>
        <w:rPr>
          <w:spacing w:val="3"/>
        </w:rPr>
        <w:t> </w:t>
      </w:r>
      <w:r>
        <w:rPr/>
        <w:t>and</w:t>
      </w:r>
      <w:r>
        <w:rPr>
          <w:spacing w:val="2"/>
        </w:rPr>
        <w:t> </w:t>
      </w:r>
      <w:r>
        <w:rPr/>
        <w:t>medium</w:t>
      </w:r>
      <w:r>
        <w:rPr>
          <w:spacing w:val="3"/>
        </w:rPr>
        <w:t> </w:t>
      </w:r>
      <w:r>
        <w:rPr/>
        <w:t>construction</w:t>
      </w:r>
      <w:r>
        <w:rPr>
          <w:spacing w:val="2"/>
        </w:rPr>
        <w:t> </w:t>
      </w:r>
      <w:r>
        <w:rPr/>
        <w:t>firms</w:t>
      </w:r>
      <w:r>
        <w:rPr>
          <w:spacing w:val="3"/>
        </w:rPr>
        <w:t> </w:t>
      </w:r>
      <w:r>
        <w:rPr>
          <w:spacing w:val="-5"/>
        </w:rPr>
        <w:t>in</w:t>
      </w:r>
    </w:p>
    <w:p>
      <w:pPr>
        <w:pStyle w:val="BodyText"/>
        <w:spacing w:line="480" w:lineRule="auto"/>
        <w:ind w:left="400" w:right="1317"/>
        <w:jc w:val="both"/>
      </w:pPr>
      <w:r>
        <w:rPr/>
        <w:t>3 South-East states (Abia, Ebonyi and Enugu State). This was followed by qualitative instruments like interviews and direct observation which were used to generate important constructs from the target population. Data and information obtained from the quantitative research instruments were used to test the hypotheses postulated by the researcher.</w:t>
      </w:r>
    </w:p>
    <w:p>
      <w:pPr>
        <w:pStyle w:val="BodyText"/>
        <w:spacing w:line="480" w:lineRule="auto" w:before="158"/>
        <w:ind w:left="400" w:right="1313"/>
        <w:jc w:val="both"/>
      </w:pPr>
      <w:r>
        <w:rPr/>
        <w:t>The</w:t>
      </w:r>
      <w:r>
        <w:rPr>
          <w:spacing w:val="40"/>
        </w:rPr>
        <w:t> </w:t>
      </w:r>
      <w:r>
        <w:rPr/>
        <w:t>comprehensive</w:t>
      </w:r>
      <w:r>
        <w:rPr>
          <w:spacing w:val="40"/>
        </w:rPr>
        <w:t> </w:t>
      </w:r>
      <w:r>
        <w:rPr/>
        <w:t>literature</w:t>
      </w:r>
      <w:r>
        <w:rPr>
          <w:spacing w:val="40"/>
        </w:rPr>
        <w:t> </w:t>
      </w:r>
      <w:r>
        <w:rPr/>
        <w:t>review</w:t>
      </w:r>
      <w:r>
        <w:rPr>
          <w:spacing w:val="40"/>
        </w:rPr>
        <w:t> </w:t>
      </w:r>
      <w:r>
        <w:rPr/>
        <w:t>of</w:t>
      </w:r>
      <w:r>
        <w:rPr>
          <w:spacing w:val="40"/>
        </w:rPr>
        <w:t> </w:t>
      </w:r>
      <w:r>
        <w:rPr/>
        <w:t>the</w:t>
      </w:r>
      <w:r>
        <w:rPr>
          <w:spacing w:val="40"/>
        </w:rPr>
        <w:t> </w:t>
      </w:r>
      <w:r>
        <w:rPr/>
        <w:t>TQM</w:t>
      </w:r>
      <w:r>
        <w:rPr>
          <w:spacing w:val="40"/>
        </w:rPr>
        <w:t> </w:t>
      </w:r>
      <w:r>
        <w:rPr/>
        <w:t>concept</w:t>
      </w:r>
      <w:r>
        <w:rPr>
          <w:spacing w:val="40"/>
        </w:rPr>
        <w:t> </w:t>
      </w:r>
      <w:r>
        <w:rPr/>
        <w:t>in</w:t>
      </w:r>
      <w:r>
        <w:rPr>
          <w:spacing w:val="40"/>
        </w:rPr>
        <w:t> </w:t>
      </w:r>
      <w:r>
        <w:rPr/>
        <w:t>chapter</w:t>
      </w:r>
      <w:r>
        <w:rPr>
          <w:spacing w:val="40"/>
        </w:rPr>
        <w:t> </w:t>
      </w:r>
      <w:r>
        <w:rPr/>
        <w:t>two reviews the theoretical framework which is anchored on the TQM theories, system theory, company competitiveness theory and conceptual framework. Chapter three discussed the current state of knowledge by reviewing previous relevant literatures in the fields of evolution of TQM, The implementation of TQM in the construction industry and the critical success factors of TQM and SWOT analysis of SMCFs in Nigeria analysed. It continues the literature review by</w:t>
      </w:r>
      <w:r>
        <w:rPr>
          <w:spacing w:val="-1"/>
        </w:rPr>
        <w:t> </w:t>
      </w:r>
      <w:r>
        <w:rPr/>
        <w:t>appreciating the interrelationship between SMCF, TQM and competitive advantage. A comparison of quality gurus such as Deming, Juran, and Crosby and quality awards (the Deming Prize, MBNQA,</w:t>
      </w:r>
      <w:r>
        <w:rPr>
          <w:spacing w:val="80"/>
        </w:rPr>
        <w:t> </w:t>
      </w:r>
      <w:r>
        <w:rPr/>
        <w:t>EQA, Pride in Job and Charter Mark awards) were discussed to understand the TQM requirements and critique.</w:t>
      </w:r>
    </w:p>
    <w:p>
      <w:pPr>
        <w:pStyle w:val="BodyText"/>
        <w:spacing w:line="480" w:lineRule="auto" w:before="1"/>
        <w:ind w:left="400" w:right="1317"/>
        <w:jc w:val="both"/>
      </w:pPr>
      <w:r>
        <w:rPr/>
        <w:t>It was great to discover</w:t>
      </w:r>
      <w:r>
        <w:rPr>
          <w:spacing w:val="-1"/>
        </w:rPr>
        <w:t> </w:t>
      </w:r>
      <w:r>
        <w:rPr/>
        <w:t>that total quality</w:t>
      </w:r>
      <w:r>
        <w:rPr>
          <w:spacing w:val="-2"/>
        </w:rPr>
        <w:t> </w:t>
      </w:r>
      <w:r>
        <w:rPr/>
        <w:t>management concept was understood by</w:t>
      </w:r>
      <w:r>
        <w:rPr>
          <w:spacing w:val="-5"/>
        </w:rPr>
        <w:t> </w:t>
      </w:r>
      <w:r>
        <w:rPr/>
        <w:t>majority</w:t>
      </w:r>
      <w:r>
        <w:rPr>
          <w:spacing w:val="-2"/>
        </w:rPr>
        <w:t> </w:t>
      </w:r>
      <w:r>
        <w:rPr/>
        <w:t>of</w:t>
      </w:r>
      <w:r>
        <w:rPr>
          <w:spacing w:val="-1"/>
        </w:rPr>
        <w:t> </w:t>
      </w:r>
      <w:r>
        <w:rPr/>
        <w:t>the staff however when the level of implementation was analysed, it was discovered that it was low. No wonder Dale </w:t>
      </w:r>
      <w:r>
        <w:rPr>
          <w:i/>
        </w:rPr>
        <w:t>et al</w:t>
      </w:r>
      <w:r>
        <w:rPr/>
        <w:t>. (2000) found that the lack of success of TQM is not as a result of the concept</w:t>
      </w:r>
      <w:r>
        <w:rPr>
          <w:spacing w:val="9"/>
        </w:rPr>
        <w:t> </w:t>
      </w:r>
      <w:r>
        <w:rPr/>
        <w:t>but</w:t>
      </w:r>
      <w:r>
        <w:rPr>
          <w:spacing w:val="11"/>
        </w:rPr>
        <w:t> </w:t>
      </w:r>
      <w:r>
        <w:rPr/>
        <w:t>rather</w:t>
      </w:r>
      <w:r>
        <w:rPr>
          <w:spacing w:val="11"/>
        </w:rPr>
        <w:t> </w:t>
      </w:r>
      <w:r>
        <w:rPr/>
        <w:t>the</w:t>
      </w:r>
      <w:r>
        <w:rPr>
          <w:spacing w:val="11"/>
        </w:rPr>
        <w:t> </w:t>
      </w:r>
      <w:r>
        <w:rPr/>
        <w:t>way</w:t>
      </w:r>
      <w:r>
        <w:rPr>
          <w:spacing w:val="6"/>
        </w:rPr>
        <w:t> </w:t>
      </w:r>
      <w:r>
        <w:rPr/>
        <w:t>it</w:t>
      </w:r>
      <w:r>
        <w:rPr>
          <w:spacing w:val="12"/>
        </w:rPr>
        <w:t> </w:t>
      </w:r>
      <w:r>
        <w:rPr/>
        <w:t>had</w:t>
      </w:r>
      <w:r>
        <w:rPr>
          <w:spacing w:val="11"/>
        </w:rPr>
        <w:t> </w:t>
      </w:r>
      <w:r>
        <w:rPr/>
        <w:t>been</w:t>
      </w:r>
      <w:r>
        <w:rPr>
          <w:spacing w:val="12"/>
        </w:rPr>
        <w:t> </w:t>
      </w:r>
      <w:r>
        <w:rPr/>
        <w:t>introduced</w:t>
      </w:r>
      <w:r>
        <w:rPr>
          <w:spacing w:val="11"/>
        </w:rPr>
        <w:t> </w:t>
      </w:r>
      <w:r>
        <w:rPr/>
        <w:t>into</w:t>
      </w:r>
      <w:r>
        <w:rPr>
          <w:spacing w:val="12"/>
        </w:rPr>
        <w:t> </w:t>
      </w:r>
      <w:r>
        <w:rPr/>
        <w:t>an</w:t>
      </w:r>
      <w:r>
        <w:rPr>
          <w:spacing w:val="11"/>
        </w:rPr>
        <w:t> </w:t>
      </w:r>
      <w:r>
        <w:rPr/>
        <w:t>organization</w:t>
      </w:r>
      <w:r>
        <w:rPr>
          <w:spacing w:val="11"/>
        </w:rPr>
        <w:t> </w:t>
      </w:r>
      <w:r>
        <w:rPr/>
        <w:t>and</w:t>
      </w:r>
      <w:r>
        <w:rPr>
          <w:spacing w:val="12"/>
        </w:rPr>
        <w:t> </w:t>
      </w:r>
      <w:r>
        <w:rPr/>
        <w:t>used</w:t>
      </w:r>
      <w:r>
        <w:rPr>
          <w:spacing w:val="11"/>
        </w:rPr>
        <w:t> </w:t>
      </w:r>
      <w:r>
        <w:rPr/>
        <w:t>by</w:t>
      </w:r>
      <w:r>
        <w:rPr>
          <w:spacing w:val="7"/>
        </w:rPr>
        <w:t> </w:t>
      </w:r>
      <w:r>
        <w:rPr/>
        <w:t>managers;</w:t>
      </w:r>
      <w:r>
        <w:rPr>
          <w:spacing w:val="12"/>
        </w:rPr>
        <w:t> </w:t>
      </w:r>
      <w:r>
        <w:rPr>
          <w:spacing w:val="-5"/>
        </w:rPr>
        <w:t>it</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is expected that many fundamental mistakes will be made by senior managers in additional to their advisers in issues related to communication, training, infrastructure, teams and projects, involvement, problem solving, and measurement. Effective implementation of TQM practices helps to increase the quality and services of the organization (Geralis and Terziovski, 2003 and Gilbert and Prhizgari, 2000).</w:t>
      </w:r>
      <w:r>
        <w:rPr>
          <w:spacing w:val="40"/>
        </w:rPr>
        <w:t> </w:t>
      </w:r>
      <w:r>
        <w:rPr/>
        <w:t>Its importance should be stressed in every firm and a framework should be used to help its implementation and a systematic mechanism for measuring the successful implementation should be adopted.</w:t>
      </w:r>
    </w:p>
    <w:p>
      <w:pPr>
        <w:pStyle w:val="BodyText"/>
        <w:spacing w:before="45"/>
      </w:pPr>
    </w:p>
    <w:p>
      <w:pPr>
        <w:pStyle w:val="BodyText"/>
        <w:spacing w:line="480" w:lineRule="auto" w:before="1"/>
        <w:ind w:left="399" w:right="1315"/>
        <w:jc w:val="both"/>
      </w:pPr>
      <w:r>
        <w:rPr/>
        <w:t>Some of the key advantages of TQM arising from this research show that it ensures clients satisfaction which had the highest mean score (M= 4.79, S.D. =.518). This result is consistent with the study by Hellsten and Klefsjö (2000), where it was established that TQM is Client Focus.</w:t>
      </w:r>
      <w:r>
        <w:rPr>
          <w:spacing w:val="-2"/>
        </w:rPr>
        <w:t> </w:t>
      </w:r>
      <w:r>
        <w:rPr/>
        <w:t>Also</w:t>
      </w:r>
      <w:r>
        <w:rPr>
          <w:spacing w:val="-2"/>
        </w:rPr>
        <w:t> </w:t>
      </w:r>
      <w:r>
        <w:rPr/>
        <w:t>it</w:t>
      </w:r>
      <w:r>
        <w:rPr>
          <w:spacing w:val="-2"/>
        </w:rPr>
        <w:t> </w:t>
      </w:r>
      <w:r>
        <w:rPr/>
        <w:t>was</w:t>
      </w:r>
      <w:r>
        <w:rPr>
          <w:spacing w:val="-2"/>
        </w:rPr>
        <w:t> </w:t>
      </w:r>
      <w:r>
        <w:rPr/>
        <w:t>discovered</w:t>
      </w:r>
      <w:r>
        <w:rPr>
          <w:spacing w:val="-2"/>
        </w:rPr>
        <w:t> </w:t>
      </w:r>
      <w:r>
        <w:rPr/>
        <w:t>that</w:t>
      </w:r>
      <w:r>
        <w:rPr>
          <w:spacing w:val="-2"/>
        </w:rPr>
        <w:t> </w:t>
      </w:r>
      <w:r>
        <w:rPr/>
        <w:t>it</w:t>
      </w:r>
      <w:r>
        <w:rPr>
          <w:spacing w:val="-2"/>
        </w:rPr>
        <w:t> </w:t>
      </w:r>
      <w:r>
        <w:rPr/>
        <w:t>ensures</w:t>
      </w:r>
      <w:r>
        <w:rPr>
          <w:spacing w:val="-2"/>
        </w:rPr>
        <w:t> </w:t>
      </w:r>
      <w:r>
        <w:rPr/>
        <w:t>continuous</w:t>
      </w:r>
      <w:r>
        <w:rPr>
          <w:spacing w:val="-2"/>
        </w:rPr>
        <w:t> </w:t>
      </w:r>
      <w:r>
        <w:rPr/>
        <w:t>improvement</w:t>
      </w:r>
      <w:r>
        <w:rPr>
          <w:spacing w:val="-2"/>
        </w:rPr>
        <w:t> </w:t>
      </w:r>
      <w:r>
        <w:rPr/>
        <w:t>(M=</w:t>
      </w:r>
      <w:r>
        <w:rPr>
          <w:spacing w:val="-3"/>
        </w:rPr>
        <w:t> </w:t>
      </w:r>
      <w:r>
        <w:rPr/>
        <w:t>4.67,</w:t>
      </w:r>
      <w:r>
        <w:rPr>
          <w:spacing w:val="-2"/>
        </w:rPr>
        <w:t> </w:t>
      </w:r>
      <w:r>
        <w:rPr/>
        <w:t>S.D.</w:t>
      </w:r>
      <w:r>
        <w:rPr>
          <w:spacing w:val="-2"/>
        </w:rPr>
        <w:t> </w:t>
      </w:r>
      <w:r>
        <w:rPr/>
        <w:t>=.618).</w:t>
      </w:r>
      <w:r>
        <w:rPr>
          <w:spacing w:val="-2"/>
        </w:rPr>
        <w:t> </w:t>
      </w:r>
      <w:r>
        <w:rPr/>
        <w:t>No wonder Hill (2008) considered TQM as an approach of continuous improvement in all quality aspects of the whole processes, goods, services and employees within the firm.</w:t>
      </w:r>
    </w:p>
    <w:p>
      <w:pPr>
        <w:pStyle w:val="BodyText"/>
      </w:pPr>
    </w:p>
    <w:p>
      <w:pPr>
        <w:pStyle w:val="BodyText"/>
      </w:pPr>
    </w:p>
    <w:p>
      <w:pPr>
        <w:pStyle w:val="BodyText"/>
        <w:spacing w:line="480" w:lineRule="auto"/>
        <w:ind w:left="399" w:right="1316"/>
        <w:jc w:val="both"/>
      </w:pPr>
      <w:r>
        <w:rPr/>
        <w:t>SWOT analysis of small and medium construction firms in South-East Nigeria was carried out. The results shows that the main strengths are small start-up and operating capital had the highest mean score (M= 3.84, S.D. =1.343). This result is consistent with the study by Mukras (2003),who said that SMEs in Nigeria are characterized by high labour intensity and ease Locational Flexibility was ranked second with mean score (M= 3.79, S.D. =1.41)While the opportunities are new business technologies and high speed of construction industry development.</w:t>
      </w:r>
      <w:r>
        <w:rPr>
          <w:spacing w:val="-1"/>
        </w:rPr>
        <w:t> </w:t>
      </w:r>
      <w:r>
        <w:rPr/>
        <w:t>In</w:t>
      </w:r>
      <w:r>
        <w:rPr>
          <w:spacing w:val="-3"/>
        </w:rPr>
        <w:t> </w:t>
      </w:r>
      <w:r>
        <w:rPr/>
        <w:t>the</w:t>
      </w:r>
      <w:r>
        <w:rPr>
          <w:spacing w:val="-4"/>
        </w:rPr>
        <w:t> </w:t>
      </w:r>
      <w:r>
        <w:rPr/>
        <w:t>same</w:t>
      </w:r>
      <w:r>
        <w:rPr>
          <w:spacing w:val="-4"/>
        </w:rPr>
        <w:t> </w:t>
      </w:r>
      <w:r>
        <w:rPr/>
        <w:t>frame</w:t>
      </w:r>
      <w:r>
        <w:rPr>
          <w:spacing w:val="-4"/>
        </w:rPr>
        <w:t> </w:t>
      </w:r>
      <w:r>
        <w:rPr/>
        <w:t>the</w:t>
      </w:r>
      <w:r>
        <w:rPr>
          <w:spacing w:val="-2"/>
        </w:rPr>
        <w:t> </w:t>
      </w:r>
      <w:r>
        <w:rPr/>
        <w:t>result</w:t>
      </w:r>
      <w:r>
        <w:rPr>
          <w:spacing w:val="-3"/>
        </w:rPr>
        <w:t> </w:t>
      </w:r>
      <w:r>
        <w:rPr/>
        <w:t>of</w:t>
      </w:r>
      <w:r>
        <w:rPr>
          <w:spacing w:val="-2"/>
        </w:rPr>
        <w:t> </w:t>
      </w:r>
      <w:r>
        <w:rPr/>
        <w:t>the</w:t>
      </w:r>
      <w:r>
        <w:rPr>
          <w:spacing w:val="-2"/>
        </w:rPr>
        <w:t> </w:t>
      </w:r>
      <w:r>
        <w:rPr/>
        <w:t>weakness</w:t>
      </w:r>
      <w:r>
        <w:rPr>
          <w:spacing w:val="-1"/>
        </w:rPr>
        <w:t> </w:t>
      </w:r>
      <w:r>
        <w:rPr/>
        <w:t>showed</w:t>
      </w:r>
      <w:r>
        <w:rPr>
          <w:spacing w:val="-3"/>
        </w:rPr>
        <w:t> </w:t>
      </w:r>
      <w:r>
        <w:rPr/>
        <w:t>Poor</w:t>
      </w:r>
      <w:r>
        <w:rPr>
          <w:spacing w:val="-2"/>
        </w:rPr>
        <w:t> </w:t>
      </w:r>
      <w:r>
        <w:rPr/>
        <w:t>capitalization</w:t>
      </w:r>
      <w:r>
        <w:rPr>
          <w:spacing w:val="-3"/>
        </w:rPr>
        <w:t> </w:t>
      </w:r>
      <w:r>
        <w:rPr/>
        <w:t>with</w:t>
      </w:r>
      <w:r>
        <w:rPr>
          <w:spacing w:val="-3"/>
        </w:rPr>
        <w:t> </w:t>
      </w:r>
      <w:r>
        <w:rPr/>
        <w:t>mean score</w:t>
      </w:r>
      <w:r>
        <w:rPr>
          <w:spacing w:val="36"/>
        </w:rPr>
        <w:t> </w:t>
      </w:r>
      <w:r>
        <w:rPr/>
        <w:t>(M=</w:t>
      </w:r>
      <w:r>
        <w:rPr>
          <w:spacing w:val="36"/>
        </w:rPr>
        <w:t> </w:t>
      </w:r>
      <w:r>
        <w:rPr/>
        <w:t>3.99,</w:t>
      </w:r>
      <w:r>
        <w:rPr>
          <w:spacing w:val="37"/>
        </w:rPr>
        <w:t> </w:t>
      </w:r>
      <w:r>
        <w:rPr/>
        <w:t>S.D.</w:t>
      </w:r>
      <w:r>
        <w:rPr>
          <w:spacing w:val="36"/>
        </w:rPr>
        <w:t> </w:t>
      </w:r>
      <w:r>
        <w:rPr/>
        <w:t>=1.289)</w:t>
      </w:r>
      <w:r>
        <w:rPr>
          <w:spacing w:val="36"/>
        </w:rPr>
        <w:t> </w:t>
      </w:r>
      <w:r>
        <w:rPr/>
        <w:t>and</w:t>
      </w:r>
      <w:r>
        <w:rPr>
          <w:spacing w:val="37"/>
        </w:rPr>
        <w:t> </w:t>
      </w:r>
      <w:r>
        <w:rPr/>
        <w:t>lack</w:t>
      </w:r>
      <w:r>
        <w:rPr>
          <w:spacing w:val="37"/>
        </w:rPr>
        <w:t> </w:t>
      </w:r>
      <w:r>
        <w:rPr/>
        <w:t>of</w:t>
      </w:r>
      <w:r>
        <w:rPr>
          <w:spacing w:val="36"/>
        </w:rPr>
        <w:t> </w:t>
      </w:r>
      <w:r>
        <w:rPr/>
        <w:t>procedures</w:t>
      </w:r>
      <w:r>
        <w:rPr>
          <w:spacing w:val="37"/>
        </w:rPr>
        <w:t> </w:t>
      </w:r>
      <w:r>
        <w:rPr/>
        <w:t>for</w:t>
      </w:r>
      <w:r>
        <w:rPr>
          <w:spacing w:val="36"/>
        </w:rPr>
        <w:t> </w:t>
      </w:r>
      <w:r>
        <w:rPr/>
        <w:t>monitoring</w:t>
      </w:r>
      <w:r>
        <w:rPr>
          <w:spacing w:val="35"/>
        </w:rPr>
        <w:t> </w:t>
      </w:r>
      <w:r>
        <w:rPr/>
        <w:t>Quality</w:t>
      </w:r>
      <w:r>
        <w:rPr>
          <w:spacing w:val="33"/>
        </w:rPr>
        <w:t> </w:t>
      </w:r>
      <w:r>
        <w:rPr/>
        <w:t>(M=</w:t>
      </w:r>
      <w:r>
        <w:rPr>
          <w:spacing w:val="36"/>
        </w:rPr>
        <w:t> </w:t>
      </w:r>
      <w:r>
        <w:rPr/>
        <w:t>3.92,</w:t>
      </w:r>
      <w:r>
        <w:rPr>
          <w:spacing w:val="37"/>
        </w:rPr>
        <w:t> </w:t>
      </w:r>
      <w:r>
        <w:rPr>
          <w:spacing w:val="-4"/>
        </w:rPr>
        <w:t>S.D.</w:t>
      </w:r>
    </w:p>
    <w:p>
      <w:pPr>
        <w:spacing w:after="0" w:line="480" w:lineRule="auto"/>
        <w:jc w:val="both"/>
        <w:sectPr>
          <w:pgSz w:w="12240" w:h="15840"/>
          <w:pgMar w:header="0" w:footer="1017" w:top="1360" w:bottom="1200" w:left="1040" w:right="120"/>
        </w:sectPr>
      </w:pPr>
    </w:p>
    <w:p>
      <w:pPr>
        <w:pStyle w:val="BodyText"/>
        <w:spacing w:line="480" w:lineRule="auto" w:before="72"/>
        <w:ind w:left="400" w:right="1320"/>
        <w:jc w:val="both"/>
      </w:pPr>
      <w:r>
        <w:rPr/>
        <w:t>=1.240) while the threats include strong competition from the large firms and excessive corruption M= 3.98, S.D. =1.272) and lack of transparencies (M= 3.96, S.D. =1.20).</w:t>
      </w:r>
    </w:p>
    <w:p>
      <w:pPr>
        <w:pStyle w:val="BodyText"/>
      </w:pPr>
    </w:p>
    <w:p>
      <w:pPr>
        <w:pStyle w:val="BodyText"/>
      </w:pPr>
    </w:p>
    <w:p>
      <w:pPr>
        <w:pStyle w:val="BodyText"/>
        <w:spacing w:line="480" w:lineRule="auto"/>
        <w:ind w:left="399" w:right="1314"/>
        <w:jc w:val="both"/>
      </w:pPr>
      <w:r>
        <w:rPr/>
        <w:t>The result of this research also identified various critical success factors of total quality management. The one that has the highest rank is leadership and top management commitment. The commitment of leadership to the TQM strategy as shown in their daily disposition to work will go a long way in motivating employees to deliver quality services that exceeds the expectation of customers. Next is customer focus as such it is necessary for organization to maintain a close link with their customers in order to know their requirements and to measure how it has been successful in meeting up to customers’ requirements. This is followed by strategic planning. Small and medium scale construction firms in South-East Nigeria should take a critical look at the whole business, deciding which way the company will head, and what actions management will take, so that the firm will get there or rather achieve the set goals.</w:t>
      </w:r>
    </w:p>
    <w:p>
      <w:pPr>
        <w:pStyle w:val="BodyText"/>
      </w:pPr>
    </w:p>
    <w:p>
      <w:pPr>
        <w:pStyle w:val="BodyText"/>
      </w:pPr>
    </w:p>
    <w:p>
      <w:pPr>
        <w:pStyle w:val="BodyText"/>
        <w:spacing w:line="480" w:lineRule="auto"/>
        <w:ind w:left="400" w:right="1316"/>
        <w:jc w:val="both"/>
      </w:pPr>
      <w:r>
        <w:rPr/>
        <w:t>Furthermore, the results indicates that formal training is not a regular exercise done in the Small and medium scale construction firms in South-East Nigeria. Training programme should not be seen as a onetime event but a lifelong process. Through training, employees are able to identify improvement opportunities as it is directed at providing necessary skills and knowledge for all employees to be able to contribute to ongoing quality improvement process of production.</w:t>
      </w:r>
      <w:r>
        <w:rPr>
          <w:spacing w:val="40"/>
        </w:rPr>
        <w:t> </w:t>
      </w:r>
      <w:r>
        <w:rPr/>
        <w:t>It is argued to be a powerful building block of business in the achievement of its aims and objectives (Stahl, 1995 in Adediran and Adediran, 2008).</w:t>
      </w:r>
      <w:r>
        <w:rPr>
          <w:spacing w:val="40"/>
        </w:rPr>
        <w:t> </w:t>
      </w:r>
      <w:r>
        <w:rPr/>
        <w:t>The training can be through seminar or conferences which helps to keep abreast of current development.</w:t>
      </w:r>
    </w:p>
    <w:p>
      <w:pPr>
        <w:spacing w:after="0" w:line="480" w:lineRule="auto"/>
        <w:jc w:val="both"/>
        <w:sectPr>
          <w:pgSz w:w="12240" w:h="15840"/>
          <w:pgMar w:header="0" w:footer="1017" w:top="1360" w:bottom="1200" w:left="1040" w:right="120"/>
        </w:sectPr>
      </w:pPr>
    </w:p>
    <w:p>
      <w:pPr>
        <w:pStyle w:val="BodyText"/>
        <w:spacing w:line="480" w:lineRule="auto" w:before="72"/>
        <w:ind w:left="399" w:right="1318"/>
        <w:jc w:val="both"/>
      </w:pPr>
      <w:r>
        <w:rPr/>
        <w:t>The research findings further indicate that most of the prevalent challenges the firms encounter while implementing total quality management include Poor Capitalization, Poor Management strategies, time Consuming and lack of immediate results.</w:t>
      </w:r>
      <w:r>
        <w:rPr>
          <w:spacing w:val="40"/>
        </w:rPr>
        <w:t> </w:t>
      </w:r>
      <w:r>
        <w:rPr/>
        <w:t>In some firms they believe that it is wasting fund not knowing that the cost of quality is lower than failure of achieving quality in terms of rework, correcting errors, reacting to customer complaints, missing deadlines, and having deficient project budget due to poor management. Some of the firms are impatient to see the result that its implementation will bring. What they are after is their immediate gain. What they don’t know is that if client is satisfied with your output, the client will definitely patronize you again and may even recommend you to other clients.</w:t>
      </w:r>
    </w:p>
    <w:p>
      <w:pPr>
        <w:pStyle w:val="BodyText"/>
        <w:spacing w:line="480" w:lineRule="auto" w:before="158"/>
        <w:ind w:left="399" w:right="1315"/>
        <w:jc w:val="both"/>
      </w:pPr>
      <w:r>
        <w:rPr/>
        <w:t>The research findings showed that there is an increasing relationship between critical success factors and SMCFs’ strategies of the firms (correlation is a high positive correlation of 99.7%). This implies that as the CSFs are increasing, the strength and opportunities of small and medium construction firms will equally be increasing. Finally another finding indicated that there is a significant relationship between application of Total Quality Management and competitive Advantage (Price, Market Shares and Quality Services) This finding clearly supports what Dale </w:t>
      </w:r>
      <w:r>
        <w:rPr>
          <w:i/>
        </w:rPr>
        <w:t>et al</w:t>
      </w:r>
      <w:r>
        <w:rPr/>
        <w:t>. (2001) stated that adoption of TQM has become widespread among organizations during the last decades as it has been recognized as a major source of competitive advantage and long term profitability.</w:t>
      </w:r>
    </w:p>
    <w:p>
      <w:pPr>
        <w:pStyle w:val="BodyText"/>
        <w:spacing w:before="6"/>
      </w:pPr>
    </w:p>
    <w:p>
      <w:pPr>
        <w:pStyle w:val="Heading2"/>
        <w:numPr>
          <w:ilvl w:val="1"/>
          <w:numId w:val="56"/>
        </w:numPr>
        <w:tabs>
          <w:tab w:pos="1120" w:val="left" w:leader="none"/>
        </w:tabs>
        <w:spacing w:line="240" w:lineRule="auto" w:before="0" w:after="0"/>
        <w:ind w:left="1120" w:right="0" w:hanging="720"/>
        <w:jc w:val="both"/>
      </w:pPr>
      <w:r>
        <w:rPr>
          <w:spacing w:val="-2"/>
        </w:rPr>
        <w:t>Conclusion</w:t>
      </w:r>
    </w:p>
    <w:p>
      <w:pPr>
        <w:pStyle w:val="BodyText"/>
        <w:spacing w:line="480" w:lineRule="auto" w:before="271"/>
        <w:ind w:left="400" w:right="1317"/>
        <w:jc w:val="both"/>
      </w:pPr>
      <w:r>
        <w:rPr/>
        <w:t>TQM has shown that it is a strategic tool for an organization to employ in the quest to remain competitive as such must be taken serious. If adequately deployed, the principle brings about added value to an organization in terms of efficiency in operation, employee satisfaction, customer</w:t>
      </w:r>
      <w:r>
        <w:rPr>
          <w:spacing w:val="21"/>
        </w:rPr>
        <w:t> </w:t>
      </w:r>
      <w:r>
        <w:rPr/>
        <w:t>satisfaction,</w:t>
      </w:r>
      <w:r>
        <w:rPr>
          <w:spacing w:val="25"/>
        </w:rPr>
        <w:t> </w:t>
      </w:r>
      <w:r>
        <w:rPr/>
        <w:t>and</w:t>
      </w:r>
      <w:r>
        <w:rPr>
          <w:spacing w:val="25"/>
        </w:rPr>
        <w:t> </w:t>
      </w:r>
      <w:r>
        <w:rPr/>
        <w:t>even</w:t>
      </w:r>
      <w:r>
        <w:rPr>
          <w:spacing w:val="25"/>
        </w:rPr>
        <w:t> </w:t>
      </w:r>
      <w:r>
        <w:rPr/>
        <w:t>profitability.</w:t>
      </w:r>
      <w:r>
        <w:rPr>
          <w:spacing w:val="25"/>
        </w:rPr>
        <w:t> </w:t>
      </w:r>
      <w:r>
        <w:rPr/>
        <w:t>The</w:t>
      </w:r>
      <w:r>
        <w:rPr>
          <w:spacing w:val="26"/>
        </w:rPr>
        <w:t> </w:t>
      </w:r>
      <w:r>
        <w:rPr/>
        <w:t>finding</w:t>
      </w:r>
      <w:r>
        <w:rPr>
          <w:spacing w:val="25"/>
        </w:rPr>
        <w:t> </w:t>
      </w:r>
      <w:r>
        <w:rPr/>
        <w:t>also</w:t>
      </w:r>
      <w:r>
        <w:rPr>
          <w:spacing w:val="25"/>
        </w:rPr>
        <w:t> </w:t>
      </w:r>
      <w:r>
        <w:rPr/>
        <w:t>revealed</w:t>
      </w:r>
      <w:r>
        <w:rPr>
          <w:spacing w:val="25"/>
        </w:rPr>
        <w:t> </w:t>
      </w:r>
      <w:r>
        <w:rPr/>
        <w:t>that</w:t>
      </w:r>
      <w:r>
        <w:rPr>
          <w:spacing w:val="25"/>
        </w:rPr>
        <w:t> </w:t>
      </w:r>
      <w:r>
        <w:rPr/>
        <w:t>small</w:t>
      </w:r>
      <w:r>
        <w:rPr>
          <w:spacing w:val="25"/>
        </w:rPr>
        <w:t> </w:t>
      </w:r>
      <w:r>
        <w:rPr/>
        <w:t>and</w:t>
      </w:r>
      <w:r>
        <w:rPr>
          <w:spacing w:val="25"/>
        </w:rPr>
        <w:t> </w:t>
      </w:r>
      <w:r>
        <w:rPr>
          <w:spacing w:val="-2"/>
        </w:rPr>
        <w:t>medium</w:t>
      </w:r>
    </w:p>
    <w:p>
      <w:pPr>
        <w:spacing w:after="0" w:line="480" w:lineRule="auto"/>
        <w:jc w:val="both"/>
        <w:sectPr>
          <w:pgSz w:w="12240" w:h="15840"/>
          <w:pgMar w:header="0" w:footer="1017" w:top="1360" w:bottom="1200" w:left="1040" w:right="120"/>
        </w:sectPr>
      </w:pPr>
    </w:p>
    <w:p>
      <w:pPr>
        <w:pStyle w:val="BodyText"/>
        <w:spacing w:line="480" w:lineRule="auto" w:before="72"/>
        <w:ind w:left="400" w:right="1318"/>
        <w:jc w:val="both"/>
      </w:pPr>
      <w:r>
        <w:rPr/>
        <w:t>scale construction firms in South-East Nigeria are still lacking behind in TQM implementation. Small and medium construction firms intending to implement TQM, need an approach better tailored for the small organisation context, and focused on changing process.</w:t>
      </w:r>
    </w:p>
    <w:p>
      <w:pPr>
        <w:pStyle w:val="BodyText"/>
      </w:pPr>
    </w:p>
    <w:p>
      <w:pPr>
        <w:pStyle w:val="BodyText"/>
      </w:pPr>
    </w:p>
    <w:p>
      <w:pPr>
        <w:pStyle w:val="BodyText"/>
        <w:spacing w:line="480" w:lineRule="auto"/>
        <w:ind w:left="400" w:right="1314"/>
        <w:jc w:val="both"/>
      </w:pPr>
      <w:r>
        <w:rPr/>
        <w:t>The idea behind the implementation of TQM is to ensure that adequate attention is given to quality so as to give room for an error free transactional process and less room for customer complaints while maximizing customer satisfaction. The synergy</w:t>
      </w:r>
      <w:r>
        <w:rPr>
          <w:spacing w:val="-1"/>
        </w:rPr>
        <w:t> </w:t>
      </w:r>
      <w:r>
        <w:rPr/>
        <w:t>among the TQM factors brings about exceptional or crucial improvements in the firm performances.</w:t>
      </w:r>
      <w:r>
        <w:rPr>
          <w:spacing w:val="40"/>
        </w:rPr>
        <w:t> </w:t>
      </w:r>
      <w:r>
        <w:rPr/>
        <w:t>In addition, their strengths and opportunities are increased by implementation of total quality management while their weakness and threats are reduced. This shows that correct implementation of total quality management improves a firm generally. It is proven that satisfied customers continue to</w:t>
      </w:r>
      <w:r>
        <w:rPr>
          <w:spacing w:val="40"/>
        </w:rPr>
        <w:t> </w:t>
      </w:r>
      <w:r>
        <w:rPr/>
        <w:t>patronize based on the trust built over time and are more willing to recommend quality</w:t>
      </w:r>
      <w:r>
        <w:rPr>
          <w:spacing w:val="-4"/>
        </w:rPr>
        <w:t> </w:t>
      </w:r>
      <w:r>
        <w:rPr/>
        <w:t>service to others as shown in this research.</w:t>
      </w:r>
    </w:p>
    <w:p>
      <w:pPr>
        <w:pStyle w:val="BodyText"/>
        <w:spacing w:line="480" w:lineRule="auto" w:before="159"/>
        <w:ind w:left="399" w:right="1316"/>
        <w:jc w:val="both"/>
      </w:pPr>
      <w:r>
        <w:rPr/>
        <w:t>Effective</w:t>
      </w:r>
      <w:r>
        <w:rPr>
          <w:spacing w:val="40"/>
        </w:rPr>
        <w:t> </w:t>
      </w:r>
      <w:r>
        <w:rPr/>
        <w:t>implementation demands</w:t>
      </w:r>
      <w:r>
        <w:rPr>
          <w:spacing w:val="40"/>
        </w:rPr>
        <w:t> </w:t>
      </w:r>
      <w:r>
        <w:rPr/>
        <w:t>that</w:t>
      </w:r>
      <w:r>
        <w:rPr>
          <w:spacing w:val="40"/>
        </w:rPr>
        <w:t> </w:t>
      </w:r>
      <w:r>
        <w:rPr/>
        <w:t>management</w:t>
      </w:r>
      <w:r>
        <w:rPr>
          <w:spacing w:val="40"/>
        </w:rPr>
        <w:t> </w:t>
      </w:r>
      <w:r>
        <w:rPr/>
        <w:t>must</w:t>
      </w:r>
      <w:r>
        <w:rPr>
          <w:spacing w:val="40"/>
        </w:rPr>
        <w:t> </w:t>
      </w:r>
      <w:r>
        <w:rPr/>
        <w:t>show</w:t>
      </w:r>
      <w:r>
        <w:rPr>
          <w:spacing w:val="40"/>
        </w:rPr>
        <w:t> </w:t>
      </w:r>
      <w:r>
        <w:rPr/>
        <w:t>sustained</w:t>
      </w:r>
      <w:r>
        <w:rPr>
          <w:spacing w:val="40"/>
        </w:rPr>
        <w:t> </w:t>
      </w:r>
      <w:r>
        <w:rPr/>
        <w:t>commitment</w:t>
      </w:r>
      <w:r>
        <w:rPr>
          <w:spacing w:val="40"/>
        </w:rPr>
        <w:t> </w:t>
      </w:r>
      <w:r>
        <w:rPr/>
        <w:t>to TQM</w:t>
      </w:r>
      <w:r>
        <w:rPr>
          <w:spacing w:val="80"/>
        </w:rPr>
        <w:t> </w:t>
      </w:r>
      <w:r>
        <w:rPr/>
        <w:t>and</w:t>
      </w:r>
      <w:r>
        <w:rPr>
          <w:spacing w:val="80"/>
        </w:rPr>
        <w:t> </w:t>
      </w:r>
      <w:r>
        <w:rPr/>
        <w:t>provide</w:t>
      </w:r>
      <w:r>
        <w:rPr>
          <w:spacing w:val="80"/>
        </w:rPr>
        <w:t> </w:t>
      </w:r>
      <w:r>
        <w:rPr/>
        <w:t>suitable</w:t>
      </w:r>
      <w:r>
        <w:rPr>
          <w:spacing w:val="80"/>
        </w:rPr>
        <w:t> </w:t>
      </w:r>
      <w:r>
        <w:rPr/>
        <w:t>working environment that will promote the</w:t>
      </w:r>
      <w:r>
        <w:rPr>
          <w:spacing w:val="80"/>
        </w:rPr>
        <w:t> </w:t>
      </w:r>
      <w:r>
        <w:rPr/>
        <w:t>desirable organizational culture. Adequate employee empowerment and well-coordinated teamwork and through constant training and retraining of employees are other critical elements that will ensure that quality of</w:t>
      </w:r>
      <w:r>
        <w:rPr>
          <w:spacing w:val="40"/>
        </w:rPr>
        <w:t> </w:t>
      </w:r>
      <w:r>
        <w:rPr/>
        <w:t>customer -focused goods and services are continuously improved to meet the needs of present and future</w:t>
      </w:r>
      <w:r>
        <w:rPr>
          <w:spacing w:val="40"/>
        </w:rPr>
        <w:t> </w:t>
      </w:r>
      <w:r>
        <w:rPr/>
        <w:t>customers. Full implementation of TQM</w:t>
      </w:r>
      <w:r>
        <w:rPr>
          <w:spacing w:val="40"/>
        </w:rPr>
        <w:t> </w:t>
      </w:r>
      <w:r>
        <w:rPr/>
        <w:t>will</w:t>
      </w:r>
      <w:r>
        <w:rPr>
          <w:spacing w:val="40"/>
        </w:rPr>
        <w:t> </w:t>
      </w:r>
      <w:r>
        <w:rPr/>
        <w:t>ensure</w:t>
      </w:r>
      <w:r>
        <w:rPr>
          <w:spacing w:val="40"/>
        </w:rPr>
        <w:t> </w:t>
      </w:r>
      <w:r>
        <w:rPr/>
        <w:t>sustained profitability and increase the organization’s asset base and market share, thereby averting corporate failure.</w:t>
      </w:r>
    </w:p>
    <w:p>
      <w:pPr>
        <w:pStyle w:val="BodyText"/>
        <w:spacing w:line="480" w:lineRule="auto" w:before="161"/>
        <w:ind w:left="399" w:right="1314"/>
        <w:jc w:val="both"/>
      </w:pPr>
      <w:r>
        <w:rPr/>
        <w:t>Conclusively,</w:t>
      </w:r>
      <w:r>
        <w:rPr>
          <w:spacing w:val="40"/>
        </w:rPr>
        <w:t> </w:t>
      </w:r>
      <w:r>
        <w:rPr/>
        <w:t>there</w:t>
      </w:r>
      <w:r>
        <w:rPr>
          <w:spacing w:val="40"/>
        </w:rPr>
        <w:t> </w:t>
      </w:r>
      <w:r>
        <w:rPr/>
        <w:t>is</w:t>
      </w:r>
      <w:r>
        <w:rPr>
          <w:spacing w:val="40"/>
        </w:rPr>
        <w:t> </w:t>
      </w:r>
      <w:r>
        <w:rPr/>
        <w:t>need therefore,</w:t>
      </w:r>
      <w:r>
        <w:rPr>
          <w:spacing w:val="40"/>
        </w:rPr>
        <w:t> </w:t>
      </w:r>
      <w:r>
        <w:rPr/>
        <w:t>to</w:t>
      </w:r>
      <w:r>
        <w:rPr>
          <w:spacing w:val="40"/>
        </w:rPr>
        <w:t> </w:t>
      </w:r>
      <w:r>
        <w:rPr/>
        <w:t>bear</w:t>
      </w:r>
      <w:r>
        <w:rPr>
          <w:spacing w:val="40"/>
        </w:rPr>
        <w:t> </w:t>
      </w:r>
      <w:r>
        <w:rPr/>
        <w:t>in</w:t>
      </w:r>
      <w:r>
        <w:rPr>
          <w:spacing w:val="40"/>
        </w:rPr>
        <w:t> </w:t>
      </w:r>
      <w:r>
        <w:rPr/>
        <w:t>mind</w:t>
      </w:r>
      <w:r>
        <w:rPr>
          <w:spacing w:val="40"/>
        </w:rPr>
        <w:t> </w:t>
      </w:r>
      <w:r>
        <w:rPr/>
        <w:t>that,</w:t>
      </w:r>
      <w:r>
        <w:rPr>
          <w:spacing w:val="40"/>
        </w:rPr>
        <w:t> </w:t>
      </w:r>
      <w:r>
        <w:rPr/>
        <w:t>it</w:t>
      </w:r>
      <w:r>
        <w:rPr>
          <w:spacing w:val="40"/>
        </w:rPr>
        <w:t> </w:t>
      </w:r>
      <w:r>
        <w:rPr/>
        <w:t>is virtually</w:t>
      </w:r>
      <w:r>
        <w:rPr>
          <w:spacing w:val="-5"/>
        </w:rPr>
        <w:t> </w:t>
      </w:r>
      <w:r>
        <w:rPr/>
        <w:t>impossible</w:t>
      </w:r>
      <w:r>
        <w:rPr>
          <w:spacing w:val="-1"/>
        </w:rPr>
        <w:t> </w:t>
      </w:r>
      <w:r>
        <w:rPr/>
        <w:t>for</w:t>
      </w:r>
      <w:r>
        <w:rPr>
          <w:spacing w:val="-1"/>
        </w:rPr>
        <w:t> </w:t>
      </w:r>
      <w:r>
        <w:rPr/>
        <w:t>any small</w:t>
      </w:r>
      <w:r>
        <w:rPr>
          <w:spacing w:val="25"/>
        </w:rPr>
        <w:t> </w:t>
      </w:r>
      <w:r>
        <w:rPr/>
        <w:t>and</w:t>
      </w:r>
      <w:r>
        <w:rPr>
          <w:spacing w:val="25"/>
        </w:rPr>
        <w:t> </w:t>
      </w:r>
      <w:r>
        <w:rPr/>
        <w:t>medium</w:t>
      </w:r>
      <w:r>
        <w:rPr>
          <w:spacing w:val="26"/>
        </w:rPr>
        <w:t> </w:t>
      </w:r>
      <w:r>
        <w:rPr/>
        <w:t>scale</w:t>
      </w:r>
      <w:r>
        <w:rPr>
          <w:spacing w:val="27"/>
        </w:rPr>
        <w:t> </w:t>
      </w:r>
      <w:r>
        <w:rPr/>
        <w:t>construction</w:t>
      </w:r>
      <w:r>
        <w:rPr>
          <w:spacing w:val="25"/>
        </w:rPr>
        <w:t> </w:t>
      </w:r>
      <w:r>
        <w:rPr/>
        <w:t>firm</w:t>
      </w:r>
      <w:r>
        <w:rPr>
          <w:spacing w:val="26"/>
        </w:rPr>
        <w:t>  </w:t>
      </w:r>
      <w:r>
        <w:rPr/>
        <w:t>to</w:t>
      </w:r>
      <w:r>
        <w:rPr>
          <w:spacing w:val="27"/>
        </w:rPr>
        <w:t>  </w:t>
      </w:r>
      <w:r>
        <w:rPr/>
        <w:t>reap</w:t>
      </w:r>
      <w:r>
        <w:rPr>
          <w:spacing w:val="25"/>
        </w:rPr>
        <w:t>  </w:t>
      </w:r>
      <w:r>
        <w:rPr/>
        <w:t>the</w:t>
      </w:r>
      <w:r>
        <w:rPr>
          <w:spacing w:val="26"/>
        </w:rPr>
        <w:t>  </w:t>
      </w:r>
      <w:r>
        <w:rPr/>
        <w:t>numerous</w:t>
      </w:r>
      <w:r>
        <w:rPr>
          <w:spacing w:val="26"/>
        </w:rPr>
        <w:t> </w:t>
      </w:r>
      <w:r>
        <w:rPr/>
        <w:t>benefits</w:t>
      </w:r>
      <w:r>
        <w:rPr>
          <w:spacing w:val="26"/>
        </w:rPr>
        <w:t>  </w:t>
      </w:r>
      <w:r>
        <w:rPr/>
        <w:t>of</w:t>
      </w:r>
      <w:r>
        <w:rPr>
          <w:spacing w:val="25"/>
        </w:rPr>
        <w:t>  </w:t>
      </w:r>
      <w:r>
        <w:rPr/>
        <w:t>total</w:t>
      </w:r>
      <w:r>
        <w:rPr>
          <w:spacing w:val="26"/>
        </w:rPr>
        <w:t>  </w:t>
      </w:r>
      <w:r>
        <w:rPr>
          <w:spacing w:val="-2"/>
        </w:rPr>
        <w:t>quality</w:t>
      </w:r>
    </w:p>
    <w:p>
      <w:pPr>
        <w:spacing w:after="0" w:line="480" w:lineRule="auto"/>
        <w:jc w:val="both"/>
        <w:sectPr>
          <w:pgSz w:w="12240" w:h="15840"/>
          <w:pgMar w:header="0" w:footer="1017" w:top="1360" w:bottom="1200" w:left="1040" w:right="120"/>
        </w:sectPr>
      </w:pPr>
    </w:p>
    <w:p>
      <w:pPr>
        <w:pStyle w:val="BodyText"/>
        <w:spacing w:line="480" w:lineRule="auto" w:before="72"/>
        <w:ind w:left="399" w:right="1316"/>
        <w:jc w:val="both"/>
      </w:pPr>
      <w:r>
        <w:rPr/>
        <w:t>management, except the entire firm embraces a guide to total quality management implementation</w:t>
      </w:r>
      <w:r>
        <w:rPr>
          <w:spacing w:val="40"/>
        </w:rPr>
        <w:t> </w:t>
      </w:r>
      <w:r>
        <w:rPr/>
        <w:t>and</w:t>
      </w:r>
      <w:r>
        <w:rPr>
          <w:spacing w:val="40"/>
        </w:rPr>
        <w:t> </w:t>
      </w:r>
      <w:r>
        <w:rPr/>
        <w:t>are committed to making it</w:t>
      </w:r>
      <w:r>
        <w:rPr>
          <w:spacing w:val="40"/>
        </w:rPr>
        <w:t> </w:t>
      </w:r>
      <w:r>
        <w:rPr/>
        <w:t>work. It is expected that the results of this research will adopt a holistic model for efficient implementation of total quality management among small and medium construction firms in South–East Nigeria in other to achieve competitive advantage. The model should however be applied with caution since it is purely conceptual or hypothetical and has not yet been validated.</w:t>
      </w:r>
    </w:p>
    <w:p>
      <w:pPr>
        <w:pStyle w:val="BodyText"/>
        <w:spacing w:line="480" w:lineRule="auto" w:before="161"/>
        <w:ind w:left="399" w:right="1314"/>
        <w:jc w:val="both"/>
      </w:pPr>
      <w:r>
        <w:rPr/>
        <w:t>It is expected that the results of this research will assist in re-engineering and restructuring small and medium scale construction firms in South-East Nigeria to be able to have confidence and compete favourably</w:t>
      </w:r>
      <w:r>
        <w:rPr>
          <w:spacing w:val="-2"/>
        </w:rPr>
        <w:t> </w:t>
      </w:r>
      <w:r>
        <w:rPr/>
        <w:t>with their counter parts in other regions and the research will also contribute in no small way in increasing the quality level of construction projects that are executed in</w:t>
      </w:r>
      <w:r>
        <w:rPr>
          <w:spacing w:val="40"/>
        </w:rPr>
        <w:t> </w:t>
      </w:r>
      <w:r>
        <w:rPr/>
        <w:t>South-East of Nigeria.</w:t>
      </w:r>
    </w:p>
    <w:p>
      <w:pPr>
        <w:pStyle w:val="Heading2"/>
        <w:numPr>
          <w:ilvl w:val="1"/>
          <w:numId w:val="56"/>
        </w:numPr>
        <w:tabs>
          <w:tab w:pos="1120" w:val="left" w:leader="none"/>
        </w:tabs>
        <w:spacing w:line="240" w:lineRule="auto" w:before="187" w:after="0"/>
        <w:ind w:left="1120" w:right="0" w:hanging="720"/>
        <w:jc w:val="both"/>
      </w:pPr>
      <w:r>
        <w:rPr>
          <w:spacing w:val="-2"/>
        </w:rPr>
        <w:t>Recommendation</w:t>
      </w:r>
    </w:p>
    <w:p>
      <w:pPr>
        <w:pStyle w:val="BodyText"/>
        <w:spacing w:line="480" w:lineRule="auto" w:before="271"/>
        <w:ind w:left="399" w:right="1317"/>
        <w:jc w:val="both"/>
      </w:pPr>
      <w:r>
        <w:rPr/>
        <w:t>Based on the findings of the research, the following recommendations are made as effective, efficient and sustainable ways of improving and implementing total quality management in service delivery by small and medium scale construction firms in South-East Nigeria.</w:t>
      </w:r>
    </w:p>
    <w:p>
      <w:pPr>
        <w:pStyle w:val="ListParagraph"/>
        <w:numPr>
          <w:ilvl w:val="2"/>
          <w:numId w:val="56"/>
        </w:numPr>
        <w:tabs>
          <w:tab w:pos="1118" w:val="left" w:leader="none"/>
          <w:tab w:pos="1120" w:val="left" w:leader="none"/>
        </w:tabs>
        <w:spacing w:line="480" w:lineRule="auto" w:before="161" w:after="0"/>
        <w:ind w:left="1120" w:right="1318" w:hanging="360"/>
        <w:jc w:val="both"/>
        <w:rPr>
          <w:sz w:val="24"/>
        </w:rPr>
      </w:pPr>
      <w:r>
        <w:rPr>
          <w:sz w:val="24"/>
        </w:rPr>
        <w:t>Small and medium construction firms need a cultural change which cannot be achieved without changes to norms, beliefs and values. Change should not be immediate or of excessive concern, and the focus has to be upon changing the organisational core</w:t>
      </w:r>
      <w:r>
        <w:rPr>
          <w:spacing w:val="40"/>
          <w:sz w:val="24"/>
        </w:rPr>
        <w:t> </w:t>
      </w:r>
      <w:r>
        <w:rPr>
          <w:sz w:val="24"/>
        </w:rPr>
        <w:t>strategic issues. Otherwise that will cause an extreme variation in organisational </w:t>
      </w:r>
      <w:r>
        <w:rPr>
          <w:spacing w:val="-2"/>
          <w:sz w:val="24"/>
        </w:rPr>
        <w:t>performance.</w:t>
      </w:r>
    </w:p>
    <w:p>
      <w:pPr>
        <w:pStyle w:val="ListParagraph"/>
        <w:numPr>
          <w:ilvl w:val="2"/>
          <w:numId w:val="56"/>
        </w:numPr>
        <w:tabs>
          <w:tab w:pos="1117" w:val="left" w:leader="none"/>
          <w:tab w:pos="1119" w:val="left" w:leader="none"/>
        </w:tabs>
        <w:spacing w:line="480" w:lineRule="auto" w:before="121" w:after="0"/>
        <w:ind w:left="1119" w:right="1320" w:hanging="360"/>
        <w:jc w:val="both"/>
        <w:rPr>
          <w:sz w:val="24"/>
        </w:rPr>
      </w:pPr>
      <w:r>
        <w:rPr>
          <w:sz w:val="24"/>
        </w:rPr>
        <w:t>Small and medium scale construction firms should embrace a degree of transformational change</w:t>
      </w:r>
      <w:r>
        <w:rPr>
          <w:spacing w:val="40"/>
          <w:sz w:val="24"/>
        </w:rPr>
        <w:t> </w:t>
      </w:r>
      <w:r>
        <w:rPr>
          <w:sz w:val="24"/>
        </w:rPr>
        <w:t>by</w:t>
      </w:r>
      <w:r>
        <w:rPr>
          <w:spacing w:val="40"/>
          <w:sz w:val="24"/>
        </w:rPr>
        <w:t> </w:t>
      </w:r>
      <w:r>
        <w:rPr>
          <w:sz w:val="24"/>
        </w:rPr>
        <w:t>adopting</w:t>
      </w:r>
      <w:r>
        <w:rPr>
          <w:spacing w:val="40"/>
          <w:sz w:val="24"/>
        </w:rPr>
        <w:t> </w:t>
      </w:r>
      <w:r>
        <w:rPr>
          <w:sz w:val="24"/>
        </w:rPr>
        <w:t>a</w:t>
      </w:r>
      <w:r>
        <w:rPr>
          <w:spacing w:val="40"/>
          <w:sz w:val="24"/>
        </w:rPr>
        <w:t> </w:t>
      </w:r>
      <w:r>
        <w:rPr>
          <w:sz w:val="24"/>
        </w:rPr>
        <w:t>customer</w:t>
      </w:r>
      <w:r>
        <w:rPr>
          <w:spacing w:val="40"/>
          <w:sz w:val="24"/>
        </w:rPr>
        <w:t> </w:t>
      </w:r>
      <w:r>
        <w:rPr>
          <w:sz w:val="24"/>
        </w:rPr>
        <w:t>focus</w:t>
      </w:r>
      <w:r>
        <w:rPr>
          <w:spacing w:val="40"/>
          <w:sz w:val="24"/>
        </w:rPr>
        <w:t> </w:t>
      </w:r>
      <w:r>
        <w:rPr>
          <w:sz w:val="24"/>
        </w:rPr>
        <w:t>strategy</w:t>
      </w:r>
      <w:r>
        <w:rPr>
          <w:spacing w:val="40"/>
          <w:sz w:val="24"/>
        </w:rPr>
        <w:t> </w:t>
      </w:r>
      <w:r>
        <w:rPr>
          <w:sz w:val="24"/>
        </w:rPr>
        <w:t>instead</w:t>
      </w:r>
      <w:r>
        <w:rPr>
          <w:spacing w:val="40"/>
          <w:sz w:val="24"/>
        </w:rPr>
        <w:t> </w:t>
      </w:r>
      <w:r>
        <w:rPr>
          <w:sz w:val="24"/>
        </w:rPr>
        <w:t>of</w:t>
      </w:r>
      <w:r>
        <w:rPr>
          <w:spacing w:val="40"/>
          <w:sz w:val="24"/>
        </w:rPr>
        <w:t> </w:t>
      </w:r>
      <w:r>
        <w:rPr>
          <w:sz w:val="24"/>
        </w:rPr>
        <w:t>a</w:t>
      </w:r>
      <w:r>
        <w:rPr>
          <w:spacing w:val="40"/>
          <w:sz w:val="24"/>
        </w:rPr>
        <w:t> </w:t>
      </w:r>
      <w:r>
        <w:rPr>
          <w:sz w:val="24"/>
        </w:rPr>
        <w:t>price</w:t>
      </w:r>
      <w:r>
        <w:rPr>
          <w:spacing w:val="40"/>
          <w:sz w:val="24"/>
        </w:rPr>
        <w:t> </w:t>
      </w:r>
      <w:r>
        <w:rPr>
          <w:sz w:val="24"/>
        </w:rPr>
        <w:t>focus</w:t>
      </w:r>
      <w:r>
        <w:rPr>
          <w:spacing w:val="40"/>
          <w:sz w:val="24"/>
        </w:rPr>
        <w:t> </w:t>
      </w:r>
      <w:r>
        <w:rPr>
          <w:sz w:val="24"/>
        </w:rPr>
        <w:t>strategy.</w:t>
      </w:r>
      <w:r>
        <w:rPr>
          <w:spacing w:val="40"/>
          <w:sz w:val="24"/>
        </w:rPr>
        <w:t> </w:t>
      </w:r>
      <w:r>
        <w:rPr>
          <w:sz w:val="24"/>
        </w:rPr>
        <w:t>The</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7"/>
        <w:jc w:val="both"/>
      </w:pPr>
      <w:r>
        <w:rPr/>
        <w:t>change should be driven by shifts in organisational strategy and redefining the organisational mission and core-values.</w:t>
      </w:r>
    </w:p>
    <w:p>
      <w:pPr>
        <w:pStyle w:val="ListParagraph"/>
        <w:numPr>
          <w:ilvl w:val="2"/>
          <w:numId w:val="56"/>
        </w:numPr>
        <w:tabs>
          <w:tab w:pos="1118" w:val="left" w:leader="none"/>
          <w:tab w:pos="1120" w:val="left" w:leader="none"/>
        </w:tabs>
        <w:spacing w:line="480" w:lineRule="auto" w:before="120" w:after="0"/>
        <w:ind w:left="1120" w:right="1316" w:hanging="360"/>
        <w:jc w:val="both"/>
        <w:rPr>
          <w:sz w:val="24"/>
        </w:rPr>
      </w:pPr>
      <w:r>
        <w:rPr>
          <w:sz w:val="24"/>
        </w:rPr>
        <w:t>Understanding</w:t>
      </w:r>
      <w:r>
        <w:rPr>
          <w:spacing w:val="40"/>
          <w:sz w:val="24"/>
        </w:rPr>
        <w:t> </w:t>
      </w:r>
      <w:r>
        <w:rPr>
          <w:sz w:val="24"/>
        </w:rPr>
        <w:t>the</w:t>
      </w:r>
      <w:r>
        <w:rPr>
          <w:spacing w:val="40"/>
          <w:sz w:val="24"/>
        </w:rPr>
        <w:t> </w:t>
      </w:r>
      <w:r>
        <w:rPr>
          <w:sz w:val="24"/>
        </w:rPr>
        <w:t>concept</w:t>
      </w:r>
      <w:r>
        <w:rPr>
          <w:spacing w:val="40"/>
          <w:sz w:val="24"/>
        </w:rPr>
        <w:t> </w:t>
      </w:r>
      <w:r>
        <w:rPr>
          <w:sz w:val="24"/>
        </w:rPr>
        <w:t>of</w:t>
      </w:r>
      <w:r>
        <w:rPr>
          <w:spacing w:val="40"/>
          <w:sz w:val="24"/>
        </w:rPr>
        <w:t> </w:t>
      </w:r>
      <w:r>
        <w:rPr>
          <w:sz w:val="24"/>
        </w:rPr>
        <w:t>quality</w:t>
      </w:r>
      <w:r>
        <w:rPr>
          <w:spacing w:val="40"/>
          <w:sz w:val="24"/>
        </w:rPr>
        <w:t> </w:t>
      </w:r>
      <w:r>
        <w:rPr>
          <w:sz w:val="24"/>
        </w:rPr>
        <w:t>is</w:t>
      </w:r>
      <w:r>
        <w:rPr>
          <w:spacing w:val="40"/>
          <w:sz w:val="24"/>
        </w:rPr>
        <w:t> </w:t>
      </w:r>
      <w:r>
        <w:rPr>
          <w:sz w:val="24"/>
        </w:rPr>
        <w:t>not</w:t>
      </w:r>
      <w:r>
        <w:rPr>
          <w:spacing w:val="40"/>
          <w:sz w:val="24"/>
        </w:rPr>
        <w:t> </w:t>
      </w:r>
      <w:r>
        <w:rPr>
          <w:sz w:val="24"/>
        </w:rPr>
        <w:t>enough</w:t>
      </w:r>
      <w:r>
        <w:rPr>
          <w:spacing w:val="40"/>
          <w:sz w:val="24"/>
        </w:rPr>
        <w:t> </w:t>
      </w:r>
      <w:r>
        <w:rPr>
          <w:sz w:val="24"/>
        </w:rPr>
        <w:t>for</w:t>
      </w:r>
      <w:r>
        <w:rPr>
          <w:spacing w:val="40"/>
          <w:sz w:val="24"/>
        </w:rPr>
        <w:t> </w:t>
      </w:r>
      <w:r>
        <w:rPr>
          <w:sz w:val="24"/>
        </w:rPr>
        <w:t>meeting</w:t>
      </w:r>
      <w:r>
        <w:rPr>
          <w:spacing w:val="40"/>
          <w:sz w:val="24"/>
        </w:rPr>
        <w:t> </w:t>
      </w:r>
      <w:r>
        <w:rPr>
          <w:sz w:val="24"/>
        </w:rPr>
        <w:t>customer requirements. Therefore, it is</w:t>
      </w:r>
      <w:r>
        <w:rPr>
          <w:spacing w:val="-1"/>
          <w:sz w:val="24"/>
        </w:rPr>
        <w:t> </w:t>
      </w:r>
      <w:r>
        <w:rPr>
          <w:sz w:val="24"/>
        </w:rPr>
        <w:t>important that the client’s construction company</w:t>
      </w:r>
      <w:r>
        <w:rPr>
          <w:spacing w:val="-2"/>
          <w:sz w:val="24"/>
        </w:rPr>
        <w:t> </w:t>
      </w:r>
      <w:r>
        <w:rPr>
          <w:sz w:val="24"/>
        </w:rPr>
        <w:t>should focus so as to understand their processes and end results which can be</w:t>
      </w:r>
      <w:r>
        <w:rPr>
          <w:spacing w:val="-1"/>
          <w:sz w:val="24"/>
        </w:rPr>
        <w:t> </w:t>
      </w:r>
      <w:r>
        <w:rPr>
          <w:sz w:val="24"/>
        </w:rPr>
        <w:t>achieved by creating systematic processes for their activities</w:t>
      </w:r>
      <w:r>
        <w:rPr>
          <w:spacing w:val="40"/>
          <w:sz w:val="24"/>
        </w:rPr>
        <w:t> </w:t>
      </w:r>
      <w:r>
        <w:rPr>
          <w:sz w:val="24"/>
        </w:rPr>
        <w:t>that</w:t>
      </w:r>
      <w:r>
        <w:rPr>
          <w:spacing w:val="40"/>
          <w:sz w:val="24"/>
        </w:rPr>
        <w:t> </w:t>
      </w:r>
      <w:r>
        <w:rPr>
          <w:sz w:val="24"/>
        </w:rPr>
        <w:t>in turn facilitates achieving the quality that meets customer’s requirements.</w:t>
      </w:r>
    </w:p>
    <w:p>
      <w:pPr>
        <w:pStyle w:val="ListParagraph"/>
        <w:numPr>
          <w:ilvl w:val="2"/>
          <w:numId w:val="56"/>
        </w:numPr>
        <w:tabs>
          <w:tab w:pos="1118" w:val="left" w:leader="none"/>
          <w:tab w:pos="1120" w:val="left" w:leader="none"/>
        </w:tabs>
        <w:spacing w:line="480" w:lineRule="auto" w:before="120" w:after="0"/>
        <w:ind w:left="1120" w:right="1315" w:hanging="360"/>
        <w:jc w:val="both"/>
        <w:rPr>
          <w:sz w:val="24"/>
        </w:rPr>
      </w:pPr>
      <w:r>
        <w:rPr>
          <w:sz w:val="24"/>
        </w:rPr>
        <w:t>All</w:t>
      </w:r>
      <w:r>
        <w:rPr>
          <w:spacing w:val="40"/>
          <w:sz w:val="24"/>
        </w:rPr>
        <w:t> </w:t>
      </w:r>
      <w:r>
        <w:rPr>
          <w:sz w:val="24"/>
        </w:rPr>
        <w:t>stakeholders</w:t>
      </w:r>
      <w:r>
        <w:rPr>
          <w:spacing w:val="40"/>
          <w:sz w:val="24"/>
        </w:rPr>
        <w:t> </w:t>
      </w:r>
      <w:r>
        <w:rPr>
          <w:sz w:val="24"/>
        </w:rPr>
        <w:t>in</w:t>
      </w:r>
      <w:r>
        <w:rPr>
          <w:spacing w:val="40"/>
          <w:sz w:val="24"/>
        </w:rPr>
        <w:t> </w:t>
      </w:r>
      <w:r>
        <w:rPr>
          <w:sz w:val="24"/>
        </w:rPr>
        <w:t>the</w:t>
      </w:r>
      <w:r>
        <w:rPr>
          <w:spacing w:val="40"/>
          <w:sz w:val="24"/>
        </w:rPr>
        <w:t> </w:t>
      </w:r>
      <w:r>
        <w:rPr>
          <w:sz w:val="24"/>
        </w:rPr>
        <w:t>industry</w:t>
      </w:r>
      <w:r>
        <w:rPr>
          <w:spacing w:val="40"/>
          <w:sz w:val="24"/>
        </w:rPr>
        <w:t> </w:t>
      </w:r>
      <w:r>
        <w:rPr>
          <w:sz w:val="24"/>
        </w:rPr>
        <w:t>need</w:t>
      </w:r>
      <w:r>
        <w:rPr>
          <w:spacing w:val="40"/>
          <w:sz w:val="24"/>
        </w:rPr>
        <w:t> </w:t>
      </w:r>
      <w:r>
        <w:rPr>
          <w:sz w:val="24"/>
        </w:rPr>
        <w:t>to</w:t>
      </w:r>
      <w:r>
        <w:rPr>
          <w:spacing w:val="40"/>
          <w:sz w:val="24"/>
        </w:rPr>
        <w:t> </w:t>
      </w:r>
      <w:r>
        <w:rPr>
          <w:sz w:val="24"/>
        </w:rPr>
        <w:t>understand the</w:t>
      </w:r>
      <w:r>
        <w:rPr>
          <w:spacing w:val="40"/>
          <w:sz w:val="24"/>
        </w:rPr>
        <w:t> </w:t>
      </w:r>
      <w:r>
        <w:rPr>
          <w:sz w:val="24"/>
        </w:rPr>
        <w:t>importance</w:t>
      </w:r>
      <w:r>
        <w:rPr>
          <w:spacing w:val="40"/>
          <w:sz w:val="24"/>
        </w:rPr>
        <w:t> </w:t>
      </w:r>
      <w:r>
        <w:rPr>
          <w:sz w:val="24"/>
        </w:rPr>
        <w:t>of</w:t>
      </w:r>
      <w:r>
        <w:rPr>
          <w:spacing w:val="40"/>
          <w:sz w:val="24"/>
        </w:rPr>
        <w:t> </w:t>
      </w:r>
      <w:r>
        <w:rPr>
          <w:sz w:val="24"/>
        </w:rPr>
        <w:t>quality</w:t>
      </w:r>
      <w:r>
        <w:rPr>
          <w:spacing w:val="80"/>
          <w:sz w:val="24"/>
        </w:rPr>
        <w:t> </w:t>
      </w:r>
      <w:r>
        <w:rPr>
          <w:sz w:val="24"/>
        </w:rPr>
        <w:t>standard</w:t>
      </w:r>
      <w:r>
        <w:rPr>
          <w:spacing w:val="40"/>
          <w:sz w:val="24"/>
        </w:rPr>
        <w:t> </w:t>
      </w:r>
      <w:r>
        <w:rPr>
          <w:sz w:val="24"/>
        </w:rPr>
        <w:t>and</w:t>
      </w:r>
      <w:r>
        <w:rPr>
          <w:spacing w:val="40"/>
          <w:sz w:val="24"/>
        </w:rPr>
        <w:t> </w:t>
      </w:r>
      <w:r>
        <w:rPr>
          <w:sz w:val="24"/>
        </w:rPr>
        <w:t>inculcate</w:t>
      </w:r>
      <w:r>
        <w:rPr>
          <w:spacing w:val="40"/>
          <w:sz w:val="24"/>
        </w:rPr>
        <w:t> </w:t>
      </w:r>
      <w:r>
        <w:rPr>
          <w:sz w:val="24"/>
        </w:rPr>
        <w:t>it throughout</w:t>
      </w:r>
      <w:r>
        <w:rPr>
          <w:spacing w:val="40"/>
          <w:sz w:val="24"/>
        </w:rPr>
        <w:t> </w:t>
      </w:r>
      <w:r>
        <w:rPr>
          <w:sz w:val="24"/>
        </w:rPr>
        <w:t>the</w:t>
      </w:r>
      <w:r>
        <w:rPr>
          <w:spacing w:val="40"/>
          <w:sz w:val="24"/>
        </w:rPr>
        <w:t> </w:t>
      </w:r>
      <w:r>
        <w:rPr>
          <w:sz w:val="24"/>
        </w:rPr>
        <w:t>design phase of</w:t>
      </w:r>
      <w:r>
        <w:rPr>
          <w:spacing w:val="40"/>
          <w:sz w:val="24"/>
        </w:rPr>
        <w:t> </w:t>
      </w:r>
      <w:r>
        <w:rPr>
          <w:sz w:val="24"/>
        </w:rPr>
        <w:t>projects and not just at the actual construction phase. In addition, construction companies have to keep in mind that there is a direct line between poor quality and defects from one side and reputation and sustainability from the other side; therefore, quality is a very important for the construction industry.</w:t>
      </w:r>
    </w:p>
    <w:p>
      <w:pPr>
        <w:pStyle w:val="ListParagraph"/>
        <w:numPr>
          <w:ilvl w:val="2"/>
          <w:numId w:val="56"/>
        </w:numPr>
        <w:tabs>
          <w:tab w:pos="1118" w:val="left" w:leader="none"/>
          <w:tab w:pos="1120" w:val="left" w:leader="none"/>
        </w:tabs>
        <w:spacing w:line="480" w:lineRule="auto" w:before="120" w:after="0"/>
        <w:ind w:left="1120" w:right="1319" w:hanging="360"/>
        <w:jc w:val="both"/>
        <w:rPr>
          <w:sz w:val="24"/>
        </w:rPr>
      </w:pPr>
      <w:r>
        <w:rPr>
          <w:sz w:val="24"/>
        </w:rPr>
        <w:t>The top management structure requires overhauling, since top management is very often not qualified to even understand the exact processes due in part to an inadequate qualification. Therefore, it is recommended that the top management be more educated and should continually update their knowledge by attending training courses that especially focus on the quality management concepts.</w:t>
      </w:r>
    </w:p>
    <w:p>
      <w:pPr>
        <w:pStyle w:val="ListParagraph"/>
        <w:numPr>
          <w:ilvl w:val="2"/>
          <w:numId w:val="56"/>
        </w:numPr>
        <w:tabs>
          <w:tab w:pos="1118" w:val="left" w:leader="none"/>
          <w:tab w:pos="1120" w:val="left" w:leader="none"/>
        </w:tabs>
        <w:spacing w:line="480" w:lineRule="auto" w:before="120" w:after="0"/>
        <w:ind w:left="1120" w:right="1321" w:hanging="360"/>
        <w:jc w:val="both"/>
        <w:rPr>
          <w:sz w:val="24"/>
        </w:rPr>
      </w:pPr>
      <w:r>
        <w:rPr>
          <w:sz w:val="24"/>
        </w:rPr>
        <w:t>Top managers must be committed to quality and must communicate the importance of quality services throughout the organization.</w:t>
      </w:r>
    </w:p>
    <w:p>
      <w:pPr>
        <w:pStyle w:val="ListParagraph"/>
        <w:numPr>
          <w:ilvl w:val="2"/>
          <w:numId w:val="56"/>
        </w:numPr>
        <w:tabs>
          <w:tab w:pos="1117" w:val="left" w:leader="none"/>
          <w:tab w:pos="1119" w:val="left" w:leader="none"/>
        </w:tabs>
        <w:spacing w:line="480" w:lineRule="auto" w:before="121" w:after="0"/>
        <w:ind w:left="1119" w:right="1315" w:hanging="360"/>
        <w:jc w:val="both"/>
        <w:rPr>
          <w:sz w:val="24"/>
        </w:rPr>
      </w:pPr>
      <w:r>
        <w:rPr>
          <w:sz w:val="24"/>
        </w:rPr>
        <w:t>There should be proper coordination among departmental and cross-functional teams to continually</w:t>
      </w:r>
      <w:r>
        <w:rPr>
          <w:spacing w:val="34"/>
          <w:sz w:val="24"/>
        </w:rPr>
        <w:t> </w:t>
      </w:r>
      <w:r>
        <w:rPr>
          <w:sz w:val="24"/>
        </w:rPr>
        <w:t>determine</w:t>
      </w:r>
      <w:r>
        <w:rPr>
          <w:spacing w:val="38"/>
          <w:sz w:val="24"/>
        </w:rPr>
        <w:t> </w:t>
      </w:r>
      <w:r>
        <w:rPr>
          <w:sz w:val="24"/>
        </w:rPr>
        <w:t>ever</w:t>
      </w:r>
      <w:r>
        <w:rPr>
          <w:spacing w:val="38"/>
          <w:sz w:val="24"/>
        </w:rPr>
        <w:t> </w:t>
      </w:r>
      <w:r>
        <w:rPr>
          <w:sz w:val="24"/>
        </w:rPr>
        <w:t>changing</w:t>
      </w:r>
      <w:r>
        <w:rPr>
          <w:spacing w:val="36"/>
          <w:sz w:val="24"/>
        </w:rPr>
        <w:t> </w:t>
      </w:r>
      <w:r>
        <w:rPr>
          <w:sz w:val="24"/>
        </w:rPr>
        <w:t>customer’s</w:t>
      </w:r>
      <w:r>
        <w:rPr>
          <w:spacing w:val="40"/>
          <w:sz w:val="24"/>
        </w:rPr>
        <w:t> </w:t>
      </w:r>
      <w:r>
        <w:rPr>
          <w:sz w:val="24"/>
        </w:rPr>
        <w:t>requirements</w:t>
      </w:r>
      <w:r>
        <w:rPr>
          <w:spacing w:val="39"/>
          <w:sz w:val="24"/>
        </w:rPr>
        <w:t> </w:t>
      </w:r>
      <w:r>
        <w:rPr>
          <w:sz w:val="24"/>
        </w:rPr>
        <w:t>and</w:t>
      </w:r>
      <w:r>
        <w:rPr>
          <w:spacing w:val="39"/>
          <w:sz w:val="24"/>
        </w:rPr>
        <w:t> </w:t>
      </w:r>
      <w:r>
        <w:rPr>
          <w:sz w:val="24"/>
        </w:rPr>
        <w:t>to</w:t>
      </w:r>
      <w:r>
        <w:rPr>
          <w:spacing w:val="39"/>
          <w:sz w:val="24"/>
        </w:rPr>
        <w:t> </w:t>
      </w:r>
      <w:r>
        <w:rPr>
          <w:sz w:val="24"/>
        </w:rPr>
        <w:t>evolve</w:t>
      </w:r>
      <w:r>
        <w:rPr>
          <w:spacing w:val="38"/>
          <w:sz w:val="24"/>
        </w:rPr>
        <w:t> </w:t>
      </w:r>
      <w:r>
        <w:rPr>
          <w:sz w:val="24"/>
        </w:rPr>
        <w:t>strategies</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9"/>
        <w:jc w:val="both"/>
      </w:pPr>
      <w:r>
        <w:rPr/>
        <w:t>that will ensure continuous improvement of the quality of goods and services to the satisfaction of present and future customers.</w:t>
      </w:r>
    </w:p>
    <w:p>
      <w:pPr>
        <w:pStyle w:val="ListParagraph"/>
        <w:numPr>
          <w:ilvl w:val="2"/>
          <w:numId w:val="56"/>
        </w:numPr>
        <w:tabs>
          <w:tab w:pos="1118" w:val="left" w:leader="none"/>
          <w:tab w:pos="1120" w:val="left" w:leader="none"/>
        </w:tabs>
        <w:spacing w:line="480" w:lineRule="auto" w:before="120" w:after="0"/>
        <w:ind w:left="1120" w:right="1313" w:hanging="360"/>
        <w:jc w:val="both"/>
        <w:rPr>
          <w:sz w:val="24"/>
        </w:rPr>
      </w:pPr>
      <w:r>
        <w:rPr>
          <w:sz w:val="24"/>
        </w:rPr>
        <w:t>Adequate training</w:t>
      </w:r>
      <w:r>
        <w:rPr>
          <w:spacing w:val="-1"/>
          <w:sz w:val="24"/>
        </w:rPr>
        <w:t> </w:t>
      </w:r>
      <w:r>
        <w:rPr>
          <w:sz w:val="24"/>
        </w:rPr>
        <w:t>should be given to all employees to improve their proficiencies in their tasks. With effective training, employees know the industry and the structure of the firm. In addition, effective training will improve employees’ loyalty to the firm, motivation, and work performance. If employees are trained on producing reliable and high quality products and/or services, their full participation in the production stage would be more fruitful. Thus, customer satisfaction will increase and customer complaints will reduce.</w:t>
      </w:r>
    </w:p>
    <w:p>
      <w:pPr>
        <w:pStyle w:val="ListParagraph"/>
        <w:numPr>
          <w:ilvl w:val="2"/>
          <w:numId w:val="56"/>
        </w:numPr>
        <w:tabs>
          <w:tab w:pos="1118" w:val="left" w:leader="none"/>
          <w:tab w:pos="1120" w:val="left" w:leader="none"/>
        </w:tabs>
        <w:spacing w:line="480" w:lineRule="auto" w:before="120" w:after="0"/>
        <w:ind w:left="1120" w:right="1316" w:hanging="360"/>
        <w:jc w:val="both"/>
        <w:rPr>
          <w:sz w:val="24"/>
        </w:rPr>
      </w:pPr>
      <w:r>
        <w:rPr>
          <w:sz w:val="24"/>
        </w:rPr>
        <w:t>Management needs to show faith in their employees and improve their work relations, while employees should be motivated and supported to make decisions regarding their work and be able to propose solutions related to work problems. Through improving project</w:t>
      </w:r>
      <w:r>
        <w:rPr>
          <w:spacing w:val="-4"/>
          <w:sz w:val="24"/>
        </w:rPr>
        <w:t> </w:t>
      </w:r>
      <w:r>
        <w:rPr>
          <w:sz w:val="24"/>
        </w:rPr>
        <w:t>coordination</w:t>
      </w:r>
      <w:r>
        <w:rPr>
          <w:spacing w:val="-4"/>
          <w:sz w:val="24"/>
        </w:rPr>
        <w:t> </w:t>
      </w:r>
      <w:r>
        <w:rPr>
          <w:sz w:val="24"/>
        </w:rPr>
        <w:t>and effective</w:t>
      </w:r>
      <w:r>
        <w:rPr>
          <w:spacing w:val="-3"/>
          <w:sz w:val="24"/>
        </w:rPr>
        <w:t> </w:t>
      </w:r>
      <w:r>
        <w:rPr>
          <w:sz w:val="24"/>
        </w:rPr>
        <w:t>communication,</w:t>
      </w:r>
      <w:r>
        <w:rPr>
          <w:spacing w:val="-4"/>
          <w:sz w:val="24"/>
        </w:rPr>
        <w:t> </w:t>
      </w:r>
      <w:r>
        <w:rPr>
          <w:sz w:val="24"/>
        </w:rPr>
        <w:t>workers</w:t>
      </w:r>
      <w:r>
        <w:rPr>
          <w:spacing w:val="-4"/>
          <w:sz w:val="24"/>
        </w:rPr>
        <w:t> </w:t>
      </w:r>
      <w:r>
        <w:rPr>
          <w:sz w:val="24"/>
        </w:rPr>
        <w:t>must</w:t>
      </w:r>
      <w:r>
        <w:rPr>
          <w:spacing w:val="-4"/>
          <w:sz w:val="24"/>
        </w:rPr>
        <w:t> </w:t>
      </w:r>
      <w:r>
        <w:rPr>
          <w:sz w:val="24"/>
        </w:rPr>
        <w:t>be</w:t>
      </w:r>
      <w:r>
        <w:rPr>
          <w:spacing w:val="-3"/>
          <w:sz w:val="24"/>
        </w:rPr>
        <w:t> </w:t>
      </w:r>
      <w:r>
        <w:rPr>
          <w:sz w:val="24"/>
        </w:rPr>
        <w:t>motivated</w:t>
      </w:r>
      <w:r>
        <w:rPr>
          <w:spacing w:val="-4"/>
          <w:sz w:val="24"/>
        </w:rPr>
        <w:t> </w:t>
      </w:r>
      <w:r>
        <w:rPr>
          <w:sz w:val="24"/>
        </w:rPr>
        <w:t>to</w:t>
      </w:r>
      <w:r>
        <w:rPr>
          <w:spacing w:val="-4"/>
          <w:sz w:val="24"/>
        </w:rPr>
        <w:t> </w:t>
      </w:r>
      <w:r>
        <w:rPr>
          <w:sz w:val="24"/>
        </w:rPr>
        <w:t>improve their performance and skills.</w:t>
      </w:r>
    </w:p>
    <w:p>
      <w:pPr>
        <w:pStyle w:val="ListParagraph"/>
        <w:numPr>
          <w:ilvl w:val="2"/>
          <w:numId w:val="56"/>
        </w:numPr>
        <w:tabs>
          <w:tab w:pos="1120" w:val="left" w:leader="none"/>
        </w:tabs>
        <w:spacing w:line="480" w:lineRule="auto" w:before="120" w:after="0"/>
        <w:ind w:left="1120" w:right="1317" w:hanging="360"/>
        <w:jc w:val="both"/>
        <w:rPr>
          <w:sz w:val="24"/>
        </w:rPr>
      </w:pPr>
      <w:r>
        <w:rPr>
          <w:sz w:val="24"/>
        </w:rPr>
        <w:t>The</w:t>
      </w:r>
      <w:r>
        <w:rPr>
          <w:spacing w:val="-1"/>
          <w:sz w:val="24"/>
        </w:rPr>
        <w:t> </w:t>
      </w:r>
      <w:r>
        <w:rPr>
          <w:sz w:val="24"/>
        </w:rPr>
        <w:t>unwillingness of</w:t>
      </w:r>
      <w:r>
        <w:rPr>
          <w:spacing w:val="-1"/>
          <w:sz w:val="24"/>
        </w:rPr>
        <w:t> </w:t>
      </w:r>
      <w:r>
        <w:rPr>
          <w:sz w:val="24"/>
        </w:rPr>
        <w:t>employees to seek improvement is due</w:t>
      </w:r>
      <w:r>
        <w:rPr>
          <w:spacing w:val="-1"/>
          <w:sz w:val="24"/>
        </w:rPr>
        <w:t> </w:t>
      </w:r>
      <w:r>
        <w:rPr>
          <w:sz w:val="24"/>
        </w:rPr>
        <w:t>to a</w:t>
      </w:r>
      <w:r>
        <w:rPr>
          <w:spacing w:val="-1"/>
          <w:sz w:val="24"/>
        </w:rPr>
        <w:t> </w:t>
      </w:r>
      <w:r>
        <w:rPr>
          <w:sz w:val="24"/>
        </w:rPr>
        <w:t>misunderstanding</w:t>
      </w:r>
      <w:r>
        <w:rPr>
          <w:spacing w:val="-2"/>
          <w:sz w:val="24"/>
        </w:rPr>
        <w:t> </w:t>
      </w:r>
      <w:r>
        <w:rPr>
          <w:sz w:val="24"/>
        </w:rPr>
        <w:t>of</w:t>
      </w:r>
      <w:r>
        <w:rPr>
          <w:spacing w:val="-1"/>
          <w:sz w:val="24"/>
        </w:rPr>
        <w:t> </w:t>
      </w:r>
      <w:r>
        <w:rPr>
          <w:sz w:val="24"/>
        </w:rPr>
        <w:t>the benefit of improvement and the fear of change. Therefore, it is recommended that employees be informed of any changes the company intends to make with a clear description of the aim of the improvement and the benefit employees will gain from this improvement or changes before being ordered to implement them.</w:t>
      </w:r>
    </w:p>
    <w:p>
      <w:pPr>
        <w:pStyle w:val="ListParagraph"/>
        <w:numPr>
          <w:ilvl w:val="2"/>
          <w:numId w:val="56"/>
        </w:numPr>
        <w:tabs>
          <w:tab w:pos="1118" w:val="left" w:leader="none"/>
          <w:tab w:pos="1120" w:val="left" w:leader="none"/>
        </w:tabs>
        <w:spacing w:line="480" w:lineRule="auto" w:before="120" w:after="0"/>
        <w:ind w:left="1120" w:right="1315" w:hanging="360"/>
        <w:jc w:val="both"/>
        <w:rPr>
          <w:sz w:val="24"/>
        </w:rPr>
      </w:pPr>
      <w:r>
        <w:rPr>
          <w:sz w:val="24"/>
        </w:rPr>
        <w:t>It appears that employees are afraid to complain or suggest anything to the upper management due to fears of losing their job. Therefore, it is essential to understand that the management’s role is to reduce such fear and provide a safer environment for their employees</w:t>
      </w:r>
      <w:r>
        <w:rPr>
          <w:spacing w:val="70"/>
          <w:sz w:val="24"/>
        </w:rPr>
        <w:t> </w:t>
      </w:r>
      <w:r>
        <w:rPr>
          <w:sz w:val="24"/>
        </w:rPr>
        <w:t>to</w:t>
      </w:r>
      <w:r>
        <w:rPr>
          <w:spacing w:val="70"/>
          <w:sz w:val="24"/>
        </w:rPr>
        <w:t> </w:t>
      </w:r>
      <w:r>
        <w:rPr>
          <w:sz w:val="24"/>
        </w:rPr>
        <w:t>openly</w:t>
      </w:r>
      <w:r>
        <w:rPr>
          <w:spacing w:val="67"/>
          <w:sz w:val="24"/>
        </w:rPr>
        <w:t> </w:t>
      </w:r>
      <w:r>
        <w:rPr>
          <w:sz w:val="24"/>
        </w:rPr>
        <w:t>suggest</w:t>
      </w:r>
      <w:r>
        <w:rPr>
          <w:spacing w:val="72"/>
          <w:sz w:val="24"/>
        </w:rPr>
        <w:t> </w:t>
      </w:r>
      <w:r>
        <w:rPr>
          <w:sz w:val="24"/>
        </w:rPr>
        <w:t>and</w:t>
      </w:r>
      <w:r>
        <w:rPr>
          <w:spacing w:val="70"/>
          <w:sz w:val="24"/>
        </w:rPr>
        <w:t> </w:t>
      </w:r>
      <w:r>
        <w:rPr>
          <w:sz w:val="24"/>
        </w:rPr>
        <w:t>propose</w:t>
      </w:r>
      <w:r>
        <w:rPr>
          <w:spacing w:val="69"/>
          <w:sz w:val="24"/>
        </w:rPr>
        <w:t> </w:t>
      </w:r>
      <w:r>
        <w:rPr>
          <w:sz w:val="24"/>
        </w:rPr>
        <w:t>their</w:t>
      </w:r>
      <w:r>
        <w:rPr>
          <w:spacing w:val="69"/>
          <w:sz w:val="24"/>
        </w:rPr>
        <w:t> </w:t>
      </w:r>
      <w:r>
        <w:rPr>
          <w:sz w:val="24"/>
        </w:rPr>
        <w:t>opinions.</w:t>
      </w:r>
      <w:r>
        <w:rPr>
          <w:spacing w:val="70"/>
          <w:sz w:val="24"/>
        </w:rPr>
        <w:t>  </w:t>
      </w:r>
      <w:r>
        <w:rPr>
          <w:sz w:val="24"/>
        </w:rPr>
        <w:t>This</w:t>
      </w:r>
      <w:r>
        <w:rPr>
          <w:spacing w:val="70"/>
          <w:sz w:val="24"/>
        </w:rPr>
        <w:t> </w:t>
      </w:r>
      <w:r>
        <w:rPr>
          <w:sz w:val="24"/>
        </w:rPr>
        <w:t>could</w:t>
      </w:r>
      <w:r>
        <w:rPr>
          <w:spacing w:val="70"/>
          <w:sz w:val="24"/>
        </w:rPr>
        <w:t> </w:t>
      </w:r>
      <w:r>
        <w:rPr>
          <w:sz w:val="24"/>
        </w:rPr>
        <w:t>be</w:t>
      </w:r>
      <w:r>
        <w:rPr>
          <w:spacing w:val="69"/>
          <w:sz w:val="24"/>
        </w:rPr>
        <w:t> </w:t>
      </w:r>
      <w:r>
        <w:rPr>
          <w:sz w:val="24"/>
        </w:rPr>
        <w:t>done</w:t>
      </w:r>
      <w:r>
        <w:rPr>
          <w:spacing w:val="69"/>
          <w:sz w:val="24"/>
        </w:rPr>
        <w:t> </w:t>
      </w:r>
      <w:r>
        <w:rPr>
          <w:sz w:val="24"/>
        </w:rPr>
        <w:t>by</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8"/>
        <w:jc w:val="both"/>
      </w:pPr>
      <w:r>
        <w:rPr/>
        <w:t>providing complains and suggestions boxes to allow employees or workers to express their complaints and suggestions without identifying their identity.</w:t>
      </w:r>
    </w:p>
    <w:p>
      <w:pPr>
        <w:pStyle w:val="ListParagraph"/>
        <w:numPr>
          <w:ilvl w:val="2"/>
          <w:numId w:val="56"/>
        </w:numPr>
        <w:tabs>
          <w:tab w:pos="1118" w:val="left" w:leader="none"/>
          <w:tab w:pos="1120" w:val="left" w:leader="none"/>
        </w:tabs>
        <w:spacing w:line="480" w:lineRule="auto" w:before="120" w:after="0"/>
        <w:ind w:left="1120" w:right="1321" w:hanging="360"/>
        <w:jc w:val="both"/>
        <w:rPr>
          <w:sz w:val="24"/>
        </w:rPr>
      </w:pPr>
      <w:r>
        <w:rPr>
          <w:sz w:val="24"/>
        </w:rPr>
        <w:t>Enforcement</w:t>
      </w:r>
      <w:r>
        <w:rPr>
          <w:spacing w:val="80"/>
          <w:sz w:val="24"/>
        </w:rPr>
        <w:t> </w:t>
      </w:r>
      <w:r>
        <w:rPr>
          <w:sz w:val="24"/>
        </w:rPr>
        <w:t>of</w:t>
      </w:r>
      <w:r>
        <w:rPr>
          <w:spacing w:val="80"/>
          <w:sz w:val="24"/>
        </w:rPr>
        <w:t> </w:t>
      </w:r>
      <w:r>
        <w:rPr>
          <w:sz w:val="24"/>
        </w:rPr>
        <w:t>quality</w:t>
      </w:r>
      <w:r>
        <w:rPr>
          <w:spacing w:val="80"/>
          <w:sz w:val="24"/>
        </w:rPr>
        <w:t> </w:t>
      </w:r>
      <w:r>
        <w:rPr>
          <w:sz w:val="24"/>
        </w:rPr>
        <w:t>standards</w:t>
      </w:r>
      <w:r>
        <w:rPr>
          <w:spacing w:val="80"/>
          <w:sz w:val="24"/>
        </w:rPr>
        <w:t> </w:t>
      </w:r>
      <w:r>
        <w:rPr>
          <w:sz w:val="24"/>
        </w:rPr>
        <w:t>must</w:t>
      </w:r>
      <w:r>
        <w:rPr>
          <w:spacing w:val="80"/>
          <w:sz w:val="24"/>
        </w:rPr>
        <w:t> </w:t>
      </w:r>
      <w:r>
        <w:rPr>
          <w:sz w:val="24"/>
        </w:rPr>
        <w:t>be</w:t>
      </w:r>
      <w:r>
        <w:rPr>
          <w:spacing w:val="80"/>
          <w:sz w:val="24"/>
        </w:rPr>
        <w:t> </w:t>
      </w:r>
      <w:r>
        <w:rPr>
          <w:sz w:val="24"/>
        </w:rPr>
        <w:t>given urgent</w:t>
      </w:r>
      <w:r>
        <w:rPr>
          <w:spacing w:val="80"/>
          <w:sz w:val="24"/>
        </w:rPr>
        <w:t> </w:t>
      </w:r>
      <w:r>
        <w:rPr>
          <w:sz w:val="24"/>
        </w:rPr>
        <w:t>attention</w:t>
      </w:r>
      <w:r>
        <w:rPr>
          <w:spacing w:val="80"/>
          <w:sz w:val="24"/>
        </w:rPr>
        <w:t> </w:t>
      </w:r>
      <w:r>
        <w:rPr>
          <w:sz w:val="24"/>
        </w:rPr>
        <w:t>and</w:t>
      </w:r>
      <w:r>
        <w:rPr>
          <w:spacing w:val="80"/>
          <w:sz w:val="24"/>
        </w:rPr>
        <w:t> </w:t>
      </w:r>
      <w:r>
        <w:rPr>
          <w:sz w:val="24"/>
        </w:rPr>
        <w:t>those</w:t>
      </w:r>
      <w:r>
        <w:rPr>
          <w:spacing w:val="80"/>
          <w:sz w:val="24"/>
        </w:rPr>
        <w:t> </w:t>
      </w:r>
      <w:r>
        <w:rPr>
          <w:sz w:val="24"/>
        </w:rPr>
        <w:t>that will</w:t>
      </w:r>
      <w:r>
        <w:rPr>
          <w:spacing w:val="40"/>
          <w:sz w:val="24"/>
        </w:rPr>
        <w:t> </w:t>
      </w:r>
      <w:r>
        <w:rPr>
          <w:sz w:val="24"/>
        </w:rPr>
        <w:t>be</w:t>
      </w:r>
      <w:r>
        <w:rPr>
          <w:spacing w:val="40"/>
          <w:sz w:val="24"/>
        </w:rPr>
        <w:t> </w:t>
      </w:r>
      <w:r>
        <w:rPr>
          <w:sz w:val="24"/>
        </w:rPr>
        <w:t>appointed</w:t>
      </w:r>
      <w:r>
        <w:rPr>
          <w:spacing w:val="40"/>
          <w:sz w:val="24"/>
        </w:rPr>
        <w:t> </w:t>
      </w:r>
      <w:r>
        <w:rPr>
          <w:sz w:val="24"/>
        </w:rPr>
        <w:t>to enforce quality must be professionals with integrity.</w:t>
      </w:r>
    </w:p>
    <w:p>
      <w:pPr>
        <w:pStyle w:val="ListParagraph"/>
        <w:numPr>
          <w:ilvl w:val="2"/>
          <w:numId w:val="56"/>
        </w:numPr>
        <w:tabs>
          <w:tab w:pos="1120" w:val="left" w:leader="none"/>
        </w:tabs>
        <w:spacing w:line="480" w:lineRule="auto" w:before="120" w:after="0"/>
        <w:ind w:left="1120" w:right="1316" w:hanging="360"/>
        <w:jc w:val="both"/>
        <w:rPr>
          <w:sz w:val="24"/>
        </w:rPr>
      </w:pPr>
      <w:r>
        <w:rPr>
          <w:sz w:val="24"/>
        </w:rPr>
        <w:t>The government being the major client of the construction industry should come up with an award for excellence for quality construction to deserving organisations. This will serve as an incentive for conforming to quality standards in various areas of the construction industry.</w:t>
      </w:r>
    </w:p>
    <w:p>
      <w:pPr>
        <w:pStyle w:val="ListParagraph"/>
        <w:numPr>
          <w:ilvl w:val="2"/>
          <w:numId w:val="56"/>
        </w:numPr>
        <w:tabs>
          <w:tab w:pos="1118" w:val="left" w:leader="none"/>
          <w:tab w:pos="1120" w:val="left" w:leader="none"/>
        </w:tabs>
        <w:spacing w:line="480" w:lineRule="auto" w:before="120" w:after="0"/>
        <w:ind w:left="1120" w:right="1317" w:hanging="360"/>
        <w:jc w:val="both"/>
        <w:rPr>
          <w:sz w:val="24"/>
        </w:rPr>
      </w:pPr>
      <w:r>
        <w:rPr>
          <w:sz w:val="24"/>
        </w:rPr>
        <w:t>Prospective building owners should insist on assessing the quality performance of contractors before awarding a contract, this will motivate contractors to improve and document their quality</w:t>
      </w:r>
      <w:r>
        <w:rPr>
          <w:spacing w:val="-3"/>
          <w:sz w:val="24"/>
        </w:rPr>
        <w:t> </w:t>
      </w:r>
      <w:r>
        <w:rPr>
          <w:sz w:val="24"/>
        </w:rPr>
        <w:t>management procedures in order to be competitive and maintain a continuous flow of business. Quality and not lowest competitive bid should be a major criterion in the selection of contractors.</w:t>
      </w:r>
    </w:p>
    <w:p>
      <w:pPr>
        <w:pStyle w:val="ListParagraph"/>
        <w:numPr>
          <w:ilvl w:val="2"/>
          <w:numId w:val="56"/>
        </w:numPr>
        <w:tabs>
          <w:tab w:pos="1118" w:val="left" w:leader="none"/>
          <w:tab w:pos="1120" w:val="left" w:leader="none"/>
        </w:tabs>
        <w:spacing w:line="480" w:lineRule="auto" w:before="120" w:after="0"/>
        <w:ind w:left="1120" w:right="1319" w:hanging="360"/>
        <w:jc w:val="both"/>
        <w:rPr>
          <w:sz w:val="24"/>
        </w:rPr>
      </w:pPr>
      <w:r>
        <w:rPr>
          <w:sz w:val="24"/>
        </w:rPr>
        <w:t>Small and medium construction firms in South-East Nigeria should make concerted efforts to adopt the Total Quality Management model, developed in this study for competitive advantage and effective service delivery.</w:t>
      </w:r>
    </w:p>
    <w:p>
      <w:pPr>
        <w:pStyle w:val="Heading2"/>
        <w:numPr>
          <w:ilvl w:val="1"/>
          <w:numId w:val="56"/>
        </w:numPr>
        <w:tabs>
          <w:tab w:pos="1120" w:val="left" w:leader="none"/>
        </w:tabs>
        <w:spacing w:line="240" w:lineRule="auto" w:before="262" w:after="0"/>
        <w:ind w:left="1120" w:right="0" w:hanging="720"/>
        <w:jc w:val="both"/>
      </w:pPr>
      <w:r>
        <w:rPr/>
        <w:t>Contributions</w:t>
      </w:r>
      <w:r>
        <w:rPr>
          <w:spacing w:val="-3"/>
        </w:rPr>
        <w:t> </w:t>
      </w:r>
      <w:r>
        <w:rPr/>
        <w:t>to</w:t>
      </w:r>
      <w:r>
        <w:rPr>
          <w:spacing w:val="-2"/>
        </w:rPr>
        <w:t> Knowledge</w:t>
      </w:r>
    </w:p>
    <w:p>
      <w:pPr>
        <w:pStyle w:val="BodyText"/>
        <w:spacing w:before="271"/>
        <w:ind w:left="400"/>
      </w:pPr>
      <w:r>
        <w:rPr/>
        <w:t>The</w:t>
      </w:r>
      <w:r>
        <w:rPr>
          <w:spacing w:val="-4"/>
        </w:rPr>
        <w:t> </w:t>
      </w:r>
      <w:r>
        <w:rPr/>
        <w:t>key</w:t>
      </w:r>
      <w:r>
        <w:rPr>
          <w:spacing w:val="-5"/>
        </w:rPr>
        <w:t> </w:t>
      </w:r>
      <w:r>
        <w:rPr/>
        <w:t>contributions to</w:t>
      </w:r>
      <w:r>
        <w:rPr>
          <w:spacing w:val="-1"/>
        </w:rPr>
        <w:t> </w:t>
      </w:r>
      <w:r>
        <w:rPr/>
        <w:t>the</w:t>
      </w:r>
      <w:r>
        <w:rPr>
          <w:spacing w:val="-1"/>
        </w:rPr>
        <w:t> </w:t>
      </w:r>
      <w:r>
        <w:rPr/>
        <w:t>body</w:t>
      </w:r>
      <w:r>
        <w:rPr>
          <w:spacing w:val="-5"/>
        </w:rPr>
        <w:t> </w:t>
      </w:r>
      <w:r>
        <w:rPr/>
        <w:t>of</w:t>
      </w:r>
      <w:r>
        <w:rPr>
          <w:spacing w:val="-1"/>
        </w:rPr>
        <w:t> </w:t>
      </w:r>
      <w:r>
        <w:rPr/>
        <w:t>knowledge</w:t>
      </w:r>
      <w:r>
        <w:rPr>
          <w:spacing w:val="-2"/>
        </w:rPr>
        <w:t> </w:t>
      </w:r>
      <w:r>
        <w:rPr/>
        <w:t>in</w:t>
      </w:r>
      <w:r>
        <w:rPr>
          <w:spacing w:val="2"/>
        </w:rPr>
        <w:t> </w:t>
      </w:r>
      <w:r>
        <w:rPr/>
        <w:t>this research </w:t>
      </w:r>
      <w:r>
        <w:rPr>
          <w:spacing w:val="-2"/>
        </w:rPr>
        <w:t>include:</w:t>
      </w:r>
    </w:p>
    <w:p>
      <w:pPr>
        <w:pStyle w:val="BodyText"/>
        <w:spacing w:before="120"/>
      </w:pPr>
    </w:p>
    <w:p>
      <w:pPr>
        <w:pStyle w:val="ListParagraph"/>
        <w:numPr>
          <w:ilvl w:val="0"/>
          <w:numId w:val="58"/>
        </w:numPr>
        <w:tabs>
          <w:tab w:pos="1119" w:val="left" w:leader="none"/>
        </w:tabs>
        <w:spacing w:line="480" w:lineRule="auto" w:before="0" w:after="0"/>
        <w:ind w:left="1119" w:right="1318" w:hanging="360"/>
        <w:jc w:val="both"/>
        <w:rPr>
          <w:sz w:val="24"/>
        </w:rPr>
      </w:pPr>
      <w:r>
        <w:rPr>
          <w:sz w:val="24"/>
        </w:rPr>
        <w:t>Creating an understanding</w:t>
      </w:r>
      <w:r>
        <w:rPr>
          <w:spacing w:val="-1"/>
          <w:sz w:val="24"/>
        </w:rPr>
        <w:t> </w:t>
      </w:r>
      <w:r>
        <w:rPr>
          <w:sz w:val="24"/>
        </w:rPr>
        <w:t>of total quality</w:t>
      </w:r>
      <w:r>
        <w:rPr>
          <w:spacing w:val="-3"/>
          <w:sz w:val="24"/>
        </w:rPr>
        <w:t> </w:t>
      </w:r>
      <w:r>
        <w:rPr>
          <w:sz w:val="24"/>
        </w:rPr>
        <w:t>management model in South-East Nigeria. The subject of Total quality management had received little attention among researchers in South-East Nigeria. There was a gap in knowledge on quality standards in these firms. This</w:t>
      </w:r>
      <w:r>
        <w:rPr>
          <w:spacing w:val="17"/>
          <w:sz w:val="24"/>
        </w:rPr>
        <w:t> </w:t>
      </w:r>
      <w:r>
        <w:rPr>
          <w:sz w:val="24"/>
        </w:rPr>
        <w:t>research</w:t>
      </w:r>
      <w:r>
        <w:rPr>
          <w:spacing w:val="19"/>
          <w:sz w:val="24"/>
        </w:rPr>
        <w:t> </w:t>
      </w:r>
      <w:r>
        <w:rPr>
          <w:sz w:val="24"/>
        </w:rPr>
        <w:t>is</w:t>
      </w:r>
      <w:r>
        <w:rPr>
          <w:spacing w:val="17"/>
          <w:sz w:val="24"/>
        </w:rPr>
        <w:t> </w:t>
      </w:r>
      <w:r>
        <w:rPr>
          <w:sz w:val="24"/>
        </w:rPr>
        <w:t>considered</w:t>
      </w:r>
      <w:r>
        <w:rPr>
          <w:spacing w:val="17"/>
          <w:sz w:val="24"/>
        </w:rPr>
        <w:t> </w:t>
      </w:r>
      <w:r>
        <w:rPr>
          <w:sz w:val="24"/>
        </w:rPr>
        <w:t>to</w:t>
      </w:r>
      <w:r>
        <w:rPr>
          <w:spacing w:val="17"/>
          <w:sz w:val="24"/>
        </w:rPr>
        <w:t> </w:t>
      </w:r>
      <w:r>
        <w:rPr>
          <w:sz w:val="24"/>
        </w:rPr>
        <w:t>be</w:t>
      </w:r>
      <w:r>
        <w:rPr>
          <w:spacing w:val="18"/>
          <w:sz w:val="24"/>
        </w:rPr>
        <w:t> </w:t>
      </w:r>
      <w:r>
        <w:rPr>
          <w:sz w:val="24"/>
        </w:rPr>
        <w:t>the</w:t>
      </w:r>
      <w:r>
        <w:rPr>
          <w:spacing w:val="18"/>
          <w:sz w:val="24"/>
        </w:rPr>
        <w:t> </w:t>
      </w:r>
      <w:r>
        <w:rPr>
          <w:sz w:val="24"/>
        </w:rPr>
        <w:t>first</w:t>
      </w:r>
      <w:r>
        <w:rPr>
          <w:spacing w:val="17"/>
          <w:sz w:val="24"/>
        </w:rPr>
        <w:t> </w:t>
      </w:r>
      <w:r>
        <w:rPr>
          <w:sz w:val="24"/>
        </w:rPr>
        <w:t>study</w:t>
      </w:r>
      <w:r>
        <w:rPr>
          <w:spacing w:val="12"/>
          <w:sz w:val="24"/>
        </w:rPr>
        <w:t> </w:t>
      </w:r>
      <w:r>
        <w:rPr>
          <w:sz w:val="24"/>
        </w:rPr>
        <w:t>researching</w:t>
      </w:r>
      <w:r>
        <w:rPr>
          <w:spacing w:val="14"/>
          <w:sz w:val="24"/>
        </w:rPr>
        <w:t> </w:t>
      </w:r>
      <w:r>
        <w:rPr>
          <w:sz w:val="24"/>
        </w:rPr>
        <w:t>TQM</w:t>
      </w:r>
      <w:r>
        <w:rPr>
          <w:spacing w:val="19"/>
          <w:sz w:val="24"/>
        </w:rPr>
        <w:t> </w:t>
      </w:r>
      <w:r>
        <w:rPr>
          <w:sz w:val="24"/>
        </w:rPr>
        <w:t>in</w:t>
      </w:r>
      <w:r>
        <w:rPr>
          <w:spacing w:val="17"/>
          <w:sz w:val="24"/>
        </w:rPr>
        <w:t> </w:t>
      </w:r>
      <w:r>
        <w:rPr>
          <w:sz w:val="24"/>
        </w:rPr>
        <w:t>small</w:t>
      </w:r>
      <w:r>
        <w:rPr>
          <w:spacing w:val="17"/>
          <w:sz w:val="24"/>
        </w:rPr>
        <w:t> </w:t>
      </w:r>
      <w:r>
        <w:rPr>
          <w:sz w:val="24"/>
        </w:rPr>
        <w:t>and</w:t>
      </w:r>
      <w:r>
        <w:rPr>
          <w:spacing w:val="17"/>
          <w:sz w:val="24"/>
        </w:rPr>
        <w:t> </w:t>
      </w:r>
      <w:r>
        <w:rPr>
          <w:sz w:val="24"/>
        </w:rPr>
        <w:t>medium</w:t>
      </w:r>
    </w:p>
    <w:p>
      <w:pPr>
        <w:spacing w:after="0" w:line="480" w:lineRule="auto"/>
        <w:jc w:val="both"/>
        <w:rPr>
          <w:sz w:val="24"/>
        </w:rPr>
        <w:sectPr>
          <w:pgSz w:w="12240" w:h="15840"/>
          <w:pgMar w:header="0" w:footer="1017" w:top="1360" w:bottom="1200" w:left="1040" w:right="120"/>
        </w:sectPr>
      </w:pPr>
    </w:p>
    <w:p>
      <w:pPr>
        <w:pStyle w:val="BodyText"/>
        <w:spacing w:line="480" w:lineRule="auto" w:before="72"/>
        <w:ind w:left="1120" w:right="1319"/>
        <w:jc w:val="both"/>
      </w:pPr>
      <w:r>
        <w:rPr/>
        <w:t>scale construction firms in South-East Nigeria thus far and it will, therefore, provide valuable knowledge to them when applying TQM tools and techniques, by helping them to overcome the several barriers stopping them from implementing the TQM tools and </w:t>
      </w:r>
      <w:r>
        <w:rPr>
          <w:spacing w:val="-2"/>
        </w:rPr>
        <w:t>techniques.</w:t>
      </w:r>
    </w:p>
    <w:p>
      <w:pPr>
        <w:pStyle w:val="BodyText"/>
        <w:spacing w:line="480" w:lineRule="auto" w:before="120"/>
        <w:ind w:left="1120" w:right="1314"/>
        <w:jc w:val="both"/>
      </w:pPr>
      <w:r>
        <w:rPr/>
        <w:t>Findings may also be generalized to reflect quality assessment practices in other developing countries particular those in sub-Sahara Africa.</w:t>
      </w:r>
    </w:p>
    <w:p>
      <w:pPr>
        <w:pStyle w:val="ListParagraph"/>
        <w:numPr>
          <w:ilvl w:val="0"/>
          <w:numId w:val="58"/>
        </w:numPr>
        <w:tabs>
          <w:tab w:pos="1120" w:val="left" w:leader="none"/>
        </w:tabs>
        <w:spacing w:line="480" w:lineRule="auto" w:before="120" w:after="0"/>
        <w:ind w:left="1120" w:right="1316" w:hanging="360"/>
        <w:jc w:val="both"/>
        <w:rPr>
          <w:sz w:val="24"/>
        </w:rPr>
      </w:pPr>
      <w:r>
        <w:rPr>
          <w:sz w:val="24"/>
        </w:rPr>
        <w:t>The study provides a critical analysis of different models to get their success factors in Nigeria especially in South-East of Nigeria.</w:t>
      </w:r>
      <w:r>
        <w:rPr>
          <w:spacing w:val="40"/>
          <w:sz w:val="24"/>
        </w:rPr>
        <w:t> </w:t>
      </w:r>
      <w:r>
        <w:rPr>
          <w:sz w:val="24"/>
        </w:rPr>
        <w:t>This knowledge presents top stakeholders basis for developing future programs and interventions aimed at improving quality assessment in South-East Nigeria.</w:t>
      </w:r>
    </w:p>
    <w:p>
      <w:pPr>
        <w:pStyle w:val="ListParagraph"/>
        <w:numPr>
          <w:ilvl w:val="0"/>
          <w:numId w:val="58"/>
        </w:numPr>
        <w:tabs>
          <w:tab w:pos="1120" w:val="left" w:leader="none"/>
        </w:tabs>
        <w:spacing w:line="480" w:lineRule="auto" w:before="120" w:after="0"/>
        <w:ind w:left="1120" w:right="1317" w:hanging="360"/>
        <w:jc w:val="both"/>
        <w:rPr>
          <w:sz w:val="24"/>
        </w:rPr>
      </w:pPr>
      <w:r>
        <w:rPr>
          <w:sz w:val="24"/>
        </w:rPr>
        <w:t>Development of a conceptual Total Quality Management model for small and medium scale construction firms in South-East in Nigeria will ensure efficiency and effectiveness and for competitive advantage and effective service delivery. Thus this model is to be used by SMCFs in south-east Nigeria since the findings will provide knowledge of the significant of practicing TQM, so as to improve organizational strategies and competitive advantages, which will create a competitive business environment in the Nigerian market leading to high quality services provided from the clients and final users. Below is the developed model:</w:t>
      </w:r>
    </w:p>
    <w:p>
      <w:pPr>
        <w:spacing w:after="0" w:line="480" w:lineRule="auto"/>
        <w:jc w:val="both"/>
        <w:rPr>
          <w:sz w:val="24"/>
        </w:rPr>
        <w:sectPr>
          <w:pgSz w:w="12240" w:h="15840"/>
          <w:pgMar w:header="0" w:footer="1017" w:top="1360" w:bottom="1200" w:left="1040" w:right="120"/>
        </w:sectPr>
      </w:pPr>
    </w:p>
    <w:p>
      <w:pPr>
        <w:pStyle w:val="BodyText"/>
        <w:spacing w:before="4"/>
        <w:rPr>
          <w:sz w:val="17"/>
        </w:rPr>
      </w:pPr>
    </w:p>
    <w:p>
      <w:pPr>
        <w:spacing w:after="0"/>
        <w:rPr>
          <w:sz w:val="17"/>
        </w:rPr>
        <w:sectPr>
          <w:pgSz w:w="12240" w:h="15840"/>
          <w:pgMar w:header="0" w:footer="1017" w:top="1820" w:bottom="1200" w:left="1040" w:right="120"/>
        </w:sectPr>
      </w:pPr>
    </w:p>
    <w:p>
      <w:pPr>
        <w:pStyle w:val="Heading2"/>
        <w:numPr>
          <w:ilvl w:val="1"/>
          <w:numId w:val="56"/>
        </w:numPr>
        <w:tabs>
          <w:tab w:pos="1179" w:val="left" w:leader="none"/>
        </w:tabs>
        <w:spacing w:line="240" w:lineRule="auto" w:before="76" w:after="0"/>
        <w:ind w:left="1179" w:right="0" w:hanging="779"/>
        <w:jc w:val="left"/>
      </w:pPr>
      <w:r>
        <w:rPr/>
        <w:t>Areas</w:t>
      </w:r>
      <w:r>
        <w:rPr>
          <w:spacing w:val="-3"/>
        </w:rPr>
        <w:t> </w:t>
      </w:r>
      <w:r>
        <w:rPr/>
        <w:t>for</w:t>
      </w:r>
      <w:r>
        <w:rPr>
          <w:spacing w:val="-2"/>
        </w:rPr>
        <w:t> </w:t>
      </w:r>
      <w:r>
        <w:rPr/>
        <w:t>Further</w:t>
      </w:r>
      <w:r>
        <w:rPr>
          <w:spacing w:val="-3"/>
        </w:rPr>
        <w:t> </w:t>
      </w:r>
      <w:r>
        <w:rPr>
          <w:spacing w:val="-2"/>
        </w:rPr>
        <w:t>Studies</w:t>
      </w:r>
    </w:p>
    <w:p>
      <w:pPr>
        <w:pStyle w:val="BodyText"/>
        <w:spacing w:before="238"/>
        <w:rPr>
          <w:b/>
        </w:rPr>
      </w:pPr>
    </w:p>
    <w:p>
      <w:pPr>
        <w:pStyle w:val="ListParagraph"/>
        <w:numPr>
          <w:ilvl w:val="0"/>
          <w:numId w:val="59"/>
        </w:numPr>
        <w:tabs>
          <w:tab w:pos="1120" w:val="left" w:leader="none"/>
        </w:tabs>
        <w:spacing w:line="480" w:lineRule="auto" w:before="0" w:after="0"/>
        <w:ind w:left="1120" w:right="1316" w:hanging="360"/>
        <w:jc w:val="both"/>
        <w:rPr>
          <w:sz w:val="24"/>
        </w:rPr>
      </w:pPr>
      <w:r>
        <w:rPr>
          <w:sz w:val="24"/>
        </w:rPr>
        <w:t>Since this research is based on the development of total quality management model for small and medium scale construction firms in South-East Nigeria, another study</w:t>
      </w:r>
      <w:r>
        <w:rPr>
          <w:spacing w:val="-1"/>
          <w:sz w:val="24"/>
        </w:rPr>
        <w:t> </w:t>
      </w:r>
      <w:r>
        <w:rPr>
          <w:sz w:val="24"/>
        </w:rPr>
        <w:t>could be carried out in other regions of Nigeria for reasons of generalization of findings. TQM implementation in a broader sampling frame covering the Middle East or Europe to ascertain whether the same practices are evident across countries of different cultures, education systems and economic climates</w:t>
      </w:r>
    </w:p>
    <w:p>
      <w:pPr>
        <w:pStyle w:val="ListParagraph"/>
        <w:numPr>
          <w:ilvl w:val="0"/>
          <w:numId w:val="59"/>
        </w:numPr>
        <w:tabs>
          <w:tab w:pos="1119" w:val="left" w:leader="none"/>
        </w:tabs>
        <w:spacing w:line="480" w:lineRule="auto" w:before="240" w:after="0"/>
        <w:ind w:left="1119" w:right="1319" w:hanging="360"/>
        <w:jc w:val="both"/>
        <w:rPr>
          <w:sz w:val="24"/>
        </w:rPr>
      </w:pPr>
      <w:r>
        <w:rPr>
          <w:sz w:val="24"/>
        </w:rPr>
        <w:t>Furthermore, future studies could focus on more measures of competitive</w:t>
      </w:r>
      <w:r>
        <w:rPr>
          <w:spacing w:val="40"/>
          <w:sz w:val="24"/>
        </w:rPr>
        <w:t> </w:t>
      </w:r>
      <w:r>
        <w:rPr>
          <w:sz w:val="24"/>
        </w:rPr>
        <w:t>advantage and sustainability</w:t>
      </w:r>
      <w:r>
        <w:rPr>
          <w:spacing w:val="40"/>
          <w:sz w:val="24"/>
        </w:rPr>
        <w:t> </w:t>
      </w:r>
      <w:r>
        <w:rPr>
          <w:sz w:val="24"/>
        </w:rPr>
        <w:t>to</w:t>
      </w:r>
      <w:r>
        <w:rPr>
          <w:spacing w:val="40"/>
          <w:sz w:val="24"/>
        </w:rPr>
        <w:t> </w:t>
      </w:r>
      <w:r>
        <w:rPr>
          <w:sz w:val="24"/>
        </w:rPr>
        <w:t>estimate</w:t>
      </w:r>
      <w:r>
        <w:rPr>
          <w:spacing w:val="40"/>
          <w:sz w:val="24"/>
        </w:rPr>
        <w:t> </w:t>
      </w:r>
      <w:r>
        <w:rPr>
          <w:sz w:val="24"/>
        </w:rPr>
        <w:t>the</w:t>
      </w:r>
      <w:r>
        <w:rPr>
          <w:spacing w:val="40"/>
          <w:sz w:val="24"/>
        </w:rPr>
        <w:t> </w:t>
      </w:r>
      <w:r>
        <w:rPr>
          <w:sz w:val="24"/>
        </w:rPr>
        <w:t>impact</w:t>
      </w:r>
      <w:r>
        <w:rPr>
          <w:spacing w:val="40"/>
          <w:sz w:val="24"/>
        </w:rPr>
        <w:t> </w:t>
      </w:r>
      <w:r>
        <w:rPr>
          <w:sz w:val="24"/>
        </w:rPr>
        <w:t>of</w:t>
      </w:r>
      <w:r>
        <w:rPr>
          <w:spacing w:val="40"/>
          <w:sz w:val="24"/>
        </w:rPr>
        <w:t> </w:t>
      </w:r>
      <w:r>
        <w:rPr>
          <w:sz w:val="24"/>
        </w:rPr>
        <w:t>effective</w:t>
      </w:r>
      <w:r>
        <w:rPr>
          <w:spacing w:val="40"/>
          <w:sz w:val="24"/>
        </w:rPr>
        <w:t> </w:t>
      </w:r>
      <w:r>
        <w:rPr>
          <w:sz w:val="24"/>
        </w:rPr>
        <w:t>TQM.</w:t>
      </w:r>
      <w:r>
        <w:rPr>
          <w:spacing w:val="40"/>
          <w:sz w:val="24"/>
        </w:rPr>
        <w:t> </w:t>
      </w:r>
      <w:r>
        <w:rPr>
          <w:sz w:val="24"/>
        </w:rPr>
        <w:t>This will increase the reliability of the findings</w:t>
      </w:r>
    </w:p>
    <w:p>
      <w:pPr>
        <w:pStyle w:val="ListParagraph"/>
        <w:numPr>
          <w:ilvl w:val="0"/>
          <w:numId w:val="59"/>
        </w:numPr>
        <w:tabs>
          <w:tab w:pos="1119" w:val="left" w:leader="none"/>
        </w:tabs>
        <w:spacing w:line="480" w:lineRule="auto" w:before="238" w:after="0"/>
        <w:ind w:left="1119" w:right="1316" w:hanging="360"/>
        <w:jc w:val="both"/>
        <w:rPr>
          <w:sz w:val="24"/>
        </w:rPr>
      </w:pPr>
      <w:r>
        <w:rPr>
          <w:sz w:val="24"/>
        </w:rPr>
        <w:t>Finally, the total quality management model developed in this research is purely conceptual, hence there is need to carry out another study to validate the model in order</w:t>
      </w:r>
      <w:r>
        <w:rPr>
          <w:spacing w:val="40"/>
          <w:sz w:val="24"/>
        </w:rPr>
        <w:t> </w:t>
      </w:r>
      <w:r>
        <w:rPr>
          <w:sz w:val="24"/>
        </w:rPr>
        <w:t>to ascertain its practical implementation.</w:t>
      </w:r>
    </w:p>
    <w:p>
      <w:pPr>
        <w:spacing w:after="0" w:line="480" w:lineRule="auto"/>
        <w:jc w:val="both"/>
        <w:rPr>
          <w:sz w:val="24"/>
        </w:rPr>
        <w:sectPr>
          <w:pgSz w:w="12240" w:h="15840"/>
          <w:pgMar w:header="0" w:footer="1017" w:top="1360" w:bottom="1200" w:left="1040" w:right="120"/>
        </w:sectPr>
      </w:pPr>
    </w:p>
    <w:p>
      <w:pPr>
        <w:pStyle w:val="Heading2"/>
        <w:spacing w:before="79"/>
        <w:ind w:left="0" w:right="918"/>
        <w:jc w:val="center"/>
      </w:pPr>
      <w:r>
        <w:rPr>
          <w:spacing w:val="-2"/>
        </w:rPr>
        <w:t>REFERENCES</w:t>
      </w:r>
    </w:p>
    <w:p>
      <w:pPr>
        <w:pStyle w:val="BodyText"/>
        <w:spacing w:before="213"/>
        <w:rPr>
          <w:b/>
        </w:rPr>
      </w:pPr>
    </w:p>
    <w:p>
      <w:pPr>
        <w:spacing w:before="0"/>
        <w:ind w:left="1211" w:right="1317" w:hanging="812"/>
        <w:jc w:val="both"/>
        <w:rPr>
          <w:i/>
          <w:sz w:val="24"/>
        </w:rPr>
      </w:pPr>
      <w:r>
        <w:rPr>
          <w:sz w:val="24"/>
        </w:rPr>
        <w:t>Abas, Z., &amp; Yaacob, Z. (2006). Exploring the relationships between total quality management (TQM), strategic control systems (SCS) and organizational performance (OP) using a SEM framework. </w:t>
      </w:r>
      <w:r>
        <w:rPr>
          <w:i/>
          <w:sz w:val="24"/>
        </w:rPr>
        <w:t>Journal of American Academy of Business, 9(2):161-166</w:t>
      </w:r>
    </w:p>
    <w:p>
      <w:pPr>
        <w:pStyle w:val="BodyText"/>
        <w:spacing w:before="84"/>
        <w:rPr>
          <w:i/>
        </w:rPr>
      </w:pPr>
    </w:p>
    <w:p>
      <w:pPr>
        <w:pStyle w:val="BodyText"/>
        <w:spacing w:before="1"/>
        <w:ind w:left="1211" w:right="1319" w:hanging="812"/>
        <w:jc w:val="both"/>
        <w:rPr>
          <w:i/>
        </w:rPr>
      </w:pPr>
      <w:r>
        <w:rPr/>
        <w:t>Abu, H. B. A. B., Khalid .B. A., &amp; Eziaku. O. (2011). Total Quality Management Practices in Large</w:t>
      </w:r>
      <w:r>
        <w:rPr>
          <w:spacing w:val="23"/>
        </w:rPr>
        <w:t> </w:t>
      </w:r>
      <w:r>
        <w:rPr/>
        <w:t>Construction</w:t>
      </w:r>
      <w:r>
        <w:rPr>
          <w:spacing w:val="25"/>
        </w:rPr>
        <w:t> </w:t>
      </w:r>
      <w:r>
        <w:rPr/>
        <w:t>Companies:</w:t>
      </w:r>
      <w:r>
        <w:rPr>
          <w:spacing w:val="25"/>
        </w:rPr>
        <w:t> </w:t>
      </w:r>
      <w:r>
        <w:rPr/>
        <w:t>A</w:t>
      </w:r>
      <w:r>
        <w:rPr>
          <w:spacing w:val="24"/>
        </w:rPr>
        <w:t> </w:t>
      </w:r>
      <w:r>
        <w:rPr/>
        <w:t>Case</w:t>
      </w:r>
      <w:r>
        <w:rPr>
          <w:spacing w:val="24"/>
        </w:rPr>
        <w:t> </w:t>
      </w:r>
      <w:r>
        <w:rPr/>
        <w:t>of</w:t>
      </w:r>
      <w:r>
        <w:rPr>
          <w:spacing w:val="27"/>
        </w:rPr>
        <w:t> </w:t>
      </w:r>
      <w:r>
        <w:rPr/>
        <w:t>Oman.</w:t>
      </w:r>
      <w:r>
        <w:rPr>
          <w:spacing w:val="27"/>
        </w:rPr>
        <w:t> </w:t>
      </w:r>
      <w:r>
        <w:rPr>
          <w:i/>
        </w:rPr>
        <w:t>World</w:t>
      </w:r>
      <w:r>
        <w:rPr>
          <w:i/>
          <w:spacing w:val="25"/>
        </w:rPr>
        <w:t> </w:t>
      </w:r>
      <w:r>
        <w:rPr>
          <w:i/>
        </w:rPr>
        <w:t>Applied</w:t>
      </w:r>
      <w:r>
        <w:rPr>
          <w:i/>
          <w:spacing w:val="25"/>
        </w:rPr>
        <w:t> </w:t>
      </w:r>
      <w:r>
        <w:rPr>
          <w:i/>
        </w:rPr>
        <w:t>Sciences</w:t>
      </w:r>
      <w:r>
        <w:rPr>
          <w:i/>
          <w:spacing w:val="25"/>
        </w:rPr>
        <w:t> </w:t>
      </w:r>
      <w:r>
        <w:rPr>
          <w:i/>
        </w:rPr>
        <w:t>Journal</w:t>
      </w:r>
      <w:r>
        <w:rPr>
          <w:i/>
          <w:spacing w:val="25"/>
        </w:rPr>
        <w:t> </w:t>
      </w:r>
      <w:r>
        <w:rPr>
          <w:i/>
          <w:spacing w:val="-5"/>
        </w:rPr>
        <w:t>15</w:t>
      </w:r>
    </w:p>
    <w:p>
      <w:pPr>
        <w:spacing w:before="0"/>
        <w:ind w:left="1211" w:right="0" w:firstLine="0"/>
        <w:jc w:val="left"/>
        <w:rPr>
          <w:sz w:val="24"/>
        </w:rPr>
      </w:pPr>
      <w:r>
        <w:rPr>
          <w:i/>
          <w:sz w:val="24"/>
        </w:rPr>
        <w:t>(2):</w:t>
      </w:r>
      <w:r>
        <w:rPr>
          <w:i/>
          <w:spacing w:val="-5"/>
          <w:sz w:val="24"/>
        </w:rPr>
        <w:t> </w:t>
      </w:r>
      <w:r>
        <w:rPr>
          <w:i/>
          <w:sz w:val="24"/>
        </w:rPr>
        <w:t>285-296,</w:t>
      </w:r>
      <w:r>
        <w:rPr>
          <w:i/>
          <w:spacing w:val="-1"/>
          <w:sz w:val="24"/>
        </w:rPr>
        <w:t> </w:t>
      </w:r>
      <w:r>
        <w:rPr>
          <w:i/>
          <w:sz w:val="24"/>
        </w:rPr>
        <w:t>2011</w:t>
      </w:r>
      <w:r>
        <w:rPr>
          <w:i/>
          <w:spacing w:val="1"/>
          <w:sz w:val="24"/>
        </w:rPr>
        <w:t> </w:t>
      </w:r>
      <w:r>
        <w:rPr>
          <w:i/>
          <w:sz w:val="24"/>
        </w:rPr>
        <w:t>ISSN</w:t>
      </w:r>
      <w:r>
        <w:rPr>
          <w:i/>
          <w:spacing w:val="-2"/>
          <w:sz w:val="24"/>
        </w:rPr>
        <w:t> </w:t>
      </w:r>
      <w:r>
        <w:rPr>
          <w:i/>
          <w:sz w:val="24"/>
        </w:rPr>
        <w:t>1818-4952</w:t>
      </w:r>
      <w:r>
        <w:rPr>
          <w:i/>
          <w:spacing w:val="-1"/>
          <w:sz w:val="24"/>
        </w:rPr>
        <w:t> </w:t>
      </w:r>
      <w:r>
        <w:rPr>
          <w:i/>
          <w:sz w:val="24"/>
        </w:rPr>
        <w:t>©</w:t>
      </w:r>
      <w:r>
        <w:rPr>
          <w:i/>
          <w:spacing w:val="-1"/>
          <w:sz w:val="24"/>
        </w:rPr>
        <w:t> </w:t>
      </w:r>
      <w:r>
        <w:rPr>
          <w:i/>
          <w:sz w:val="24"/>
        </w:rPr>
        <w:t>IDOSI</w:t>
      </w:r>
      <w:r>
        <w:rPr>
          <w:i/>
          <w:spacing w:val="-2"/>
          <w:sz w:val="24"/>
        </w:rPr>
        <w:t> Publications</w:t>
      </w:r>
      <w:r>
        <w:rPr>
          <w:spacing w:val="-2"/>
          <w:sz w:val="24"/>
        </w:rPr>
        <w:t>.</w:t>
      </w:r>
    </w:p>
    <w:p>
      <w:pPr>
        <w:pStyle w:val="BodyText"/>
        <w:spacing w:before="83"/>
      </w:pPr>
    </w:p>
    <w:p>
      <w:pPr>
        <w:pStyle w:val="BodyText"/>
        <w:spacing w:before="1"/>
        <w:ind w:left="1211" w:right="1315" w:hanging="812"/>
        <w:jc w:val="both"/>
      </w:pPr>
      <w:r>
        <w:rPr/>
        <w:t>AbdulAziz, A. (2002). The Realities of Applying Total Quality</w:t>
      </w:r>
      <w:r>
        <w:rPr>
          <w:spacing w:val="-3"/>
        </w:rPr>
        <w:t> </w:t>
      </w:r>
      <w:r>
        <w:rPr/>
        <w:t>Management in the Construction Industry.</w:t>
      </w:r>
      <w:r>
        <w:rPr>
          <w:spacing w:val="40"/>
        </w:rPr>
        <w:t> </w:t>
      </w:r>
      <w:r>
        <w:rPr>
          <w:i/>
        </w:rPr>
        <w:t>Structural Survey, </w:t>
      </w:r>
      <w:r>
        <w:rPr/>
        <w:t>20(2), 88-96.</w:t>
      </w:r>
    </w:p>
    <w:p>
      <w:pPr>
        <w:pStyle w:val="BodyText"/>
        <w:spacing w:before="84"/>
      </w:pPr>
    </w:p>
    <w:p>
      <w:pPr>
        <w:spacing w:before="0"/>
        <w:ind w:left="1211" w:right="1318" w:hanging="812"/>
        <w:jc w:val="both"/>
        <w:rPr>
          <w:sz w:val="24"/>
        </w:rPr>
      </w:pPr>
      <w:r>
        <w:rPr>
          <w:sz w:val="24"/>
        </w:rPr>
        <w:t>Abdullah,</w:t>
      </w:r>
      <w:r>
        <w:rPr>
          <w:spacing w:val="-1"/>
          <w:sz w:val="24"/>
        </w:rPr>
        <w:t> </w:t>
      </w:r>
      <w:r>
        <w:rPr>
          <w:sz w:val="24"/>
        </w:rPr>
        <w:t>A.,</w:t>
      </w:r>
      <w:r>
        <w:rPr>
          <w:spacing w:val="-1"/>
          <w:sz w:val="24"/>
        </w:rPr>
        <w:t> </w:t>
      </w:r>
      <w:r>
        <w:rPr>
          <w:sz w:val="24"/>
        </w:rPr>
        <w:t>Bilau,</w:t>
      </w:r>
      <w:r>
        <w:rPr>
          <w:spacing w:val="-1"/>
          <w:sz w:val="24"/>
        </w:rPr>
        <w:t> </w:t>
      </w:r>
      <w:r>
        <w:rPr>
          <w:sz w:val="24"/>
        </w:rPr>
        <w:t>A. A.,</w:t>
      </w:r>
      <w:r>
        <w:rPr>
          <w:spacing w:val="-1"/>
          <w:sz w:val="24"/>
        </w:rPr>
        <w:t> </w:t>
      </w:r>
      <w:r>
        <w:rPr>
          <w:sz w:val="24"/>
        </w:rPr>
        <w:t>Enegbuma,</w:t>
      </w:r>
      <w:r>
        <w:rPr>
          <w:spacing w:val="-1"/>
          <w:sz w:val="24"/>
        </w:rPr>
        <w:t> </w:t>
      </w:r>
      <w:r>
        <w:rPr>
          <w:sz w:val="24"/>
        </w:rPr>
        <w:t>W. I.,</w:t>
      </w:r>
      <w:r>
        <w:rPr>
          <w:spacing w:val="-1"/>
          <w:sz w:val="24"/>
        </w:rPr>
        <w:t> </w:t>
      </w:r>
      <w:r>
        <w:rPr>
          <w:sz w:val="24"/>
        </w:rPr>
        <w:t>Ajagbe,</w:t>
      </w:r>
      <w:r>
        <w:rPr>
          <w:spacing w:val="-1"/>
          <w:sz w:val="24"/>
        </w:rPr>
        <w:t> </w:t>
      </w:r>
      <w:r>
        <w:rPr>
          <w:sz w:val="24"/>
        </w:rPr>
        <w:t>A.</w:t>
      </w:r>
      <w:r>
        <w:rPr>
          <w:spacing w:val="-1"/>
          <w:sz w:val="24"/>
        </w:rPr>
        <w:t> </w:t>
      </w:r>
      <w:r>
        <w:rPr>
          <w:sz w:val="24"/>
        </w:rPr>
        <w:t>M.,</w:t>
      </w:r>
      <w:r>
        <w:rPr>
          <w:spacing w:val="-1"/>
          <w:sz w:val="24"/>
        </w:rPr>
        <w:t> </w:t>
      </w:r>
      <w:r>
        <w:rPr>
          <w:sz w:val="24"/>
        </w:rPr>
        <w:t>Ali,</w:t>
      </w:r>
      <w:r>
        <w:rPr>
          <w:spacing w:val="-1"/>
          <w:sz w:val="24"/>
        </w:rPr>
        <w:t> </w:t>
      </w:r>
      <w:r>
        <w:rPr>
          <w:sz w:val="24"/>
        </w:rPr>
        <w:t>K.</w:t>
      </w:r>
      <w:r>
        <w:rPr>
          <w:spacing w:val="-1"/>
          <w:sz w:val="24"/>
        </w:rPr>
        <w:t> </w:t>
      </w:r>
      <w:r>
        <w:rPr>
          <w:sz w:val="24"/>
        </w:rPr>
        <w:t>N.,</w:t>
      </w:r>
      <w:r>
        <w:rPr>
          <w:spacing w:val="-1"/>
          <w:sz w:val="24"/>
        </w:rPr>
        <w:t> </w:t>
      </w:r>
      <w:r>
        <w:rPr>
          <w:sz w:val="24"/>
        </w:rPr>
        <w:t>&amp;</w:t>
      </w:r>
      <w:r>
        <w:rPr>
          <w:spacing w:val="-3"/>
          <w:sz w:val="24"/>
        </w:rPr>
        <w:t> </w:t>
      </w:r>
      <w:r>
        <w:rPr>
          <w:sz w:val="24"/>
        </w:rPr>
        <w:t>Bustani,</w:t>
      </w:r>
      <w:r>
        <w:rPr>
          <w:spacing w:val="-1"/>
          <w:sz w:val="24"/>
        </w:rPr>
        <w:t> </w:t>
      </w:r>
      <w:r>
        <w:rPr>
          <w:sz w:val="24"/>
        </w:rPr>
        <w:t>S.</w:t>
      </w:r>
      <w:r>
        <w:rPr>
          <w:spacing w:val="-1"/>
          <w:sz w:val="24"/>
        </w:rPr>
        <w:t> </w:t>
      </w:r>
      <w:r>
        <w:rPr>
          <w:sz w:val="24"/>
        </w:rPr>
        <w:t>A.</w:t>
      </w:r>
      <w:r>
        <w:rPr>
          <w:spacing w:val="-1"/>
          <w:sz w:val="24"/>
        </w:rPr>
        <w:t> </w:t>
      </w:r>
      <w:r>
        <w:rPr>
          <w:sz w:val="24"/>
        </w:rPr>
        <w:t>(2012), Small</w:t>
      </w:r>
      <w:r>
        <w:rPr>
          <w:spacing w:val="-2"/>
          <w:sz w:val="24"/>
        </w:rPr>
        <w:t> </w:t>
      </w:r>
      <w:r>
        <w:rPr>
          <w:sz w:val="24"/>
        </w:rPr>
        <w:t>and</w:t>
      </w:r>
      <w:r>
        <w:rPr>
          <w:spacing w:val="-2"/>
          <w:sz w:val="24"/>
        </w:rPr>
        <w:t> </w:t>
      </w:r>
      <w:r>
        <w:rPr>
          <w:sz w:val="24"/>
        </w:rPr>
        <w:t>Medium</w:t>
      </w:r>
      <w:r>
        <w:rPr>
          <w:spacing w:val="-4"/>
          <w:sz w:val="24"/>
        </w:rPr>
        <w:t> </w:t>
      </w:r>
      <w:r>
        <w:rPr>
          <w:sz w:val="24"/>
        </w:rPr>
        <w:t>Sized</w:t>
      </w:r>
      <w:r>
        <w:rPr>
          <w:spacing w:val="-2"/>
          <w:sz w:val="24"/>
        </w:rPr>
        <w:t> </w:t>
      </w:r>
      <w:r>
        <w:rPr>
          <w:sz w:val="24"/>
        </w:rPr>
        <w:t>Construction</w:t>
      </w:r>
      <w:r>
        <w:rPr>
          <w:spacing w:val="-2"/>
          <w:sz w:val="24"/>
        </w:rPr>
        <w:t> </w:t>
      </w:r>
      <w:r>
        <w:rPr>
          <w:sz w:val="24"/>
        </w:rPr>
        <w:t>Firms</w:t>
      </w:r>
      <w:r>
        <w:rPr>
          <w:spacing w:val="-4"/>
          <w:sz w:val="24"/>
        </w:rPr>
        <w:t> </w:t>
      </w:r>
      <w:r>
        <w:rPr>
          <w:sz w:val="24"/>
        </w:rPr>
        <w:t>Job</w:t>
      </w:r>
      <w:r>
        <w:rPr>
          <w:spacing w:val="-4"/>
          <w:sz w:val="24"/>
        </w:rPr>
        <w:t> </w:t>
      </w:r>
      <w:r>
        <w:rPr>
          <w:sz w:val="24"/>
        </w:rPr>
        <w:t>Satisfaction</w:t>
      </w:r>
      <w:r>
        <w:rPr>
          <w:spacing w:val="-2"/>
          <w:sz w:val="24"/>
        </w:rPr>
        <w:t> </w:t>
      </w:r>
      <w:r>
        <w:rPr>
          <w:sz w:val="24"/>
        </w:rPr>
        <w:t>and</w:t>
      </w:r>
      <w:r>
        <w:rPr>
          <w:spacing w:val="-2"/>
          <w:sz w:val="24"/>
        </w:rPr>
        <w:t> </w:t>
      </w:r>
      <w:r>
        <w:rPr>
          <w:sz w:val="24"/>
        </w:rPr>
        <w:t>Evaluation</w:t>
      </w:r>
      <w:r>
        <w:rPr>
          <w:spacing w:val="-2"/>
          <w:sz w:val="24"/>
        </w:rPr>
        <w:t> </w:t>
      </w:r>
      <w:r>
        <w:rPr>
          <w:sz w:val="24"/>
        </w:rPr>
        <w:t>in</w:t>
      </w:r>
      <w:r>
        <w:rPr>
          <w:spacing w:val="-2"/>
          <w:sz w:val="24"/>
        </w:rPr>
        <w:t> </w:t>
      </w:r>
      <w:r>
        <w:rPr>
          <w:sz w:val="24"/>
        </w:rPr>
        <w:t>Nigeria. </w:t>
      </w:r>
      <w:r>
        <w:rPr>
          <w:i/>
          <w:sz w:val="24"/>
        </w:rPr>
        <w:t>International Journal of Social Science and Humanity</w:t>
      </w:r>
      <w:r>
        <w:rPr>
          <w:sz w:val="24"/>
        </w:rPr>
        <w:t>, 2(1), 35-40.</w:t>
      </w:r>
    </w:p>
    <w:p>
      <w:pPr>
        <w:pStyle w:val="BodyText"/>
        <w:spacing w:before="84"/>
      </w:pPr>
    </w:p>
    <w:p>
      <w:pPr>
        <w:spacing w:before="0"/>
        <w:ind w:left="1211" w:right="1317" w:hanging="812"/>
        <w:jc w:val="both"/>
        <w:rPr>
          <w:sz w:val="24"/>
        </w:rPr>
      </w:pPr>
      <w:r>
        <w:rPr>
          <w:sz w:val="24"/>
        </w:rPr>
        <w:t>Abubakar. A. S. &amp;</w:t>
      </w:r>
      <w:r>
        <w:rPr>
          <w:spacing w:val="-1"/>
          <w:sz w:val="24"/>
        </w:rPr>
        <w:t> </w:t>
      </w:r>
      <w:r>
        <w:rPr>
          <w:sz w:val="24"/>
        </w:rPr>
        <w:t>Yahya. Z. A. (2013). Strengthening</w:t>
      </w:r>
      <w:r>
        <w:rPr>
          <w:spacing w:val="-1"/>
          <w:sz w:val="24"/>
        </w:rPr>
        <w:t> </w:t>
      </w:r>
      <w:r>
        <w:rPr>
          <w:sz w:val="24"/>
        </w:rPr>
        <w:t>Small and Medium Enterprises (SMEs) a Strategy for Poverty Reduction in North Western Nigeria. </w:t>
      </w:r>
      <w:r>
        <w:rPr>
          <w:i/>
          <w:sz w:val="24"/>
        </w:rPr>
        <w:t>American Journal of Humanities and Social Sciences </w:t>
      </w:r>
      <w:r>
        <w:rPr>
          <w:sz w:val="24"/>
        </w:rPr>
        <w:t>1(3).</w:t>
      </w:r>
    </w:p>
    <w:p>
      <w:pPr>
        <w:pStyle w:val="BodyText"/>
        <w:spacing w:before="84"/>
      </w:pPr>
    </w:p>
    <w:p>
      <w:pPr>
        <w:pStyle w:val="BodyText"/>
        <w:ind w:left="1211" w:right="1318" w:hanging="812"/>
        <w:jc w:val="both"/>
        <w:rPr>
          <w:i/>
        </w:rPr>
      </w:pPr>
      <w:r>
        <w:rPr/>
        <w:t>Adams, O.A. (1995). Indigenous Contractors’ Perceptions of the Constraints on Contractors Performance and Development Programmes Required in Nigeria.</w:t>
      </w:r>
      <w:r>
        <w:rPr>
          <w:spacing w:val="40"/>
        </w:rPr>
        <w:t> </w:t>
      </w:r>
      <w:r>
        <w:rPr>
          <w:i/>
        </w:rPr>
        <w:t>HABITAT International, </w:t>
      </w:r>
      <w:r>
        <w:rPr/>
        <w:t>19(4),599-613</w:t>
      </w:r>
      <w:r>
        <w:rPr>
          <w:i/>
        </w:rPr>
        <w:t>.</w:t>
      </w:r>
    </w:p>
    <w:p>
      <w:pPr>
        <w:pStyle w:val="BodyText"/>
        <w:spacing w:before="84"/>
        <w:rPr>
          <w:i/>
        </w:rPr>
      </w:pPr>
    </w:p>
    <w:p>
      <w:pPr>
        <w:spacing w:before="0"/>
        <w:ind w:left="1211" w:right="1321" w:hanging="812"/>
        <w:jc w:val="both"/>
        <w:rPr>
          <w:i/>
          <w:sz w:val="24"/>
        </w:rPr>
      </w:pPr>
      <w:r>
        <w:rPr>
          <w:sz w:val="24"/>
        </w:rPr>
        <w:t>Adams, S. O. (1997). Contractor Development in Nigeria: Perception of Contractors and Professionals.</w:t>
      </w:r>
      <w:r>
        <w:rPr>
          <w:spacing w:val="40"/>
          <w:sz w:val="24"/>
        </w:rPr>
        <w:t> </w:t>
      </w:r>
      <w:r>
        <w:rPr>
          <w:i/>
          <w:sz w:val="24"/>
        </w:rPr>
        <w:t>Journal of Construction Management and Economics</w:t>
      </w:r>
      <w:r>
        <w:rPr>
          <w:sz w:val="24"/>
        </w:rPr>
        <w:t>, 15(1), 95-108</w:t>
      </w:r>
      <w:r>
        <w:rPr>
          <w:i/>
          <w:sz w:val="24"/>
        </w:rPr>
        <w:t>.</w:t>
      </w:r>
    </w:p>
    <w:p>
      <w:pPr>
        <w:pStyle w:val="BodyText"/>
        <w:spacing w:before="84"/>
        <w:rPr>
          <w:i/>
        </w:rPr>
      </w:pPr>
    </w:p>
    <w:p>
      <w:pPr>
        <w:spacing w:before="0"/>
        <w:ind w:left="1211" w:right="1318" w:hanging="812"/>
        <w:jc w:val="both"/>
        <w:rPr>
          <w:sz w:val="24"/>
        </w:rPr>
      </w:pPr>
      <w:r>
        <w:rPr>
          <w:sz w:val="24"/>
        </w:rPr>
        <w:t>Adamu, M., &amp; Kolawole,B.O. (2011). The Role of Construction Industry in Arresting Rural Urban Drift in Nigeria. </w:t>
      </w:r>
      <w:r>
        <w:rPr>
          <w:i/>
          <w:sz w:val="24"/>
        </w:rPr>
        <w:t>Journal of Environmental Research and Policies. </w:t>
      </w:r>
      <w:r>
        <w:rPr>
          <w:sz w:val="24"/>
        </w:rPr>
        <w:t>6(3):83-94.</w:t>
      </w:r>
    </w:p>
    <w:p>
      <w:pPr>
        <w:pStyle w:val="BodyText"/>
        <w:spacing w:before="84"/>
      </w:pPr>
    </w:p>
    <w:p>
      <w:pPr>
        <w:spacing w:before="0"/>
        <w:ind w:left="1211" w:right="1318" w:hanging="812"/>
        <w:jc w:val="both"/>
        <w:rPr>
          <w:sz w:val="24"/>
        </w:rPr>
      </w:pPr>
      <w:r>
        <w:rPr>
          <w:sz w:val="24"/>
        </w:rPr>
        <w:t>Adamu</w:t>
      </w:r>
      <w:r>
        <w:rPr>
          <w:spacing w:val="-1"/>
          <w:sz w:val="24"/>
        </w:rPr>
        <w:t> </w:t>
      </w:r>
      <w:r>
        <w:rPr>
          <w:sz w:val="24"/>
        </w:rPr>
        <w:t>.M.Bioku, J.</w:t>
      </w:r>
      <w:r>
        <w:rPr>
          <w:spacing w:val="-1"/>
          <w:sz w:val="24"/>
        </w:rPr>
        <w:t> </w:t>
      </w:r>
      <w:r>
        <w:rPr>
          <w:sz w:val="24"/>
        </w:rPr>
        <w:t>Kolawole,</w:t>
      </w:r>
      <w:r>
        <w:rPr>
          <w:spacing w:val="-1"/>
          <w:sz w:val="24"/>
        </w:rPr>
        <w:t> </w:t>
      </w:r>
      <w:r>
        <w:rPr>
          <w:sz w:val="24"/>
        </w:rPr>
        <w:t>O. (2015).Assessing</w:t>
      </w:r>
      <w:r>
        <w:rPr>
          <w:spacing w:val="-3"/>
          <w:sz w:val="24"/>
        </w:rPr>
        <w:t> </w:t>
      </w:r>
      <w:r>
        <w:rPr>
          <w:sz w:val="24"/>
        </w:rPr>
        <w:t>the</w:t>
      </w:r>
      <w:r>
        <w:rPr>
          <w:spacing w:val="-2"/>
          <w:sz w:val="24"/>
        </w:rPr>
        <w:t> </w:t>
      </w:r>
      <w:r>
        <w:rPr>
          <w:sz w:val="24"/>
        </w:rPr>
        <w:t>Characteristics</w:t>
      </w:r>
      <w:r>
        <w:rPr>
          <w:spacing w:val="-1"/>
          <w:sz w:val="24"/>
        </w:rPr>
        <w:t> </w:t>
      </w:r>
      <w:r>
        <w:rPr>
          <w:sz w:val="24"/>
        </w:rPr>
        <w:t>of Nigerian</w:t>
      </w:r>
      <w:r>
        <w:rPr>
          <w:spacing w:val="-1"/>
          <w:sz w:val="24"/>
        </w:rPr>
        <w:t> </w:t>
      </w:r>
      <w:r>
        <w:rPr>
          <w:sz w:val="24"/>
        </w:rPr>
        <w:t>Construction Industry in Infrastructure </w:t>
      </w:r>
      <w:r>
        <w:rPr>
          <w:i/>
          <w:sz w:val="24"/>
        </w:rPr>
        <w:t>Development International Journal of Engineering Research</w:t>
      </w:r>
      <w:r>
        <w:rPr>
          <w:i/>
          <w:spacing w:val="40"/>
          <w:sz w:val="24"/>
        </w:rPr>
        <w:t> </w:t>
      </w:r>
      <w:r>
        <w:rPr>
          <w:i/>
          <w:sz w:val="24"/>
        </w:rPr>
        <w:t>&amp; Technology (IJERT) </w:t>
      </w:r>
      <w:r>
        <w:rPr>
          <w:sz w:val="24"/>
        </w:rPr>
        <w:t>ISSN: 2278 </w:t>
      </w:r>
      <w:hyperlink r:id="rId37">
        <w:r>
          <w:rPr>
            <w:sz w:val="24"/>
          </w:rPr>
          <w:t>0181w</w:t>
        </w:r>
      </w:hyperlink>
      <w:r>
        <w:rPr>
          <w:sz w:val="24"/>
        </w:rPr>
        <w:t>ww.i</w:t>
      </w:r>
      <w:hyperlink r:id="rId37">
        <w:r>
          <w:rPr>
            <w:sz w:val="24"/>
          </w:rPr>
          <w:t>jert.orgIJERTV4IS110602,</w:t>
        </w:r>
      </w:hyperlink>
      <w:r>
        <w:rPr>
          <w:sz w:val="24"/>
        </w:rPr>
        <w:t> 4(11).</w:t>
      </w:r>
    </w:p>
    <w:p>
      <w:pPr>
        <w:pStyle w:val="BodyText"/>
        <w:spacing w:before="84"/>
      </w:pPr>
    </w:p>
    <w:p>
      <w:pPr>
        <w:spacing w:before="0"/>
        <w:ind w:left="1211" w:right="1315" w:hanging="812"/>
        <w:jc w:val="both"/>
        <w:rPr>
          <w:i/>
          <w:sz w:val="24"/>
        </w:rPr>
      </w:pPr>
      <w:r>
        <w:rPr>
          <w:sz w:val="24"/>
        </w:rPr>
        <w:t>Addae-Korankye, A. (2013). Total quality management (TQM): a source of competitive advantage.</w:t>
      </w:r>
      <w:r>
        <w:rPr>
          <w:spacing w:val="40"/>
          <w:sz w:val="24"/>
        </w:rPr>
        <w:t> </w:t>
      </w:r>
      <w:r>
        <w:rPr>
          <w:sz w:val="24"/>
        </w:rPr>
        <w:t>A comparative study of manufacturing and service firms in Ghana. </w:t>
      </w:r>
      <w:r>
        <w:rPr>
          <w:i/>
          <w:sz w:val="24"/>
        </w:rPr>
        <w:t>International Journal of Asian Social Science, 3(6):1293-1305</w:t>
      </w:r>
    </w:p>
    <w:p>
      <w:pPr>
        <w:pStyle w:val="BodyText"/>
        <w:spacing w:before="84"/>
        <w:rPr>
          <w:i/>
        </w:rPr>
      </w:pPr>
    </w:p>
    <w:p>
      <w:pPr>
        <w:spacing w:before="0"/>
        <w:ind w:left="1211" w:right="1314" w:hanging="812"/>
        <w:jc w:val="both"/>
        <w:rPr>
          <w:i/>
          <w:sz w:val="24"/>
        </w:rPr>
      </w:pPr>
      <w:r>
        <w:rPr>
          <w:sz w:val="24"/>
        </w:rPr>
        <w:t>Adoyo, B.</w:t>
      </w:r>
      <w:r>
        <w:rPr>
          <w:spacing w:val="40"/>
          <w:sz w:val="24"/>
        </w:rPr>
        <w:t> </w:t>
      </w:r>
      <w:r>
        <w:rPr>
          <w:sz w:val="24"/>
        </w:rPr>
        <w:t>(2012). The Relationship between Customer Service Quality and Customer Loyalty among Retail Pharmacies in Western Kenya. </w:t>
      </w:r>
      <w:r>
        <w:rPr>
          <w:i/>
          <w:sz w:val="24"/>
        </w:rPr>
        <w:t>Business and Management Review, 2(3), </w:t>
      </w:r>
      <w:r>
        <w:rPr>
          <w:i/>
          <w:spacing w:val="-2"/>
          <w:sz w:val="24"/>
        </w:rPr>
        <w:t>11-21.</w:t>
      </w:r>
    </w:p>
    <w:p>
      <w:pPr>
        <w:spacing w:after="0"/>
        <w:jc w:val="both"/>
        <w:rPr>
          <w:sz w:val="24"/>
        </w:rPr>
        <w:sectPr>
          <w:pgSz w:w="12240" w:h="15840"/>
          <w:pgMar w:header="0" w:footer="1017" w:top="1360" w:bottom="1200" w:left="1040" w:right="120"/>
        </w:sectPr>
      </w:pPr>
    </w:p>
    <w:p>
      <w:pPr>
        <w:pStyle w:val="BodyText"/>
        <w:spacing w:before="72"/>
        <w:ind w:left="1211" w:right="1319" w:hanging="812"/>
        <w:jc w:val="both"/>
      </w:pPr>
      <w:r>
        <w:rPr/>
        <w:t>Ade .A. B., Musibau A. A., Ahmadu .S. B &amp; Anthon B. S. (2015).Review of Absorptive Capacity in Small and Medium Sized Construction Firms in Nigeria</w:t>
      </w:r>
    </w:p>
    <w:p>
      <w:pPr>
        <w:pStyle w:val="BodyText"/>
        <w:ind w:left="1211"/>
      </w:pPr>
      <w:hyperlink r:id="rId38">
        <w:r>
          <w:rPr/>
          <w:t>www.iiste.org</w:t>
        </w:r>
      </w:hyperlink>
      <w:r>
        <w:rPr>
          <w:spacing w:val="-3"/>
        </w:rPr>
        <w:t> </w:t>
      </w:r>
      <w:r>
        <w:rPr/>
        <w:t>ISSN</w:t>
      </w:r>
      <w:r>
        <w:rPr>
          <w:spacing w:val="-3"/>
        </w:rPr>
        <w:t> </w:t>
      </w:r>
      <w:r>
        <w:rPr/>
        <w:t>2224-607X</w:t>
      </w:r>
      <w:r>
        <w:rPr>
          <w:spacing w:val="-3"/>
        </w:rPr>
        <w:t> </w:t>
      </w:r>
      <w:r>
        <w:rPr/>
        <w:t>(Paper)</w:t>
      </w:r>
      <w:r>
        <w:rPr>
          <w:spacing w:val="-2"/>
        </w:rPr>
        <w:t> </w:t>
      </w:r>
      <w:r>
        <w:rPr/>
        <w:t>ISSN</w:t>
      </w:r>
      <w:r>
        <w:rPr>
          <w:spacing w:val="-3"/>
        </w:rPr>
        <w:t> </w:t>
      </w:r>
      <w:r>
        <w:rPr/>
        <w:t>2225-0565</w:t>
      </w:r>
      <w:r>
        <w:rPr>
          <w:spacing w:val="-2"/>
        </w:rPr>
        <w:t> </w:t>
      </w:r>
      <w:r>
        <w:rPr/>
        <w:t>(Online)</w:t>
      </w:r>
      <w:r>
        <w:rPr>
          <w:spacing w:val="-3"/>
        </w:rPr>
        <w:t> </w:t>
      </w:r>
      <w:r>
        <w:rPr>
          <w:spacing w:val="-2"/>
        </w:rPr>
        <w:t>Vol.5.</w:t>
      </w:r>
    </w:p>
    <w:p>
      <w:pPr>
        <w:pStyle w:val="BodyText"/>
        <w:spacing w:before="84"/>
      </w:pPr>
    </w:p>
    <w:p>
      <w:pPr>
        <w:pStyle w:val="BodyText"/>
        <w:ind w:left="1211" w:right="1319" w:hanging="812"/>
        <w:jc w:val="both"/>
      </w:pPr>
      <w:r>
        <w:rPr/>
        <w:t>Afuah, A. (2009). Strategic innovation - New game strategies for competitive advantage, New </w:t>
      </w:r>
      <w:r>
        <w:rPr>
          <w:spacing w:val="-2"/>
        </w:rPr>
        <w:t>York:Routledge.</w:t>
      </w:r>
    </w:p>
    <w:p>
      <w:pPr>
        <w:pStyle w:val="BodyText"/>
        <w:spacing w:before="84"/>
      </w:pPr>
    </w:p>
    <w:p>
      <w:pPr>
        <w:spacing w:before="0"/>
        <w:ind w:left="1211" w:right="1316" w:hanging="812"/>
        <w:jc w:val="both"/>
        <w:rPr>
          <w:sz w:val="24"/>
        </w:rPr>
      </w:pPr>
      <w:r>
        <w:rPr>
          <w:sz w:val="24"/>
        </w:rPr>
        <w:t>Ajagbe, A.M., &amp; Ismail, K. (2014). Factors Influencing Venture Capital Assessment of High Growth Companies in Malaysia. </w:t>
      </w:r>
      <w:r>
        <w:rPr>
          <w:i/>
          <w:sz w:val="24"/>
        </w:rPr>
        <w:t>International Journal of Entrepreneurship and small Business, </w:t>
      </w:r>
      <w:r>
        <w:rPr>
          <w:sz w:val="24"/>
        </w:rPr>
        <w:t>21(4), 457-494.</w:t>
      </w:r>
    </w:p>
    <w:p>
      <w:pPr>
        <w:pStyle w:val="BodyText"/>
        <w:spacing w:before="84"/>
      </w:pPr>
    </w:p>
    <w:p>
      <w:pPr>
        <w:spacing w:before="0"/>
        <w:ind w:left="1211" w:right="1317" w:hanging="812"/>
        <w:jc w:val="both"/>
        <w:rPr>
          <w:sz w:val="24"/>
        </w:rPr>
      </w:pPr>
      <w:r>
        <w:rPr>
          <w:sz w:val="24"/>
        </w:rPr>
        <w:t>Ajagbe, A. M., Ismail, K.,Aslan, A. S., &amp; Choi, S. L. (2012). Investment in Technology Based Small Medium Sized Firms in Malaysia: Roles for commercial Banks. </w:t>
      </w:r>
      <w:r>
        <w:rPr>
          <w:i/>
          <w:sz w:val="24"/>
        </w:rPr>
        <w:t>International journal of Research in Management and Technology, </w:t>
      </w:r>
      <w:r>
        <w:rPr>
          <w:sz w:val="24"/>
        </w:rPr>
        <w:t>2(2), 147-153.</w:t>
      </w:r>
    </w:p>
    <w:p>
      <w:pPr>
        <w:pStyle w:val="BodyText"/>
        <w:spacing w:before="84"/>
      </w:pPr>
    </w:p>
    <w:p>
      <w:pPr>
        <w:pStyle w:val="BodyText"/>
        <w:ind w:left="1211" w:right="1318" w:hanging="812"/>
        <w:jc w:val="both"/>
      </w:pPr>
      <w:r>
        <w:rPr/>
        <w:t>Agus, A., &amp; Sagir, R.M. (2001). The structural relationships between total quality management, Competitive Advantage and bottom line financial performance: An empirical study of Malaysian manufacturing companies, Total Quality</w:t>
      </w:r>
      <w:r>
        <w:rPr>
          <w:spacing w:val="-3"/>
        </w:rPr>
        <w:t> </w:t>
      </w:r>
      <w:r>
        <w:rPr/>
        <w:t>Management, 12 (7&amp;8), 1018- 1024</w:t>
      </w:r>
    </w:p>
    <w:p>
      <w:pPr>
        <w:pStyle w:val="BodyText"/>
        <w:spacing w:before="84"/>
      </w:pPr>
    </w:p>
    <w:p>
      <w:pPr>
        <w:pStyle w:val="BodyText"/>
        <w:ind w:left="1211" w:right="1314" w:hanging="812"/>
        <w:jc w:val="both"/>
      </w:pPr>
      <w:r>
        <w:rPr/>
        <w:t>Agwu</w:t>
      </w:r>
      <w:r>
        <w:rPr>
          <w:spacing w:val="40"/>
        </w:rPr>
        <w:t> </w:t>
      </w:r>
      <w:r>
        <w:rPr/>
        <w:t>M O., &amp; Emeti C I (2014). Issues, Challenges and Prospects of Small and Medium Scale Enterprises (SMEs) in Port-Harcourt City, Nigeria. </w:t>
      </w:r>
      <w:r>
        <w:rPr>
          <w:i/>
        </w:rPr>
        <w:t>European Journal of Sustainable </w:t>
      </w:r>
      <w:r>
        <w:rPr/>
        <w:t>development.</w:t>
      </w:r>
      <w:r>
        <w:rPr>
          <w:spacing w:val="40"/>
        </w:rPr>
        <w:t> </w:t>
      </w:r>
      <w:r>
        <w:rPr/>
        <w:t>3(1), 101-114</w:t>
      </w:r>
    </w:p>
    <w:p>
      <w:pPr>
        <w:pStyle w:val="BodyText"/>
        <w:spacing w:before="84"/>
      </w:pPr>
    </w:p>
    <w:p>
      <w:pPr>
        <w:spacing w:before="0"/>
        <w:ind w:left="1211" w:right="1318" w:hanging="812"/>
        <w:jc w:val="both"/>
        <w:rPr>
          <w:i/>
          <w:sz w:val="24"/>
        </w:rPr>
      </w:pPr>
      <w:r>
        <w:rPr>
          <w:sz w:val="24"/>
        </w:rPr>
        <w:t>Ahire, S., &amp;</w:t>
      </w:r>
      <w:r>
        <w:rPr>
          <w:spacing w:val="-2"/>
          <w:sz w:val="24"/>
        </w:rPr>
        <w:t> </w:t>
      </w:r>
      <w:r>
        <w:rPr>
          <w:sz w:val="24"/>
        </w:rPr>
        <w:t>Golhar, D. (1996). Quality</w:t>
      </w:r>
      <w:r>
        <w:rPr>
          <w:spacing w:val="-5"/>
          <w:sz w:val="24"/>
        </w:rPr>
        <w:t> </w:t>
      </w:r>
      <w:r>
        <w:rPr>
          <w:sz w:val="24"/>
        </w:rPr>
        <w:t>Management in Large</w:t>
      </w:r>
      <w:r>
        <w:rPr>
          <w:spacing w:val="-1"/>
          <w:sz w:val="24"/>
        </w:rPr>
        <w:t> </w:t>
      </w:r>
      <w:r>
        <w:rPr>
          <w:sz w:val="24"/>
        </w:rPr>
        <w:t>vs Small Firms.</w:t>
      </w:r>
      <w:r>
        <w:rPr>
          <w:spacing w:val="80"/>
          <w:sz w:val="24"/>
        </w:rPr>
        <w:t> </w:t>
      </w:r>
      <w:r>
        <w:rPr>
          <w:i/>
          <w:sz w:val="24"/>
        </w:rPr>
        <w:t>Journal of Small Business Management, 34, (2).</w:t>
      </w:r>
    </w:p>
    <w:p>
      <w:pPr>
        <w:pStyle w:val="BodyText"/>
        <w:spacing w:before="84"/>
        <w:rPr>
          <w:i/>
        </w:rPr>
      </w:pPr>
    </w:p>
    <w:p>
      <w:pPr>
        <w:spacing w:before="0"/>
        <w:ind w:left="1211" w:right="1320" w:hanging="812"/>
        <w:jc w:val="both"/>
        <w:rPr>
          <w:i/>
          <w:sz w:val="24"/>
        </w:rPr>
      </w:pPr>
      <w:r>
        <w:rPr>
          <w:sz w:val="24"/>
        </w:rPr>
        <w:t>Ahire, L.S., Waller, M.A., &amp; Gohar, D. Y. (1995). Quality in TQM versus non-TQM firms: an impirical investigation. </w:t>
      </w:r>
      <w:r>
        <w:rPr>
          <w:i/>
          <w:sz w:val="24"/>
        </w:rPr>
        <w:t>International Journal of Quality &amp; Reliability Management, 13(8), 827</w:t>
      </w:r>
    </w:p>
    <w:p>
      <w:pPr>
        <w:pStyle w:val="BodyText"/>
        <w:spacing w:before="84"/>
        <w:rPr>
          <w:i/>
        </w:rPr>
      </w:pPr>
    </w:p>
    <w:p>
      <w:pPr>
        <w:pStyle w:val="BodyText"/>
        <w:ind w:left="1211" w:right="1321" w:hanging="812"/>
        <w:jc w:val="both"/>
      </w:pPr>
      <w:r>
        <w:rPr/>
        <w:t>Ahire, S. L., Golhar, D. Y., &amp; Waller, M. A. (1996). Development and validation of TQM implementation constructs. Decision Sciences, 27(1), 23-56.</w:t>
      </w:r>
    </w:p>
    <w:p>
      <w:pPr>
        <w:pStyle w:val="BodyText"/>
        <w:spacing w:before="84"/>
      </w:pPr>
    </w:p>
    <w:p>
      <w:pPr>
        <w:pStyle w:val="BodyText"/>
        <w:ind w:left="1211" w:right="1316" w:hanging="812"/>
        <w:jc w:val="both"/>
      </w:pPr>
      <w:r>
        <w:rPr/>
        <w:t>Ahmed Mohammed Al-Musleh. (2010). Development of a Framework for Total Quality Management Principles in the Construction Companies with Special Reference to the Construction Companies in the State of Qatar School of Engineering and Material Sciences at the Queen Mary, University of London, London, United Kingdom</w:t>
      </w:r>
    </w:p>
    <w:p>
      <w:pPr>
        <w:pStyle w:val="BodyText"/>
        <w:spacing w:before="84"/>
      </w:pPr>
    </w:p>
    <w:p>
      <w:pPr>
        <w:spacing w:before="1"/>
        <w:ind w:left="1211" w:right="1316" w:hanging="812"/>
        <w:jc w:val="both"/>
        <w:rPr>
          <w:sz w:val="24"/>
        </w:rPr>
      </w:pPr>
      <w:r>
        <w:rPr>
          <w:sz w:val="24"/>
        </w:rPr>
        <w:t>Ajagbe, A. M. &amp; Ismail, K. (2014), Factors Influencing Venture Capital Assessment of High Growth Companies in Malaysia. </w:t>
      </w:r>
      <w:r>
        <w:rPr>
          <w:i/>
          <w:sz w:val="24"/>
        </w:rPr>
        <w:t>International Journal of Entrepreneurship and Small Business</w:t>
      </w:r>
      <w:r>
        <w:rPr>
          <w:sz w:val="24"/>
        </w:rPr>
        <w:t>, 21(4): 457-494.</w:t>
      </w:r>
    </w:p>
    <w:p>
      <w:pPr>
        <w:spacing w:after="0"/>
        <w:jc w:val="both"/>
        <w:rPr>
          <w:sz w:val="24"/>
        </w:rPr>
        <w:sectPr>
          <w:pgSz w:w="12240" w:h="15840"/>
          <w:pgMar w:header="0" w:footer="1017" w:top="1360" w:bottom="1200" w:left="1040" w:right="120"/>
        </w:sectPr>
      </w:pPr>
    </w:p>
    <w:p>
      <w:pPr>
        <w:spacing w:before="72"/>
        <w:ind w:left="1211" w:right="1318" w:hanging="812"/>
        <w:jc w:val="both"/>
        <w:rPr>
          <w:sz w:val="24"/>
        </w:rPr>
      </w:pPr>
      <w:r>
        <w:rPr>
          <w:sz w:val="24"/>
        </w:rPr>
        <w:t>Akanni P. O., Oke E. A., &amp; Akpomiemie O. A. </w:t>
      </w:r>
      <w:r>
        <w:rPr>
          <w:i/>
          <w:sz w:val="24"/>
        </w:rPr>
        <w:t>(</w:t>
      </w:r>
      <w:r>
        <w:rPr>
          <w:sz w:val="24"/>
        </w:rPr>
        <w:t>2014</w:t>
      </w:r>
      <w:r>
        <w:rPr>
          <w:i/>
          <w:sz w:val="24"/>
        </w:rPr>
        <w:t>). </w:t>
      </w:r>
      <w:r>
        <w:rPr>
          <w:sz w:val="24"/>
        </w:rPr>
        <w:t>Impact of environmental factors on building project performance in Delta State, Nigeria</w:t>
      </w:r>
      <w:r>
        <w:rPr>
          <w:i/>
          <w:sz w:val="24"/>
        </w:rPr>
        <w:t>. HBRC Journal. Advance online publication. </w:t>
      </w:r>
      <w:r>
        <w:rPr>
          <w:sz w:val="24"/>
        </w:rPr>
        <w:t>doi:10.1016/j.hbrcj.2014.02.010</w:t>
      </w:r>
    </w:p>
    <w:p>
      <w:pPr>
        <w:pStyle w:val="BodyText"/>
        <w:spacing w:before="84"/>
      </w:pPr>
    </w:p>
    <w:p>
      <w:pPr>
        <w:pStyle w:val="BodyText"/>
        <w:ind w:left="1211" w:right="1318" w:hanging="812"/>
        <w:jc w:val="both"/>
      </w:pPr>
      <w:r>
        <w:rPr/>
        <w:t>Akintunde, I.</w:t>
      </w:r>
      <w:r>
        <w:rPr>
          <w:spacing w:val="40"/>
        </w:rPr>
        <w:t> </w:t>
      </w:r>
      <w:r>
        <w:rPr/>
        <w:t>(2003). The Nigerian Construction Industry:</w:t>
      </w:r>
      <w:r>
        <w:rPr>
          <w:spacing w:val="40"/>
        </w:rPr>
        <w:t> </w:t>
      </w:r>
      <w:r>
        <w:rPr/>
        <w:t>Past, Present, Problems and Prospects: Ibadan University Printery.</w:t>
      </w:r>
    </w:p>
    <w:p>
      <w:pPr>
        <w:pStyle w:val="BodyText"/>
        <w:spacing w:before="84"/>
      </w:pPr>
    </w:p>
    <w:p>
      <w:pPr>
        <w:spacing w:before="0"/>
        <w:ind w:left="1211" w:right="1316" w:hanging="812"/>
        <w:jc w:val="both"/>
        <w:rPr>
          <w:sz w:val="24"/>
        </w:rPr>
      </w:pPr>
      <w:r>
        <w:rPr>
          <w:sz w:val="24"/>
        </w:rPr>
        <w:t>Alaa M.., &amp; James S. (1996). The Changing Basis of Performance Measurement</w:t>
      </w:r>
      <w:r>
        <w:rPr>
          <w:i/>
          <w:sz w:val="24"/>
        </w:rPr>
        <w:t>, International Journal of Operations &amp; Production Management, </w:t>
      </w:r>
      <w:r>
        <w:rPr>
          <w:sz w:val="24"/>
        </w:rPr>
        <w:t>16 (8): 63-80</w:t>
      </w:r>
    </w:p>
    <w:p>
      <w:pPr>
        <w:pStyle w:val="BodyText"/>
        <w:spacing w:before="84"/>
      </w:pPr>
    </w:p>
    <w:p>
      <w:pPr>
        <w:pStyle w:val="BodyText"/>
        <w:ind w:left="1211" w:right="1319" w:hanging="812"/>
        <w:jc w:val="both"/>
      </w:pPr>
      <w:r>
        <w:rPr/>
        <w:t>Al-Asiri,</w:t>
      </w:r>
      <w:r>
        <w:rPr>
          <w:spacing w:val="-1"/>
        </w:rPr>
        <w:t> </w:t>
      </w:r>
      <w:r>
        <w:rPr/>
        <w:t>M.</w:t>
      </w:r>
      <w:r>
        <w:rPr>
          <w:spacing w:val="-1"/>
        </w:rPr>
        <w:t> </w:t>
      </w:r>
      <w:r>
        <w:rPr/>
        <w:t>(2004). Factors</w:t>
      </w:r>
      <w:r>
        <w:rPr>
          <w:spacing w:val="-1"/>
        </w:rPr>
        <w:t> </w:t>
      </w:r>
      <w:r>
        <w:rPr/>
        <w:t>Affect</w:t>
      </w:r>
      <w:r>
        <w:rPr>
          <w:spacing w:val="-1"/>
        </w:rPr>
        <w:t> </w:t>
      </w:r>
      <w:r>
        <w:rPr/>
        <w:t>the</w:t>
      </w:r>
      <w:r>
        <w:rPr>
          <w:spacing w:val="-2"/>
        </w:rPr>
        <w:t> </w:t>
      </w:r>
      <w:r>
        <w:rPr/>
        <w:t>Practices</w:t>
      </w:r>
      <w:r>
        <w:rPr>
          <w:spacing w:val="-1"/>
        </w:rPr>
        <w:t> </w:t>
      </w:r>
      <w:r>
        <w:rPr/>
        <w:t>of ISO</w:t>
      </w:r>
      <w:r>
        <w:rPr>
          <w:spacing w:val="-2"/>
        </w:rPr>
        <w:t> </w:t>
      </w:r>
      <w:r>
        <w:rPr/>
        <w:t>9001:2000</w:t>
      </w:r>
      <w:r>
        <w:rPr>
          <w:spacing w:val="-1"/>
        </w:rPr>
        <w:t> </w:t>
      </w:r>
      <w:r>
        <w:rPr/>
        <w:t>Quality</w:t>
      </w:r>
      <w:r>
        <w:rPr>
          <w:spacing w:val="-3"/>
        </w:rPr>
        <w:t> </w:t>
      </w:r>
      <w:r>
        <w:rPr/>
        <w:t>Management System in Saudi Business Organizations, Ph.D. Thesis, University of Central Florida.</w:t>
      </w:r>
    </w:p>
    <w:p>
      <w:pPr>
        <w:pStyle w:val="BodyText"/>
        <w:spacing w:before="84"/>
      </w:pPr>
    </w:p>
    <w:p>
      <w:pPr>
        <w:pStyle w:val="BodyText"/>
        <w:ind w:left="1211" w:right="1317" w:hanging="812"/>
        <w:jc w:val="both"/>
      </w:pPr>
      <w:r>
        <w:rPr/>
        <w:t>Alintah-Abel,U.,&amp; Nnadi, E. O. E.(2015) An assessment of foreign construction firms’ Participation on the</w:t>
      </w:r>
      <w:r>
        <w:rPr>
          <w:spacing w:val="-1"/>
        </w:rPr>
        <w:t> </w:t>
      </w:r>
      <w:r>
        <w:rPr/>
        <w:t>cost</w:t>
      </w:r>
      <w:r>
        <w:rPr>
          <w:spacing w:val="-2"/>
        </w:rPr>
        <w:t> </w:t>
      </w:r>
      <w:r>
        <w:rPr/>
        <w:t>of construction works in Nigeria. In: Ogunsemi, D.R, Awodele, O.A,&amp; Oke, A.E (Eds). Proceedings of the 2</w:t>
      </w:r>
      <w:r>
        <w:rPr>
          <w:vertAlign w:val="superscript"/>
        </w:rPr>
        <w:t>nd</w:t>
      </w:r>
      <w:r>
        <w:rPr>
          <w:vertAlign w:val="baseline"/>
        </w:rPr>
        <w:t> Nigerian Institute of Quantity Surveyors Research Conference Federal University of Technology, Akure .pp. 2-13.</w:t>
      </w:r>
    </w:p>
    <w:p>
      <w:pPr>
        <w:pStyle w:val="BodyText"/>
        <w:spacing w:before="84"/>
      </w:pPr>
    </w:p>
    <w:p>
      <w:pPr>
        <w:spacing w:before="0"/>
        <w:ind w:left="1211" w:right="1316" w:hanging="812"/>
        <w:jc w:val="both"/>
        <w:rPr>
          <w:sz w:val="24"/>
        </w:rPr>
      </w:pPr>
      <w:r>
        <w:rPr>
          <w:sz w:val="24"/>
        </w:rPr>
        <w:t>Alzahrani, J. I., &amp; Emsley, M. W. (2013). The Impact of Contractors' Attributes on Construction Project Success: A Post Construction Evaluation. </w:t>
      </w:r>
      <w:r>
        <w:rPr>
          <w:i/>
          <w:sz w:val="24"/>
        </w:rPr>
        <w:t>International Journal of ProjectManagement</w:t>
      </w:r>
      <w:r>
        <w:rPr>
          <w:sz w:val="24"/>
        </w:rPr>
        <w:t>, 31: 313-322.</w:t>
      </w:r>
    </w:p>
    <w:p>
      <w:pPr>
        <w:pStyle w:val="BodyText"/>
        <w:spacing w:before="84"/>
      </w:pPr>
    </w:p>
    <w:p>
      <w:pPr>
        <w:pStyle w:val="BodyText"/>
        <w:ind w:left="1211" w:right="1318" w:hanging="812"/>
        <w:jc w:val="both"/>
      </w:pPr>
      <w:r>
        <w:rPr/>
        <w:t>Amar, K., &amp; Zain, Z. M. (2002). Barriers to implementing TQM in Indonesian Manufacturing Organization. </w:t>
      </w:r>
      <w:r>
        <w:rPr>
          <w:i/>
        </w:rPr>
        <w:t>The TQM Magazine </w:t>
      </w:r>
      <w:r>
        <w:rPr/>
        <w:t>14(6), 367-372.</w:t>
      </w:r>
    </w:p>
    <w:p>
      <w:pPr>
        <w:pStyle w:val="BodyText"/>
        <w:spacing w:before="84"/>
      </w:pPr>
    </w:p>
    <w:p>
      <w:pPr>
        <w:pStyle w:val="BodyText"/>
        <w:ind w:left="400"/>
      </w:pPr>
      <w:r>
        <w:rPr/>
        <w:t>Analoui,</w:t>
      </w:r>
      <w:r>
        <w:rPr>
          <w:spacing w:val="46"/>
        </w:rPr>
        <w:t> </w:t>
      </w:r>
      <w:r>
        <w:rPr/>
        <w:t>F.,</w:t>
      </w:r>
      <w:r>
        <w:rPr>
          <w:spacing w:val="51"/>
        </w:rPr>
        <w:t> </w:t>
      </w:r>
      <w:r>
        <w:rPr/>
        <w:t>&amp;</w:t>
      </w:r>
      <w:r>
        <w:rPr>
          <w:spacing w:val="48"/>
        </w:rPr>
        <w:t> </w:t>
      </w:r>
      <w:r>
        <w:rPr/>
        <w:t>Karami,</w:t>
      </w:r>
      <w:r>
        <w:rPr>
          <w:spacing w:val="50"/>
        </w:rPr>
        <w:t> </w:t>
      </w:r>
      <w:r>
        <w:rPr/>
        <w:t>A</w:t>
      </w:r>
      <w:r>
        <w:rPr>
          <w:spacing w:val="48"/>
        </w:rPr>
        <w:t> </w:t>
      </w:r>
      <w:r>
        <w:rPr/>
        <w:t>(2003)</w:t>
      </w:r>
      <w:r>
        <w:rPr>
          <w:spacing w:val="48"/>
        </w:rPr>
        <w:t> </w:t>
      </w:r>
      <w:r>
        <w:rPr/>
        <w:t>Strategic</w:t>
      </w:r>
      <w:r>
        <w:rPr>
          <w:spacing w:val="49"/>
        </w:rPr>
        <w:t> </w:t>
      </w:r>
      <w:r>
        <w:rPr/>
        <w:t>Management.</w:t>
      </w:r>
      <w:r>
        <w:rPr>
          <w:spacing w:val="51"/>
        </w:rPr>
        <w:t> </w:t>
      </w:r>
      <w:r>
        <w:rPr/>
        <w:t>In</w:t>
      </w:r>
      <w:r>
        <w:rPr>
          <w:spacing w:val="50"/>
        </w:rPr>
        <w:t> </w:t>
      </w:r>
      <w:r>
        <w:rPr/>
        <w:t>small</w:t>
      </w:r>
      <w:r>
        <w:rPr>
          <w:spacing w:val="49"/>
        </w:rPr>
        <w:t> </w:t>
      </w:r>
      <w:r>
        <w:rPr/>
        <w:t>and</w:t>
      </w:r>
      <w:r>
        <w:rPr>
          <w:spacing w:val="50"/>
        </w:rPr>
        <w:t> </w:t>
      </w:r>
      <w:r>
        <w:rPr/>
        <w:t>medium</w:t>
      </w:r>
      <w:r>
        <w:rPr>
          <w:spacing w:val="49"/>
        </w:rPr>
        <w:t> </w:t>
      </w:r>
      <w:r>
        <w:rPr>
          <w:spacing w:val="-2"/>
        </w:rPr>
        <w:t>Enterprises.</w:t>
      </w:r>
    </w:p>
    <w:p>
      <w:pPr>
        <w:pStyle w:val="BodyText"/>
        <w:ind w:left="1211"/>
      </w:pPr>
      <w:r>
        <w:rPr/>
        <w:t>Thomson</w:t>
      </w:r>
      <w:r>
        <w:rPr>
          <w:spacing w:val="1"/>
        </w:rPr>
        <w:t> </w:t>
      </w:r>
      <w:r>
        <w:rPr>
          <w:spacing w:val="-2"/>
        </w:rPr>
        <w:t>Learning.</w:t>
      </w:r>
    </w:p>
    <w:p>
      <w:pPr>
        <w:pStyle w:val="BodyText"/>
        <w:spacing w:before="84"/>
      </w:pPr>
    </w:p>
    <w:p>
      <w:pPr>
        <w:pStyle w:val="BodyText"/>
        <w:ind w:left="1211" w:right="1317" w:hanging="812"/>
        <w:jc w:val="both"/>
      </w:pPr>
      <w:r>
        <w:rPr/>
        <w:t>Andrle, J. (1994), Total Quality Management in Public Transportation’, Research Result Digest, 3, pp 1-33</w:t>
      </w:r>
    </w:p>
    <w:p>
      <w:pPr>
        <w:pStyle w:val="BodyText"/>
        <w:spacing w:before="84"/>
      </w:pPr>
    </w:p>
    <w:p>
      <w:pPr>
        <w:pStyle w:val="BodyText"/>
        <w:ind w:left="1211" w:right="1320" w:hanging="812"/>
        <w:jc w:val="both"/>
      </w:pPr>
      <w:bookmarkStart w:name="Aniagbaoso H. O. (2014). Multinational C" w:id="1"/>
      <w:bookmarkEnd w:id="1"/>
      <w:r>
        <w:rPr/>
      </w:r>
      <w:r>
        <w:rPr/>
        <w:t>Aniagbaoso H. O. (2014). Multinational Corporation and Total Quality</w:t>
      </w:r>
      <w:r>
        <w:rPr>
          <w:spacing w:val="-5"/>
        </w:rPr>
        <w:t> </w:t>
      </w:r>
      <w:r>
        <w:rPr/>
        <w:t>Management: A</w:t>
      </w:r>
      <w:r>
        <w:rPr>
          <w:spacing w:val="-1"/>
        </w:rPr>
        <w:t> </w:t>
      </w:r>
      <w:r>
        <w:rPr/>
        <w:t>Study</w:t>
      </w:r>
      <w:r>
        <w:rPr>
          <w:spacing w:val="-5"/>
        </w:rPr>
        <w:t> </w:t>
      </w:r>
      <w:r>
        <w:rPr/>
        <w:t>of Nigerian Bottling Company Plc Ngwo Enugu</w:t>
      </w:r>
    </w:p>
    <w:p>
      <w:pPr>
        <w:pStyle w:val="BodyText"/>
        <w:spacing w:before="84"/>
      </w:pPr>
    </w:p>
    <w:p>
      <w:pPr>
        <w:spacing w:before="0"/>
        <w:ind w:left="1211" w:right="1316" w:hanging="812"/>
        <w:jc w:val="both"/>
        <w:rPr>
          <w:i/>
          <w:sz w:val="24"/>
        </w:rPr>
      </w:pPr>
      <w:r>
        <w:rPr>
          <w:sz w:val="24"/>
        </w:rPr>
        <w:t>Antony, J., Leung, K., Knowles, G., &amp; Gosh, S. (2002). Critical success factors of TQM implementation in Hong Kong industries, </w:t>
      </w:r>
      <w:r>
        <w:rPr>
          <w:i/>
          <w:sz w:val="24"/>
        </w:rPr>
        <w:t>International Journal of Quality and Reliability Management, 19 (5),551-66</w:t>
      </w:r>
    </w:p>
    <w:p>
      <w:pPr>
        <w:pStyle w:val="BodyText"/>
        <w:spacing w:before="84"/>
        <w:rPr>
          <w:i/>
        </w:rPr>
      </w:pPr>
    </w:p>
    <w:p>
      <w:pPr>
        <w:spacing w:before="1"/>
        <w:ind w:left="1211" w:right="1314" w:hanging="812"/>
        <w:jc w:val="both"/>
        <w:rPr>
          <w:sz w:val="24"/>
        </w:rPr>
      </w:pPr>
      <w:r>
        <w:rPr>
          <w:sz w:val="24"/>
        </w:rPr>
        <w:t>Arawati, A. (2004). TQM as a Focus for Improving Overall Service Performance and Customer Satisfaction: an Empirical Study on a Public Service Sector in Malaysia. </w:t>
      </w:r>
      <w:r>
        <w:rPr>
          <w:i/>
          <w:sz w:val="24"/>
        </w:rPr>
        <w:t>Total Quality Management &amp; Business Excellence, 15</w:t>
      </w:r>
      <w:r>
        <w:rPr>
          <w:sz w:val="24"/>
        </w:rPr>
        <w:t>(5&amp;6), 615-628.</w:t>
      </w:r>
    </w:p>
    <w:p>
      <w:pPr>
        <w:spacing w:after="0"/>
        <w:jc w:val="both"/>
        <w:rPr>
          <w:sz w:val="24"/>
        </w:rPr>
        <w:sectPr>
          <w:pgSz w:w="12240" w:h="15840"/>
          <w:pgMar w:header="0" w:footer="1017" w:top="1360" w:bottom="1200" w:left="1040" w:right="120"/>
        </w:sectPr>
      </w:pPr>
    </w:p>
    <w:p>
      <w:pPr>
        <w:spacing w:before="72"/>
        <w:ind w:left="1211" w:right="1319" w:hanging="812"/>
        <w:jc w:val="both"/>
        <w:rPr>
          <w:sz w:val="24"/>
        </w:rPr>
      </w:pPr>
      <w:r>
        <w:rPr>
          <w:sz w:val="24"/>
        </w:rPr>
        <w:t>Aremu, M. A. (2004). Small Scale Enterprises: Panacea to Poverty Problem in Nigeria, </w:t>
      </w:r>
      <w:r>
        <w:rPr>
          <w:i/>
          <w:sz w:val="24"/>
        </w:rPr>
        <w:t>Journal of Enterprises Development, International Research and Development Institute, </w:t>
      </w:r>
      <w:r>
        <w:rPr>
          <w:sz w:val="24"/>
        </w:rPr>
        <w:t>Uyo, Akwa Ibom, Nigeria, I (1): 1 – 8.</w:t>
      </w:r>
    </w:p>
    <w:p>
      <w:pPr>
        <w:pStyle w:val="BodyText"/>
        <w:spacing w:before="84"/>
      </w:pPr>
    </w:p>
    <w:p>
      <w:pPr>
        <w:pStyle w:val="BodyText"/>
        <w:ind w:left="1211" w:right="1318" w:hanging="812"/>
        <w:jc w:val="both"/>
      </w:pPr>
      <w:r>
        <w:rPr/>
        <w:t>Aremu, .M. A.,. &amp; Adeyemi, S. L. (2011) Small and Medium Scale Enterprises as A Survival Strategy for Employment Generation in Nigeria </w:t>
      </w:r>
      <w:hyperlink r:id="rId39">
        <w:r>
          <w:rPr/>
          <w:t>www.ccsenet.org/jsd</w:t>
        </w:r>
      </w:hyperlink>
      <w:r>
        <w:rPr/>
        <w:t> </w:t>
      </w:r>
      <w:r>
        <w:rPr>
          <w:i/>
        </w:rPr>
        <w:t>Journal of Sustainable Development </w:t>
      </w:r>
      <w:r>
        <w:rPr/>
        <w:t>Vol. 4. 200-206</w:t>
      </w:r>
    </w:p>
    <w:p>
      <w:pPr>
        <w:pStyle w:val="BodyText"/>
        <w:spacing w:before="84"/>
      </w:pPr>
    </w:p>
    <w:p>
      <w:pPr>
        <w:spacing w:before="0"/>
        <w:ind w:left="1211" w:right="1316" w:hanging="812"/>
        <w:jc w:val="both"/>
        <w:rPr>
          <w:sz w:val="24"/>
        </w:rPr>
      </w:pPr>
      <w:r>
        <w:rPr>
          <w:sz w:val="24"/>
        </w:rPr>
        <w:t>Assibey-Mensah, G.O. (2008) Ghana’s construction industry and global competition. </w:t>
      </w:r>
      <w:r>
        <w:rPr>
          <w:i/>
          <w:sz w:val="24"/>
        </w:rPr>
        <w:t>Journal of black studies</w:t>
      </w:r>
      <w:r>
        <w:rPr>
          <w:sz w:val="24"/>
        </w:rPr>
        <w:t>. 20(5), 1-16</w:t>
      </w:r>
    </w:p>
    <w:p>
      <w:pPr>
        <w:pStyle w:val="BodyText"/>
        <w:spacing w:before="84"/>
      </w:pPr>
    </w:p>
    <w:p>
      <w:pPr>
        <w:spacing w:before="0"/>
        <w:ind w:left="1211" w:right="1314" w:hanging="812"/>
        <w:jc w:val="both"/>
        <w:rPr>
          <w:i/>
          <w:sz w:val="24"/>
        </w:rPr>
      </w:pPr>
      <w:r>
        <w:rPr>
          <w:sz w:val="24"/>
        </w:rPr>
        <w:t>Awino, Z.,</w:t>
      </w:r>
      <w:r>
        <w:rPr>
          <w:spacing w:val="40"/>
          <w:sz w:val="24"/>
        </w:rPr>
        <w:t> </w:t>
      </w:r>
      <w:r>
        <w:rPr>
          <w:sz w:val="24"/>
        </w:rPr>
        <w:t>Muchara,</w:t>
      </w:r>
      <w:r>
        <w:rPr>
          <w:spacing w:val="40"/>
          <w:sz w:val="24"/>
        </w:rPr>
        <w:t> </w:t>
      </w:r>
      <w:r>
        <w:rPr>
          <w:sz w:val="24"/>
        </w:rPr>
        <w:t>M.,</w:t>
      </w:r>
      <w:r>
        <w:rPr>
          <w:spacing w:val="40"/>
          <w:sz w:val="24"/>
        </w:rPr>
        <w:t> </w:t>
      </w:r>
      <w:r>
        <w:rPr>
          <w:sz w:val="24"/>
        </w:rPr>
        <w:t>Ogutu,</w:t>
      </w:r>
      <w:r>
        <w:rPr>
          <w:spacing w:val="40"/>
          <w:sz w:val="24"/>
        </w:rPr>
        <w:t> </w:t>
      </w:r>
      <w:r>
        <w:rPr>
          <w:sz w:val="24"/>
        </w:rPr>
        <w:t>M., &amp; Oeba,</w:t>
      </w:r>
      <w:r>
        <w:rPr>
          <w:spacing w:val="40"/>
          <w:sz w:val="24"/>
        </w:rPr>
        <w:t> </w:t>
      </w:r>
      <w:r>
        <w:rPr>
          <w:sz w:val="24"/>
        </w:rPr>
        <w:t>L.</w:t>
      </w:r>
      <w:r>
        <w:rPr>
          <w:spacing w:val="40"/>
          <w:sz w:val="24"/>
        </w:rPr>
        <w:t> </w:t>
      </w:r>
      <w:r>
        <w:rPr>
          <w:sz w:val="24"/>
        </w:rPr>
        <w:t>(2012). Total Quality and Competitive Advantage</w:t>
      </w:r>
      <w:r>
        <w:rPr>
          <w:spacing w:val="40"/>
          <w:sz w:val="24"/>
        </w:rPr>
        <w:t> </w:t>
      </w:r>
      <w:r>
        <w:rPr>
          <w:sz w:val="24"/>
        </w:rPr>
        <w:t>of</w:t>
      </w:r>
      <w:r>
        <w:rPr>
          <w:spacing w:val="40"/>
          <w:sz w:val="24"/>
        </w:rPr>
        <w:t> </w:t>
      </w:r>
      <w:r>
        <w:rPr>
          <w:sz w:val="24"/>
        </w:rPr>
        <w:t>firms</w:t>
      </w:r>
      <w:r>
        <w:rPr>
          <w:spacing w:val="40"/>
          <w:sz w:val="24"/>
        </w:rPr>
        <w:t> </w:t>
      </w:r>
      <w:r>
        <w:rPr>
          <w:sz w:val="24"/>
        </w:rPr>
        <w:t>in</w:t>
      </w:r>
      <w:r>
        <w:rPr>
          <w:spacing w:val="40"/>
          <w:sz w:val="24"/>
        </w:rPr>
        <w:t> </w:t>
      </w:r>
      <w:r>
        <w:rPr>
          <w:sz w:val="24"/>
        </w:rPr>
        <w:t>the</w:t>
      </w:r>
      <w:r>
        <w:rPr>
          <w:spacing w:val="40"/>
          <w:sz w:val="24"/>
        </w:rPr>
        <w:t> </w:t>
      </w:r>
      <w:r>
        <w:rPr>
          <w:sz w:val="24"/>
        </w:rPr>
        <w:t>horticultural</w:t>
      </w:r>
      <w:r>
        <w:rPr>
          <w:spacing w:val="40"/>
          <w:sz w:val="24"/>
        </w:rPr>
        <w:t> </w:t>
      </w:r>
      <w:r>
        <w:rPr>
          <w:sz w:val="24"/>
        </w:rPr>
        <w:t>industry</w:t>
      </w:r>
      <w:r>
        <w:rPr>
          <w:spacing w:val="40"/>
          <w:sz w:val="24"/>
        </w:rPr>
        <w:t> </w:t>
      </w:r>
      <w:r>
        <w:rPr>
          <w:sz w:val="24"/>
        </w:rPr>
        <w:t>in</w:t>
      </w:r>
      <w:r>
        <w:rPr>
          <w:spacing w:val="40"/>
          <w:sz w:val="24"/>
        </w:rPr>
        <w:t> </w:t>
      </w:r>
      <w:r>
        <w:rPr>
          <w:sz w:val="24"/>
        </w:rPr>
        <w:t>Kenya. </w:t>
      </w:r>
      <w:r>
        <w:rPr>
          <w:i/>
          <w:sz w:val="24"/>
        </w:rPr>
        <w:t>Prime. Journal of</w:t>
      </w:r>
      <w:r>
        <w:rPr>
          <w:i/>
          <w:spacing w:val="80"/>
          <w:sz w:val="24"/>
        </w:rPr>
        <w:t> </w:t>
      </w:r>
      <w:r>
        <w:rPr>
          <w:i/>
          <w:sz w:val="24"/>
        </w:rPr>
        <w:t>Business Administration and Management (BAM), 2(4), .521-532.</w:t>
      </w:r>
    </w:p>
    <w:p>
      <w:pPr>
        <w:pStyle w:val="BodyText"/>
        <w:spacing w:before="84"/>
        <w:rPr>
          <w:i/>
        </w:rPr>
      </w:pPr>
    </w:p>
    <w:p>
      <w:pPr>
        <w:pStyle w:val="BodyText"/>
        <w:ind w:left="1211" w:right="1317" w:hanging="812"/>
        <w:jc w:val="both"/>
      </w:pPr>
      <w:r>
        <w:rPr/>
        <w:t>Azizan, A. (2007). A Study of TQM Application by Malaysia SMEs, PhD thesis, Cardiff </w:t>
      </w:r>
      <w:r>
        <w:rPr>
          <w:spacing w:val="-2"/>
        </w:rPr>
        <w:t>University.</w:t>
      </w:r>
    </w:p>
    <w:p>
      <w:pPr>
        <w:pStyle w:val="BodyText"/>
        <w:spacing w:before="84"/>
      </w:pPr>
    </w:p>
    <w:p>
      <w:pPr>
        <w:spacing w:before="0"/>
        <w:ind w:left="1211" w:right="1315" w:hanging="812"/>
        <w:jc w:val="both"/>
        <w:rPr>
          <w:sz w:val="24"/>
        </w:rPr>
      </w:pPr>
      <w:r>
        <w:rPr>
          <w:sz w:val="24"/>
        </w:rPr>
        <w:t>Bamidele .M &amp; Reuben .I (2015) Comparative Study of Problems Facing Small Building Contractors in Nigeria and South Africa. </w:t>
      </w:r>
      <w:r>
        <w:rPr>
          <w:i/>
          <w:sz w:val="24"/>
        </w:rPr>
        <w:t>Journal of Emerging Trends in Economics and Management Sciences (JETEMS) </w:t>
      </w:r>
      <w:r>
        <w:rPr>
          <w:sz w:val="24"/>
        </w:rPr>
        <w:t>6(2):101-109</w:t>
      </w:r>
    </w:p>
    <w:p>
      <w:pPr>
        <w:pStyle w:val="BodyText"/>
        <w:spacing w:before="84"/>
      </w:pPr>
    </w:p>
    <w:p>
      <w:pPr>
        <w:pStyle w:val="BodyText"/>
        <w:ind w:left="1211" w:right="1319" w:hanging="812"/>
        <w:jc w:val="both"/>
      </w:pPr>
      <w:r>
        <w:rPr/>
        <w:t>Babbie, E. (2005). The Basics of Social Research. 3rd edition. Belmont, CA, USA: Thomson/Wordsworth learning.</w:t>
      </w:r>
    </w:p>
    <w:p>
      <w:pPr>
        <w:pStyle w:val="BodyText"/>
        <w:spacing w:before="84"/>
      </w:pPr>
    </w:p>
    <w:p>
      <w:pPr>
        <w:pStyle w:val="BodyText"/>
        <w:ind w:left="1211" w:right="1318" w:hanging="812"/>
        <w:jc w:val="both"/>
      </w:pPr>
      <w:r>
        <w:rPr/>
        <w:t>Bani I, L. (2012). An evaluation of the implementation of Total Quality Management (TQM) within the construction sector in the United Kingdom and Jordan. Doctoral thesis, University of Huddersfield.</w:t>
      </w:r>
    </w:p>
    <w:p>
      <w:pPr>
        <w:pStyle w:val="BodyText"/>
        <w:spacing w:before="84"/>
      </w:pPr>
    </w:p>
    <w:p>
      <w:pPr>
        <w:pStyle w:val="BodyText"/>
        <w:spacing w:line="242" w:lineRule="auto"/>
        <w:ind w:left="1211" w:right="1316" w:hanging="812"/>
        <w:jc w:val="both"/>
        <w:rPr>
          <w:rFonts w:ascii="Calibri"/>
          <w:sz w:val="22"/>
        </w:rPr>
      </w:pPr>
      <w:r>
        <w:rPr/>
        <w:t>Bardoel, A., &amp; Sohal, S. (1996). The role of the cultural audit in implementing quality Improvement</w:t>
      </w:r>
      <w:r>
        <w:rPr>
          <w:spacing w:val="-4"/>
        </w:rPr>
        <w:t> </w:t>
      </w:r>
      <w:r>
        <w:rPr/>
        <w:t>program. International journal of Quality &amp; Reliability Management, 16(3), pp263-277, https://doi.org/10.1108/0265719910223755</w:t>
      </w:r>
      <w:r>
        <w:rPr>
          <w:rFonts w:ascii="Calibri"/>
          <w:sz w:val="22"/>
        </w:rPr>
        <w:t>.</w:t>
      </w:r>
    </w:p>
    <w:p>
      <w:pPr>
        <w:pStyle w:val="BodyText"/>
        <w:spacing w:before="59"/>
        <w:rPr>
          <w:rFonts w:ascii="Calibri"/>
        </w:rPr>
      </w:pPr>
    </w:p>
    <w:p>
      <w:pPr>
        <w:spacing w:before="0"/>
        <w:ind w:left="400" w:right="0" w:firstLine="0"/>
        <w:jc w:val="left"/>
        <w:rPr>
          <w:i/>
          <w:sz w:val="24"/>
        </w:rPr>
      </w:pPr>
      <w:r>
        <w:rPr>
          <w:sz w:val="24"/>
        </w:rPr>
        <w:t>Barney,</w:t>
      </w:r>
      <w:r>
        <w:rPr>
          <w:spacing w:val="3"/>
          <w:sz w:val="24"/>
        </w:rPr>
        <w:t> </w:t>
      </w:r>
      <w:r>
        <w:rPr>
          <w:sz w:val="24"/>
        </w:rPr>
        <w:t>J.</w:t>
      </w:r>
      <w:r>
        <w:rPr>
          <w:spacing w:val="5"/>
          <w:sz w:val="24"/>
        </w:rPr>
        <w:t> </w:t>
      </w:r>
      <w:r>
        <w:rPr>
          <w:sz w:val="24"/>
        </w:rPr>
        <w:t>(1991),</w:t>
      </w:r>
      <w:r>
        <w:rPr>
          <w:spacing w:val="6"/>
          <w:sz w:val="24"/>
        </w:rPr>
        <w:t> </w:t>
      </w:r>
      <w:r>
        <w:rPr>
          <w:sz w:val="24"/>
        </w:rPr>
        <w:t>Firm</w:t>
      </w:r>
      <w:r>
        <w:rPr>
          <w:spacing w:val="5"/>
          <w:sz w:val="24"/>
        </w:rPr>
        <w:t> </w:t>
      </w:r>
      <w:r>
        <w:rPr>
          <w:sz w:val="24"/>
        </w:rPr>
        <w:t>resources</w:t>
      </w:r>
      <w:r>
        <w:rPr>
          <w:spacing w:val="5"/>
          <w:sz w:val="24"/>
        </w:rPr>
        <w:t> </w:t>
      </w:r>
      <w:r>
        <w:rPr>
          <w:sz w:val="24"/>
        </w:rPr>
        <w:t>and</w:t>
      </w:r>
      <w:r>
        <w:rPr>
          <w:spacing w:val="6"/>
          <w:sz w:val="24"/>
        </w:rPr>
        <w:t> </w:t>
      </w:r>
      <w:r>
        <w:rPr>
          <w:sz w:val="24"/>
        </w:rPr>
        <w:t>sustained</w:t>
      </w:r>
      <w:r>
        <w:rPr>
          <w:spacing w:val="5"/>
          <w:sz w:val="24"/>
        </w:rPr>
        <w:t> </w:t>
      </w:r>
      <w:r>
        <w:rPr>
          <w:sz w:val="24"/>
        </w:rPr>
        <w:t>competitive</w:t>
      </w:r>
      <w:r>
        <w:rPr>
          <w:spacing w:val="4"/>
          <w:sz w:val="24"/>
        </w:rPr>
        <w:t> </w:t>
      </w:r>
      <w:r>
        <w:rPr>
          <w:sz w:val="24"/>
        </w:rPr>
        <w:t>advantage</w:t>
      </w:r>
      <w:r>
        <w:rPr>
          <w:i/>
          <w:sz w:val="24"/>
        </w:rPr>
        <w:t>.</w:t>
      </w:r>
      <w:r>
        <w:rPr>
          <w:i/>
          <w:spacing w:val="6"/>
          <w:sz w:val="24"/>
        </w:rPr>
        <w:t> </w:t>
      </w:r>
      <w:r>
        <w:rPr>
          <w:i/>
          <w:sz w:val="24"/>
        </w:rPr>
        <w:t>Journal</w:t>
      </w:r>
      <w:r>
        <w:rPr>
          <w:i/>
          <w:spacing w:val="5"/>
          <w:sz w:val="24"/>
        </w:rPr>
        <w:t> </w:t>
      </w:r>
      <w:r>
        <w:rPr>
          <w:i/>
          <w:sz w:val="24"/>
        </w:rPr>
        <w:t>of</w:t>
      </w:r>
      <w:r>
        <w:rPr>
          <w:i/>
          <w:spacing w:val="6"/>
          <w:sz w:val="24"/>
        </w:rPr>
        <w:t> </w:t>
      </w:r>
      <w:r>
        <w:rPr>
          <w:i/>
          <w:spacing w:val="-2"/>
          <w:sz w:val="24"/>
        </w:rPr>
        <w:t>Management,</w:t>
      </w:r>
    </w:p>
    <w:p>
      <w:pPr>
        <w:pStyle w:val="BodyText"/>
        <w:ind w:left="1211"/>
      </w:pPr>
      <w:r>
        <w:rPr/>
        <w:t>17(1):</w:t>
      </w:r>
      <w:r>
        <w:rPr>
          <w:spacing w:val="-3"/>
        </w:rPr>
        <w:t> </w:t>
      </w:r>
      <w:r>
        <w:rPr/>
        <w:t>99-</w:t>
      </w:r>
      <w:r>
        <w:rPr>
          <w:spacing w:val="-4"/>
        </w:rPr>
        <w:t>120.</w:t>
      </w:r>
    </w:p>
    <w:p>
      <w:pPr>
        <w:pStyle w:val="BodyText"/>
        <w:spacing w:before="84"/>
      </w:pPr>
    </w:p>
    <w:p>
      <w:pPr>
        <w:pStyle w:val="BodyText"/>
        <w:ind w:left="1211" w:right="1320" w:hanging="812"/>
        <w:jc w:val="both"/>
      </w:pPr>
      <w:r>
        <w:rPr/>
        <w:t>Barney. (2002). Gaining and Sustaining Competitive Advantage, 2nd Ed. Prentice Hall, New </w:t>
      </w:r>
      <w:r>
        <w:rPr>
          <w:spacing w:val="-2"/>
        </w:rPr>
        <w:t>Jersey.</w:t>
      </w:r>
    </w:p>
    <w:p>
      <w:pPr>
        <w:pStyle w:val="BodyText"/>
        <w:spacing w:before="84"/>
      </w:pPr>
    </w:p>
    <w:p>
      <w:pPr>
        <w:pStyle w:val="BodyText"/>
        <w:ind w:left="400"/>
      </w:pPr>
      <w:r>
        <w:rPr/>
        <w:t>Basil,</w:t>
      </w:r>
      <w:r>
        <w:rPr>
          <w:spacing w:val="-4"/>
        </w:rPr>
        <w:t> </w:t>
      </w:r>
      <w:r>
        <w:rPr/>
        <w:t>A.N.O. (2005).</w:t>
      </w:r>
      <w:r>
        <w:rPr>
          <w:spacing w:val="-2"/>
        </w:rPr>
        <w:t> </w:t>
      </w:r>
      <w:r>
        <w:rPr/>
        <w:t>Small</w:t>
      </w:r>
      <w:r>
        <w:rPr>
          <w:spacing w:val="-2"/>
        </w:rPr>
        <w:t> </w:t>
      </w:r>
      <w:r>
        <w:rPr/>
        <w:t>and</w:t>
      </w:r>
      <w:r>
        <w:rPr>
          <w:spacing w:val="-1"/>
        </w:rPr>
        <w:t> </w:t>
      </w:r>
      <w:r>
        <w:rPr/>
        <w:t>Medium</w:t>
      </w:r>
      <w:r>
        <w:rPr>
          <w:spacing w:val="-2"/>
        </w:rPr>
        <w:t> </w:t>
      </w:r>
      <w:r>
        <w:rPr/>
        <w:t>Enterprises</w:t>
      </w:r>
      <w:r>
        <w:rPr>
          <w:spacing w:val="-2"/>
        </w:rPr>
        <w:t> </w:t>
      </w:r>
      <w:r>
        <w:rPr/>
        <w:t>(Smes)</w:t>
      </w:r>
      <w:r>
        <w:rPr>
          <w:spacing w:val="-2"/>
        </w:rPr>
        <w:t> </w:t>
      </w:r>
      <w:r>
        <w:rPr/>
        <w:t>in</w:t>
      </w:r>
      <w:r>
        <w:rPr>
          <w:spacing w:val="-2"/>
        </w:rPr>
        <w:t> </w:t>
      </w:r>
      <w:r>
        <w:rPr/>
        <w:t>Nigeria:</w:t>
      </w:r>
      <w:r>
        <w:rPr>
          <w:spacing w:val="-2"/>
        </w:rPr>
        <w:t> </w:t>
      </w:r>
      <w:r>
        <w:rPr/>
        <w:t>Problems</w:t>
      </w:r>
      <w:r>
        <w:rPr>
          <w:spacing w:val="-2"/>
        </w:rPr>
        <w:t> </w:t>
      </w:r>
      <w:r>
        <w:rPr/>
        <w:t>and</w:t>
      </w:r>
      <w:r>
        <w:rPr>
          <w:spacing w:val="-1"/>
        </w:rPr>
        <w:t> </w:t>
      </w:r>
      <w:r>
        <w:rPr>
          <w:spacing w:val="-2"/>
        </w:rPr>
        <w:t>Prospects.</w:t>
      </w:r>
    </w:p>
    <w:p>
      <w:pPr>
        <w:pStyle w:val="BodyText"/>
        <w:ind w:left="1211"/>
      </w:pPr>
      <w:r>
        <w:rPr/>
        <w:t>A</w:t>
      </w:r>
      <w:r>
        <w:rPr>
          <w:spacing w:val="-3"/>
        </w:rPr>
        <w:t> </w:t>
      </w:r>
      <w:r>
        <w:rPr/>
        <w:t>Phd</w:t>
      </w:r>
      <w:r>
        <w:rPr>
          <w:spacing w:val="-1"/>
        </w:rPr>
        <w:t> </w:t>
      </w:r>
      <w:r>
        <w:rPr/>
        <w:t>Thesis</w:t>
      </w:r>
      <w:r>
        <w:rPr>
          <w:spacing w:val="-1"/>
        </w:rPr>
        <w:t> </w:t>
      </w:r>
      <w:r>
        <w:rPr/>
        <w:t>at</w:t>
      </w:r>
      <w:r>
        <w:rPr>
          <w:spacing w:val="-1"/>
        </w:rPr>
        <w:t> </w:t>
      </w:r>
      <w:r>
        <w:rPr/>
        <w:t>St.</w:t>
      </w:r>
      <w:r>
        <w:rPr>
          <w:spacing w:val="-1"/>
        </w:rPr>
        <w:t> </w:t>
      </w:r>
      <w:r>
        <w:rPr/>
        <w:t>Clements</w:t>
      </w:r>
      <w:r>
        <w:rPr>
          <w:spacing w:val="-1"/>
        </w:rPr>
        <w:t> </w:t>
      </w:r>
      <w:r>
        <w:rPr/>
        <w:t>University</w:t>
      </w:r>
      <w:r>
        <w:rPr>
          <w:spacing w:val="-6"/>
        </w:rPr>
        <w:t> </w:t>
      </w:r>
      <w:r>
        <w:rPr>
          <w:spacing w:val="-4"/>
        </w:rPr>
        <w:t>2005</w:t>
      </w:r>
    </w:p>
    <w:p>
      <w:pPr>
        <w:spacing w:after="0"/>
        <w:sectPr>
          <w:pgSz w:w="12240" w:h="15840"/>
          <w:pgMar w:header="0" w:footer="1017" w:top="1360" w:bottom="1200" w:left="1040" w:right="120"/>
        </w:sectPr>
      </w:pPr>
    </w:p>
    <w:p>
      <w:pPr>
        <w:pStyle w:val="BodyText"/>
        <w:spacing w:before="72"/>
        <w:ind w:left="1211" w:right="1316" w:hanging="812"/>
        <w:jc w:val="both"/>
      </w:pPr>
      <w:r>
        <w:rPr/>
        <w:t>Bayazit, O. (2003). Total quality management (TQM) practices in Turkish manufacturing organizations. </w:t>
      </w:r>
      <w:r>
        <w:rPr>
          <w:i/>
        </w:rPr>
        <w:t>The TQM Magazine </w:t>
      </w:r>
      <w:r>
        <w:rPr/>
        <w:t>15(5):345-350.</w:t>
      </w:r>
    </w:p>
    <w:p>
      <w:pPr>
        <w:pStyle w:val="BodyText"/>
        <w:spacing w:before="84"/>
      </w:pPr>
    </w:p>
    <w:p>
      <w:pPr>
        <w:pStyle w:val="BodyText"/>
        <w:ind w:left="1211" w:right="1318" w:hanging="812"/>
        <w:jc w:val="both"/>
      </w:pPr>
      <w:r>
        <w:rPr/>
        <w:t>BDW (2006).</w:t>
      </w:r>
      <w:r>
        <w:rPr>
          <w:spacing w:val="80"/>
        </w:rPr>
        <w:t> </w:t>
      </w:r>
      <w:r>
        <w:rPr/>
        <w:t>Scope for improvement: A survey of pressure points in Australian construction and infrastructure projects: Blake Dawson Waldron Lawyers.</w:t>
      </w:r>
    </w:p>
    <w:p>
      <w:pPr>
        <w:pStyle w:val="BodyText"/>
        <w:spacing w:before="84"/>
      </w:pPr>
    </w:p>
    <w:p>
      <w:pPr>
        <w:pStyle w:val="BodyText"/>
        <w:ind w:left="1211" w:right="1320" w:hanging="812"/>
        <w:jc w:val="both"/>
      </w:pPr>
      <w:r>
        <w:rPr/>
        <w:t>Benavent,F. (2006). TQM Application through Self-Assessment and Learning Some Experience from Two EQA applicants, Quality Management Journal, 13, (1),7-25</w:t>
      </w:r>
    </w:p>
    <w:p>
      <w:pPr>
        <w:pStyle w:val="BodyText"/>
        <w:spacing w:before="84"/>
      </w:pPr>
    </w:p>
    <w:p>
      <w:pPr>
        <w:pStyle w:val="BodyText"/>
        <w:ind w:left="1211" w:right="1317" w:hanging="812"/>
        <w:jc w:val="both"/>
      </w:pPr>
      <w:r>
        <w:rPr/>
        <w:t>Bilau,</w:t>
      </w:r>
      <w:r>
        <w:rPr>
          <w:spacing w:val="-3"/>
        </w:rPr>
        <w:t> </w:t>
      </w:r>
      <w:r>
        <w:rPr/>
        <w:t>A.</w:t>
      </w:r>
      <w:r>
        <w:rPr>
          <w:spacing w:val="-1"/>
        </w:rPr>
        <w:t> </w:t>
      </w:r>
      <w:r>
        <w:rPr/>
        <w:t>A.</w:t>
      </w:r>
      <w:r>
        <w:rPr>
          <w:spacing w:val="-3"/>
        </w:rPr>
        <w:t> </w:t>
      </w:r>
      <w:r>
        <w:rPr/>
        <w:t>(2011).The</w:t>
      </w:r>
      <w:r>
        <w:rPr>
          <w:spacing w:val="-2"/>
        </w:rPr>
        <w:t> </w:t>
      </w:r>
      <w:r>
        <w:rPr/>
        <w:t>Development</w:t>
      </w:r>
      <w:r>
        <w:rPr>
          <w:spacing w:val="-3"/>
        </w:rPr>
        <w:t> </w:t>
      </w:r>
      <w:r>
        <w:rPr/>
        <w:t>of</w:t>
      </w:r>
      <w:r>
        <w:rPr>
          <w:spacing w:val="-2"/>
        </w:rPr>
        <w:t> </w:t>
      </w:r>
      <w:r>
        <w:rPr/>
        <w:t>Small</w:t>
      </w:r>
      <w:r>
        <w:rPr>
          <w:spacing w:val="-3"/>
        </w:rPr>
        <w:t> </w:t>
      </w:r>
      <w:r>
        <w:rPr/>
        <w:t>and</w:t>
      </w:r>
      <w:r>
        <w:rPr>
          <w:spacing w:val="-3"/>
        </w:rPr>
        <w:t> </w:t>
      </w:r>
      <w:r>
        <w:rPr/>
        <w:t>Medium</w:t>
      </w:r>
      <w:r>
        <w:rPr>
          <w:spacing w:val="-3"/>
        </w:rPr>
        <w:t> </w:t>
      </w:r>
      <w:r>
        <w:rPr/>
        <w:t>Sized</w:t>
      </w:r>
      <w:r>
        <w:rPr>
          <w:spacing w:val="-3"/>
        </w:rPr>
        <w:t> </w:t>
      </w:r>
      <w:r>
        <w:rPr/>
        <w:t>Construction</w:t>
      </w:r>
      <w:r>
        <w:rPr>
          <w:spacing w:val="-3"/>
        </w:rPr>
        <w:t> </w:t>
      </w:r>
      <w:r>
        <w:rPr/>
        <w:t>Firms</w:t>
      </w:r>
      <w:r>
        <w:rPr>
          <w:spacing w:val="-3"/>
        </w:rPr>
        <w:t> </w:t>
      </w:r>
      <w:r>
        <w:rPr/>
        <w:t>in</w:t>
      </w:r>
      <w:r>
        <w:rPr>
          <w:spacing w:val="-3"/>
        </w:rPr>
        <w:t> </w:t>
      </w:r>
      <w:r>
        <w:rPr/>
        <w:t>Nigeria Using Absorptive Capacity. Being an MSc. Thesis Submitted to the Graduate School of Faculty of Civil Engineering, Universiti Teknologi Malaysia.</w:t>
      </w:r>
    </w:p>
    <w:p>
      <w:pPr>
        <w:pStyle w:val="BodyText"/>
        <w:spacing w:before="84"/>
      </w:pPr>
    </w:p>
    <w:p>
      <w:pPr>
        <w:pStyle w:val="BodyText"/>
        <w:ind w:left="1211" w:right="1318" w:hanging="812"/>
        <w:jc w:val="both"/>
      </w:pPr>
      <w:r>
        <w:rPr/>
        <w:t>Black, S.E., &amp; Porter, L.J. (1996). Identification of the Critical Factors of TQM. Decision Sciences, 27 (1): 1-21.</w:t>
      </w:r>
    </w:p>
    <w:p>
      <w:pPr>
        <w:pStyle w:val="BodyText"/>
        <w:spacing w:before="84"/>
      </w:pPr>
    </w:p>
    <w:p>
      <w:pPr>
        <w:pStyle w:val="BodyText"/>
        <w:ind w:left="399"/>
      </w:pPr>
      <w:r>
        <w:rPr/>
        <w:t>Blythe,</w:t>
      </w:r>
      <w:r>
        <w:rPr>
          <w:spacing w:val="-4"/>
        </w:rPr>
        <w:t> </w:t>
      </w:r>
      <w:r>
        <w:rPr/>
        <w:t>J.</w:t>
      </w:r>
      <w:r>
        <w:rPr>
          <w:spacing w:val="-2"/>
        </w:rPr>
        <w:t> </w:t>
      </w:r>
      <w:r>
        <w:rPr/>
        <w:t>(2005).</w:t>
      </w:r>
      <w:r>
        <w:rPr>
          <w:spacing w:val="-2"/>
        </w:rPr>
        <w:t> </w:t>
      </w:r>
      <w:r>
        <w:rPr/>
        <w:t>Essentials</w:t>
      </w:r>
      <w:r>
        <w:rPr>
          <w:spacing w:val="-2"/>
        </w:rPr>
        <w:t> </w:t>
      </w:r>
      <w:r>
        <w:rPr/>
        <w:t>of</w:t>
      </w:r>
      <w:r>
        <w:rPr>
          <w:spacing w:val="-3"/>
        </w:rPr>
        <w:t> </w:t>
      </w:r>
      <w:r>
        <w:rPr/>
        <w:t>marketing.</w:t>
      </w:r>
      <w:r>
        <w:rPr>
          <w:spacing w:val="-2"/>
        </w:rPr>
        <w:t> </w:t>
      </w:r>
      <w:r>
        <w:rPr/>
        <w:t>Pearson</w:t>
      </w:r>
      <w:r>
        <w:rPr>
          <w:spacing w:val="-2"/>
        </w:rPr>
        <w:t> </w:t>
      </w:r>
      <w:r>
        <w:rPr/>
        <w:t>Education</w:t>
      </w:r>
      <w:r>
        <w:rPr>
          <w:spacing w:val="1"/>
        </w:rPr>
        <w:t> </w:t>
      </w:r>
      <w:r>
        <w:rPr>
          <w:spacing w:val="-2"/>
        </w:rPr>
        <w:t>Limited.</w:t>
      </w:r>
    </w:p>
    <w:p>
      <w:pPr>
        <w:pStyle w:val="BodyText"/>
        <w:spacing w:before="84"/>
      </w:pPr>
    </w:p>
    <w:p>
      <w:pPr>
        <w:pStyle w:val="BodyText"/>
        <w:ind w:left="399"/>
      </w:pPr>
      <w:r>
        <w:rPr/>
        <w:t>Boeker,</w:t>
      </w:r>
      <w:r>
        <w:rPr>
          <w:spacing w:val="61"/>
        </w:rPr>
        <w:t> </w:t>
      </w:r>
      <w:r>
        <w:rPr/>
        <w:t>W.,</w:t>
      </w:r>
      <w:r>
        <w:rPr>
          <w:spacing w:val="66"/>
        </w:rPr>
        <w:t> </w:t>
      </w:r>
      <w:r>
        <w:rPr/>
        <w:t>&amp;</w:t>
      </w:r>
      <w:r>
        <w:rPr>
          <w:spacing w:val="61"/>
        </w:rPr>
        <w:t> </w:t>
      </w:r>
      <w:r>
        <w:rPr/>
        <w:t>Wiltbank,</w:t>
      </w:r>
      <w:r>
        <w:rPr>
          <w:spacing w:val="63"/>
        </w:rPr>
        <w:t> </w:t>
      </w:r>
      <w:r>
        <w:rPr/>
        <w:t>R.</w:t>
      </w:r>
      <w:r>
        <w:rPr>
          <w:spacing w:val="63"/>
        </w:rPr>
        <w:t> </w:t>
      </w:r>
      <w:r>
        <w:rPr/>
        <w:t>(2005).</w:t>
      </w:r>
      <w:r>
        <w:rPr>
          <w:spacing w:val="66"/>
        </w:rPr>
        <w:t> </w:t>
      </w:r>
      <w:r>
        <w:rPr/>
        <w:t>New</w:t>
      </w:r>
      <w:r>
        <w:rPr>
          <w:spacing w:val="65"/>
        </w:rPr>
        <w:t> </w:t>
      </w:r>
      <w:r>
        <w:rPr/>
        <w:t>Venture</w:t>
      </w:r>
      <w:r>
        <w:rPr>
          <w:spacing w:val="62"/>
        </w:rPr>
        <w:t> </w:t>
      </w:r>
      <w:r>
        <w:rPr/>
        <w:t>Evolution</w:t>
      </w:r>
      <w:r>
        <w:rPr>
          <w:spacing w:val="63"/>
        </w:rPr>
        <w:t> </w:t>
      </w:r>
      <w:r>
        <w:rPr/>
        <w:t>and</w:t>
      </w:r>
      <w:r>
        <w:rPr>
          <w:spacing w:val="63"/>
        </w:rPr>
        <w:t> </w:t>
      </w:r>
      <w:r>
        <w:rPr/>
        <w:t>Managerial</w:t>
      </w:r>
      <w:r>
        <w:rPr>
          <w:spacing w:val="65"/>
        </w:rPr>
        <w:t> </w:t>
      </w:r>
      <w:r>
        <w:rPr>
          <w:spacing w:val="-2"/>
        </w:rPr>
        <w:t>Capabilities.</w:t>
      </w:r>
    </w:p>
    <w:p>
      <w:pPr>
        <w:pStyle w:val="BodyText"/>
        <w:ind w:left="1211"/>
      </w:pPr>
      <w:r>
        <w:rPr/>
        <w:t>Journal</w:t>
      </w:r>
      <w:r>
        <w:rPr>
          <w:spacing w:val="-4"/>
        </w:rPr>
        <w:t> </w:t>
      </w:r>
      <w:r>
        <w:rPr/>
        <w:t>of</w:t>
      </w:r>
      <w:r>
        <w:rPr>
          <w:spacing w:val="-3"/>
        </w:rPr>
        <w:t> </w:t>
      </w:r>
      <w:r>
        <w:rPr/>
        <w:t>Organization</w:t>
      </w:r>
      <w:r>
        <w:rPr>
          <w:spacing w:val="-1"/>
        </w:rPr>
        <w:t> </w:t>
      </w:r>
      <w:r>
        <w:rPr/>
        <w:t>Science,</w:t>
      </w:r>
      <w:r>
        <w:rPr>
          <w:spacing w:val="-2"/>
        </w:rPr>
        <w:t> </w:t>
      </w:r>
      <w:r>
        <w:rPr/>
        <w:t>16(2):</w:t>
      </w:r>
      <w:r>
        <w:rPr>
          <w:spacing w:val="-1"/>
        </w:rPr>
        <w:t> </w:t>
      </w:r>
      <w:r>
        <w:rPr/>
        <w:t>123-</w:t>
      </w:r>
      <w:r>
        <w:rPr>
          <w:spacing w:val="-5"/>
        </w:rPr>
        <w:t>133</w:t>
      </w:r>
    </w:p>
    <w:p>
      <w:pPr>
        <w:pStyle w:val="BodyText"/>
        <w:spacing w:before="84"/>
      </w:pPr>
    </w:p>
    <w:p>
      <w:pPr>
        <w:pStyle w:val="BodyText"/>
        <w:ind w:left="1211" w:right="1319" w:hanging="812"/>
        <w:jc w:val="both"/>
      </w:pPr>
      <w:r>
        <w:rPr/>
        <w:t>Boon, S., &amp; Ram, M.(1998). Implementing Quality in Small Firm: An Action Research Approach Personnel Review, 27,(1), 20-39.</w:t>
      </w:r>
    </w:p>
    <w:p>
      <w:pPr>
        <w:pStyle w:val="BodyText"/>
        <w:spacing w:before="84"/>
      </w:pPr>
    </w:p>
    <w:p>
      <w:pPr>
        <w:spacing w:before="0"/>
        <w:ind w:left="1211" w:right="1320" w:hanging="812"/>
        <w:jc w:val="both"/>
        <w:rPr>
          <w:sz w:val="24"/>
        </w:rPr>
      </w:pPr>
      <w:r>
        <w:rPr>
          <w:sz w:val="24"/>
        </w:rPr>
        <w:t>Brah, S. A., Wong, Li., Madhu, B (2002). Relationship between TQM and Performance of Singapore Companies. </w:t>
      </w:r>
      <w:r>
        <w:rPr>
          <w:i/>
          <w:sz w:val="24"/>
        </w:rPr>
        <w:t>International Journal of Quality &amp; Reliability Management, 19</w:t>
      </w:r>
      <w:r>
        <w:rPr>
          <w:sz w:val="24"/>
        </w:rPr>
        <w:t>(4), .356 – 379.</w:t>
      </w:r>
    </w:p>
    <w:p>
      <w:pPr>
        <w:pStyle w:val="BodyText"/>
        <w:spacing w:before="84"/>
      </w:pPr>
    </w:p>
    <w:p>
      <w:pPr>
        <w:pStyle w:val="BodyText"/>
        <w:ind w:left="1211" w:right="1318" w:hanging="812"/>
        <w:jc w:val="both"/>
      </w:pPr>
      <w:r>
        <w:rPr/>
        <w:t>Buffam, W., (2000). E-Business &amp; IS Solutions, Addison Wesley, Cambridge,.Burke, C. (2007) China’s entry into construction industries in Africa: Tanzania and Zambia as case studies. Available from </w:t>
      </w:r>
      <w:hyperlink r:id="rId40">
        <w:r>
          <w:rPr>
            <w:color w:val="0000FF"/>
            <w:u w:val="single" w:color="0000FF"/>
          </w:rPr>
          <w:t>http://doi.org/10.1177/000944550704300304</w:t>
        </w:r>
      </w:hyperlink>
      <w:r>
        <w:rPr/>
        <w:t>. (21/10/2017)</w:t>
      </w:r>
    </w:p>
    <w:p>
      <w:pPr>
        <w:pStyle w:val="BodyText"/>
        <w:spacing w:before="84"/>
      </w:pPr>
    </w:p>
    <w:p>
      <w:pPr>
        <w:pStyle w:val="BodyText"/>
        <w:ind w:left="1211" w:right="1321" w:hanging="812"/>
        <w:jc w:val="both"/>
      </w:pPr>
      <w:r>
        <w:rPr/>
        <w:t>Cao, G., Clarke, S,. &amp; Lehaney, B. (2000). A systemic view of organisational change and TQM. The TQM Magazine, 12(3)186 – 193.</w:t>
      </w:r>
    </w:p>
    <w:p>
      <w:pPr>
        <w:pStyle w:val="BodyText"/>
        <w:spacing w:before="84"/>
      </w:pPr>
    </w:p>
    <w:p>
      <w:pPr>
        <w:pStyle w:val="BodyText"/>
        <w:ind w:left="1211" w:right="1322" w:hanging="812"/>
        <w:jc w:val="both"/>
      </w:pPr>
      <w:r>
        <w:rPr/>
        <w:t>Carlos, G .N. (2002) Competitive advantages and the SMEs: The role of distinctive competences as determinants of success, are their differences across gender, sector and size?</w:t>
      </w:r>
    </w:p>
    <w:p>
      <w:pPr>
        <w:pStyle w:val="BodyText"/>
        <w:spacing w:before="84"/>
      </w:pPr>
    </w:p>
    <w:p>
      <w:pPr>
        <w:pStyle w:val="BodyText"/>
        <w:spacing w:before="1"/>
        <w:ind w:left="1211" w:right="1316" w:hanging="812"/>
        <w:jc w:val="both"/>
      </w:pPr>
      <w:r>
        <w:rPr/>
        <w:t>Carlos, R .J .L (1997). An assessment of total quality management in the financial services of united kingdom and brazil: A Framework for Implementation is Proposed Employing Quality</w:t>
      </w:r>
      <w:r>
        <w:rPr>
          <w:spacing w:val="-2"/>
        </w:rPr>
        <w:t> </w:t>
      </w:r>
      <w:r>
        <w:rPr/>
        <w:t>Function Deployment . A</w:t>
      </w:r>
      <w:r>
        <w:rPr>
          <w:spacing w:val="-1"/>
        </w:rPr>
        <w:t> </w:t>
      </w:r>
      <w:r>
        <w:rPr/>
        <w:t>PhD</w:t>
      </w:r>
      <w:r>
        <w:rPr>
          <w:spacing w:val="-1"/>
        </w:rPr>
        <w:t> </w:t>
      </w:r>
      <w:r>
        <w:rPr/>
        <w:t>thesis submitted to University</w:t>
      </w:r>
      <w:r>
        <w:rPr>
          <w:spacing w:val="-5"/>
        </w:rPr>
        <w:t> </w:t>
      </w:r>
      <w:r>
        <w:rPr/>
        <w:t>of</w:t>
      </w:r>
      <w:r>
        <w:rPr>
          <w:spacing w:val="-1"/>
        </w:rPr>
        <w:t> </w:t>
      </w:r>
      <w:r>
        <w:rPr/>
        <w:t>Newcastle upon Tyne Newcastle upon Tyne, UK</w:t>
      </w:r>
    </w:p>
    <w:p>
      <w:pPr>
        <w:spacing w:after="0"/>
        <w:jc w:val="both"/>
        <w:sectPr>
          <w:pgSz w:w="12240" w:h="15840"/>
          <w:pgMar w:header="0" w:footer="1017" w:top="1360" w:bottom="1200" w:left="1040" w:right="120"/>
        </w:sectPr>
      </w:pPr>
    </w:p>
    <w:p>
      <w:pPr>
        <w:pStyle w:val="BodyText"/>
        <w:spacing w:before="72"/>
        <w:ind w:left="1211" w:right="1316" w:hanging="812"/>
        <w:jc w:val="both"/>
      </w:pPr>
      <w:r>
        <w:rPr/>
        <w:t>Carpenter, C. (2003) SME Finance in Nigeria. Paper presented from the Roundtable on Making Small Business Finance Profitable in Nigeria. Access at </w:t>
      </w:r>
      <w:hyperlink r:id="rId41">
        <w:r>
          <w:rPr>
            <w:color w:val="0000FF"/>
            <w:u w:val="single" w:color="0000FF"/>
          </w:rPr>
          <w:t>http://www.ypforum.org/news-</w:t>
        </w:r>
      </w:hyperlink>
      <w:r>
        <w:rPr>
          <w:color w:val="0000FF"/>
        </w:rPr>
        <w:t> </w:t>
      </w:r>
      <w:r>
        <w:rPr>
          <w:spacing w:val="-2"/>
        </w:rPr>
        <w:t>Carpenter.</w:t>
      </w:r>
    </w:p>
    <w:p>
      <w:pPr>
        <w:pStyle w:val="BodyText"/>
        <w:spacing w:before="84"/>
      </w:pPr>
    </w:p>
    <w:p>
      <w:pPr>
        <w:pStyle w:val="BodyText"/>
        <w:ind w:left="1211" w:right="1320" w:hanging="812"/>
        <w:jc w:val="both"/>
      </w:pPr>
      <w:r>
        <w:rPr/>
        <w:t>Central Bank of Nigeria. (CBN). (2003). Highway maintenance in Nigeria: lessons from other countries Research department occasional paper series.</w:t>
      </w:r>
    </w:p>
    <w:p>
      <w:pPr>
        <w:pStyle w:val="BodyText"/>
        <w:spacing w:before="84"/>
      </w:pPr>
    </w:p>
    <w:p>
      <w:pPr>
        <w:pStyle w:val="BodyText"/>
        <w:ind w:left="1211" w:right="1315" w:hanging="812"/>
        <w:jc w:val="both"/>
      </w:pPr>
      <w:r>
        <w:rPr/>
        <w:t>Chandler, G., &amp; McEvoy, G. (2000). HRM, TQM and Firm Performance in SME Entrepreneurship Theory and Practice, 25, (1), 43-58</w:t>
      </w:r>
    </w:p>
    <w:p>
      <w:pPr>
        <w:pStyle w:val="BodyText"/>
        <w:spacing w:before="84"/>
      </w:pPr>
    </w:p>
    <w:p>
      <w:pPr>
        <w:pStyle w:val="BodyText"/>
        <w:ind w:left="1211" w:right="1317" w:hanging="812"/>
        <w:jc w:val="both"/>
      </w:pPr>
      <w:r>
        <w:rPr/>
        <w:t>Chen, C., Chiu, P., Orr, R., &amp; Goldstein A. (2007). An Empirical Analysis of Chinese Construction Firms’ Entry into Africa. International Symposium on Advancement of Construction Management and Real Estate. Sydney, Australia, pp 8-13.</w:t>
      </w:r>
    </w:p>
    <w:p>
      <w:pPr>
        <w:pStyle w:val="BodyText"/>
        <w:spacing w:before="84"/>
      </w:pPr>
    </w:p>
    <w:p>
      <w:pPr>
        <w:pStyle w:val="BodyText"/>
        <w:ind w:left="1211" w:right="1316" w:hanging="812"/>
        <w:jc w:val="both"/>
      </w:pPr>
      <w:r>
        <w:rPr/>
        <w:t>Chilipunde, R .L. (2010): Constraints and Challenges Faced by Small, Medium and Micro Enterprise Contractors in Malawi:</w:t>
      </w:r>
      <w:r>
        <w:rPr>
          <w:spacing w:val="80"/>
        </w:rPr>
        <w:t> </w:t>
      </w:r>
      <w:r>
        <w:rPr/>
        <w:t>A treatise submitted to the Faculty of Engineering, the Built Environment and Information Technology, Nelson Mandela Metropolitan University, School of the Built Environment.</w:t>
      </w:r>
    </w:p>
    <w:p>
      <w:pPr>
        <w:pStyle w:val="BodyText"/>
        <w:spacing w:before="84"/>
      </w:pPr>
    </w:p>
    <w:p>
      <w:pPr>
        <w:pStyle w:val="BodyText"/>
        <w:ind w:left="400"/>
      </w:pPr>
      <w:r>
        <w:rPr/>
        <w:t>Chinowsky,</w:t>
      </w:r>
      <w:r>
        <w:rPr>
          <w:spacing w:val="12"/>
        </w:rPr>
        <w:t> </w:t>
      </w:r>
      <w:r>
        <w:rPr/>
        <w:t>P.S.</w:t>
      </w:r>
      <w:r>
        <w:rPr>
          <w:spacing w:val="56"/>
          <w:w w:val="150"/>
        </w:rPr>
        <w:t> </w:t>
      </w:r>
      <w:r>
        <w:rPr/>
        <w:t>Molenaar,</w:t>
      </w:r>
      <w:r>
        <w:rPr>
          <w:spacing w:val="12"/>
        </w:rPr>
        <w:t> </w:t>
      </w:r>
      <w:r>
        <w:rPr/>
        <w:t>K.,</w:t>
      </w:r>
      <w:r>
        <w:rPr>
          <w:spacing w:val="15"/>
        </w:rPr>
        <w:t> </w:t>
      </w:r>
      <w:r>
        <w:rPr/>
        <w:t>&amp;</w:t>
      </w:r>
      <w:r>
        <w:rPr>
          <w:spacing w:val="53"/>
          <w:w w:val="150"/>
        </w:rPr>
        <w:t> </w:t>
      </w:r>
      <w:r>
        <w:rPr/>
        <w:t>Realph,</w:t>
      </w:r>
      <w:r>
        <w:rPr>
          <w:spacing w:val="56"/>
          <w:w w:val="150"/>
        </w:rPr>
        <w:t> </w:t>
      </w:r>
      <w:r>
        <w:rPr/>
        <w:t>A.</w:t>
      </w:r>
      <w:r>
        <w:rPr>
          <w:spacing w:val="55"/>
          <w:w w:val="150"/>
        </w:rPr>
        <w:t> </w:t>
      </w:r>
      <w:r>
        <w:rPr/>
        <w:t>(2007).</w:t>
      </w:r>
      <w:r>
        <w:rPr>
          <w:spacing w:val="14"/>
        </w:rPr>
        <w:t> </w:t>
      </w:r>
      <w:r>
        <w:rPr/>
        <w:t>Learning</w:t>
      </w:r>
      <w:r>
        <w:rPr>
          <w:spacing w:val="11"/>
        </w:rPr>
        <w:t> </w:t>
      </w:r>
      <w:r>
        <w:rPr/>
        <w:t>organisations</w:t>
      </w:r>
      <w:r>
        <w:rPr>
          <w:spacing w:val="13"/>
        </w:rPr>
        <w:t> </w:t>
      </w:r>
      <w:r>
        <w:rPr/>
        <w:t>in</w:t>
      </w:r>
      <w:r>
        <w:rPr>
          <w:spacing w:val="13"/>
        </w:rPr>
        <w:t> </w:t>
      </w:r>
      <w:r>
        <w:rPr>
          <w:spacing w:val="-2"/>
        </w:rPr>
        <w:t>construction.</w:t>
      </w:r>
    </w:p>
    <w:p>
      <w:pPr>
        <w:pStyle w:val="BodyText"/>
        <w:ind w:left="1211"/>
      </w:pPr>
      <w:r>
        <w:rPr/>
        <w:t>Journal</w:t>
      </w:r>
      <w:r>
        <w:rPr>
          <w:spacing w:val="-2"/>
        </w:rPr>
        <w:t> </w:t>
      </w:r>
      <w:r>
        <w:rPr/>
        <w:t>of</w:t>
      </w:r>
      <w:r>
        <w:rPr>
          <w:spacing w:val="-2"/>
        </w:rPr>
        <w:t> </w:t>
      </w:r>
      <w:r>
        <w:rPr/>
        <w:t>Management</w:t>
      </w:r>
      <w:r>
        <w:rPr>
          <w:spacing w:val="-1"/>
        </w:rPr>
        <w:t> </w:t>
      </w:r>
      <w:r>
        <w:rPr/>
        <w:t>in</w:t>
      </w:r>
      <w:r>
        <w:rPr>
          <w:spacing w:val="-1"/>
        </w:rPr>
        <w:t> </w:t>
      </w:r>
      <w:r>
        <w:rPr/>
        <w:t>Engineering,</w:t>
      </w:r>
      <w:r>
        <w:rPr>
          <w:spacing w:val="-1"/>
        </w:rPr>
        <w:t> </w:t>
      </w:r>
      <w:r>
        <w:rPr/>
        <w:t>23(1),</w:t>
      </w:r>
      <w:r>
        <w:rPr>
          <w:spacing w:val="-1"/>
        </w:rPr>
        <w:t> </w:t>
      </w:r>
      <w:r>
        <w:rPr/>
        <w:t>27-</w:t>
      </w:r>
      <w:r>
        <w:rPr>
          <w:spacing w:val="-5"/>
        </w:rPr>
        <w:t>34.</w:t>
      </w:r>
    </w:p>
    <w:p>
      <w:pPr>
        <w:pStyle w:val="BodyText"/>
        <w:spacing w:before="84"/>
      </w:pPr>
    </w:p>
    <w:p>
      <w:pPr>
        <w:pStyle w:val="BodyText"/>
        <w:ind w:left="1211" w:right="1321" w:hanging="812"/>
        <w:jc w:val="both"/>
      </w:pPr>
      <w:r>
        <w:rPr/>
        <w:t>Christensen C. (2001). The Past and Future of Competitive Advantage, Sloan Management </w:t>
      </w:r>
      <w:r>
        <w:rPr>
          <w:spacing w:val="-2"/>
        </w:rPr>
        <w:t>Review.</w:t>
      </w:r>
    </w:p>
    <w:p>
      <w:pPr>
        <w:pStyle w:val="BodyText"/>
        <w:spacing w:before="84"/>
      </w:pPr>
    </w:p>
    <w:p>
      <w:pPr>
        <w:spacing w:before="0"/>
        <w:ind w:left="1211" w:right="1316" w:hanging="812"/>
        <w:jc w:val="both"/>
        <w:rPr>
          <w:i/>
          <w:sz w:val="24"/>
        </w:rPr>
      </w:pPr>
      <w:r>
        <w:rPr>
          <w:sz w:val="24"/>
        </w:rPr>
        <w:t>Corredor, P., &amp;</w:t>
      </w:r>
      <w:r>
        <w:rPr>
          <w:spacing w:val="40"/>
          <w:sz w:val="24"/>
        </w:rPr>
        <w:t> </w:t>
      </w:r>
      <w:r>
        <w:rPr>
          <w:sz w:val="24"/>
        </w:rPr>
        <w:t>Goni, S.</w:t>
      </w:r>
      <w:r>
        <w:rPr>
          <w:spacing w:val="-1"/>
          <w:sz w:val="24"/>
        </w:rPr>
        <w:t> </w:t>
      </w:r>
      <w:r>
        <w:rPr>
          <w:sz w:val="24"/>
        </w:rPr>
        <w:t>(2010). TQM and performance: Is the relationship so obvious.</w:t>
      </w:r>
      <w:r>
        <w:rPr>
          <w:spacing w:val="40"/>
          <w:sz w:val="24"/>
        </w:rPr>
        <w:t> </w:t>
      </w:r>
      <w:r>
        <w:rPr>
          <w:i/>
          <w:sz w:val="24"/>
        </w:rPr>
        <w:t>Journal of business search, 1-9</w:t>
      </w:r>
    </w:p>
    <w:p>
      <w:pPr>
        <w:pStyle w:val="BodyText"/>
        <w:spacing w:before="84"/>
        <w:rPr>
          <w:i/>
        </w:rPr>
      </w:pPr>
    </w:p>
    <w:p>
      <w:pPr>
        <w:pStyle w:val="BodyText"/>
        <w:ind w:left="400"/>
      </w:pPr>
      <w:r>
        <w:rPr/>
        <w:t>Crosby,</w:t>
      </w:r>
      <w:r>
        <w:rPr>
          <w:spacing w:val="58"/>
        </w:rPr>
        <w:t> </w:t>
      </w:r>
      <w:r>
        <w:rPr/>
        <w:t>P.</w:t>
      </w:r>
      <w:r>
        <w:rPr>
          <w:spacing w:val="61"/>
        </w:rPr>
        <w:t> </w:t>
      </w:r>
      <w:r>
        <w:rPr/>
        <w:t>(1979)</w:t>
      </w:r>
      <w:r>
        <w:rPr>
          <w:spacing w:val="59"/>
        </w:rPr>
        <w:t> </w:t>
      </w:r>
      <w:r>
        <w:rPr/>
        <w:t>Quality</w:t>
      </w:r>
      <w:r>
        <w:rPr>
          <w:spacing w:val="59"/>
        </w:rPr>
        <w:t> </w:t>
      </w:r>
      <w:r>
        <w:rPr/>
        <w:t>Is</w:t>
      </w:r>
      <w:r>
        <w:rPr>
          <w:spacing w:val="61"/>
        </w:rPr>
        <w:t> </w:t>
      </w:r>
      <w:r>
        <w:rPr/>
        <w:t>Free:</w:t>
      </w:r>
      <w:r>
        <w:rPr>
          <w:spacing w:val="60"/>
        </w:rPr>
        <w:t> </w:t>
      </w:r>
      <w:r>
        <w:rPr/>
        <w:t>The</w:t>
      </w:r>
      <w:r>
        <w:rPr>
          <w:spacing w:val="60"/>
        </w:rPr>
        <w:t> </w:t>
      </w:r>
      <w:r>
        <w:rPr/>
        <w:t>Art</w:t>
      </w:r>
      <w:r>
        <w:rPr>
          <w:spacing w:val="61"/>
        </w:rPr>
        <w:t> </w:t>
      </w:r>
      <w:r>
        <w:rPr/>
        <w:t>of</w:t>
      </w:r>
      <w:r>
        <w:rPr>
          <w:spacing w:val="62"/>
        </w:rPr>
        <w:t> </w:t>
      </w:r>
      <w:r>
        <w:rPr/>
        <w:t>Making</w:t>
      </w:r>
      <w:r>
        <w:rPr>
          <w:spacing w:val="58"/>
        </w:rPr>
        <w:t> </w:t>
      </w:r>
      <w:r>
        <w:rPr/>
        <w:t>Quality</w:t>
      </w:r>
      <w:r>
        <w:rPr>
          <w:spacing w:val="56"/>
        </w:rPr>
        <w:t> </w:t>
      </w:r>
      <w:r>
        <w:rPr/>
        <w:t>CertainDaft,</w:t>
      </w:r>
      <w:r>
        <w:rPr>
          <w:spacing w:val="60"/>
        </w:rPr>
        <w:t> </w:t>
      </w:r>
      <w:r>
        <w:rPr/>
        <w:t>R.</w:t>
      </w:r>
      <w:r>
        <w:rPr>
          <w:spacing w:val="63"/>
        </w:rPr>
        <w:t> </w:t>
      </w:r>
      <w:r>
        <w:rPr/>
        <w:t>L.</w:t>
      </w:r>
      <w:r>
        <w:rPr>
          <w:spacing w:val="61"/>
        </w:rPr>
        <w:t> </w:t>
      </w:r>
      <w:r>
        <w:rPr>
          <w:spacing w:val="-2"/>
        </w:rPr>
        <w:t>(2003).</w:t>
      </w:r>
    </w:p>
    <w:p>
      <w:pPr>
        <w:pStyle w:val="BodyText"/>
        <w:ind w:left="1211"/>
      </w:pPr>
      <w:r>
        <w:rPr/>
        <w:t>Management.</w:t>
      </w:r>
      <w:r>
        <w:rPr>
          <w:spacing w:val="-2"/>
        </w:rPr>
        <w:t> </w:t>
      </w:r>
      <w:r>
        <w:rPr/>
        <w:t>New</w:t>
      </w:r>
      <w:r>
        <w:rPr>
          <w:spacing w:val="-3"/>
        </w:rPr>
        <w:t> </w:t>
      </w:r>
      <w:r>
        <w:rPr/>
        <w:t>York:</w:t>
      </w:r>
      <w:r>
        <w:rPr>
          <w:spacing w:val="59"/>
        </w:rPr>
        <w:t> </w:t>
      </w:r>
      <w:r>
        <w:rPr>
          <w:spacing w:val="-2"/>
        </w:rPr>
        <w:t>Thomson.</w:t>
      </w:r>
    </w:p>
    <w:p>
      <w:pPr>
        <w:pStyle w:val="BodyText"/>
        <w:spacing w:before="84"/>
      </w:pPr>
    </w:p>
    <w:p>
      <w:pPr>
        <w:pStyle w:val="BodyText"/>
        <w:ind w:left="400"/>
      </w:pPr>
      <w:r>
        <w:rPr/>
        <w:t>Dale,</w:t>
      </w:r>
      <w:r>
        <w:rPr>
          <w:spacing w:val="-4"/>
        </w:rPr>
        <w:t> </w:t>
      </w:r>
      <w:r>
        <w:rPr/>
        <w:t>B.</w:t>
      </w:r>
      <w:r>
        <w:rPr>
          <w:spacing w:val="-1"/>
        </w:rPr>
        <w:t> </w:t>
      </w:r>
      <w:r>
        <w:rPr/>
        <w:t>(2003).</w:t>
      </w:r>
      <w:r>
        <w:rPr>
          <w:spacing w:val="-2"/>
        </w:rPr>
        <w:t> </w:t>
      </w:r>
      <w:r>
        <w:rPr/>
        <w:t>Managing</w:t>
      </w:r>
      <w:r>
        <w:rPr>
          <w:spacing w:val="-4"/>
        </w:rPr>
        <w:t> </w:t>
      </w:r>
      <w:r>
        <w:rPr/>
        <w:t>Quality,</w:t>
      </w:r>
      <w:r>
        <w:rPr>
          <w:spacing w:val="-2"/>
        </w:rPr>
        <w:t> </w:t>
      </w:r>
      <w:r>
        <w:rPr/>
        <w:t>Cornwall,</w:t>
      </w:r>
      <w:r>
        <w:rPr>
          <w:spacing w:val="-2"/>
        </w:rPr>
        <w:t> </w:t>
      </w:r>
      <w:r>
        <w:rPr/>
        <w:t>Blackwell</w:t>
      </w:r>
      <w:r>
        <w:rPr>
          <w:spacing w:val="-2"/>
        </w:rPr>
        <w:t> Publishing.</w:t>
      </w:r>
    </w:p>
    <w:p>
      <w:pPr>
        <w:pStyle w:val="BodyText"/>
        <w:spacing w:before="84"/>
      </w:pPr>
    </w:p>
    <w:p>
      <w:pPr>
        <w:pStyle w:val="BodyText"/>
        <w:ind w:left="1211" w:right="1319" w:hanging="812"/>
        <w:jc w:val="both"/>
      </w:pPr>
      <w:r>
        <w:rPr/>
        <w:t>Dale B. G. &amp; Lascelles D. M., (1997). Total quality management adoption: revisiting the levels, The TQM Magazine, 9(6), 418 – 428</w:t>
      </w:r>
    </w:p>
    <w:p>
      <w:pPr>
        <w:pStyle w:val="BodyText"/>
        <w:spacing w:before="84"/>
      </w:pPr>
    </w:p>
    <w:p>
      <w:pPr>
        <w:pStyle w:val="BodyText"/>
        <w:ind w:left="400"/>
      </w:pPr>
      <w:r>
        <w:rPr/>
        <w:t>Dale,</w:t>
      </w:r>
      <w:r>
        <w:rPr>
          <w:spacing w:val="-2"/>
        </w:rPr>
        <w:t> </w:t>
      </w:r>
      <w:r>
        <w:rPr/>
        <w:t>B.</w:t>
      </w:r>
      <w:r>
        <w:rPr>
          <w:spacing w:val="1"/>
        </w:rPr>
        <w:t> </w:t>
      </w:r>
      <w:r>
        <w:rPr/>
        <w:t>G.,</w:t>
      </w:r>
      <w:r>
        <w:rPr>
          <w:spacing w:val="3"/>
        </w:rPr>
        <w:t> </w:t>
      </w:r>
      <w:r>
        <w:rPr/>
        <w:t>Zairi,</w:t>
      </w:r>
      <w:r>
        <w:rPr>
          <w:spacing w:val="1"/>
        </w:rPr>
        <w:t> </w:t>
      </w:r>
      <w:r>
        <w:rPr/>
        <w:t>M., </w:t>
      </w:r>
      <w:r>
        <w:rPr>
          <w:i/>
        </w:rPr>
        <w:t>et</w:t>
      </w:r>
      <w:r>
        <w:rPr>
          <w:i/>
          <w:spacing w:val="4"/>
        </w:rPr>
        <w:t> </w:t>
      </w:r>
      <w:r>
        <w:rPr>
          <w:i/>
        </w:rPr>
        <w:t>al.</w:t>
      </w:r>
      <w:r>
        <w:rPr>
          <w:i/>
          <w:spacing w:val="1"/>
        </w:rPr>
        <w:t> </w:t>
      </w:r>
      <w:r>
        <w:rPr/>
        <w:t>(2000). Quality</w:t>
      </w:r>
      <w:r>
        <w:rPr>
          <w:spacing w:val="-4"/>
        </w:rPr>
        <w:t> </w:t>
      </w:r>
      <w:r>
        <w:rPr/>
        <w:t>is</w:t>
      </w:r>
      <w:r>
        <w:rPr>
          <w:spacing w:val="1"/>
        </w:rPr>
        <w:t> </w:t>
      </w:r>
      <w:r>
        <w:rPr/>
        <w:t>dead</w:t>
      </w:r>
      <w:r>
        <w:rPr>
          <w:spacing w:val="1"/>
        </w:rPr>
        <w:t> </w:t>
      </w:r>
      <w:r>
        <w:rPr/>
        <w:t>in</w:t>
      </w:r>
      <w:r>
        <w:rPr>
          <w:spacing w:val="1"/>
        </w:rPr>
        <w:t> </w:t>
      </w:r>
      <w:r>
        <w:rPr/>
        <w:t>Europe-long</w:t>
      </w:r>
      <w:r>
        <w:rPr>
          <w:spacing w:val="-2"/>
        </w:rPr>
        <w:t> </w:t>
      </w:r>
      <w:r>
        <w:rPr/>
        <w:t>live excellence-</w:t>
      </w:r>
      <w:r>
        <w:rPr>
          <w:spacing w:val="1"/>
        </w:rPr>
        <w:t> </w:t>
      </w:r>
      <w:r>
        <w:rPr/>
        <w:t>true or </w:t>
      </w:r>
      <w:r>
        <w:rPr>
          <w:spacing w:val="-2"/>
        </w:rPr>
        <w:t>false?</w:t>
      </w:r>
    </w:p>
    <w:p>
      <w:pPr>
        <w:spacing w:before="1"/>
        <w:ind w:left="1211" w:right="0" w:firstLine="0"/>
        <w:jc w:val="left"/>
        <w:rPr>
          <w:sz w:val="24"/>
        </w:rPr>
      </w:pPr>
      <w:r>
        <w:rPr>
          <w:i/>
          <w:sz w:val="24"/>
        </w:rPr>
        <w:t>Measuring</w:t>
      </w:r>
      <w:r>
        <w:rPr>
          <w:i/>
          <w:spacing w:val="-5"/>
          <w:sz w:val="24"/>
        </w:rPr>
        <w:t> </w:t>
      </w:r>
      <w:r>
        <w:rPr>
          <w:i/>
          <w:sz w:val="24"/>
        </w:rPr>
        <w:t>Business</w:t>
      </w:r>
      <w:r>
        <w:rPr>
          <w:i/>
          <w:spacing w:val="-2"/>
          <w:sz w:val="24"/>
        </w:rPr>
        <w:t> </w:t>
      </w:r>
      <w:r>
        <w:rPr>
          <w:i/>
          <w:sz w:val="24"/>
        </w:rPr>
        <w:t>Excellence,</w:t>
      </w:r>
      <w:r>
        <w:rPr>
          <w:i/>
          <w:spacing w:val="-2"/>
          <w:sz w:val="24"/>
        </w:rPr>
        <w:t> </w:t>
      </w:r>
      <w:r>
        <w:rPr>
          <w:i/>
          <w:sz w:val="24"/>
        </w:rPr>
        <w:t>Bradford</w:t>
      </w:r>
      <w:r>
        <w:rPr>
          <w:sz w:val="24"/>
        </w:rPr>
        <w:t>:</w:t>
      </w:r>
      <w:r>
        <w:rPr>
          <w:spacing w:val="-2"/>
          <w:sz w:val="24"/>
        </w:rPr>
        <w:t> </w:t>
      </w:r>
      <w:r>
        <w:rPr>
          <w:sz w:val="24"/>
        </w:rPr>
        <w:t>4(3),</w:t>
      </w:r>
      <w:r>
        <w:rPr>
          <w:spacing w:val="-2"/>
          <w:sz w:val="24"/>
        </w:rPr>
        <w:t> </w:t>
      </w:r>
      <w:r>
        <w:rPr>
          <w:sz w:val="24"/>
        </w:rPr>
        <w:t>4-</w:t>
      </w:r>
      <w:r>
        <w:rPr>
          <w:spacing w:val="-5"/>
          <w:sz w:val="24"/>
        </w:rPr>
        <w:t>10</w:t>
      </w:r>
    </w:p>
    <w:p>
      <w:pPr>
        <w:pStyle w:val="BodyText"/>
        <w:spacing w:before="83"/>
      </w:pPr>
    </w:p>
    <w:p>
      <w:pPr>
        <w:spacing w:before="1"/>
        <w:ind w:left="1211" w:right="1314" w:hanging="812"/>
        <w:jc w:val="both"/>
        <w:rPr>
          <w:i/>
          <w:sz w:val="24"/>
        </w:rPr>
      </w:pPr>
      <w:r>
        <w:rPr>
          <w:sz w:val="24"/>
        </w:rPr>
        <w:t>Dale, G.</w:t>
      </w:r>
      <w:r>
        <w:rPr>
          <w:spacing w:val="40"/>
          <w:sz w:val="24"/>
        </w:rPr>
        <w:t> </w:t>
      </w:r>
      <w:r>
        <w:rPr>
          <w:sz w:val="24"/>
        </w:rPr>
        <w:t>Wu, Y., Zairi , M., Williams , T., &amp; Van der wiele, T. (2001) , Total Quality Management and Quality: An Exploratory Study of Contribution, </w:t>
      </w:r>
      <w:r>
        <w:rPr>
          <w:i/>
          <w:sz w:val="24"/>
        </w:rPr>
        <w:t>Total Quality Management Journal, 12(4): 439-449.</w:t>
      </w:r>
    </w:p>
    <w:p>
      <w:pPr>
        <w:spacing w:after="0"/>
        <w:jc w:val="both"/>
        <w:rPr>
          <w:sz w:val="24"/>
        </w:rPr>
        <w:sectPr>
          <w:pgSz w:w="12240" w:h="15840"/>
          <w:pgMar w:header="0" w:footer="1017" w:top="1360" w:bottom="1200" w:left="1040" w:right="120"/>
        </w:sectPr>
      </w:pPr>
    </w:p>
    <w:p>
      <w:pPr>
        <w:pStyle w:val="BodyText"/>
        <w:spacing w:before="72"/>
        <w:ind w:left="1211" w:right="1318" w:hanging="812"/>
        <w:jc w:val="both"/>
      </w:pPr>
      <w:r>
        <w:rPr/>
        <w:t>Dansoh, A.</w:t>
      </w:r>
      <w:r>
        <w:rPr>
          <w:spacing w:val="40"/>
        </w:rPr>
        <w:t> </w:t>
      </w:r>
      <w:r>
        <w:rPr/>
        <w:t>(2005). Strategic planning practice of construction firms in</w:t>
      </w:r>
      <w:r>
        <w:rPr>
          <w:spacing w:val="40"/>
        </w:rPr>
        <w:t> </w:t>
      </w:r>
      <w:r>
        <w:rPr/>
        <w:t>Ghana. Construction Management and Economics, 23(2), 163-168.</w:t>
      </w:r>
    </w:p>
    <w:p>
      <w:pPr>
        <w:pStyle w:val="BodyText"/>
        <w:spacing w:before="84"/>
      </w:pPr>
    </w:p>
    <w:p>
      <w:pPr>
        <w:spacing w:before="0"/>
        <w:ind w:left="1211" w:right="1314" w:hanging="812"/>
        <w:jc w:val="both"/>
        <w:rPr>
          <w:sz w:val="24"/>
        </w:rPr>
      </w:pPr>
      <w:r>
        <w:rPr>
          <w:sz w:val="24"/>
        </w:rPr>
        <w:t>David A., &amp; Murat H.G, (1997) Total Quality Management in Construction Process, </w:t>
      </w:r>
      <w:r>
        <w:rPr>
          <w:i/>
          <w:sz w:val="24"/>
        </w:rPr>
        <w:t>International Journal for Project Management, 15(.4), 235-243. </w:t>
      </w:r>
      <w:r>
        <w:rPr>
          <w:sz w:val="24"/>
        </w:rPr>
        <w:t>DOI: 10.1016/S0263- </w:t>
      </w:r>
      <w:r>
        <w:rPr>
          <w:spacing w:val="-2"/>
          <w:sz w:val="24"/>
        </w:rPr>
        <w:t>7863(96)00076-2</w:t>
      </w:r>
    </w:p>
    <w:p>
      <w:pPr>
        <w:pStyle w:val="BodyText"/>
        <w:spacing w:before="84"/>
      </w:pPr>
    </w:p>
    <w:p>
      <w:pPr>
        <w:pStyle w:val="BodyText"/>
        <w:ind w:left="1211" w:right="1318" w:hanging="812"/>
        <w:jc w:val="both"/>
      </w:pPr>
      <w:r>
        <w:rPr/>
        <w:t>Deming, W. E. (1986). Out of the Crisis.</w:t>
      </w:r>
      <w:r>
        <w:rPr>
          <w:spacing w:val="-1"/>
        </w:rPr>
        <w:t> </w:t>
      </w:r>
      <w:r>
        <w:rPr/>
        <w:t>Cambridge, MA: MIT Center for Advance Engineering </w:t>
      </w:r>
      <w:r>
        <w:rPr>
          <w:spacing w:val="-4"/>
        </w:rPr>
        <w:t>Study</w:t>
      </w:r>
    </w:p>
    <w:p>
      <w:pPr>
        <w:pStyle w:val="BodyText"/>
        <w:spacing w:before="84"/>
      </w:pPr>
    </w:p>
    <w:p>
      <w:pPr>
        <w:pStyle w:val="BodyText"/>
        <w:ind w:left="1211" w:right="1317" w:hanging="812"/>
        <w:jc w:val="both"/>
      </w:pPr>
      <w:r>
        <w:rPr/>
        <w:t>De Wit, B., &amp; Ron Meyer (1999). Strategy Synthesis: Resolving Strategy Paradox to Create Competitive Advantage, ITP, UK.</w:t>
      </w:r>
    </w:p>
    <w:p>
      <w:pPr>
        <w:pStyle w:val="BodyText"/>
        <w:spacing w:before="84"/>
      </w:pPr>
    </w:p>
    <w:p>
      <w:pPr>
        <w:pStyle w:val="BodyText"/>
        <w:ind w:left="400"/>
      </w:pPr>
      <w:r>
        <w:rPr/>
        <w:t>Dikmen,</w:t>
      </w:r>
      <w:r>
        <w:rPr>
          <w:spacing w:val="2"/>
        </w:rPr>
        <w:t> </w:t>
      </w:r>
      <w:r>
        <w:rPr/>
        <w:t>I.,</w:t>
      </w:r>
      <w:r>
        <w:rPr>
          <w:spacing w:val="5"/>
        </w:rPr>
        <w:t> </w:t>
      </w:r>
      <w:r>
        <w:rPr/>
        <w:t>&amp;</w:t>
      </w:r>
      <w:r>
        <w:rPr>
          <w:spacing w:val="-1"/>
        </w:rPr>
        <w:t> </w:t>
      </w:r>
      <w:r>
        <w:rPr/>
        <w:t>Birgonul,</w:t>
      </w:r>
      <w:r>
        <w:rPr>
          <w:spacing w:val="5"/>
        </w:rPr>
        <w:t> </w:t>
      </w:r>
      <w:r>
        <w:rPr/>
        <w:t>M.</w:t>
      </w:r>
      <w:r>
        <w:rPr>
          <w:spacing w:val="2"/>
        </w:rPr>
        <w:t> </w:t>
      </w:r>
      <w:r>
        <w:rPr/>
        <w:t>T.,</w:t>
      </w:r>
      <w:r>
        <w:rPr>
          <w:spacing w:val="1"/>
        </w:rPr>
        <w:t> </w:t>
      </w:r>
      <w:r>
        <w:rPr/>
        <w:t>(2003),</w:t>
      </w:r>
      <w:r>
        <w:rPr>
          <w:spacing w:val="2"/>
        </w:rPr>
        <w:t> </w:t>
      </w:r>
      <w:r>
        <w:rPr/>
        <w:t>Strategic</w:t>
      </w:r>
      <w:r>
        <w:rPr>
          <w:spacing w:val="4"/>
        </w:rPr>
        <w:t> </w:t>
      </w:r>
      <w:r>
        <w:rPr/>
        <w:t>perspective of</w:t>
      </w:r>
      <w:r>
        <w:rPr>
          <w:spacing w:val="2"/>
        </w:rPr>
        <w:t> </w:t>
      </w:r>
      <w:r>
        <w:rPr/>
        <w:t>Turkish</w:t>
      </w:r>
      <w:r>
        <w:rPr>
          <w:spacing w:val="2"/>
        </w:rPr>
        <w:t> </w:t>
      </w:r>
      <w:r>
        <w:rPr/>
        <w:t>construction</w:t>
      </w:r>
      <w:r>
        <w:rPr>
          <w:spacing w:val="2"/>
        </w:rPr>
        <w:t> </w:t>
      </w:r>
      <w:r>
        <w:rPr>
          <w:spacing w:val="-2"/>
        </w:rPr>
        <w:t>Companies.</w:t>
      </w:r>
    </w:p>
    <w:p>
      <w:pPr>
        <w:spacing w:before="0"/>
        <w:ind w:left="1211" w:right="0" w:firstLine="0"/>
        <w:jc w:val="left"/>
        <w:rPr>
          <w:i/>
          <w:sz w:val="24"/>
        </w:rPr>
      </w:pPr>
      <w:r>
        <w:rPr>
          <w:i/>
          <w:sz w:val="24"/>
        </w:rPr>
        <w:t>Journal</w:t>
      </w:r>
      <w:r>
        <w:rPr>
          <w:i/>
          <w:spacing w:val="-2"/>
          <w:sz w:val="24"/>
        </w:rPr>
        <w:t> </w:t>
      </w:r>
      <w:r>
        <w:rPr>
          <w:i/>
          <w:sz w:val="24"/>
        </w:rPr>
        <w:t>of</w:t>
      </w:r>
      <w:r>
        <w:rPr>
          <w:i/>
          <w:spacing w:val="-1"/>
          <w:sz w:val="24"/>
        </w:rPr>
        <w:t> </w:t>
      </w:r>
      <w:r>
        <w:rPr>
          <w:i/>
          <w:sz w:val="24"/>
        </w:rPr>
        <w:t>Management</w:t>
      </w:r>
      <w:r>
        <w:rPr>
          <w:i/>
          <w:spacing w:val="-1"/>
          <w:sz w:val="24"/>
        </w:rPr>
        <w:t> </w:t>
      </w:r>
      <w:r>
        <w:rPr>
          <w:i/>
          <w:sz w:val="24"/>
        </w:rPr>
        <w:t>in</w:t>
      </w:r>
      <w:r>
        <w:rPr>
          <w:i/>
          <w:spacing w:val="-2"/>
          <w:sz w:val="24"/>
        </w:rPr>
        <w:t> </w:t>
      </w:r>
      <w:r>
        <w:rPr>
          <w:i/>
          <w:sz w:val="24"/>
        </w:rPr>
        <w:t>Engineering,</w:t>
      </w:r>
      <w:r>
        <w:rPr>
          <w:i/>
          <w:spacing w:val="-1"/>
          <w:sz w:val="24"/>
        </w:rPr>
        <w:t> </w:t>
      </w:r>
      <w:r>
        <w:rPr>
          <w:i/>
          <w:sz w:val="24"/>
        </w:rPr>
        <w:t>1991),</w:t>
      </w:r>
      <w:r>
        <w:rPr>
          <w:i/>
          <w:spacing w:val="-1"/>
          <w:sz w:val="24"/>
        </w:rPr>
        <w:t> </w:t>
      </w:r>
      <w:r>
        <w:rPr>
          <w:i/>
          <w:spacing w:val="-2"/>
          <w:sz w:val="24"/>
        </w:rPr>
        <w:t>33–40.</w:t>
      </w:r>
    </w:p>
    <w:p>
      <w:pPr>
        <w:pStyle w:val="BodyText"/>
        <w:spacing w:before="84"/>
        <w:rPr>
          <w:i/>
        </w:rPr>
      </w:pPr>
    </w:p>
    <w:p>
      <w:pPr>
        <w:spacing w:before="0"/>
        <w:ind w:left="1211" w:right="1317" w:hanging="812"/>
        <w:jc w:val="both"/>
        <w:rPr>
          <w:i/>
          <w:sz w:val="24"/>
        </w:rPr>
      </w:pPr>
      <w:r>
        <w:rPr>
          <w:sz w:val="24"/>
        </w:rPr>
        <w:t>Douglas, T.J., &amp; Judge, W.Q. (2001). Total Quality Management Implementation and Competitive Advantage: The Role of Structural Control and Exploration. </w:t>
      </w:r>
      <w:r>
        <w:rPr>
          <w:i/>
          <w:sz w:val="24"/>
        </w:rPr>
        <w:t>The Academy of Management Journal, 44 (1): 158-169</w:t>
      </w:r>
    </w:p>
    <w:p>
      <w:pPr>
        <w:pStyle w:val="BodyText"/>
        <w:spacing w:before="84"/>
        <w:rPr>
          <w:i/>
        </w:rPr>
      </w:pPr>
    </w:p>
    <w:p>
      <w:pPr>
        <w:pStyle w:val="BodyText"/>
        <w:ind w:left="1211" w:right="1330" w:hanging="812"/>
      </w:pPr>
      <w:r>
        <w:rPr/>
        <w:t>Downey,</w:t>
      </w:r>
      <w:r>
        <w:rPr>
          <w:spacing w:val="-3"/>
        </w:rPr>
        <w:t> </w:t>
      </w:r>
      <w:r>
        <w:rPr/>
        <w:t>J.</w:t>
      </w:r>
      <w:r>
        <w:rPr>
          <w:spacing w:val="-3"/>
        </w:rPr>
        <w:t> </w:t>
      </w:r>
      <w:r>
        <w:rPr/>
        <w:t>(2012).</w:t>
      </w:r>
      <w:r>
        <w:rPr>
          <w:spacing w:val="-3"/>
        </w:rPr>
        <w:t> </w:t>
      </w:r>
      <w:r>
        <w:rPr/>
        <w:t>Strategic</w:t>
      </w:r>
      <w:r>
        <w:rPr>
          <w:spacing w:val="-4"/>
        </w:rPr>
        <w:t> </w:t>
      </w:r>
      <w:r>
        <w:rPr/>
        <w:t>analysis</w:t>
      </w:r>
      <w:r>
        <w:rPr>
          <w:spacing w:val="-3"/>
        </w:rPr>
        <w:t> </w:t>
      </w:r>
      <w:r>
        <w:rPr/>
        <w:t>tools.</w:t>
      </w:r>
      <w:r>
        <w:rPr>
          <w:spacing w:val="-3"/>
        </w:rPr>
        <w:t> </w:t>
      </w:r>
      <w:r>
        <w:rPr/>
        <w:t>Topic</w:t>
      </w:r>
      <w:r>
        <w:rPr>
          <w:spacing w:val="-2"/>
        </w:rPr>
        <w:t> </w:t>
      </w:r>
      <w:r>
        <w:rPr/>
        <w:t>Gateway</w:t>
      </w:r>
      <w:r>
        <w:rPr>
          <w:spacing w:val="-8"/>
        </w:rPr>
        <w:t> </w:t>
      </w:r>
      <w:r>
        <w:rPr/>
        <w:t>Series,</w:t>
      </w:r>
      <w:r>
        <w:rPr>
          <w:spacing w:val="-3"/>
        </w:rPr>
        <w:t> </w:t>
      </w:r>
      <w:r>
        <w:rPr/>
        <w:t>no.</w:t>
      </w:r>
      <w:r>
        <w:rPr>
          <w:spacing w:val="-3"/>
        </w:rPr>
        <w:t> </w:t>
      </w:r>
      <w:r>
        <w:rPr/>
        <w:t>34.</w:t>
      </w:r>
      <w:r>
        <w:rPr>
          <w:spacing w:val="-1"/>
        </w:rPr>
        <w:t> </w:t>
      </w:r>
      <w:r>
        <w:rPr/>
        <w:t>Prepared</w:t>
      </w:r>
      <w:r>
        <w:rPr>
          <w:spacing w:val="-3"/>
        </w:rPr>
        <w:t> </w:t>
      </w:r>
      <w:r>
        <w:rPr/>
        <w:t>by</w:t>
      </w:r>
      <w:r>
        <w:rPr>
          <w:spacing w:val="-8"/>
        </w:rPr>
        <w:t> </w:t>
      </w:r>
      <w:r>
        <w:rPr/>
        <w:t>Technical Information Service Retrieved from: </w:t>
      </w:r>
      <w:hyperlink r:id="rId42">
        <w:r>
          <w:rPr/>
          <w:t>http://www.cimaglobal.com/.(</w:t>
        </w:r>
      </w:hyperlink>
      <w:r>
        <w:rPr/>
        <w:t> Accessed on </w:t>
      </w:r>
      <w:r>
        <w:rPr>
          <w:spacing w:val="-2"/>
        </w:rPr>
        <w:t>20/1/14)</w:t>
      </w:r>
    </w:p>
    <w:p>
      <w:pPr>
        <w:pStyle w:val="BodyText"/>
        <w:spacing w:before="84"/>
      </w:pPr>
    </w:p>
    <w:p>
      <w:pPr>
        <w:pStyle w:val="BodyText"/>
        <w:ind w:left="1211" w:right="1315" w:hanging="812"/>
        <w:jc w:val="both"/>
      </w:pPr>
      <w:r>
        <w:rPr/>
        <w:t>Dubas K &amp;, Nijhawan I. (2005). A Test of the EFGM Excellence Model of TQM, the Allied Academics. International Conference: Academy of Marketing Studies, Las Vegas </w:t>
      </w:r>
      <w:r>
        <w:rPr>
          <w:spacing w:val="-2"/>
        </w:rPr>
        <w:t>Nevada</w:t>
      </w:r>
    </w:p>
    <w:p>
      <w:pPr>
        <w:pStyle w:val="BodyText"/>
        <w:spacing w:before="84"/>
      </w:pPr>
    </w:p>
    <w:p>
      <w:pPr>
        <w:pStyle w:val="BodyText"/>
        <w:ind w:left="1211" w:right="1315" w:hanging="812"/>
      </w:pPr>
      <w:r>
        <w:rPr/>
        <w:t>Dulaimi,</w:t>
      </w:r>
      <w:r>
        <w:rPr>
          <w:spacing w:val="80"/>
        </w:rPr>
        <w:t> </w:t>
      </w:r>
      <w:r>
        <w:rPr/>
        <w:t>M.F.,</w:t>
      </w:r>
      <w:r>
        <w:rPr>
          <w:spacing w:val="80"/>
        </w:rPr>
        <w:t> </w:t>
      </w:r>
      <w:r>
        <w:rPr/>
        <w:t>&amp;</w:t>
      </w:r>
      <w:r>
        <w:rPr>
          <w:spacing w:val="80"/>
        </w:rPr>
        <w:t> </w:t>
      </w:r>
      <w:r>
        <w:rPr/>
        <w:t>Hwa,</w:t>
      </w:r>
      <w:r>
        <w:rPr>
          <w:spacing w:val="80"/>
        </w:rPr>
        <w:t> </w:t>
      </w:r>
      <w:r>
        <w:rPr/>
        <w:t>T.F.</w:t>
      </w:r>
      <w:r>
        <w:rPr>
          <w:spacing w:val="80"/>
        </w:rPr>
        <w:t> </w:t>
      </w:r>
      <w:r>
        <w:rPr/>
        <w:t>(2001)</w:t>
      </w:r>
      <w:r>
        <w:rPr>
          <w:spacing w:val="80"/>
        </w:rPr>
        <w:t> </w:t>
      </w:r>
      <w:r>
        <w:rPr/>
        <w:t>Developing</w:t>
      </w:r>
      <w:r>
        <w:rPr>
          <w:spacing w:val="80"/>
        </w:rPr>
        <w:t> </w:t>
      </w:r>
      <w:r>
        <w:rPr/>
        <w:t>world</w:t>
      </w:r>
      <w:r>
        <w:rPr>
          <w:spacing w:val="80"/>
        </w:rPr>
        <w:t> </w:t>
      </w:r>
      <w:r>
        <w:rPr/>
        <w:t>class</w:t>
      </w:r>
      <w:r>
        <w:rPr>
          <w:spacing w:val="80"/>
        </w:rPr>
        <w:t> </w:t>
      </w:r>
      <w:r>
        <w:rPr/>
        <w:t>construction</w:t>
      </w:r>
      <w:r>
        <w:rPr>
          <w:spacing w:val="80"/>
        </w:rPr>
        <w:t> </w:t>
      </w:r>
      <w:r>
        <w:rPr/>
        <w:t>companies</w:t>
      </w:r>
      <w:r>
        <w:rPr>
          <w:spacing w:val="80"/>
        </w:rPr>
        <w:t> </w:t>
      </w:r>
      <w:r>
        <w:rPr/>
        <w:t>in Singapore. Construction management and economics 19, 591-599</w:t>
      </w:r>
    </w:p>
    <w:p>
      <w:pPr>
        <w:pStyle w:val="BodyText"/>
        <w:spacing w:before="84"/>
      </w:pPr>
    </w:p>
    <w:p>
      <w:pPr>
        <w:pStyle w:val="BodyText"/>
        <w:ind w:left="1211" w:right="1316" w:hanging="812"/>
        <w:jc w:val="both"/>
      </w:pPr>
      <w:r>
        <w:rPr/>
        <w:t>Egbuogu, L.O.D. (2003) What Small Business Entrepreneurs Expect From Local Credit</w:t>
      </w:r>
      <w:r>
        <w:rPr>
          <w:spacing w:val="40"/>
        </w:rPr>
        <w:t> </w:t>
      </w:r>
      <w:r>
        <w:rPr/>
        <w:t>Agencies and International Business Facilitators”. Paper presented at “Business America”. A Forum organized by</w:t>
      </w:r>
      <w:r>
        <w:rPr>
          <w:spacing w:val="-5"/>
        </w:rPr>
        <w:t> </w:t>
      </w:r>
      <w:r>
        <w:rPr/>
        <w:t>the</w:t>
      </w:r>
      <w:r>
        <w:rPr>
          <w:spacing w:val="-1"/>
        </w:rPr>
        <w:t> </w:t>
      </w:r>
      <w:r>
        <w:rPr/>
        <w:t>US Commercial Consulate, Lagos, Nigeria, March 3, pp. 1 – 10.</w:t>
      </w:r>
    </w:p>
    <w:p>
      <w:pPr>
        <w:pStyle w:val="BodyText"/>
        <w:spacing w:before="84"/>
      </w:pPr>
    </w:p>
    <w:p>
      <w:pPr>
        <w:pStyle w:val="BodyText"/>
        <w:ind w:left="399"/>
      </w:pPr>
      <w:r>
        <w:rPr/>
        <w:t>Escrig-Tena,</w:t>
      </w:r>
      <w:r>
        <w:rPr>
          <w:spacing w:val="48"/>
        </w:rPr>
        <w:t> </w:t>
      </w:r>
      <w:r>
        <w:rPr/>
        <w:t>A.</w:t>
      </w:r>
      <w:r>
        <w:rPr>
          <w:spacing w:val="53"/>
        </w:rPr>
        <w:t> </w:t>
      </w:r>
      <w:r>
        <w:rPr/>
        <w:t>(2004).TQM</w:t>
      </w:r>
      <w:r>
        <w:rPr>
          <w:spacing w:val="51"/>
        </w:rPr>
        <w:t> </w:t>
      </w:r>
      <w:r>
        <w:rPr/>
        <w:t>as</w:t>
      </w:r>
      <w:r>
        <w:rPr>
          <w:spacing w:val="51"/>
        </w:rPr>
        <w:t> </w:t>
      </w:r>
      <w:r>
        <w:rPr/>
        <w:t>Competitive</w:t>
      </w:r>
      <w:r>
        <w:rPr>
          <w:spacing w:val="52"/>
        </w:rPr>
        <w:t> </w:t>
      </w:r>
      <w:r>
        <w:rPr/>
        <w:t>Factor:</w:t>
      </w:r>
      <w:r>
        <w:rPr>
          <w:spacing w:val="51"/>
        </w:rPr>
        <w:t> </w:t>
      </w:r>
      <w:r>
        <w:rPr/>
        <w:t>A</w:t>
      </w:r>
      <w:r>
        <w:rPr>
          <w:spacing w:val="52"/>
        </w:rPr>
        <w:t> </w:t>
      </w:r>
      <w:r>
        <w:rPr/>
        <w:t>Theoretical</w:t>
      </w:r>
      <w:r>
        <w:rPr>
          <w:spacing w:val="52"/>
        </w:rPr>
        <w:t> </w:t>
      </w:r>
      <w:r>
        <w:rPr/>
        <w:t>and</w:t>
      </w:r>
      <w:r>
        <w:rPr>
          <w:spacing w:val="51"/>
        </w:rPr>
        <w:t> </w:t>
      </w:r>
      <w:r>
        <w:rPr/>
        <w:t>Empirical</w:t>
      </w:r>
      <w:r>
        <w:rPr>
          <w:spacing w:val="51"/>
        </w:rPr>
        <w:t> </w:t>
      </w:r>
      <w:r>
        <w:rPr>
          <w:spacing w:val="-2"/>
        </w:rPr>
        <w:t>Analysis.</w:t>
      </w:r>
    </w:p>
    <w:p>
      <w:pPr>
        <w:spacing w:before="1"/>
        <w:ind w:left="1211" w:right="0" w:firstLine="0"/>
        <w:jc w:val="left"/>
        <w:rPr>
          <w:i/>
          <w:sz w:val="24"/>
        </w:rPr>
      </w:pPr>
      <w:r>
        <w:rPr>
          <w:i/>
          <w:sz w:val="24"/>
        </w:rPr>
        <w:t>International</w:t>
      </w:r>
      <w:r>
        <w:rPr>
          <w:i/>
          <w:spacing w:val="-3"/>
          <w:sz w:val="24"/>
        </w:rPr>
        <w:t> </w:t>
      </w:r>
      <w:r>
        <w:rPr>
          <w:i/>
          <w:sz w:val="24"/>
        </w:rPr>
        <w:t>Journal</w:t>
      </w:r>
      <w:r>
        <w:rPr>
          <w:i/>
          <w:spacing w:val="-3"/>
          <w:sz w:val="24"/>
        </w:rPr>
        <w:t> </w:t>
      </w:r>
      <w:r>
        <w:rPr>
          <w:i/>
          <w:sz w:val="24"/>
        </w:rPr>
        <w:t>of</w:t>
      </w:r>
      <w:r>
        <w:rPr>
          <w:i/>
          <w:spacing w:val="-3"/>
          <w:sz w:val="24"/>
        </w:rPr>
        <w:t> </w:t>
      </w:r>
      <w:r>
        <w:rPr>
          <w:i/>
          <w:sz w:val="24"/>
        </w:rPr>
        <w:t>Quality</w:t>
      </w:r>
      <w:r>
        <w:rPr>
          <w:i/>
          <w:spacing w:val="1"/>
          <w:sz w:val="24"/>
        </w:rPr>
        <w:t> </w:t>
      </w:r>
      <w:r>
        <w:rPr>
          <w:i/>
          <w:sz w:val="24"/>
        </w:rPr>
        <w:t>&amp;Reliability</w:t>
      </w:r>
      <w:r>
        <w:rPr>
          <w:i/>
          <w:spacing w:val="-4"/>
          <w:sz w:val="24"/>
        </w:rPr>
        <w:t> </w:t>
      </w:r>
      <w:r>
        <w:rPr>
          <w:i/>
          <w:sz w:val="24"/>
        </w:rPr>
        <w:t>Management,</w:t>
      </w:r>
      <w:r>
        <w:rPr>
          <w:i/>
          <w:spacing w:val="-3"/>
          <w:sz w:val="24"/>
        </w:rPr>
        <w:t> </w:t>
      </w:r>
      <w:r>
        <w:rPr>
          <w:i/>
          <w:sz w:val="24"/>
        </w:rPr>
        <w:t>21, (6):612-</w:t>
      </w:r>
      <w:r>
        <w:rPr>
          <w:i/>
          <w:spacing w:val="-5"/>
          <w:sz w:val="24"/>
        </w:rPr>
        <w:t>637</w:t>
      </w:r>
    </w:p>
    <w:p>
      <w:pPr>
        <w:pStyle w:val="BodyText"/>
        <w:spacing w:before="83"/>
        <w:rPr>
          <w:i/>
        </w:rPr>
      </w:pPr>
    </w:p>
    <w:p>
      <w:pPr>
        <w:spacing w:before="1"/>
        <w:ind w:left="1211" w:right="1316" w:hanging="812"/>
        <w:jc w:val="both"/>
        <w:rPr>
          <w:sz w:val="24"/>
        </w:rPr>
      </w:pPr>
      <w:r>
        <w:rPr>
          <w:sz w:val="24"/>
        </w:rPr>
        <w:t>Eze, T.C., &amp; Okpala, C.S. (2015). Quantitative Analysis of the impact of Small and Medium Scale Enterprises on the growth of Nigerian Economy: (1993-2011). </w:t>
      </w:r>
      <w:r>
        <w:rPr>
          <w:i/>
          <w:sz w:val="24"/>
        </w:rPr>
        <w:t>International Journal of development and Emerg</w:t>
      </w:r>
      <w:r>
        <w:rPr>
          <w:sz w:val="24"/>
        </w:rPr>
        <w:t>ing` economics .3(1):26-28</w:t>
      </w:r>
    </w:p>
    <w:p>
      <w:pPr>
        <w:spacing w:after="0"/>
        <w:jc w:val="both"/>
        <w:rPr>
          <w:sz w:val="24"/>
        </w:rPr>
        <w:sectPr>
          <w:pgSz w:w="12240" w:h="15840"/>
          <w:pgMar w:header="0" w:footer="1017" w:top="1360" w:bottom="1200" w:left="1040" w:right="120"/>
        </w:sectPr>
      </w:pPr>
    </w:p>
    <w:p>
      <w:pPr>
        <w:pStyle w:val="BodyText"/>
        <w:spacing w:before="72"/>
        <w:ind w:left="1211" w:right="1319" w:hanging="812"/>
        <w:jc w:val="both"/>
      </w:pPr>
      <w:r>
        <w:rPr/>
        <w:t>Fabayo, J.A. (1989), Small-Scale Enterprise Development Strategy: A Critical Option for Long- Term Economic Progress in Nigeria. </w:t>
      </w:r>
      <w:r>
        <w:rPr>
          <w:i/>
        </w:rPr>
        <w:t>The India Journal of Economics</w:t>
      </w:r>
      <w:r>
        <w:rPr/>
        <w:t>. Vol. 58,159-171</w:t>
      </w:r>
    </w:p>
    <w:p>
      <w:pPr>
        <w:pStyle w:val="BodyText"/>
        <w:spacing w:before="84"/>
      </w:pPr>
    </w:p>
    <w:p>
      <w:pPr>
        <w:spacing w:before="0"/>
        <w:ind w:left="1211" w:right="1318" w:hanging="812"/>
        <w:jc w:val="both"/>
        <w:rPr>
          <w:i/>
          <w:sz w:val="24"/>
        </w:rPr>
      </w:pPr>
      <w:r>
        <w:rPr>
          <w:sz w:val="24"/>
        </w:rPr>
        <w:t>Faihan Alotaibi, R. Z. (2013). Total Quality Management Practices, Quality Culture and Competitiveness</w:t>
      </w:r>
      <w:r>
        <w:rPr>
          <w:spacing w:val="37"/>
          <w:sz w:val="24"/>
        </w:rPr>
        <w:t> </w:t>
      </w:r>
      <w:r>
        <w:rPr>
          <w:sz w:val="24"/>
        </w:rPr>
        <w:t>of</w:t>
      </w:r>
      <w:r>
        <w:rPr>
          <w:spacing w:val="39"/>
          <w:sz w:val="24"/>
        </w:rPr>
        <w:t> </w:t>
      </w:r>
      <w:r>
        <w:rPr>
          <w:sz w:val="24"/>
        </w:rPr>
        <w:t>Saudi</w:t>
      </w:r>
      <w:r>
        <w:rPr>
          <w:spacing w:val="40"/>
          <w:sz w:val="24"/>
        </w:rPr>
        <w:t> </w:t>
      </w:r>
      <w:r>
        <w:rPr>
          <w:sz w:val="24"/>
        </w:rPr>
        <w:t>Arabia</w:t>
      </w:r>
      <w:r>
        <w:rPr>
          <w:spacing w:val="37"/>
          <w:sz w:val="24"/>
        </w:rPr>
        <w:t> </w:t>
      </w:r>
      <w:r>
        <w:rPr>
          <w:sz w:val="24"/>
        </w:rPr>
        <w:t>Contractors.</w:t>
      </w:r>
      <w:r>
        <w:rPr>
          <w:spacing w:val="42"/>
          <w:sz w:val="24"/>
        </w:rPr>
        <w:t> </w:t>
      </w:r>
      <w:r>
        <w:rPr>
          <w:i/>
          <w:sz w:val="24"/>
        </w:rPr>
        <w:t>Journal</w:t>
      </w:r>
      <w:r>
        <w:rPr>
          <w:i/>
          <w:spacing w:val="40"/>
          <w:sz w:val="24"/>
        </w:rPr>
        <w:t> </w:t>
      </w:r>
      <w:r>
        <w:rPr>
          <w:i/>
          <w:sz w:val="24"/>
        </w:rPr>
        <w:t>of</w:t>
      </w:r>
      <w:r>
        <w:rPr>
          <w:i/>
          <w:spacing w:val="39"/>
          <w:sz w:val="24"/>
        </w:rPr>
        <w:t> </w:t>
      </w:r>
      <w:r>
        <w:rPr>
          <w:i/>
          <w:sz w:val="24"/>
        </w:rPr>
        <w:t>Applied</w:t>
      </w:r>
      <w:r>
        <w:rPr>
          <w:i/>
          <w:spacing w:val="39"/>
          <w:sz w:val="24"/>
        </w:rPr>
        <w:t> </w:t>
      </w:r>
      <w:r>
        <w:rPr>
          <w:i/>
          <w:sz w:val="24"/>
        </w:rPr>
        <w:t>Sciences</w:t>
      </w:r>
      <w:r>
        <w:rPr>
          <w:i/>
          <w:spacing w:val="40"/>
          <w:sz w:val="24"/>
        </w:rPr>
        <w:t> </w:t>
      </w:r>
      <w:r>
        <w:rPr>
          <w:i/>
          <w:spacing w:val="-2"/>
          <w:sz w:val="24"/>
        </w:rPr>
        <w:t>Research,</w:t>
      </w:r>
    </w:p>
    <w:p>
      <w:pPr>
        <w:spacing w:before="0"/>
        <w:ind w:left="1211" w:right="0" w:firstLine="0"/>
        <w:jc w:val="left"/>
        <w:rPr>
          <w:sz w:val="24"/>
        </w:rPr>
      </w:pPr>
      <w:r>
        <w:rPr>
          <w:i/>
          <w:sz w:val="24"/>
        </w:rPr>
        <w:t>9(4).</w:t>
      </w:r>
      <w:r>
        <w:rPr>
          <w:i/>
          <w:spacing w:val="-2"/>
          <w:sz w:val="24"/>
        </w:rPr>
        <w:t> </w:t>
      </w:r>
      <w:r>
        <w:rPr>
          <w:sz w:val="24"/>
        </w:rPr>
        <w:t>,</w:t>
      </w:r>
      <w:r>
        <w:rPr>
          <w:spacing w:val="-2"/>
          <w:sz w:val="24"/>
        </w:rPr>
        <w:t> </w:t>
      </w:r>
      <w:r>
        <w:rPr>
          <w:sz w:val="24"/>
        </w:rPr>
        <w:t>2489-</w:t>
      </w:r>
      <w:r>
        <w:rPr>
          <w:spacing w:val="-2"/>
          <w:sz w:val="24"/>
        </w:rPr>
        <w:t>2497.</w:t>
      </w:r>
    </w:p>
    <w:p>
      <w:pPr>
        <w:pStyle w:val="BodyText"/>
        <w:spacing w:before="84"/>
      </w:pPr>
    </w:p>
    <w:p>
      <w:pPr>
        <w:pStyle w:val="BodyText"/>
        <w:ind w:left="400"/>
      </w:pPr>
      <w:r>
        <w:rPr/>
        <w:t>Fashola.</w:t>
      </w:r>
      <w:r>
        <w:rPr>
          <w:spacing w:val="-3"/>
        </w:rPr>
        <w:t> </w:t>
      </w:r>
      <w:r>
        <w:rPr/>
        <w:t>(2016).</w:t>
      </w:r>
      <w:r>
        <w:rPr>
          <w:spacing w:val="-1"/>
        </w:rPr>
        <w:t> </w:t>
      </w:r>
      <w:r>
        <w:rPr/>
        <w:t>Vangard</w:t>
      </w:r>
      <w:r>
        <w:rPr>
          <w:spacing w:val="1"/>
        </w:rPr>
        <w:t> </w:t>
      </w:r>
      <w:r>
        <w:rPr/>
        <w:t>Newpaper</w:t>
      </w:r>
      <w:r>
        <w:rPr>
          <w:spacing w:val="-1"/>
        </w:rPr>
        <w:t> </w:t>
      </w:r>
      <w:r>
        <w:rPr/>
        <w:t>of</w:t>
      </w:r>
      <w:r>
        <w:rPr>
          <w:spacing w:val="-2"/>
        </w:rPr>
        <w:t> </w:t>
      </w:r>
      <w:r>
        <w:rPr/>
        <w:t>May</w:t>
      </w:r>
      <w:r>
        <w:rPr>
          <w:spacing w:val="-5"/>
        </w:rPr>
        <w:t> 24</w:t>
      </w:r>
    </w:p>
    <w:p>
      <w:pPr>
        <w:pStyle w:val="BodyText"/>
        <w:spacing w:before="84"/>
      </w:pPr>
    </w:p>
    <w:p>
      <w:pPr>
        <w:pStyle w:val="BodyText"/>
        <w:ind w:left="400"/>
      </w:pPr>
      <w:r>
        <w:rPr/>
        <w:t>Fatai. (2005).</w:t>
      </w:r>
      <w:r>
        <w:rPr>
          <w:spacing w:val="1"/>
        </w:rPr>
        <w:t> </w:t>
      </w:r>
      <w:r>
        <w:rPr/>
        <w:t>Small and</w:t>
      </w:r>
      <w:r>
        <w:rPr>
          <w:spacing w:val="3"/>
        </w:rPr>
        <w:t> </w:t>
      </w:r>
      <w:r>
        <w:rPr/>
        <w:t>medium scale enterprises</w:t>
      </w:r>
      <w:r>
        <w:rPr>
          <w:spacing w:val="3"/>
        </w:rPr>
        <w:t> </w:t>
      </w:r>
      <w:r>
        <w:rPr/>
        <w:t>in</w:t>
      </w:r>
      <w:r>
        <w:rPr>
          <w:spacing w:val="1"/>
        </w:rPr>
        <w:t> </w:t>
      </w:r>
      <w:r>
        <w:rPr/>
        <w:t>Nigeria: the problems and</w:t>
      </w:r>
      <w:r>
        <w:rPr>
          <w:spacing w:val="1"/>
        </w:rPr>
        <w:t> </w:t>
      </w:r>
      <w:r>
        <w:rPr/>
        <w:t>prospects.</w:t>
      </w:r>
      <w:r>
        <w:rPr>
          <w:spacing w:val="1"/>
        </w:rPr>
        <w:t> </w:t>
      </w:r>
      <w:r>
        <w:rPr>
          <w:spacing w:val="-2"/>
        </w:rPr>
        <w:t>Asian.</w:t>
      </w:r>
    </w:p>
    <w:p>
      <w:pPr>
        <w:spacing w:before="0"/>
        <w:ind w:left="1211" w:right="0" w:firstLine="0"/>
        <w:jc w:val="left"/>
        <w:rPr>
          <w:i/>
          <w:sz w:val="24"/>
        </w:rPr>
      </w:pPr>
      <w:r>
        <w:rPr>
          <w:i/>
          <w:sz w:val="24"/>
        </w:rPr>
        <w:t>Journal</w:t>
      </w:r>
      <w:r>
        <w:rPr>
          <w:i/>
          <w:spacing w:val="-1"/>
          <w:sz w:val="24"/>
        </w:rPr>
        <w:t> </w:t>
      </w:r>
      <w:r>
        <w:rPr>
          <w:i/>
          <w:sz w:val="24"/>
        </w:rPr>
        <w:t>of</w:t>
      </w:r>
      <w:r>
        <w:rPr>
          <w:i/>
          <w:spacing w:val="-1"/>
          <w:sz w:val="24"/>
        </w:rPr>
        <w:t> </w:t>
      </w:r>
      <w:r>
        <w:rPr>
          <w:i/>
          <w:sz w:val="24"/>
        </w:rPr>
        <w:t>Social</w:t>
      </w:r>
      <w:r>
        <w:rPr>
          <w:i/>
          <w:spacing w:val="-1"/>
          <w:sz w:val="24"/>
        </w:rPr>
        <w:t> </w:t>
      </w:r>
      <w:r>
        <w:rPr>
          <w:i/>
          <w:sz w:val="24"/>
        </w:rPr>
        <w:t>Sciences,</w:t>
      </w:r>
      <w:r>
        <w:rPr>
          <w:i/>
          <w:spacing w:val="-1"/>
          <w:sz w:val="24"/>
        </w:rPr>
        <w:t> </w:t>
      </w:r>
      <w:r>
        <w:rPr>
          <w:i/>
          <w:sz w:val="24"/>
        </w:rPr>
        <w:t>13,</w:t>
      </w:r>
      <w:r>
        <w:rPr>
          <w:i/>
          <w:spacing w:val="-1"/>
          <w:sz w:val="24"/>
        </w:rPr>
        <w:t> </w:t>
      </w:r>
      <w:r>
        <w:rPr>
          <w:i/>
          <w:sz w:val="24"/>
        </w:rPr>
        <w:t>12-</w:t>
      </w:r>
      <w:r>
        <w:rPr>
          <w:i/>
          <w:spacing w:val="-5"/>
          <w:sz w:val="24"/>
        </w:rPr>
        <w:t>23</w:t>
      </w:r>
    </w:p>
    <w:p>
      <w:pPr>
        <w:pStyle w:val="BodyText"/>
        <w:spacing w:before="84"/>
        <w:rPr>
          <w:i/>
        </w:rPr>
      </w:pPr>
    </w:p>
    <w:p>
      <w:pPr>
        <w:pStyle w:val="BodyText"/>
        <w:ind w:left="1211" w:right="1315" w:hanging="812"/>
        <w:jc w:val="both"/>
      </w:pPr>
      <w:r>
        <w:rPr/>
        <w:t>Fatih, Y. (2012). Impact of effective Total Quality Management on sustainable Competitive Advantage. Master Thesis, University of Amsterdam Faculty of Economics and</w:t>
      </w:r>
      <w:r>
        <w:rPr>
          <w:spacing w:val="40"/>
        </w:rPr>
        <w:t> </w:t>
      </w:r>
      <w:r>
        <w:rPr>
          <w:spacing w:val="-2"/>
        </w:rPr>
        <w:t>Business</w:t>
      </w:r>
    </w:p>
    <w:p>
      <w:pPr>
        <w:pStyle w:val="BodyText"/>
        <w:spacing w:before="84"/>
      </w:pPr>
    </w:p>
    <w:p>
      <w:pPr>
        <w:pStyle w:val="BodyText"/>
        <w:ind w:left="1211" w:right="1318" w:hanging="812"/>
        <w:jc w:val="both"/>
      </w:pPr>
      <w:r>
        <w:rPr/>
        <w:t>Feurer, R., &amp; Chaharbaghi, K. (1994). Defining Competitiveness: A Holistic Approach, </w:t>
      </w:r>
      <w:r>
        <w:rPr>
          <w:spacing w:val="-2"/>
        </w:rPr>
        <w:t>Management</w:t>
      </w:r>
    </w:p>
    <w:p>
      <w:pPr>
        <w:pStyle w:val="BodyText"/>
        <w:spacing w:before="84"/>
      </w:pPr>
    </w:p>
    <w:p>
      <w:pPr>
        <w:pStyle w:val="BodyText"/>
        <w:ind w:left="1211" w:right="1316" w:hanging="812"/>
        <w:jc w:val="both"/>
      </w:pPr>
      <w:r>
        <w:rPr/>
        <w:t>Flanagan, R., Jewell, C., Ericsson, S., &amp; Henricsson, J. P. E., (2005), Measuring Construction Competitiveness in Selected Countries, Final Report, School of Construction Management and Engineering, the University of Reading.</w:t>
      </w:r>
    </w:p>
    <w:p>
      <w:pPr>
        <w:pStyle w:val="BodyText"/>
        <w:spacing w:before="84"/>
      </w:pPr>
    </w:p>
    <w:p>
      <w:pPr>
        <w:spacing w:before="0"/>
        <w:ind w:left="1211" w:right="1318" w:hanging="812"/>
        <w:jc w:val="both"/>
        <w:rPr>
          <w:sz w:val="24"/>
        </w:rPr>
      </w:pPr>
      <w:r>
        <w:rPr>
          <w:sz w:val="24"/>
        </w:rPr>
        <w:t>Flynn, B.B., Schroder, R.G., &amp; Sakakibara, S. (1994). A Framework for Quality Management Research and an Associated Measurement Instrument. </w:t>
      </w:r>
      <w:r>
        <w:rPr>
          <w:i/>
          <w:sz w:val="24"/>
        </w:rPr>
        <w:t>Journal of Operations Management, 11 (3), 339-366</w:t>
      </w:r>
      <w:r>
        <w:rPr>
          <w:sz w:val="24"/>
        </w:rPr>
        <w:t>.</w:t>
      </w:r>
    </w:p>
    <w:p>
      <w:pPr>
        <w:pStyle w:val="BodyText"/>
        <w:spacing w:before="84"/>
      </w:pPr>
    </w:p>
    <w:p>
      <w:pPr>
        <w:pStyle w:val="BodyText"/>
        <w:ind w:left="1211" w:right="1321" w:hanging="812"/>
        <w:jc w:val="both"/>
      </w:pPr>
      <w:r>
        <w:rPr/>
        <w:t>Friend, G. and Zehle, S. (2009). Guide to business planning. United States: Bloomberg Press Published, New York.</w:t>
      </w:r>
    </w:p>
    <w:p>
      <w:pPr>
        <w:pStyle w:val="BodyText"/>
        <w:spacing w:before="84"/>
      </w:pPr>
    </w:p>
    <w:p>
      <w:pPr>
        <w:pStyle w:val="BodyText"/>
        <w:ind w:left="1211" w:right="1317" w:hanging="812"/>
        <w:jc w:val="both"/>
      </w:pPr>
      <w:r>
        <w:rPr/>
        <w:t>Fuentes, M., &amp; Montes, F. (2006). Total quality management, strategic orientation, and organizational performance: the case of Spanish companies. Total quality management and Business excellence, 17(3), 303-323.</w:t>
      </w:r>
    </w:p>
    <w:p>
      <w:pPr>
        <w:pStyle w:val="BodyText"/>
        <w:spacing w:before="84"/>
      </w:pPr>
    </w:p>
    <w:p>
      <w:pPr>
        <w:spacing w:before="0"/>
        <w:ind w:left="1211" w:right="1318" w:hanging="812"/>
        <w:jc w:val="both"/>
        <w:rPr>
          <w:i/>
          <w:sz w:val="24"/>
        </w:rPr>
      </w:pPr>
      <w:r>
        <w:rPr>
          <w:sz w:val="24"/>
        </w:rPr>
        <w:t>Fuentes-Fuentes, M., Albacete-Saez, A. &amp; Llorens-Montes, J., (2004), ‘The Impact of Environmental Characteristics on TQM Principles and Organisational Performance’, </w:t>
      </w:r>
      <w:r>
        <w:rPr>
          <w:i/>
          <w:sz w:val="24"/>
        </w:rPr>
        <w:t>International Journal of Management Science Omeg, 32(6) 425-442</w:t>
      </w:r>
    </w:p>
    <w:p>
      <w:pPr>
        <w:pStyle w:val="BodyText"/>
        <w:spacing w:before="84"/>
        <w:rPr>
          <w:i/>
        </w:rPr>
      </w:pPr>
    </w:p>
    <w:p>
      <w:pPr>
        <w:pStyle w:val="BodyText"/>
        <w:spacing w:before="1"/>
        <w:ind w:left="1211" w:right="1319" w:hanging="812"/>
        <w:jc w:val="both"/>
      </w:pPr>
      <w:r>
        <w:rPr/>
        <w:t>Fuentes, M., Montes, F.J.L., Fernandez, L.M. (2006). Total Quality Management, Strategic Orientation and Organizational Performance: the Case of Spanish Companies, Total Quality Management, 17, (3), 303–323.</w:t>
      </w:r>
    </w:p>
    <w:p>
      <w:pPr>
        <w:spacing w:after="0"/>
        <w:jc w:val="both"/>
        <w:sectPr>
          <w:pgSz w:w="12240" w:h="15840"/>
          <w:pgMar w:header="0" w:footer="1017" w:top="1360" w:bottom="1200" w:left="1040" w:right="120"/>
        </w:sectPr>
      </w:pPr>
    </w:p>
    <w:p>
      <w:pPr>
        <w:pStyle w:val="BodyText"/>
        <w:spacing w:before="72"/>
        <w:ind w:left="1211" w:right="1315" w:hanging="812"/>
      </w:pPr>
      <w:r>
        <w:rPr/>
        <w:t>Gabriele</w:t>
      </w:r>
      <w:r>
        <w:rPr>
          <w:spacing w:val="23"/>
        </w:rPr>
        <w:t> </w:t>
      </w:r>
      <w:r>
        <w:rPr/>
        <w:t>.M.</w:t>
      </w:r>
      <w:r>
        <w:rPr>
          <w:spacing w:val="24"/>
        </w:rPr>
        <w:t> </w:t>
      </w:r>
      <w:r>
        <w:rPr/>
        <w:t>(1999)</w:t>
      </w:r>
      <w:r>
        <w:rPr>
          <w:spacing w:val="23"/>
        </w:rPr>
        <w:t> </w:t>
      </w:r>
      <w:r>
        <w:rPr/>
        <w:t>The</w:t>
      </w:r>
      <w:r>
        <w:rPr>
          <w:spacing w:val="25"/>
        </w:rPr>
        <w:t> </w:t>
      </w:r>
      <w:r>
        <w:rPr/>
        <w:t>Role</w:t>
      </w:r>
      <w:r>
        <w:rPr>
          <w:spacing w:val="23"/>
        </w:rPr>
        <w:t> </w:t>
      </w:r>
      <w:r>
        <w:rPr/>
        <w:t>of</w:t>
      </w:r>
      <w:r>
        <w:rPr>
          <w:spacing w:val="23"/>
        </w:rPr>
        <w:t> </w:t>
      </w:r>
      <w:r>
        <w:rPr/>
        <w:t>Total</w:t>
      </w:r>
      <w:r>
        <w:rPr>
          <w:spacing w:val="24"/>
        </w:rPr>
        <w:t> </w:t>
      </w:r>
      <w:r>
        <w:rPr/>
        <w:t>Quality Management</w:t>
      </w:r>
      <w:r>
        <w:rPr>
          <w:spacing w:val="24"/>
        </w:rPr>
        <w:t> </w:t>
      </w:r>
      <w:r>
        <w:rPr/>
        <w:t>in</w:t>
      </w:r>
      <w:r>
        <w:rPr>
          <w:spacing w:val="25"/>
        </w:rPr>
        <w:t> </w:t>
      </w:r>
      <w:r>
        <w:rPr/>
        <w:t>Raising</w:t>
      </w:r>
      <w:r>
        <w:rPr>
          <w:spacing w:val="24"/>
        </w:rPr>
        <w:t> </w:t>
      </w:r>
      <w:r>
        <w:rPr/>
        <w:t>the</w:t>
      </w:r>
      <w:r>
        <w:rPr>
          <w:spacing w:val="23"/>
        </w:rPr>
        <w:t> </w:t>
      </w:r>
      <w:r>
        <w:rPr/>
        <w:t>Service</w:t>
      </w:r>
      <w:r>
        <w:rPr>
          <w:spacing w:val="23"/>
        </w:rPr>
        <w:t> </w:t>
      </w:r>
      <w:r>
        <w:rPr/>
        <w:t>Quality of Public Health Laboratories in Developing Countries</w:t>
      </w:r>
    </w:p>
    <w:p>
      <w:pPr>
        <w:pStyle w:val="BodyText"/>
        <w:spacing w:before="84"/>
      </w:pPr>
    </w:p>
    <w:p>
      <w:pPr>
        <w:pStyle w:val="BodyText"/>
        <w:ind w:left="1211" w:right="1315" w:hanging="812"/>
      </w:pPr>
      <w:r>
        <w:rPr/>
        <w:t>Geralis,</w:t>
      </w:r>
      <w:r>
        <w:rPr>
          <w:spacing w:val="80"/>
        </w:rPr>
        <w:t> </w:t>
      </w:r>
      <w:r>
        <w:rPr/>
        <w:t>M.,.</w:t>
      </w:r>
      <w:r>
        <w:rPr>
          <w:spacing w:val="80"/>
        </w:rPr>
        <w:t> </w:t>
      </w:r>
      <w:r>
        <w:rPr/>
        <w:t>&amp; M.</w:t>
      </w:r>
      <w:r>
        <w:rPr>
          <w:spacing w:val="80"/>
        </w:rPr>
        <w:t> </w:t>
      </w:r>
      <w:r>
        <w:rPr/>
        <w:t>Terziovski. (2003). The relationship between empowerment practices and service quality outcomes. Available at </w:t>
      </w:r>
      <w:hyperlink r:id="rId43">
        <w:r>
          <w:rPr>
            <w:color w:val="0000FF"/>
            <w:u w:val="single" w:color="0000FF"/>
          </w:rPr>
          <w:t>www.eacc-vic.org/</w:t>
        </w:r>
      </w:hyperlink>
      <w:r>
        <w:rPr>
          <w:color w:val="0000FF"/>
        </w:rPr>
        <w:t> </w:t>
      </w:r>
      <w:r>
        <w:rPr/>
        <w:t>pubs/proceedings.</w:t>
      </w:r>
    </w:p>
    <w:p>
      <w:pPr>
        <w:pStyle w:val="BodyText"/>
        <w:spacing w:line="630" w:lineRule="atLeast" w:before="6"/>
        <w:ind w:left="399" w:right="1315"/>
        <w:rPr>
          <w:i/>
        </w:rPr>
      </w:pPr>
      <w:r>
        <w:rPr/>
        <w:t>Gherbal, N., Shibani, A., Saidani, M., &amp; Sagoo, A. (2012). Critical success factors of Implementing</w:t>
      </w:r>
      <w:r>
        <w:rPr>
          <w:spacing w:val="53"/>
        </w:rPr>
        <w:t> </w:t>
      </w:r>
      <w:r>
        <w:rPr/>
        <w:t>total</w:t>
      </w:r>
      <w:r>
        <w:rPr>
          <w:spacing w:val="58"/>
        </w:rPr>
        <w:t> </w:t>
      </w:r>
      <w:r>
        <w:rPr/>
        <w:t>quality</w:t>
      </w:r>
      <w:r>
        <w:rPr>
          <w:spacing w:val="50"/>
        </w:rPr>
        <w:t> </w:t>
      </w:r>
      <w:r>
        <w:rPr/>
        <w:t>management</w:t>
      </w:r>
      <w:r>
        <w:rPr>
          <w:spacing w:val="58"/>
        </w:rPr>
        <w:t> </w:t>
      </w:r>
      <w:r>
        <w:rPr/>
        <w:t>in</w:t>
      </w:r>
      <w:r>
        <w:rPr>
          <w:spacing w:val="60"/>
        </w:rPr>
        <w:t> </w:t>
      </w:r>
      <w:r>
        <w:rPr/>
        <w:t>Libiyan</w:t>
      </w:r>
      <w:r>
        <w:rPr>
          <w:spacing w:val="58"/>
        </w:rPr>
        <w:t> </w:t>
      </w:r>
      <w:r>
        <w:rPr/>
        <w:t>organizations.</w:t>
      </w:r>
      <w:r>
        <w:rPr>
          <w:spacing w:val="58"/>
        </w:rPr>
        <w:t> </w:t>
      </w:r>
      <w:r>
        <w:rPr>
          <w:i/>
        </w:rPr>
        <w:t>Proceedings</w:t>
      </w:r>
      <w:r>
        <w:rPr>
          <w:i/>
          <w:spacing w:val="58"/>
        </w:rPr>
        <w:t> </w:t>
      </w:r>
      <w:r>
        <w:rPr>
          <w:i/>
        </w:rPr>
        <w:t>of</w:t>
      </w:r>
      <w:r>
        <w:rPr>
          <w:i/>
          <w:spacing w:val="58"/>
        </w:rPr>
        <w:t> </w:t>
      </w:r>
      <w:r>
        <w:rPr>
          <w:i/>
        </w:rPr>
        <w:t>the</w:t>
      </w:r>
      <w:r>
        <w:rPr>
          <w:i/>
          <w:spacing w:val="57"/>
        </w:rPr>
        <w:t> </w:t>
      </w:r>
      <w:r>
        <w:rPr>
          <w:i/>
          <w:spacing w:val="-2"/>
        </w:rPr>
        <w:t>2012,</w:t>
      </w:r>
    </w:p>
    <w:p>
      <w:pPr>
        <w:spacing w:before="6"/>
        <w:ind w:left="1211" w:right="1315" w:firstLine="0"/>
        <w:jc w:val="left"/>
        <w:rPr>
          <w:i/>
          <w:sz w:val="24"/>
        </w:rPr>
      </w:pPr>
      <w:r>
        <w:rPr>
          <w:i/>
          <w:sz w:val="24"/>
        </w:rPr>
        <w:t>international</w:t>
      </w:r>
      <w:r>
        <w:rPr>
          <w:i/>
          <w:spacing w:val="80"/>
          <w:sz w:val="24"/>
        </w:rPr>
        <w:t> </w:t>
      </w:r>
      <w:r>
        <w:rPr>
          <w:i/>
          <w:sz w:val="24"/>
        </w:rPr>
        <w:t>conference</w:t>
      </w:r>
      <w:r>
        <w:rPr>
          <w:i/>
          <w:spacing w:val="80"/>
          <w:sz w:val="24"/>
        </w:rPr>
        <w:t> </w:t>
      </w:r>
      <w:r>
        <w:rPr>
          <w:i/>
          <w:sz w:val="24"/>
        </w:rPr>
        <w:t>on</w:t>
      </w:r>
      <w:r>
        <w:rPr>
          <w:i/>
          <w:spacing w:val="80"/>
          <w:sz w:val="24"/>
        </w:rPr>
        <w:t> </w:t>
      </w:r>
      <w:r>
        <w:rPr>
          <w:i/>
          <w:sz w:val="24"/>
        </w:rPr>
        <w:t>industrial</w:t>
      </w:r>
      <w:r>
        <w:rPr>
          <w:i/>
          <w:spacing w:val="80"/>
          <w:sz w:val="24"/>
        </w:rPr>
        <w:t> </w:t>
      </w:r>
      <w:r>
        <w:rPr>
          <w:i/>
          <w:sz w:val="24"/>
        </w:rPr>
        <w:t>engineering</w:t>
      </w:r>
      <w:r>
        <w:rPr>
          <w:i/>
          <w:spacing w:val="80"/>
          <w:sz w:val="24"/>
        </w:rPr>
        <w:t> </w:t>
      </w:r>
      <w:r>
        <w:rPr>
          <w:i/>
          <w:sz w:val="24"/>
        </w:rPr>
        <w:t>and</w:t>
      </w:r>
      <w:r>
        <w:rPr>
          <w:i/>
          <w:spacing w:val="80"/>
          <w:sz w:val="24"/>
        </w:rPr>
        <w:t> </w:t>
      </w:r>
      <w:r>
        <w:rPr>
          <w:i/>
          <w:sz w:val="24"/>
        </w:rPr>
        <w:t>operations</w:t>
      </w:r>
      <w:r>
        <w:rPr>
          <w:i/>
          <w:spacing w:val="80"/>
          <w:sz w:val="24"/>
        </w:rPr>
        <w:t> </w:t>
      </w:r>
      <w:r>
        <w:rPr>
          <w:i/>
          <w:sz w:val="24"/>
        </w:rPr>
        <w:t>management</w:t>
      </w:r>
      <w:r>
        <w:rPr>
          <w:i/>
          <w:spacing w:val="80"/>
          <w:w w:val="150"/>
          <w:sz w:val="24"/>
        </w:rPr>
        <w:t> </w:t>
      </w:r>
      <w:r>
        <w:rPr>
          <w:i/>
          <w:sz w:val="24"/>
        </w:rPr>
        <w:t>Istanbul, Turkey.</w:t>
      </w:r>
    </w:p>
    <w:p>
      <w:pPr>
        <w:pStyle w:val="BodyText"/>
        <w:spacing w:before="84"/>
        <w:rPr>
          <w:i/>
        </w:rPr>
      </w:pPr>
    </w:p>
    <w:p>
      <w:pPr>
        <w:pStyle w:val="BodyText"/>
        <w:ind w:left="399"/>
      </w:pPr>
      <w:r>
        <w:rPr>
          <w:spacing w:val="-14"/>
        </w:rPr>
        <w:t>Ghobadian,</w:t>
      </w:r>
      <w:r>
        <w:rPr>
          <w:spacing w:val="4"/>
        </w:rPr>
        <w:t> </w:t>
      </w:r>
      <w:r>
        <w:rPr>
          <w:spacing w:val="-14"/>
        </w:rPr>
        <w:t>A.</w:t>
      </w:r>
      <w:r>
        <w:rPr>
          <w:spacing w:val="6"/>
        </w:rPr>
        <w:t> </w:t>
      </w:r>
      <w:r>
        <w:rPr>
          <w:spacing w:val="-14"/>
        </w:rPr>
        <w:t>&amp;</w:t>
      </w:r>
      <w:r>
        <w:rPr>
          <w:spacing w:val="3"/>
        </w:rPr>
        <w:t> </w:t>
      </w:r>
      <w:r>
        <w:rPr>
          <w:spacing w:val="-14"/>
        </w:rPr>
        <w:t>Gallear,</w:t>
      </w:r>
      <w:r>
        <w:rPr>
          <w:spacing w:val="6"/>
        </w:rPr>
        <w:t> </w:t>
      </w:r>
      <w:r>
        <w:rPr>
          <w:spacing w:val="-14"/>
        </w:rPr>
        <w:t>DN.</w:t>
      </w:r>
      <w:r>
        <w:rPr>
          <w:spacing w:val="6"/>
        </w:rPr>
        <w:t> </w:t>
      </w:r>
      <w:r>
        <w:rPr>
          <w:spacing w:val="-14"/>
        </w:rPr>
        <w:t>(1996).</w:t>
      </w:r>
      <w:r>
        <w:rPr>
          <w:spacing w:val="6"/>
        </w:rPr>
        <w:t> </w:t>
      </w:r>
      <w:r>
        <w:rPr>
          <w:spacing w:val="-14"/>
        </w:rPr>
        <w:t>Total</w:t>
      </w:r>
      <w:r>
        <w:rPr>
          <w:spacing w:val="7"/>
        </w:rPr>
        <w:t> </w:t>
      </w:r>
      <w:r>
        <w:rPr>
          <w:spacing w:val="-14"/>
        </w:rPr>
        <w:t>quality</w:t>
      </w:r>
      <w:r>
        <w:rPr>
          <w:spacing w:val="-2"/>
        </w:rPr>
        <w:t> </w:t>
      </w:r>
      <w:r>
        <w:rPr>
          <w:spacing w:val="-14"/>
        </w:rPr>
        <w:t>management</w:t>
      </w:r>
      <w:r>
        <w:rPr>
          <w:spacing w:val="8"/>
        </w:rPr>
        <w:t> </w:t>
      </w:r>
      <w:r>
        <w:rPr>
          <w:spacing w:val="-14"/>
        </w:rPr>
        <w:t>in</w:t>
      </w:r>
      <w:r>
        <w:rPr>
          <w:spacing w:val="6"/>
        </w:rPr>
        <w:t> </w:t>
      </w:r>
      <w:r>
        <w:rPr>
          <w:spacing w:val="-14"/>
        </w:rPr>
        <w:t>SMEs,</w:t>
      </w:r>
      <w:r>
        <w:rPr>
          <w:spacing w:val="6"/>
        </w:rPr>
        <w:t> </w:t>
      </w:r>
      <w:r>
        <w:rPr>
          <w:spacing w:val="-14"/>
        </w:rPr>
        <w:t>Omega,</w:t>
      </w:r>
      <w:r>
        <w:rPr>
          <w:spacing w:val="6"/>
        </w:rPr>
        <w:t> </w:t>
      </w:r>
      <w:r>
        <w:rPr>
          <w:spacing w:val="-14"/>
        </w:rPr>
        <w:t>24(1),</w:t>
      </w:r>
      <w:r>
        <w:rPr>
          <w:spacing w:val="6"/>
        </w:rPr>
        <w:t> </w:t>
      </w:r>
      <w:r>
        <w:rPr>
          <w:spacing w:val="-14"/>
        </w:rPr>
        <w:t>83</w:t>
      </w:r>
      <w:r>
        <w:rPr>
          <w:spacing w:val="6"/>
        </w:rPr>
        <w:t> </w:t>
      </w:r>
      <w:r>
        <w:rPr>
          <w:spacing w:val="-14"/>
        </w:rPr>
        <w:t>-</w:t>
      </w:r>
      <w:r>
        <w:rPr>
          <w:spacing w:val="5"/>
        </w:rPr>
        <w:t> </w:t>
      </w:r>
      <w:r>
        <w:rPr>
          <w:spacing w:val="-14"/>
        </w:rPr>
        <w:t>106.Gilbert,</w:t>
      </w:r>
    </w:p>
    <w:p>
      <w:pPr>
        <w:pStyle w:val="BodyText"/>
        <w:ind w:left="1211" w:right="1315"/>
      </w:pPr>
      <w:r>
        <w:rPr/>
        <w:t>G.R.</w:t>
      </w:r>
      <w:r>
        <w:rPr>
          <w:spacing w:val="40"/>
        </w:rPr>
        <w:t> </w:t>
      </w:r>
      <w:r>
        <w:rPr/>
        <w:t>&amp;</w:t>
      </w:r>
      <w:r>
        <w:rPr>
          <w:spacing w:val="40"/>
        </w:rPr>
        <w:t> </w:t>
      </w:r>
      <w:r>
        <w:rPr/>
        <w:t>Parhizgari,A.M.</w:t>
      </w:r>
      <w:r>
        <w:rPr>
          <w:spacing w:val="40"/>
        </w:rPr>
        <w:t> </w:t>
      </w:r>
      <w:r>
        <w:rPr/>
        <w:t>(2000).</w:t>
      </w:r>
      <w:r>
        <w:rPr>
          <w:spacing w:val="40"/>
        </w:rPr>
        <w:t> </w:t>
      </w:r>
      <w:r>
        <w:rPr/>
        <w:t>Organizational</w:t>
      </w:r>
      <w:r>
        <w:rPr>
          <w:spacing w:val="40"/>
        </w:rPr>
        <w:t> </w:t>
      </w:r>
      <w:r>
        <w:rPr/>
        <w:t>effectiveness</w:t>
      </w:r>
      <w:r>
        <w:rPr>
          <w:spacing w:val="40"/>
        </w:rPr>
        <w:t> </w:t>
      </w:r>
      <w:r>
        <w:rPr/>
        <w:t>indicators</w:t>
      </w:r>
      <w:r>
        <w:rPr>
          <w:spacing w:val="40"/>
        </w:rPr>
        <w:t> </w:t>
      </w:r>
      <w:r>
        <w:rPr/>
        <w:t>to</w:t>
      </w:r>
      <w:r>
        <w:rPr>
          <w:spacing w:val="40"/>
        </w:rPr>
        <w:t> </w:t>
      </w:r>
      <w:r>
        <w:rPr/>
        <w:t>support</w:t>
      </w:r>
      <w:r>
        <w:rPr>
          <w:spacing w:val="80"/>
          <w:w w:val="150"/>
        </w:rPr>
        <w:t> </w:t>
      </w:r>
      <w:r>
        <w:rPr/>
        <w:t>service quality. Managing Service Quality, 10(1),46-51.</w:t>
      </w:r>
    </w:p>
    <w:p>
      <w:pPr>
        <w:pStyle w:val="BodyText"/>
        <w:spacing w:before="84"/>
      </w:pPr>
    </w:p>
    <w:p>
      <w:pPr>
        <w:pStyle w:val="BodyText"/>
        <w:ind w:left="1211" w:right="1316" w:hanging="812"/>
        <w:jc w:val="both"/>
      </w:pPr>
      <w:r>
        <w:rPr/>
        <w:t>Gitangu, I. W. (2015).Total quality management and competitive advantage of small and</w:t>
      </w:r>
      <w:r>
        <w:rPr>
          <w:spacing w:val="40"/>
        </w:rPr>
        <w:t> </w:t>
      </w:r>
      <w:r>
        <w:rPr/>
        <w:t>medium</w:t>
      </w:r>
      <w:r>
        <w:rPr>
          <w:spacing w:val="-2"/>
        </w:rPr>
        <w:t> </w:t>
      </w:r>
      <w:r>
        <w:rPr/>
        <w:t>enterprises</w:t>
      </w:r>
      <w:r>
        <w:rPr>
          <w:spacing w:val="-2"/>
        </w:rPr>
        <w:t> </w:t>
      </w:r>
      <w:r>
        <w:rPr/>
        <w:t>in</w:t>
      </w:r>
      <w:r>
        <w:rPr>
          <w:spacing w:val="-2"/>
        </w:rPr>
        <w:t> </w:t>
      </w:r>
      <w:r>
        <w:rPr/>
        <w:t>Nairobi</w:t>
      </w:r>
      <w:r>
        <w:rPr>
          <w:spacing w:val="-2"/>
        </w:rPr>
        <w:t> </w:t>
      </w:r>
      <w:r>
        <w:rPr/>
        <w:t>city</w:t>
      </w:r>
      <w:r>
        <w:rPr>
          <w:spacing w:val="-7"/>
        </w:rPr>
        <w:t> </w:t>
      </w:r>
      <w:r>
        <w:rPr/>
        <w:t>.Dissertation work</w:t>
      </w:r>
      <w:r>
        <w:rPr>
          <w:spacing w:val="-2"/>
        </w:rPr>
        <w:t> </w:t>
      </w:r>
      <w:r>
        <w:rPr/>
        <w:t>in</w:t>
      </w:r>
      <w:r>
        <w:rPr>
          <w:spacing w:val="-2"/>
        </w:rPr>
        <w:t> </w:t>
      </w:r>
      <w:r>
        <w:rPr/>
        <w:t>Business</w:t>
      </w:r>
      <w:r>
        <w:rPr>
          <w:spacing w:val="-2"/>
        </w:rPr>
        <w:t> </w:t>
      </w:r>
      <w:r>
        <w:rPr/>
        <w:t>administration,</w:t>
      </w:r>
      <w:r>
        <w:rPr>
          <w:spacing w:val="-2"/>
        </w:rPr>
        <w:t> </w:t>
      </w:r>
      <w:r>
        <w:rPr/>
        <w:t>school of business, University of Nairobi.</w:t>
      </w:r>
    </w:p>
    <w:p>
      <w:pPr>
        <w:pStyle w:val="BodyText"/>
        <w:spacing w:before="84"/>
      </w:pPr>
    </w:p>
    <w:p>
      <w:pPr>
        <w:pStyle w:val="BodyText"/>
        <w:ind w:left="1211" w:right="1315" w:hanging="812"/>
        <w:jc w:val="both"/>
      </w:pPr>
      <w:r>
        <w:rPr/>
        <w:t>Gobell, D., &amp; Shea, J. (1995). TQM: the experience of 10 small businesses. Business Horizons, </w:t>
      </w:r>
      <w:r>
        <w:rPr>
          <w:spacing w:val="-2"/>
        </w:rPr>
        <w:t>February.</w:t>
      </w:r>
    </w:p>
    <w:p>
      <w:pPr>
        <w:pStyle w:val="BodyText"/>
        <w:spacing w:before="84"/>
      </w:pPr>
    </w:p>
    <w:p>
      <w:pPr>
        <w:pStyle w:val="BodyText"/>
        <w:ind w:left="1211" w:right="1317" w:hanging="812"/>
        <w:jc w:val="both"/>
      </w:pPr>
      <w:r>
        <w:rPr/>
        <w:t>Guarda,T., Augusto, M., &amp; Silva, C. (2012). Competitive advantage in e-commerce: the case of Data base marketing. Advances in Intelligent and Soft Computing, 143(1), 123-130.</w:t>
      </w:r>
    </w:p>
    <w:p>
      <w:pPr>
        <w:pStyle w:val="BodyText"/>
        <w:spacing w:before="84"/>
      </w:pPr>
    </w:p>
    <w:p>
      <w:pPr>
        <w:pStyle w:val="BodyText"/>
        <w:ind w:left="1211" w:right="1319" w:hanging="812"/>
        <w:jc w:val="both"/>
      </w:pPr>
      <w:r>
        <w:rPr/>
        <w:t>Gushibert, S. (2011), Building Small and Medium Scale Enterprise: A Strategy for Economic Development in Nigeria. Jos </w:t>
      </w:r>
      <w:r>
        <w:rPr>
          <w:i/>
        </w:rPr>
        <w:t>Journal of Economics</w:t>
      </w:r>
      <w:r>
        <w:rPr/>
        <w:t>, 4(1),130-152.</w:t>
      </w:r>
    </w:p>
    <w:p>
      <w:pPr>
        <w:pStyle w:val="BodyText"/>
        <w:spacing w:before="84"/>
      </w:pPr>
    </w:p>
    <w:p>
      <w:pPr>
        <w:pStyle w:val="BodyText"/>
        <w:ind w:left="1211" w:right="1315" w:hanging="812"/>
        <w:jc w:val="both"/>
      </w:pPr>
      <w:r>
        <w:rPr/>
        <w:t>Hagstedt, K.., &amp;</w:t>
      </w:r>
      <w:r>
        <w:rPr>
          <w:spacing w:val="40"/>
        </w:rPr>
        <w:t> </w:t>
      </w:r>
      <w:r>
        <w:rPr/>
        <w:t>Thideman, J. (2013): Growth Challenges For Small General Contractors in the Construction Industry: A Case Study of The Norwegian Building Company to Tommer As. Master of Science Thesis in the Management and Economics of Innovation Programme submitted to the Department of Technology Management and Economics, Division of Innovation Engineering and Management, Chalmers University of </w:t>
      </w:r>
      <w:r>
        <w:rPr>
          <w:spacing w:val="-2"/>
        </w:rPr>
        <w:t>Technology.</w:t>
      </w:r>
    </w:p>
    <w:p>
      <w:pPr>
        <w:pStyle w:val="BodyText"/>
        <w:spacing w:before="84"/>
      </w:pPr>
    </w:p>
    <w:p>
      <w:pPr>
        <w:pStyle w:val="BodyText"/>
        <w:ind w:left="1211" w:right="1318" w:hanging="812"/>
        <w:jc w:val="both"/>
      </w:pPr>
      <w:r>
        <w:rPr/>
        <w:t>Harrington, H. J. (2004). The fallacy of Universal Best Practices. Total Quality Management, 15(5-6), 849-858.</w:t>
      </w:r>
    </w:p>
    <w:p>
      <w:pPr>
        <w:pStyle w:val="BodyText"/>
        <w:spacing w:before="84"/>
      </w:pPr>
    </w:p>
    <w:p>
      <w:pPr>
        <w:spacing w:before="0"/>
        <w:ind w:left="1211" w:right="1318" w:hanging="812"/>
        <w:jc w:val="both"/>
        <w:rPr>
          <w:i/>
          <w:sz w:val="24"/>
        </w:rPr>
      </w:pPr>
      <w:r>
        <w:rPr>
          <w:sz w:val="24"/>
        </w:rPr>
        <w:t>Hassan, M., A.A. Malik.,&amp; M.F. Faiz, (2012). An Empirical Assessment of Service Quality and its Relationship with Customer loyalty, Evidence From the Telecom Sector of Pakistan, </w:t>
      </w:r>
      <w:r>
        <w:rPr>
          <w:i/>
          <w:sz w:val="24"/>
        </w:rPr>
        <w:t>International Journal of Asian Social Sciences, 2(6).</w:t>
      </w:r>
    </w:p>
    <w:p>
      <w:pPr>
        <w:spacing w:after="0"/>
        <w:jc w:val="both"/>
        <w:rPr>
          <w:sz w:val="24"/>
        </w:rPr>
        <w:sectPr>
          <w:pgSz w:w="12240" w:h="15840"/>
          <w:pgMar w:header="0" w:footer="1017" w:top="1360" w:bottom="1200" w:left="1040" w:right="120"/>
        </w:sectPr>
      </w:pPr>
    </w:p>
    <w:p>
      <w:pPr>
        <w:pStyle w:val="BodyText"/>
        <w:spacing w:before="72"/>
        <w:ind w:left="1211" w:right="1315" w:hanging="812"/>
      </w:pPr>
      <w:r>
        <w:rPr/>
        <w:t>Hellard,</w:t>
      </w:r>
      <w:r>
        <w:rPr>
          <w:spacing w:val="80"/>
        </w:rPr>
        <w:t> </w:t>
      </w:r>
      <w:r>
        <w:rPr/>
        <w:t>R.</w:t>
      </w:r>
      <w:r>
        <w:rPr>
          <w:spacing w:val="80"/>
        </w:rPr>
        <w:t> </w:t>
      </w:r>
      <w:r>
        <w:rPr/>
        <w:t>(1993).</w:t>
      </w:r>
      <w:r>
        <w:rPr>
          <w:spacing w:val="80"/>
        </w:rPr>
        <w:t> </w:t>
      </w:r>
      <w:r>
        <w:rPr/>
        <w:t>Total</w:t>
      </w:r>
      <w:r>
        <w:rPr>
          <w:spacing w:val="80"/>
        </w:rPr>
        <w:t> </w:t>
      </w:r>
      <w:r>
        <w:rPr/>
        <w:t>Quality</w:t>
      </w:r>
      <w:r>
        <w:rPr>
          <w:spacing w:val="80"/>
        </w:rPr>
        <w:t> </w:t>
      </w:r>
      <w:r>
        <w:rPr/>
        <w:t>in</w:t>
      </w:r>
      <w:r>
        <w:rPr>
          <w:spacing w:val="80"/>
        </w:rPr>
        <w:t> </w:t>
      </w:r>
      <w:r>
        <w:rPr/>
        <w:t>Construction</w:t>
      </w:r>
      <w:r>
        <w:rPr>
          <w:spacing w:val="80"/>
        </w:rPr>
        <w:t> </w:t>
      </w:r>
      <w:r>
        <w:rPr/>
        <w:t>Projects:</w:t>
      </w:r>
      <w:r>
        <w:rPr>
          <w:spacing w:val="80"/>
        </w:rPr>
        <w:t> </w:t>
      </w:r>
      <w:r>
        <w:rPr/>
        <w:t>Achieving</w:t>
      </w:r>
      <w:r>
        <w:rPr>
          <w:spacing w:val="80"/>
        </w:rPr>
        <w:t> </w:t>
      </w:r>
      <w:r>
        <w:rPr/>
        <w:t>Profitability</w:t>
      </w:r>
      <w:r>
        <w:rPr>
          <w:spacing w:val="80"/>
        </w:rPr>
        <w:t> </w:t>
      </w:r>
      <w:r>
        <w:rPr/>
        <w:t>with Customer Satisfaction. Thomas Telford</w:t>
      </w:r>
    </w:p>
    <w:p>
      <w:pPr>
        <w:pStyle w:val="BodyText"/>
        <w:spacing w:before="84"/>
      </w:pPr>
    </w:p>
    <w:p>
      <w:pPr>
        <w:pStyle w:val="BodyText"/>
        <w:ind w:left="1211" w:right="1315" w:hanging="812"/>
      </w:pPr>
      <w:r>
        <w:rPr/>
        <w:t>Hellsten, U., Klefsjö, B.(2000) .TQM as a Management system consisting of Values, techniques and tools - The TQM Magazine, 12( 4).</w:t>
      </w:r>
    </w:p>
    <w:p>
      <w:pPr>
        <w:pStyle w:val="BodyText"/>
        <w:spacing w:before="84"/>
      </w:pPr>
    </w:p>
    <w:p>
      <w:pPr>
        <w:pStyle w:val="BodyText"/>
        <w:tabs>
          <w:tab w:pos="1290" w:val="left" w:leader="none"/>
          <w:tab w:pos="1820" w:val="left" w:leader="none"/>
          <w:tab w:pos="2819" w:val="left" w:leader="none"/>
          <w:tab w:pos="3637" w:val="left" w:leader="none"/>
          <w:tab w:pos="4095" w:val="left" w:leader="none"/>
          <w:tab w:pos="4686" w:val="left" w:leader="none"/>
          <w:tab w:pos="5475" w:val="left" w:leader="none"/>
          <w:tab w:pos="6373" w:val="left" w:leader="none"/>
          <w:tab w:pos="6858" w:val="left" w:leader="none"/>
          <w:tab w:pos="9226" w:val="left" w:leader="none"/>
        </w:tabs>
        <w:ind w:left="1211" w:right="1318" w:hanging="812"/>
      </w:pPr>
      <w:r>
        <w:rPr>
          <w:spacing w:val="-2"/>
        </w:rPr>
        <w:t>Hirsh,</w:t>
      </w:r>
      <w:r>
        <w:rPr/>
        <w:tab/>
        <w:tab/>
      </w:r>
      <w:r>
        <w:rPr>
          <w:spacing w:val="-6"/>
        </w:rPr>
        <w:t>A.</w:t>
      </w:r>
      <w:r>
        <w:rPr/>
        <w:tab/>
      </w:r>
      <w:r>
        <w:rPr>
          <w:spacing w:val="-2"/>
        </w:rPr>
        <w:t>(2014).</w:t>
      </w:r>
      <w:r>
        <w:rPr/>
        <w:tab/>
      </w:r>
      <w:r>
        <w:rPr>
          <w:spacing w:val="-4"/>
        </w:rPr>
        <w:t>What</w:t>
      </w:r>
      <w:r>
        <w:rPr/>
        <w:tab/>
      </w:r>
      <w:r>
        <w:rPr>
          <w:spacing w:val="-6"/>
        </w:rPr>
        <w:t>is</w:t>
      </w:r>
      <w:r>
        <w:rPr/>
        <w:tab/>
      </w:r>
      <w:r>
        <w:rPr>
          <w:spacing w:val="-4"/>
        </w:rPr>
        <w:t>the</w:t>
      </w:r>
      <w:r>
        <w:rPr/>
        <w:tab/>
      </w:r>
      <w:r>
        <w:rPr>
          <w:spacing w:val="-4"/>
        </w:rPr>
        <w:t>BCG</w:t>
      </w:r>
      <w:r>
        <w:rPr/>
        <w:tab/>
      </w:r>
      <w:r>
        <w:rPr>
          <w:spacing w:val="-2"/>
        </w:rPr>
        <w:t>model</w:t>
      </w:r>
      <w:r>
        <w:rPr/>
        <w:tab/>
      </w:r>
      <w:r>
        <w:rPr>
          <w:spacing w:val="-6"/>
        </w:rPr>
        <w:t>in</w:t>
      </w:r>
      <w:r>
        <w:rPr/>
        <w:tab/>
      </w:r>
      <w:r>
        <w:rPr>
          <w:spacing w:val="-2"/>
        </w:rPr>
        <w:t>marketing?.Retrieved</w:t>
      </w:r>
      <w:r>
        <w:rPr/>
        <w:tab/>
      </w:r>
      <w:r>
        <w:rPr>
          <w:spacing w:val="-2"/>
        </w:rPr>
        <w:t>from: </w:t>
      </w:r>
      <w:hyperlink r:id="rId44">
        <w:r>
          <w:rPr>
            <w:color w:val="0000FF"/>
            <w:u w:val="single" w:color="0000FF"/>
          </w:rPr>
          <w:t>http://smallbusiness.chron.com/bcg-model-marketing-12953.html</w:t>
        </w:r>
      </w:hyperlink>
      <w:r>
        <w:rPr/>
        <w:t>. Accesses 21/7/16</w:t>
      </w:r>
    </w:p>
    <w:p>
      <w:pPr>
        <w:pStyle w:val="BodyText"/>
        <w:spacing w:before="84"/>
      </w:pPr>
    </w:p>
    <w:p>
      <w:pPr>
        <w:spacing w:before="0"/>
        <w:ind w:left="1211" w:right="1315" w:hanging="812"/>
        <w:jc w:val="both"/>
        <w:rPr>
          <w:sz w:val="24"/>
        </w:rPr>
      </w:pPr>
      <w:r>
        <w:rPr>
          <w:sz w:val="24"/>
        </w:rPr>
        <w:t>Hoang, D.T, Igel, B. &amp; Laosirihongthong, T. (2006). The Impact of Total Quality Management on Innovation: Findings From a Developing Country. </w:t>
      </w:r>
      <w:r>
        <w:rPr>
          <w:i/>
          <w:sz w:val="24"/>
        </w:rPr>
        <w:t>International Journal Quality and Reliability Management, </w:t>
      </w:r>
      <w:r>
        <w:rPr>
          <w:sz w:val="24"/>
        </w:rPr>
        <w:t>23, (9), 1092-1117.</w:t>
      </w:r>
    </w:p>
    <w:p>
      <w:pPr>
        <w:pStyle w:val="BodyText"/>
        <w:spacing w:before="84"/>
      </w:pPr>
    </w:p>
    <w:p>
      <w:pPr>
        <w:pStyle w:val="BodyText"/>
        <w:ind w:left="1211" w:right="1319" w:hanging="812"/>
        <w:jc w:val="both"/>
      </w:pPr>
      <w:r>
        <w:rPr/>
        <w:t>Holt, G.D., Love, P.E.D.,</w:t>
      </w:r>
      <w:r>
        <w:rPr>
          <w:spacing w:val="40"/>
        </w:rPr>
        <w:t> </w:t>
      </w:r>
      <w:r>
        <w:rPr/>
        <w:t>&amp; Li, H.</w:t>
      </w:r>
      <w:r>
        <w:rPr>
          <w:spacing w:val="40"/>
        </w:rPr>
        <w:t> </w:t>
      </w:r>
      <w:r>
        <w:rPr/>
        <w:t>(2000). The learning organisation:</w:t>
      </w:r>
      <w:r>
        <w:rPr>
          <w:spacing w:val="40"/>
        </w:rPr>
        <w:t> </w:t>
      </w:r>
      <w:r>
        <w:rPr/>
        <w:t>toward a paradigm</w:t>
      </w:r>
      <w:r>
        <w:rPr>
          <w:spacing w:val="40"/>
        </w:rPr>
        <w:t> </w:t>
      </w:r>
      <w:r>
        <w:rPr/>
        <w:t>for mutually beneficial</w:t>
      </w:r>
      <w:r>
        <w:rPr>
          <w:spacing w:val="40"/>
        </w:rPr>
        <w:t> </w:t>
      </w:r>
      <w:r>
        <w:rPr/>
        <w:t>strategic construction</w:t>
      </w:r>
      <w:r>
        <w:rPr>
          <w:spacing w:val="40"/>
        </w:rPr>
        <w:t> </w:t>
      </w:r>
      <w:r>
        <w:rPr/>
        <w:t>alliances. International Journal of Project Management, 18, 415-421.</w:t>
      </w:r>
    </w:p>
    <w:p>
      <w:pPr>
        <w:pStyle w:val="BodyText"/>
        <w:spacing w:before="84"/>
      </w:pPr>
    </w:p>
    <w:p>
      <w:pPr>
        <w:pStyle w:val="BodyText"/>
        <w:ind w:left="1211" w:right="1313" w:hanging="812"/>
        <w:jc w:val="both"/>
      </w:pPr>
      <w:r>
        <w:rPr/>
        <w:t>Hoonakker, P., Carayon, P., &amp; Loushine, T. (2010).Barriers and Benefits of Quality</w:t>
      </w:r>
      <w:r>
        <w:rPr>
          <w:spacing w:val="80"/>
        </w:rPr>
        <w:t> </w:t>
      </w:r>
      <w:r>
        <w:rPr/>
        <w:t>Management in the Construction Industry. Total Quality Management – Routledge, 21 (9), 953969.</w:t>
      </w:r>
    </w:p>
    <w:p>
      <w:pPr>
        <w:pStyle w:val="BodyText"/>
        <w:spacing w:before="84"/>
      </w:pPr>
    </w:p>
    <w:p>
      <w:pPr>
        <w:spacing w:before="0"/>
        <w:ind w:left="1211" w:right="1314" w:hanging="812"/>
        <w:jc w:val="both"/>
        <w:rPr>
          <w:sz w:val="24"/>
        </w:rPr>
      </w:pPr>
      <w:r>
        <w:rPr>
          <w:sz w:val="24"/>
        </w:rPr>
        <w:t>Husseini,A.A.(1991).Construction in an Ailing Economy. </w:t>
      </w:r>
      <w:r>
        <w:rPr>
          <w:i/>
          <w:sz w:val="24"/>
        </w:rPr>
        <w:t>The Nigerian Quantity Surveyor</w:t>
      </w:r>
      <w:r>
        <w:rPr>
          <w:sz w:val="24"/>
        </w:rPr>
        <w:t>,15(2),20– 22.</w:t>
      </w:r>
    </w:p>
    <w:p>
      <w:pPr>
        <w:pStyle w:val="BodyText"/>
        <w:spacing w:before="84"/>
      </w:pPr>
    </w:p>
    <w:p>
      <w:pPr>
        <w:pStyle w:val="BodyText"/>
        <w:ind w:left="1211" w:right="1316" w:hanging="812"/>
        <w:jc w:val="both"/>
      </w:pPr>
      <w:r>
        <w:rPr/>
        <w:t>Ibironke, T. (2003).Constriction finance. Adewole Press, Birnin Kebbi, NigeriaIdiake, J.E., &amp; Bala, K. (2012) Ïmproving Labour Productivity in Masonry Works in Nigeria:</w:t>
      </w:r>
    </w:p>
    <w:p>
      <w:pPr>
        <w:pStyle w:val="BodyText"/>
        <w:spacing w:before="84"/>
      </w:pPr>
    </w:p>
    <w:p>
      <w:pPr>
        <w:pStyle w:val="BodyText"/>
        <w:ind w:left="1211" w:right="1320" w:hanging="812"/>
        <w:jc w:val="both"/>
      </w:pPr>
      <w:r>
        <w:rPr/>
        <w:t>The Application of Learn Management Techniques. Proceedings of 4th West-Africa Built Environment Research (WABER) Conference, Abuja, Nigeria.</w:t>
      </w:r>
    </w:p>
    <w:p>
      <w:pPr>
        <w:pStyle w:val="BodyText"/>
        <w:spacing w:before="84"/>
      </w:pPr>
    </w:p>
    <w:p>
      <w:pPr>
        <w:spacing w:before="0"/>
        <w:ind w:left="1211" w:right="1316" w:hanging="812"/>
        <w:jc w:val="both"/>
        <w:rPr>
          <w:sz w:val="24"/>
        </w:rPr>
      </w:pPr>
      <w:r>
        <w:rPr>
          <w:sz w:val="24"/>
        </w:rPr>
        <w:t>Idoro, G.I. (2004). The effect of globalisation on safety in the construction industry in Nigeria</w:t>
      </w:r>
      <w:r>
        <w:rPr>
          <w:i/>
          <w:sz w:val="24"/>
        </w:rPr>
        <w:t>. Proceedings: The International Symposium on Globalisation and Construction</w:t>
      </w:r>
      <w:r>
        <w:rPr>
          <w:sz w:val="24"/>
        </w:rPr>
        <w:t>. School of Civil Engineering, Asian Institute of Technology, Bangkok, Thailand.</w:t>
      </w:r>
    </w:p>
    <w:p>
      <w:pPr>
        <w:spacing w:line="630" w:lineRule="atLeast" w:before="6"/>
        <w:ind w:left="399" w:right="1315" w:firstLine="0"/>
        <w:jc w:val="left"/>
        <w:rPr>
          <w:i/>
          <w:sz w:val="24"/>
        </w:rPr>
      </w:pPr>
      <w:r>
        <w:rPr>
          <w:sz w:val="24"/>
        </w:rPr>
        <w:t>Idoro, G.I (2007) A comparative evaluation of health and safety performance of indigenous and multinational construction research journal. </w:t>
      </w:r>
      <w:r>
        <w:rPr>
          <w:i/>
          <w:sz w:val="24"/>
        </w:rPr>
        <w:t>Journal of the department of building, University of</w:t>
      </w:r>
    </w:p>
    <w:p>
      <w:pPr>
        <w:spacing w:before="6"/>
        <w:ind w:left="1211" w:right="0" w:firstLine="0"/>
        <w:jc w:val="left"/>
        <w:rPr>
          <w:i/>
          <w:sz w:val="24"/>
        </w:rPr>
      </w:pPr>
      <w:r>
        <w:rPr>
          <w:i/>
          <w:sz w:val="24"/>
        </w:rPr>
        <w:t>Lagos,</w:t>
      </w:r>
      <w:r>
        <w:rPr>
          <w:i/>
          <w:spacing w:val="-4"/>
          <w:sz w:val="24"/>
        </w:rPr>
        <w:t> </w:t>
      </w:r>
      <w:r>
        <w:rPr>
          <w:i/>
          <w:sz w:val="24"/>
        </w:rPr>
        <w:t>Lagos,</w:t>
      </w:r>
      <w:r>
        <w:rPr>
          <w:i/>
          <w:spacing w:val="-2"/>
          <w:sz w:val="24"/>
        </w:rPr>
        <w:t> </w:t>
      </w:r>
      <w:r>
        <w:rPr>
          <w:i/>
          <w:sz w:val="24"/>
        </w:rPr>
        <w:t>Nigeria.</w:t>
      </w:r>
      <w:r>
        <w:rPr>
          <w:i/>
          <w:spacing w:val="-2"/>
          <w:sz w:val="24"/>
        </w:rPr>
        <w:t> </w:t>
      </w:r>
      <w:r>
        <w:rPr>
          <w:i/>
          <w:sz w:val="24"/>
        </w:rPr>
        <w:t>1(1),</w:t>
      </w:r>
      <w:r>
        <w:rPr>
          <w:i/>
          <w:spacing w:val="-2"/>
          <w:sz w:val="24"/>
        </w:rPr>
        <w:t> </w:t>
      </w:r>
      <w:r>
        <w:rPr>
          <w:i/>
          <w:sz w:val="24"/>
        </w:rPr>
        <w:t>65-</w:t>
      </w:r>
      <w:r>
        <w:rPr>
          <w:i/>
          <w:spacing w:val="-5"/>
          <w:sz w:val="24"/>
        </w:rPr>
        <w:t>75.</w:t>
      </w:r>
    </w:p>
    <w:p>
      <w:pPr>
        <w:pStyle w:val="BodyText"/>
        <w:spacing w:before="84"/>
        <w:rPr>
          <w:i/>
        </w:rPr>
      </w:pPr>
    </w:p>
    <w:p>
      <w:pPr>
        <w:pStyle w:val="BodyText"/>
        <w:ind w:left="1211" w:right="1315" w:hanging="749"/>
        <w:jc w:val="both"/>
      </w:pPr>
      <w:r>
        <w:rPr/>
        <w:t>Idoro, G.I. (2008) Effect of mechanization on project performance in the Nigerian construction industry. The construction and building research conference of the royal institution of chartered surveyors, Dublin institute of technology.</w:t>
      </w:r>
    </w:p>
    <w:p>
      <w:pPr>
        <w:spacing w:after="0"/>
        <w:jc w:val="both"/>
        <w:sectPr>
          <w:pgSz w:w="12240" w:h="15840"/>
          <w:pgMar w:header="0" w:footer="1017" w:top="1360" w:bottom="1200" w:left="1040" w:right="120"/>
        </w:sectPr>
      </w:pPr>
    </w:p>
    <w:p>
      <w:pPr>
        <w:spacing w:before="72"/>
        <w:ind w:left="1211" w:right="1317" w:hanging="812"/>
        <w:jc w:val="both"/>
        <w:rPr>
          <w:sz w:val="24"/>
        </w:rPr>
      </w:pPr>
      <w:r>
        <w:rPr>
          <w:sz w:val="24"/>
        </w:rPr>
        <w:t>Idoro, G. I. (2010). Influence of quality performance on clients' patronage of indigenous and expatriate construction contractors in Nigeria. </w:t>
      </w:r>
      <w:r>
        <w:rPr>
          <w:i/>
          <w:sz w:val="24"/>
        </w:rPr>
        <w:t>Journal of Civil Engineering and Management, </w:t>
      </w:r>
      <w:r>
        <w:rPr>
          <w:sz w:val="24"/>
        </w:rPr>
        <w:t>16(1): 65–73.</w:t>
      </w:r>
    </w:p>
    <w:p>
      <w:pPr>
        <w:pStyle w:val="BodyText"/>
        <w:spacing w:before="84"/>
      </w:pPr>
    </w:p>
    <w:p>
      <w:pPr>
        <w:spacing w:before="0"/>
        <w:ind w:left="1211" w:right="1315" w:hanging="812"/>
        <w:jc w:val="both"/>
        <w:rPr>
          <w:i/>
          <w:sz w:val="24"/>
        </w:rPr>
      </w:pPr>
      <w:r>
        <w:rPr>
          <w:sz w:val="24"/>
        </w:rPr>
        <w:t>Idoro, G. I. (2011). Comparing Occupational Health and Safety Management Efforts and Performance of Nigerian Construction Contractors. </w:t>
      </w:r>
      <w:r>
        <w:rPr>
          <w:i/>
          <w:sz w:val="24"/>
        </w:rPr>
        <w:t>Journal of Construction in Developing Countries.</w:t>
      </w:r>
    </w:p>
    <w:p>
      <w:pPr>
        <w:pStyle w:val="BodyText"/>
        <w:spacing w:before="84"/>
        <w:rPr>
          <w:i/>
        </w:rPr>
      </w:pPr>
    </w:p>
    <w:p>
      <w:pPr>
        <w:pStyle w:val="BodyText"/>
        <w:ind w:left="1211" w:right="1317" w:hanging="812"/>
        <w:jc w:val="both"/>
      </w:pPr>
      <w:r>
        <w:rPr/>
        <w:t>Idoro, G. I., &amp; Akande- Subar, L. O. (2008). Clients' Assessment of the Quality Performance of Indigenous and Expatriate Construction Contractors in Nigeria. A paper presented at COBRA: The Construction &amp; Building Research Conference of the RICS.</w:t>
      </w:r>
    </w:p>
    <w:p>
      <w:pPr>
        <w:pStyle w:val="BodyText"/>
        <w:spacing w:before="84"/>
      </w:pPr>
    </w:p>
    <w:p>
      <w:pPr>
        <w:spacing w:before="0"/>
        <w:ind w:left="1211" w:right="1316" w:hanging="812"/>
        <w:jc w:val="both"/>
        <w:rPr>
          <w:sz w:val="24"/>
        </w:rPr>
      </w:pPr>
      <w:r>
        <w:rPr>
          <w:sz w:val="24"/>
        </w:rPr>
        <w:t>Ihua,</w:t>
      </w:r>
      <w:r>
        <w:rPr>
          <w:spacing w:val="-2"/>
          <w:sz w:val="24"/>
        </w:rPr>
        <w:t> </w:t>
      </w:r>
      <w:r>
        <w:rPr>
          <w:sz w:val="24"/>
        </w:rPr>
        <w:t>U.</w:t>
      </w:r>
      <w:r>
        <w:rPr>
          <w:spacing w:val="-2"/>
          <w:sz w:val="24"/>
        </w:rPr>
        <w:t> </w:t>
      </w:r>
      <w:r>
        <w:rPr>
          <w:sz w:val="24"/>
        </w:rPr>
        <w:t>B.</w:t>
      </w:r>
      <w:r>
        <w:rPr>
          <w:spacing w:val="-2"/>
          <w:sz w:val="24"/>
        </w:rPr>
        <w:t> </w:t>
      </w:r>
      <w:r>
        <w:rPr>
          <w:sz w:val="24"/>
        </w:rPr>
        <w:t>&amp;</w:t>
      </w:r>
      <w:r>
        <w:rPr>
          <w:spacing w:val="-4"/>
          <w:sz w:val="24"/>
        </w:rPr>
        <w:t> </w:t>
      </w:r>
      <w:r>
        <w:rPr>
          <w:sz w:val="24"/>
        </w:rPr>
        <w:t>Siyanbola, T</w:t>
      </w:r>
      <w:r>
        <w:rPr>
          <w:spacing w:val="-2"/>
          <w:sz w:val="24"/>
        </w:rPr>
        <w:t> </w:t>
      </w:r>
      <w:r>
        <w:rPr>
          <w:sz w:val="24"/>
        </w:rPr>
        <w:t>.O.</w:t>
      </w:r>
      <w:r>
        <w:rPr>
          <w:spacing w:val="-2"/>
          <w:sz w:val="24"/>
        </w:rPr>
        <w:t> </w:t>
      </w:r>
      <w:r>
        <w:rPr>
          <w:sz w:val="24"/>
        </w:rPr>
        <w:t>(2012):</w:t>
      </w:r>
      <w:r>
        <w:rPr>
          <w:spacing w:val="-2"/>
          <w:sz w:val="24"/>
        </w:rPr>
        <w:t> </w:t>
      </w:r>
      <w:r>
        <w:rPr>
          <w:sz w:val="24"/>
        </w:rPr>
        <w:t>Critical</w:t>
      </w:r>
      <w:r>
        <w:rPr>
          <w:spacing w:val="-2"/>
          <w:sz w:val="24"/>
        </w:rPr>
        <w:t> </w:t>
      </w:r>
      <w:r>
        <w:rPr>
          <w:sz w:val="24"/>
        </w:rPr>
        <w:t>Challenges Limiting</w:t>
      </w:r>
      <w:r>
        <w:rPr>
          <w:spacing w:val="-4"/>
          <w:sz w:val="24"/>
        </w:rPr>
        <w:t> </w:t>
      </w:r>
      <w:r>
        <w:rPr>
          <w:sz w:val="24"/>
        </w:rPr>
        <w:t>Small</w:t>
      </w:r>
      <w:r>
        <w:rPr>
          <w:spacing w:val="-2"/>
          <w:sz w:val="24"/>
        </w:rPr>
        <w:t> </w:t>
      </w:r>
      <w:r>
        <w:rPr>
          <w:sz w:val="24"/>
        </w:rPr>
        <w:t>Business</w:t>
      </w:r>
      <w:r>
        <w:rPr>
          <w:spacing w:val="-2"/>
          <w:sz w:val="24"/>
        </w:rPr>
        <w:t> </w:t>
      </w:r>
      <w:r>
        <w:rPr>
          <w:sz w:val="24"/>
        </w:rPr>
        <w:t>Performance in Nigeria: an Exploratory Investigation. </w:t>
      </w:r>
      <w:r>
        <w:rPr>
          <w:i/>
          <w:sz w:val="24"/>
        </w:rPr>
        <w:t>International Journal of Business and Globalisation, </w:t>
      </w:r>
      <w:r>
        <w:rPr>
          <w:sz w:val="24"/>
        </w:rPr>
        <w:t>9(2), 171-185</w:t>
      </w:r>
    </w:p>
    <w:p>
      <w:pPr>
        <w:pStyle w:val="BodyText"/>
        <w:spacing w:before="84"/>
      </w:pPr>
    </w:p>
    <w:p>
      <w:pPr>
        <w:pStyle w:val="BodyText"/>
        <w:ind w:left="1211" w:right="1317" w:hanging="812"/>
        <w:jc w:val="both"/>
      </w:pPr>
      <w:r>
        <w:rPr/>
        <w:t>IMSG (2008). Zero draft “Imo Tripod vision” State economic empowerment and development strategy. Imo State Planning and Economic Development Commission, Owerri.</w:t>
      </w:r>
    </w:p>
    <w:p>
      <w:pPr>
        <w:pStyle w:val="BodyText"/>
        <w:spacing w:before="84"/>
      </w:pPr>
    </w:p>
    <w:p>
      <w:pPr>
        <w:spacing w:before="0"/>
        <w:ind w:left="400" w:right="0" w:firstLine="0"/>
        <w:jc w:val="left"/>
        <w:rPr>
          <w:i/>
          <w:sz w:val="24"/>
        </w:rPr>
      </w:pPr>
      <w:r>
        <w:rPr>
          <w:sz w:val="24"/>
        </w:rPr>
        <w:t>International</w:t>
      </w:r>
      <w:r>
        <w:rPr>
          <w:spacing w:val="37"/>
          <w:sz w:val="24"/>
        </w:rPr>
        <w:t>  </w:t>
      </w:r>
      <w:r>
        <w:rPr>
          <w:sz w:val="24"/>
        </w:rPr>
        <w:t>Organization</w:t>
      </w:r>
      <w:r>
        <w:rPr>
          <w:spacing w:val="37"/>
          <w:sz w:val="24"/>
        </w:rPr>
        <w:t>  </w:t>
      </w:r>
      <w:r>
        <w:rPr>
          <w:sz w:val="24"/>
        </w:rPr>
        <w:t>for</w:t>
      </w:r>
      <w:r>
        <w:rPr>
          <w:spacing w:val="37"/>
          <w:sz w:val="24"/>
        </w:rPr>
        <w:t>  </w:t>
      </w:r>
      <w:r>
        <w:rPr>
          <w:sz w:val="24"/>
        </w:rPr>
        <w:t>Standardization</w:t>
      </w:r>
      <w:r>
        <w:rPr>
          <w:spacing w:val="36"/>
          <w:sz w:val="24"/>
        </w:rPr>
        <w:t>  </w:t>
      </w:r>
      <w:r>
        <w:rPr>
          <w:sz w:val="24"/>
        </w:rPr>
        <w:t>(2015).</w:t>
      </w:r>
      <w:r>
        <w:rPr>
          <w:spacing w:val="37"/>
          <w:sz w:val="24"/>
        </w:rPr>
        <w:t>  </w:t>
      </w:r>
      <w:r>
        <w:rPr>
          <w:i/>
          <w:sz w:val="24"/>
        </w:rPr>
        <w:t>Quality</w:t>
      </w:r>
      <w:r>
        <w:rPr>
          <w:i/>
          <w:spacing w:val="37"/>
          <w:sz w:val="24"/>
        </w:rPr>
        <w:t>  </w:t>
      </w:r>
      <w:r>
        <w:rPr>
          <w:i/>
          <w:sz w:val="24"/>
        </w:rPr>
        <w:t>Management</w:t>
      </w:r>
      <w:r>
        <w:rPr>
          <w:i/>
          <w:spacing w:val="37"/>
          <w:sz w:val="24"/>
        </w:rPr>
        <w:t>  </w:t>
      </w:r>
      <w:r>
        <w:rPr>
          <w:i/>
          <w:spacing w:val="-2"/>
          <w:sz w:val="24"/>
        </w:rPr>
        <w:t>Principles.</w:t>
      </w:r>
    </w:p>
    <w:p>
      <w:pPr>
        <w:pStyle w:val="BodyText"/>
        <w:ind w:left="1211"/>
      </w:pPr>
      <w:r>
        <w:rPr/>
        <w:t>Retrieved</w:t>
      </w:r>
      <w:r>
        <w:rPr>
          <w:spacing w:val="-6"/>
        </w:rPr>
        <w:t> </w:t>
      </w:r>
      <w:r>
        <w:rPr/>
        <w:t>from</w:t>
      </w:r>
      <w:r>
        <w:rPr>
          <w:spacing w:val="-3"/>
        </w:rPr>
        <w:t> </w:t>
      </w:r>
      <w:hyperlink r:id="rId45">
        <w:r>
          <w:rPr/>
          <w:t>http://www.iso.org/iso/pub100080.pdf</w:t>
        </w:r>
      </w:hyperlink>
      <w:r>
        <w:rPr/>
        <w:t>.</w:t>
      </w:r>
      <w:r>
        <w:rPr>
          <w:spacing w:val="-3"/>
        </w:rPr>
        <w:t> </w:t>
      </w:r>
      <w:r>
        <w:rPr/>
        <w:t>Accessed</w:t>
      </w:r>
      <w:r>
        <w:rPr>
          <w:spacing w:val="-3"/>
        </w:rPr>
        <w:t> </w:t>
      </w:r>
      <w:r>
        <w:rPr>
          <w:spacing w:val="-2"/>
        </w:rPr>
        <w:t>18/6/2016</w:t>
      </w:r>
    </w:p>
    <w:p>
      <w:pPr>
        <w:pStyle w:val="BodyText"/>
        <w:spacing w:before="84"/>
      </w:pPr>
    </w:p>
    <w:p>
      <w:pPr>
        <w:spacing w:before="0"/>
        <w:ind w:left="1211" w:right="1316" w:hanging="812"/>
        <w:jc w:val="both"/>
        <w:rPr>
          <w:sz w:val="24"/>
        </w:rPr>
      </w:pPr>
      <w:r>
        <w:rPr>
          <w:sz w:val="24"/>
        </w:rPr>
        <w:t>Inuwa, I. I., Wanyona, G., &amp; Dian’a, S. (2014). Construction procurement systems:</w:t>
      </w:r>
      <w:r>
        <w:rPr>
          <w:spacing w:val="40"/>
          <w:sz w:val="24"/>
        </w:rPr>
        <w:t> </w:t>
      </w:r>
      <w:r>
        <w:rPr>
          <w:sz w:val="24"/>
        </w:rPr>
        <w:t>influencing factors for Nigerian indigenous contractors project planning. </w:t>
      </w:r>
      <w:r>
        <w:rPr>
          <w:i/>
          <w:sz w:val="24"/>
        </w:rPr>
        <w:t>International Journal of Engineering Research and Technology (IJERT). </w:t>
      </w:r>
      <w:r>
        <w:rPr>
          <w:sz w:val="24"/>
        </w:rPr>
        <w:t>3(4), 1043 – 1050</w:t>
      </w:r>
    </w:p>
    <w:p>
      <w:pPr>
        <w:pStyle w:val="BodyText"/>
        <w:spacing w:before="84"/>
      </w:pPr>
    </w:p>
    <w:p>
      <w:pPr>
        <w:spacing w:before="0"/>
        <w:ind w:left="1211" w:right="1317" w:hanging="812"/>
        <w:jc w:val="both"/>
        <w:rPr>
          <w:i/>
          <w:sz w:val="24"/>
        </w:rPr>
      </w:pPr>
      <w:r>
        <w:rPr>
          <w:sz w:val="24"/>
        </w:rPr>
        <w:t>Inyang-Udoh, U.I. (2006) Assessment of indigenous contractors’ participation in construction projects delivery in Nigeria. The quantity surveyors, </w:t>
      </w:r>
      <w:r>
        <w:rPr>
          <w:i/>
          <w:sz w:val="24"/>
        </w:rPr>
        <w:t>journal of the Nigerian institute of quantity surveyors.</w:t>
      </w:r>
    </w:p>
    <w:p>
      <w:pPr>
        <w:pStyle w:val="BodyText"/>
        <w:spacing w:before="84"/>
        <w:rPr>
          <w:i/>
        </w:rPr>
      </w:pPr>
    </w:p>
    <w:p>
      <w:pPr>
        <w:pStyle w:val="BodyText"/>
        <w:ind w:left="1211" w:right="1318" w:hanging="812"/>
        <w:jc w:val="both"/>
      </w:pPr>
      <w:r>
        <w:rPr/>
        <w:t>Ishikawa, K. (1985). What is Total Quality</w:t>
      </w:r>
      <w:r>
        <w:rPr>
          <w:spacing w:val="-3"/>
        </w:rPr>
        <w:t> </w:t>
      </w:r>
      <w:r>
        <w:rPr/>
        <w:t>Control? The Japanese Way. Englewood Cliffs, N.J.: </w:t>
      </w:r>
      <w:r>
        <w:rPr>
          <w:spacing w:val="-2"/>
        </w:rPr>
        <w:t>Prentice-Hall.</w:t>
      </w:r>
    </w:p>
    <w:p>
      <w:pPr>
        <w:pStyle w:val="BodyText"/>
        <w:spacing w:before="84"/>
      </w:pPr>
    </w:p>
    <w:p>
      <w:pPr>
        <w:pStyle w:val="BodyText"/>
        <w:ind w:left="400"/>
      </w:pPr>
      <w:r>
        <w:rPr/>
        <w:t>Ismail,</w:t>
      </w:r>
      <w:r>
        <w:rPr>
          <w:spacing w:val="13"/>
        </w:rPr>
        <w:t> </w:t>
      </w:r>
      <w:r>
        <w:rPr/>
        <w:t>K.,</w:t>
      </w:r>
      <w:r>
        <w:rPr>
          <w:spacing w:val="13"/>
        </w:rPr>
        <w:t> </w:t>
      </w:r>
      <w:r>
        <w:rPr/>
        <w:t>Tengku-Azhar,</w:t>
      </w:r>
      <w:r>
        <w:rPr>
          <w:spacing w:val="13"/>
        </w:rPr>
        <w:t> </w:t>
      </w:r>
      <w:r>
        <w:rPr/>
        <w:t>N.</w:t>
      </w:r>
      <w:r>
        <w:rPr>
          <w:spacing w:val="13"/>
        </w:rPr>
        <w:t> </w:t>
      </w:r>
      <w:r>
        <w:rPr/>
        <w:t>T.,</w:t>
      </w:r>
      <w:r>
        <w:rPr>
          <w:spacing w:val="15"/>
        </w:rPr>
        <w:t> </w:t>
      </w:r>
      <w:r>
        <w:rPr/>
        <w:t>Yong,</w:t>
      </w:r>
      <w:r>
        <w:rPr>
          <w:spacing w:val="15"/>
        </w:rPr>
        <w:t> </w:t>
      </w:r>
      <w:r>
        <w:rPr/>
        <w:t>Y.</w:t>
      </w:r>
      <w:r>
        <w:rPr>
          <w:spacing w:val="13"/>
        </w:rPr>
        <w:t> </w:t>
      </w:r>
      <w:r>
        <w:rPr/>
        <w:t>C.,</w:t>
      </w:r>
      <w:r>
        <w:rPr>
          <w:spacing w:val="15"/>
        </w:rPr>
        <w:t> </w:t>
      </w:r>
      <w:r>
        <w:rPr/>
        <w:t>Aslan</w:t>
      </w:r>
      <w:r>
        <w:rPr>
          <w:spacing w:val="14"/>
        </w:rPr>
        <w:t> </w:t>
      </w:r>
      <w:r>
        <w:rPr/>
        <w:t>A.</w:t>
      </w:r>
      <w:r>
        <w:rPr>
          <w:spacing w:val="13"/>
        </w:rPr>
        <w:t> </w:t>
      </w:r>
      <w:r>
        <w:rPr/>
        <w:t>S.,</w:t>
      </w:r>
      <w:r>
        <w:rPr>
          <w:spacing w:val="13"/>
        </w:rPr>
        <w:t> </w:t>
      </w:r>
      <w:r>
        <w:rPr/>
        <w:t>Omar,</w:t>
      </w:r>
      <w:r>
        <w:rPr>
          <w:spacing w:val="13"/>
        </w:rPr>
        <w:t> </w:t>
      </w:r>
      <w:r>
        <w:rPr/>
        <w:t>W.,</w:t>
      </w:r>
      <w:r>
        <w:rPr>
          <w:spacing w:val="13"/>
        </w:rPr>
        <w:t> </w:t>
      </w:r>
      <w:r>
        <w:rPr/>
        <w:t>Majid,</w:t>
      </w:r>
      <w:r>
        <w:rPr>
          <w:spacing w:val="15"/>
        </w:rPr>
        <w:t> </w:t>
      </w:r>
      <w:r>
        <w:rPr/>
        <w:t>I.</w:t>
      </w:r>
      <w:r>
        <w:rPr>
          <w:spacing w:val="13"/>
        </w:rPr>
        <w:t> </w:t>
      </w:r>
      <w:r>
        <w:rPr/>
        <w:t>W.,</w:t>
      </w:r>
      <w:r>
        <w:rPr>
          <w:spacing w:val="15"/>
        </w:rPr>
        <w:t> </w:t>
      </w:r>
      <w:r>
        <w:rPr/>
        <w:t>&amp;</w:t>
      </w:r>
      <w:r>
        <w:rPr>
          <w:spacing w:val="12"/>
        </w:rPr>
        <w:t> </w:t>
      </w:r>
      <w:r>
        <w:rPr>
          <w:spacing w:val="-2"/>
        </w:rPr>
        <w:t>Ajagbe,</w:t>
      </w:r>
    </w:p>
    <w:p>
      <w:pPr>
        <w:pStyle w:val="BodyText"/>
        <w:ind w:left="1211" w:right="1315"/>
      </w:pPr>
      <w:r>
        <w:rPr/>
        <w:t>A.</w:t>
      </w:r>
      <w:r>
        <w:rPr>
          <w:spacing w:val="76"/>
        </w:rPr>
        <w:t> </w:t>
      </w:r>
      <w:r>
        <w:rPr/>
        <w:t>M.</w:t>
      </w:r>
      <w:r>
        <w:rPr>
          <w:spacing w:val="76"/>
        </w:rPr>
        <w:t> </w:t>
      </w:r>
      <w:r>
        <w:rPr/>
        <w:t>(2012),</w:t>
      </w:r>
      <w:r>
        <w:rPr>
          <w:spacing w:val="78"/>
        </w:rPr>
        <w:t> </w:t>
      </w:r>
      <w:r>
        <w:rPr/>
        <w:t>Problems</w:t>
      </w:r>
      <w:r>
        <w:rPr>
          <w:spacing w:val="76"/>
        </w:rPr>
        <w:t> </w:t>
      </w:r>
      <w:r>
        <w:rPr/>
        <w:t>on</w:t>
      </w:r>
      <w:r>
        <w:rPr>
          <w:spacing w:val="76"/>
        </w:rPr>
        <w:t> </w:t>
      </w:r>
      <w:r>
        <w:rPr/>
        <w:t>Commercialization</w:t>
      </w:r>
      <w:r>
        <w:rPr>
          <w:spacing w:val="76"/>
        </w:rPr>
        <w:t> </w:t>
      </w:r>
      <w:r>
        <w:rPr/>
        <w:t>of</w:t>
      </w:r>
      <w:r>
        <w:rPr>
          <w:spacing w:val="75"/>
        </w:rPr>
        <w:t> </w:t>
      </w:r>
      <w:r>
        <w:rPr/>
        <w:t>Genetically</w:t>
      </w:r>
      <w:r>
        <w:rPr>
          <w:spacing w:val="71"/>
        </w:rPr>
        <w:t> </w:t>
      </w:r>
      <w:r>
        <w:rPr/>
        <w:t>Modified</w:t>
      </w:r>
      <w:r>
        <w:rPr>
          <w:spacing w:val="76"/>
        </w:rPr>
        <w:t> </w:t>
      </w:r>
      <w:r>
        <w:rPr/>
        <w:t>Crops</w:t>
      </w:r>
      <w:r>
        <w:rPr>
          <w:spacing w:val="76"/>
        </w:rPr>
        <w:t> </w:t>
      </w:r>
      <w:r>
        <w:rPr/>
        <w:t>in Malaysia. Elsevier Procedia-Social and Behavioral Sciences, 40, 353 – 357.</w:t>
      </w:r>
    </w:p>
    <w:p>
      <w:pPr>
        <w:pStyle w:val="BodyText"/>
        <w:spacing w:before="84"/>
      </w:pPr>
    </w:p>
    <w:p>
      <w:pPr>
        <w:spacing w:before="1"/>
        <w:ind w:left="1211" w:right="1316" w:hanging="812"/>
        <w:jc w:val="both"/>
        <w:rPr>
          <w:i/>
          <w:sz w:val="24"/>
        </w:rPr>
      </w:pPr>
      <w:r>
        <w:rPr>
          <w:sz w:val="24"/>
        </w:rPr>
        <w:t>Jabnoun, N., &amp; Sedrani,K. (2005). “TQM, Culture and Performance in UAE Manufacturing Firms,” </w:t>
      </w:r>
      <w:r>
        <w:rPr>
          <w:i/>
          <w:sz w:val="24"/>
        </w:rPr>
        <w:t>Quality Management Journal, 12, (4),8-20</w:t>
      </w:r>
    </w:p>
    <w:p>
      <w:pPr>
        <w:pStyle w:val="BodyText"/>
        <w:spacing w:before="83"/>
        <w:rPr>
          <w:i/>
        </w:rPr>
      </w:pPr>
    </w:p>
    <w:p>
      <w:pPr>
        <w:pStyle w:val="BodyText"/>
        <w:spacing w:before="1"/>
        <w:ind w:left="1211" w:right="1316" w:hanging="812"/>
        <w:jc w:val="both"/>
      </w:pPr>
      <w:r>
        <w:rPr/>
        <w:t>Jha &amp; Kumar, S. (2010). Evaluation of critical success factors in Total Quality Management. Retrieved from </w:t>
      </w:r>
      <w:hyperlink r:id="rId46">
        <w:r>
          <w:rPr/>
          <w:t>http://european-science</w:t>
        </w:r>
      </w:hyperlink>
      <w:r>
        <w:rPr/>
        <w:t> .com/eojnss/ article /viewFile/865/pdf, Accessed on 20/11/ 2016.</w:t>
      </w:r>
    </w:p>
    <w:p>
      <w:pPr>
        <w:spacing w:after="0"/>
        <w:jc w:val="both"/>
        <w:sectPr>
          <w:pgSz w:w="12240" w:h="15840"/>
          <w:pgMar w:header="0" w:footer="1017" w:top="1360" w:bottom="1200" w:left="1040" w:right="120"/>
        </w:sectPr>
      </w:pPr>
    </w:p>
    <w:p>
      <w:pPr>
        <w:spacing w:before="72"/>
        <w:ind w:left="1211" w:right="1319" w:hanging="812"/>
        <w:jc w:val="both"/>
        <w:rPr>
          <w:i/>
          <w:sz w:val="24"/>
        </w:rPr>
      </w:pPr>
      <w:r>
        <w:rPr>
          <w:sz w:val="24"/>
        </w:rPr>
        <w:t>Jimenez, D. and Costa, M. (2009). The performance effect of HRM and TQM: a study in</w:t>
      </w:r>
      <w:r>
        <w:rPr>
          <w:spacing w:val="40"/>
          <w:sz w:val="24"/>
        </w:rPr>
        <w:t> </w:t>
      </w:r>
      <w:r>
        <w:rPr>
          <w:sz w:val="24"/>
        </w:rPr>
        <w:t>Spanish</w:t>
      </w:r>
      <w:r>
        <w:rPr>
          <w:spacing w:val="24"/>
          <w:sz w:val="24"/>
        </w:rPr>
        <w:t> </w:t>
      </w:r>
      <w:r>
        <w:rPr>
          <w:sz w:val="24"/>
        </w:rPr>
        <w:t>organizations.</w:t>
      </w:r>
      <w:r>
        <w:rPr>
          <w:spacing w:val="25"/>
          <w:sz w:val="24"/>
        </w:rPr>
        <w:t> </w:t>
      </w:r>
      <w:r>
        <w:rPr>
          <w:i/>
          <w:sz w:val="24"/>
        </w:rPr>
        <w:t>International</w:t>
      </w:r>
      <w:r>
        <w:rPr>
          <w:i/>
          <w:spacing w:val="24"/>
          <w:sz w:val="24"/>
        </w:rPr>
        <w:t> </w:t>
      </w:r>
      <w:r>
        <w:rPr>
          <w:i/>
          <w:sz w:val="24"/>
        </w:rPr>
        <w:t>Journal</w:t>
      </w:r>
      <w:r>
        <w:rPr>
          <w:i/>
          <w:spacing w:val="25"/>
          <w:sz w:val="24"/>
        </w:rPr>
        <w:t> </w:t>
      </w:r>
      <w:r>
        <w:rPr>
          <w:i/>
          <w:sz w:val="24"/>
        </w:rPr>
        <w:t>of</w:t>
      </w:r>
      <w:r>
        <w:rPr>
          <w:i/>
          <w:spacing w:val="23"/>
          <w:sz w:val="24"/>
        </w:rPr>
        <w:t> </w:t>
      </w:r>
      <w:r>
        <w:rPr>
          <w:i/>
          <w:sz w:val="24"/>
        </w:rPr>
        <w:t>Quality</w:t>
      </w:r>
      <w:r>
        <w:rPr>
          <w:i/>
          <w:spacing w:val="28"/>
          <w:sz w:val="24"/>
        </w:rPr>
        <w:t> </w:t>
      </w:r>
      <w:r>
        <w:rPr>
          <w:i/>
          <w:sz w:val="24"/>
        </w:rPr>
        <w:t>&amp;</w:t>
      </w:r>
      <w:r>
        <w:rPr>
          <w:i/>
          <w:spacing w:val="18"/>
          <w:sz w:val="24"/>
        </w:rPr>
        <w:t> </w:t>
      </w:r>
      <w:r>
        <w:rPr>
          <w:i/>
          <w:sz w:val="24"/>
        </w:rPr>
        <w:t>Reliability</w:t>
      </w:r>
      <w:r>
        <w:rPr>
          <w:i/>
          <w:spacing w:val="24"/>
          <w:sz w:val="24"/>
        </w:rPr>
        <w:t> </w:t>
      </w:r>
      <w:r>
        <w:rPr>
          <w:i/>
          <w:sz w:val="24"/>
        </w:rPr>
        <w:t>Management,</w:t>
      </w:r>
      <w:r>
        <w:rPr>
          <w:i/>
          <w:spacing w:val="25"/>
          <w:sz w:val="24"/>
        </w:rPr>
        <w:t> </w:t>
      </w:r>
      <w:r>
        <w:rPr>
          <w:i/>
          <w:spacing w:val="-5"/>
          <w:sz w:val="24"/>
        </w:rPr>
        <w:t>29</w:t>
      </w:r>
    </w:p>
    <w:p>
      <w:pPr>
        <w:spacing w:before="0"/>
        <w:ind w:left="1211" w:right="0" w:firstLine="0"/>
        <w:jc w:val="left"/>
        <w:rPr>
          <w:i/>
          <w:sz w:val="24"/>
        </w:rPr>
      </w:pPr>
      <w:r>
        <w:rPr>
          <w:i/>
          <w:sz w:val="24"/>
        </w:rPr>
        <w:t>(12).</w:t>
      </w:r>
      <w:r>
        <w:rPr>
          <w:i/>
          <w:spacing w:val="-4"/>
          <w:sz w:val="24"/>
        </w:rPr>
        <w:t> </w:t>
      </w:r>
      <w:r>
        <w:rPr>
          <w:i/>
          <w:sz w:val="24"/>
        </w:rPr>
        <w:t>1266-</w:t>
      </w:r>
      <w:r>
        <w:rPr>
          <w:i/>
          <w:spacing w:val="-4"/>
          <w:sz w:val="24"/>
        </w:rPr>
        <w:t>1289</w:t>
      </w:r>
    </w:p>
    <w:p>
      <w:pPr>
        <w:pStyle w:val="BodyText"/>
        <w:spacing w:before="84"/>
        <w:rPr>
          <w:i/>
        </w:rPr>
      </w:pPr>
    </w:p>
    <w:p>
      <w:pPr>
        <w:pStyle w:val="BodyText"/>
        <w:ind w:left="1211" w:right="1322" w:hanging="812"/>
        <w:jc w:val="both"/>
      </w:pPr>
      <w:r>
        <w:rPr/>
        <w:t>Jimoh H.I</w:t>
      </w:r>
      <w:r>
        <w:rPr>
          <w:spacing w:val="-1"/>
        </w:rPr>
        <w:t> </w:t>
      </w:r>
      <w:r>
        <w:rPr/>
        <w:t>(2005). Tropical Rainfall Events on Erosion Rate in Rapidly</w:t>
      </w:r>
      <w:r>
        <w:rPr>
          <w:spacing w:val="-2"/>
        </w:rPr>
        <w:t> </w:t>
      </w:r>
      <w:r>
        <w:rPr/>
        <w:t>Developing Urban Areas in Nigeria. Singapore J. Trop. Geogr. 26(1), 77-80.</w:t>
      </w:r>
    </w:p>
    <w:p>
      <w:pPr>
        <w:pStyle w:val="BodyText"/>
        <w:spacing w:before="84"/>
      </w:pPr>
    </w:p>
    <w:p>
      <w:pPr>
        <w:pStyle w:val="BodyText"/>
        <w:ind w:left="1211" w:right="1318" w:hanging="812"/>
        <w:jc w:val="both"/>
      </w:pPr>
      <w:r>
        <w:rPr/>
        <w:t>Johnson, G., Scholes, K. (2002). Exploring corporate strategy: text and cases. Financial times Prentice hall.</w:t>
      </w:r>
    </w:p>
    <w:p>
      <w:pPr>
        <w:pStyle w:val="BodyText"/>
        <w:spacing w:before="84"/>
      </w:pPr>
    </w:p>
    <w:p>
      <w:pPr>
        <w:pStyle w:val="BodyText"/>
        <w:ind w:left="400"/>
      </w:pPr>
      <w:r>
        <w:rPr/>
        <w:t>Johnson,</w:t>
      </w:r>
      <w:r>
        <w:rPr>
          <w:spacing w:val="10"/>
        </w:rPr>
        <w:t> </w:t>
      </w:r>
      <w:r>
        <w:rPr/>
        <w:t>G.,</w:t>
      </w:r>
      <w:r>
        <w:rPr>
          <w:spacing w:val="11"/>
        </w:rPr>
        <w:t> </w:t>
      </w:r>
      <w:r>
        <w:rPr/>
        <w:t>Sholes,</w:t>
      </w:r>
      <w:r>
        <w:rPr>
          <w:spacing w:val="11"/>
        </w:rPr>
        <w:t> </w:t>
      </w:r>
      <w:r>
        <w:rPr/>
        <w:t>K.,</w:t>
      </w:r>
      <w:r>
        <w:rPr>
          <w:spacing w:val="11"/>
        </w:rPr>
        <w:t> </w:t>
      </w:r>
      <w:r>
        <w:rPr/>
        <w:t>&amp;</w:t>
      </w:r>
      <w:r>
        <w:rPr>
          <w:spacing w:val="9"/>
        </w:rPr>
        <w:t> </w:t>
      </w:r>
      <w:r>
        <w:rPr/>
        <w:t>Whittington,</w:t>
      </w:r>
      <w:r>
        <w:rPr>
          <w:spacing w:val="11"/>
        </w:rPr>
        <w:t> </w:t>
      </w:r>
      <w:r>
        <w:rPr/>
        <w:t>R.</w:t>
      </w:r>
      <w:r>
        <w:rPr>
          <w:spacing w:val="11"/>
        </w:rPr>
        <w:t> </w:t>
      </w:r>
      <w:r>
        <w:rPr/>
        <w:t>(2011).</w:t>
      </w:r>
      <w:r>
        <w:rPr>
          <w:spacing w:val="11"/>
        </w:rPr>
        <w:t> </w:t>
      </w:r>
      <w:r>
        <w:rPr/>
        <w:t>Exploring</w:t>
      </w:r>
      <w:r>
        <w:rPr>
          <w:spacing w:val="8"/>
        </w:rPr>
        <w:t> </w:t>
      </w:r>
      <w:r>
        <w:rPr/>
        <w:t>corporate</w:t>
      </w:r>
      <w:r>
        <w:rPr>
          <w:spacing w:val="10"/>
        </w:rPr>
        <w:t> </w:t>
      </w:r>
      <w:r>
        <w:rPr/>
        <w:t>strategy:</w:t>
      </w:r>
      <w:r>
        <w:rPr>
          <w:spacing w:val="11"/>
        </w:rPr>
        <w:t> </w:t>
      </w:r>
      <w:r>
        <w:rPr/>
        <w:t>text</w:t>
      </w:r>
      <w:r>
        <w:rPr>
          <w:spacing w:val="11"/>
        </w:rPr>
        <w:t> </w:t>
      </w:r>
      <w:r>
        <w:rPr/>
        <w:t>and</w:t>
      </w:r>
      <w:r>
        <w:rPr>
          <w:spacing w:val="11"/>
        </w:rPr>
        <w:t> </w:t>
      </w:r>
      <w:r>
        <w:rPr>
          <w:spacing w:val="-2"/>
        </w:rPr>
        <w:t>cases.</w:t>
      </w:r>
    </w:p>
    <w:p>
      <w:pPr>
        <w:pStyle w:val="BodyText"/>
        <w:ind w:left="1211"/>
      </w:pPr>
      <w:r>
        <w:rPr/>
        <w:t>Prentice</w:t>
      </w:r>
      <w:r>
        <w:rPr>
          <w:spacing w:val="-4"/>
        </w:rPr>
        <w:t> </w:t>
      </w:r>
      <w:r>
        <w:rPr>
          <w:spacing w:val="-2"/>
        </w:rPr>
        <w:t>Hall.</w:t>
      </w:r>
    </w:p>
    <w:p>
      <w:pPr>
        <w:pStyle w:val="BodyText"/>
        <w:spacing w:before="84"/>
      </w:pPr>
    </w:p>
    <w:p>
      <w:pPr>
        <w:pStyle w:val="BodyText"/>
        <w:ind w:left="1211" w:right="1318" w:hanging="812"/>
        <w:jc w:val="both"/>
      </w:pPr>
      <w:r>
        <w:rPr/>
        <w:t>Johnson, S., &amp; Kleiner, B. (2013). TQM can encompass success. Industrial Management, 55(2), </w:t>
      </w:r>
      <w:r>
        <w:rPr>
          <w:spacing w:val="-4"/>
        </w:rPr>
        <w:t>27.</w:t>
      </w:r>
    </w:p>
    <w:p>
      <w:pPr>
        <w:pStyle w:val="BodyText"/>
        <w:spacing w:before="84"/>
      </w:pPr>
    </w:p>
    <w:p>
      <w:pPr>
        <w:pStyle w:val="BodyText"/>
        <w:ind w:left="400"/>
      </w:pPr>
      <w:r>
        <w:rPr/>
        <w:t>Jun,</w:t>
      </w:r>
      <w:r>
        <w:rPr>
          <w:spacing w:val="15"/>
        </w:rPr>
        <w:t> </w:t>
      </w:r>
      <w:r>
        <w:rPr/>
        <w:t>M,</w:t>
      </w:r>
      <w:r>
        <w:rPr>
          <w:spacing w:val="15"/>
        </w:rPr>
        <w:t> </w:t>
      </w:r>
      <w:r>
        <w:rPr/>
        <w:t>Cai,</w:t>
      </w:r>
      <w:r>
        <w:rPr>
          <w:spacing w:val="18"/>
        </w:rPr>
        <w:t> </w:t>
      </w:r>
      <w:r>
        <w:rPr/>
        <w:t>S.</w:t>
      </w:r>
      <w:r>
        <w:rPr>
          <w:spacing w:val="17"/>
        </w:rPr>
        <w:t> </w:t>
      </w:r>
      <w:r>
        <w:rPr/>
        <w:t>(2004).</w:t>
      </w:r>
      <w:r>
        <w:rPr>
          <w:spacing w:val="18"/>
        </w:rPr>
        <w:t> </w:t>
      </w:r>
      <w:r>
        <w:rPr/>
        <w:t>Obstacles</w:t>
      </w:r>
      <w:r>
        <w:rPr>
          <w:spacing w:val="18"/>
        </w:rPr>
        <w:t> </w:t>
      </w:r>
      <w:r>
        <w:rPr/>
        <w:t>to</w:t>
      </w:r>
      <w:r>
        <w:rPr>
          <w:spacing w:val="17"/>
        </w:rPr>
        <w:t> </w:t>
      </w:r>
      <w:r>
        <w:rPr/>
        <w:t>TQM</w:t>
      </w:r>
      <w:r>
        <w:rPr>
          <w:spacing w:val="20"/>
        </w:rPr>
        <w:t> </w:t>
      </w:r>
      <w:r>
        <w:rPr/>
        <w:t>Implementation</w:t>
      </w:r>
      <w:r>
        <w:rPr>
          <w:spacing w:val="18"/>
        </w:rPr>
        <w:t> </w:t>
      </w:r>
      <w:r>
        <w:rPr/>
        <w:t>in</w:t>
      </w:r>
      <w:r>
        <w:rPr>
          <w:spacing w:val="17"/>
        </w:rPr>
        <w:t> </w:t>
      </w:r>
      <w:r>
        <w:rPr/>
        <w:t>Mexico’s</w:t>
      </w:r>
      <w:r>
        <w:rPr>
          <w:spacing w:val="16"/>
        </w:rPr>
        <w:t> </w:t>
      </w:r>
      <w:r>
        <w:rPr/>
        <w:t>Maquiladora</w:t>
      </w:r>
      <w:r>
        <w:rPr>
          <w:spacing w:val="19"/>
        </w:rPr>
        <w:t> </w:t>
      </w:r>
      <w:r>
        <w:rPr>
          <w:spacing w:val="-2"/>
        </w:rPr>
        <w:t>Industry.”</w:t>
      </w:r>
    </w:p>
    <w:p>
      <w:pPr>
        <w:spacing w:before="0"/>
        <w:ind w:left="1211" w:right="0" w:firstLine="0"/>
        <w:jc w:val="left"/>
        <w:rPr>
          <w:sz w:val="24"/>
        </w:rPr>
      </w:pPr>
      <w:r>
        <w:rPr>
          <w:i/>
          <w:sz w:val="24"/>
        </w:rPr>
        <w:t>Total</w:t>
      </w:r>
      <w:r>
        <w:rPr>
          <w:i/>
          <w:spacing w:val="-2"/>
          <w:sz w:val="24"/>
        </w:rPr>
        <w:t> </w:t>
      </w:r>
      <w:r>
        <w:rPr>
          <w:i/>
          <w:sz w:val="24"/>
        </w:rPr>
        <w:t>Quality</w:t>
      </w:r>
      <w:r>
        <w:rPr>
          <w:i/>
          <w:spacing w:val="-3"/>
          <w:sz w:val="24"/>
        </w:rPr>
        <w:t> </w:t>
      </w:r>
      <w:r>
        <w:rPr>
          <w:i/>
          <w:sz w:val="24"/>
        </w:rPr>
        <w:t>Management</w:t>
      </w:r>
      <w:r>
        <w:rPr>
          <w:i/>
          <w:spacing w:val="3"/>
          <w:sz w:val="24"/>
        </w:rPr>
        <w:t> </w:t>
      </w:r>
      <w:r>
        <w:rPr>
          <w:i/>
          <w:sz w:val="24"/>
        </w:rPr>
        <w:t>&amp;</w:t>
      </w:r>
      <w:r>
        <w:rPr>
          <w:i/>
          <w:spacing w:val="-8"/>
          <w:sz w:val="24"/>
        </w:rPr>
        <w:t> </w:t>
      </w:r>
      <w:r>
        <w:rPr>
          <w:i/>
          <w:sz w:val="24"/>
        </w:rPr>
        <w:t>Business</w:t>
      </w:r>
      <w:r>
        <w:rPr>
          <w:i/>
          <w:spacing w:val="-2"/>
          <w:sz w:val="24"/>
        </w:rPr>
        <w:t> </w:t>
      </w:r>
      <w:r>
        <w:rPr>
          <w:i/>
          <w:sz w:val="24"/>
        </w:rPr>
        <w:t>Excellence </w:t>
      </w:r>
      <w:r>
        <w:rPr>
          <w:sz w:val="24"/>
        </w:rPr>
        <w:t>15(1),</w:t>
      </w:r>
      <w:r>
        <w:rPr>
          <w:spacing w:val="-1"/>
          <w:sz w:val="24"/>
        </w:rPr>
        <w:t> </w:t>
      </w:r>
      <w:r>
        <w:rPr>
          <w:sz w:val="24"/>
        </w:rPr>
        <w:t>59-</w:t>
      </w:r>
      <w:r>
        <w:rPr>
          <w:spacing w:val="-5"/>
          <w:sz w:val="24"/>
        </w:rPr>
        <w:t>72.</w:t>
      </w:r>
    </w:p>
    <w:p>
      <w:pPr>
        <w:pStyle w:val="BodyText"/>
        <w:spacing w:before="84"/>
      </w:pPr>
    </w:p>
    <w:p>
      <w:pPr>
        <w:spacing w:before="0"/>
        <w:ind w:left="1211" w:right="1318" w:hanging="812"/>
        <w:jc w:val="both"/>
        <w:rPr>
          <w:sz w:val="24"/>
        </w:rPr>
      </w:pPr>
      <w:r>
        <w:rPr>
          <w:sz w:val="24"/>
        </w:rPr>
        <w:t>Jung et al. (2009). Competitive strategy, TQM practice, and continuous improvement of international project management. </w:t>
      </w:r>
      <w:r>
        <w:rPr>
          <w:i/>
          <w:sz w:val="24"/>
        </w:rPr>
        <w:t>International Journal of Quality &amp; Reliability Management</w:t>
      </w:r>
      <w:r>
        <w:rPr>
          <w:sz w:val="24"/>
        </w:rPr>
        <w:t>, 26 (2), 164-183</w:t>
      </w:r>
    </w:p>
    <w:p>
      <w:pPr>
        <w:pStyle w:val="BodyText"/>
        <w:spacing w:before="84"/>
      </w:pPr>
    </w:p>
    <w:p>
      <w:pPr>
        <w:pStyle w:val="BodyText"/>
        <w:ind w:left="1211" w:right="1318" w:hanging="812"/>
        <w:jc w:val="both"/>
      </w:pPr>
      <w:r>
        <w:rPr/>
        <w:t>Junnonen,</w:t>
      </w:r>
      <w:r>
        <w:rPr>
          <w:spacing w:val="-3"/>
        </w:rPr>
        <w:t> </w:t>
      </w:r>
      <w:r>
        <w:rPr/>
        <w:t>J.M.</w:t>
      </w:r>
      <w:r>
        <w:rPr>
          <w:spacing w:val="40"/>
        </w:rPr>
        <w:t> </w:t>
      </w:r>
      <w:r>
        <w:rPr/>
        <w:t>(1998).</w:t>
      </w:r>
      <w:r>
        <w:rPr>
          <w:spacing w:val="-1"/>
        </w:rPr>
        <w:t> </w:t>
      </w:r>
      <w:r>
        <w:rPr/>
        <w:t>Strategy</w:t>
      </w:r>
      <w:r>
        <w:rPr>
          <w:spacing w:val="-3"/>
        </w:rPr>
        <w:t> </w:t>
      </w:r>
      <w:r>
        <w:rPr/>
        <w:t>formation</w:t>
      </w:r>
      <w:r>
        <w:rPr>
          <w:spacing w:val="-1"/>
        </w:rPr>
        <w:t> </w:t>
      </w:r>
      <w:r>
        <w:rPr/>
        <w:t>in</w:t>
      </w:r>
      <w:r>
        <w:rPr>
          <w:spacing w:val="-1"/>
        </w:rPr>
        <w:t> </w:t>
      </w:r>
      <w:r>
        <w:rPr/>
        <w:t>construction</w:t>
      </w:r>
      <w:r>
        <w:rPr>
          <w:spacing w:val="-1"/>
        </w:rPr>
        <w:t> </w:t>
      </w:r>
      <w:r>
        <w:rPr/>
        <w:t>firms.</w:t>
      </w:r>
      <w:r>
        <w:rPr>
          <w:spacing w:val="40"/>
        </w:rPr>
        <w:t> </w:t>
      </w:r>
      <w:r>
        <w:rPr/>
        <w:t>Engineering,</w:t>
      </w:r>
      <w:r>
        <w:rPr>
          <w:spacing w:val="-1"/>
        </w:rPr>
        <w:t> </w:t>
      </w:r>
      <w:r>
        <w:rPr/>
        <w:t>Construction</w:t>
      </w:r>
      <w:r>
        <w:rPr>
          <w:spacing w:val="-1"/>
        </w:rPr>
        <w:t> </w:t>
      </w:r>
      <w:r>
        <w:rPr/>
        <w:t>and Architectural Management, 5(2), 107-114.</w:t>
      </w:r>
    </w:p>
    <w:p>
      <w:pPr>
        <w:pStyle w:val="BodyText"/>
        <w:spacing w:before="84"/>
      </w:pPr>
    </w:p>
    <w:p>
      <w:pPr>
        <w:pStyle w:val="BodyText"/>
        <w:ind w:left="1211" w:right="1318" w:hanging="812"/>
        <w:jc w:val="both"/>
      </w:pPr>
      <w:r>
        <w:rPr/>
        <w:t>Juran. J.M. (1986). The Quality Trilogy: A Universal Approach to Managing for Quality. This paper was presented at the ASQC 40th Annual Quality Congress in Anaheim,</w:t>
      </w:r>
      <w:r>
        <w:rPr>
          <w:spacing w:val="80"/>
        </w:rPr>
        <w:t> </w:t>
      </w:r>
      <w:r>
        <w:rPr>
          <w:spacing w:val="-2"/>
        </w:rPr>
        <w:t>California.</w:t>
      </w:r>
    </w:p>
    <w:p>
      <w:pPr>
        <w:pStyle w:val="BodyText"/>
        <w:spacing w:before="84"/>
      </w:pPr>
    </w:p>
    <w:p>
      <w:pPr>
        <w:pStyle w:val="BodyText"/>
        <w:ind w:left="1211" w:right="1318" w:hanging="812"/>
        <w:jc w:val="both"/>
      </w:pPr>
      <w:r>
        <w:rPr/>
        <w:t>Kale,</w:t>
      </w:r>
      <w:r>
        <w:rPr>
          <w:spacing w:val="-4"/>
        </w:rPr>
        <w:t> </w:t>
      </w:r>
      <w:r>
        <w:rPr/>
        <w:t>S.,</w:t>
      </w:r>
      <w:r>
        <w:rPr>
          <w:spacing w:val="-4"/>
        </w:rPr>
        <w:t> </w:t>
      </w:r>
      <w:r>
        <w:rPr/>
        <w:t>(2002),</w:t>
      </w:r>
      <w:r>
        <w:rPr>
          <w:spacing w:val="-4"/>
        </w:rPr>
        <w:t> </w:t>
      </w:r>
      <w:r>
        <w:rPr/>
        <w:t>Competitive</w:t>
      </w:r>
      <w:r>
        <w:rPr>
          <w:spacing w:val="-5"/>
        </w:rPr>
        <w:t> </w:t>
      </w:r>
      <w:r>
        <w:rPr/>
        <w:t>advantage</w:t>
      </w:r>
      <w:r>
        <w:rPr>
          <w:spacing w:val="-3"/>
        </w:rPr>
        <w:t> </w:t>
      </w:r>
      <w:r>
        <w:rPr/>
        <w:t>in</w:t>
      </w:r>
      <w:r>
        <w:rPr>
          <w:spacing w:val="-4"/>
        </w:rPr>
        <w:t> </w:t>
      </w:r>
      <w:r>
        <w:rPr/>
        <w:t>the</w:t>
      </w:r>
      <w:r>
        <w:rPr>
          <w:spacing w:val="-3"/>
        </w:rPr>
        <w:t> </w:t>
      </w:r>
      <w:r>
        <w:rPr/>
        <w:t>construction</w:t>
      </w:r>
      <w:r>
        <w:rPr>
          <w:spacing w:val="-4"/>
        </w:rPr>
        <w:t> </w:t>
      </w:r>
      <w:r>
        <w:rPr/>
        <w:t>industry:</w:t>
      </w:r>
      <w:r>
        <w:rPr>
          <w:spacing w:val="-2"/>
        </w:rPr>
        <w:t> </w:t>
      </w:r>
      <w:r>
        <w:rPr/>
        <w:t>Firm-specific</w:t>
      </w:r>
      <w:r>
        <w:rPr>
          <w:spacing w:val="-3"/>
        </w:rPr>
        <w:t> </w:t>
      </w:r>
      <w:r>
        <w:rPr/>
        <w:t>resources</w:t>
      </w:r>
      <w:r>
        <w:rPr>
          <w:spacing w:val="-2"/>
        </w:rPr>
        <w:t> </w:t>
      </w:r>
      <w:r>
        <w:rPr/>
        <w:t>and strategy, Ph.D. dissertation, Illinois Institute of Technology, Chicago.</w:t>
      </w:r>
    </w:p>
    <w:p>
      <w:pPr>
        <w:pStyle w:val="BodyText"/>
        <w:spacing w:before="84"/>
      </w:pPr>
    </w:p>
    <w:p>
      <w:pPr>
        <w:pStyle w:val="BodyText"/>
        <w:ind w:left="1211" w:right="1318" w:hanging="812"/>
        <w:jc w:val="both"/>
        <w:rPr>
          <w:i/>
        </w:rPr>
      </w:pPr>
      <w:r>
        <w:rPr/>
        <w:t>Kamal A. M. A The Impact of Total Quality Management on Competitive Advantage Of Pharmaceutical Manufacturing Companies In Jordan .Perspectives of Innovations, Economics &amp; Business, 12(3),59-75.ISSN 1804-0519, Available from </w:t>
      </w:r>
      <w:hyperlink r:id="rId47">
        <w:r>
          <w:rPr>
            <w:color w:val="0000FF"/>
            <w:u w:val="single" w:color="0000FF"/>
          </w:rPr>
          <w:t>www.academicpublishingplatforms.com</w:t>
        </w:r>
      </w:hyperlink>
      <w:r>
        <w:rPr>
          <w:color w:val="0000FF"/>
        </w:rPr>
        <w:t> </w:t>
      </w:r>
      <w:r>
        <w:rPr>
          <w:i/>
        </w:rPr>
        <w:t>International Cross-Industry Journal</w:t>
      </w:r>
    </w:p>
    <w:p>
      <w:pPr>
        <w:pStyle w:val="BodyText"/>
        <w:spacing w:before="84"/>
        <w:rPr>
          <w:i/>
        </w:rPr>
      </w:pPr>
    </w:p>
    <w:p>
      <w:pPr>
        <w:pStyle w:val="BodyText"/>
        <w:spacing w:before="1"/>
        <w:ind w:left="1211" w:right="1315" w:hanging="812"/>
      </w:pPr>
      <w:r>
        <w:rPr/>
        <w:t>Kanji, G. (1990). Total Quality Management: The Second Industrial Revolution. Total Quality</w:t>
      </w:r>
      <w:r>
        <w:rPr>
          <w:spacing w:val="40"/>
        </w:rPr>
        <w:t> </w:t>
      </w:r>
      <w:r>
        <w:rPr/>
        <w:t>Management, vol. 1, Pp. 3-11</w:t>
      </w:r>
    </w:p>
    <w:p>
      <w:pPr>
        <w:spacing w:after="0"/>
        <w:sectPr>
          <w:pgSz w:w="12240" w:h="15840"/>
          <w:pgMar w:header="0" w:footer="1017" w:top="1360" w:bottom="1200" w:left="1040" w:right="120"/>
        </w:sectPr>
      </w:pPr>
    </w:p>
    <w:p>
      <w:pPr>
        <w:pStyle w:val="BodyText"/>
        <w:spacing w:before="72"/>
        <w:ind w:left="1211" w:right="1316" w:hanging="812"/>
        <w:jc w:val="both"/>
      </w:pPr>
      <w:r>
        <w:rPr/>
        <w:t>Karoline B. J., &amp; Anne F. N. (2013). The effects of TQM Critical Success Factors on Organizational Performance. An empirical study on small and medium sized Danish manufacturing companies. A Master Thesis</w:t>
      </w:r>
    </w:p>
    <w:p>
      <w:pPr>
        <w:pStyle w:val="BodyText"/>
        <w:spacing w:before="84"/>
      </w:pPr>
    </w:p>
    <w:p>
      <w:pPr>
        <w:pStyle w:val="BodyText"/>
        <w:ind w:left="1211" w:right="1317" w:hanging="812"/>
        <w:jc w:val="both"/>
      </w:pPr>
      <w:r>
        <w:rPr/>
        <w:t>Karuppusami, G., &amp; Gandhinathan, R. (2006). Pareto analysis of critical success factors of total quality management: A literature review and analysis. The TQM Magazine, 18(4), 372- </w:t>
      </w:r>
      <w:r>
        <w:rPr>
          <w:spacing w:val="-4"/>
        </w:rPr>
        <w:t>385.</w:t>
      </w:r>
    </w:p>
    <w:p>
      <w:pPr>
        <w:pStyle w:val="BodyText"/>
        <w:spacing w:before="84"/>
      </w:pPr>
    </w:p>
    <w:p>
      <w:pPr>
        <w:pStyle w:val="BodyText"/>
        <w:ind w:left="1211" w:right="1320" w:hanging="812"/>
        <w:jc w:val="both"/>
      </w:pPr>
      <w:r>
        <w:rPr/>
        <w:t>Kast, F., &amp; Rosenzweig, J. (1972) “General Systems Theory: Applications for Organization and Management”, Academy of management Journal, pp.447 -464</w:t>
      </w:r>
    </w:p>
    <w:p>
      <w:pPr>
        <w:pStyle w:val="BodyText"/>
        <w:spacing w:before="84"/>
      </w:pPr>
    </w:p>
    <w:p>
      <w:pPr>
        <w:pStyle w:val="BodyText"/>
        <w:ind w:left="1211" w:right="1318" w:hanging="812"/>
        <w:jc w:val="both"/>
      </w:pPr>
      <w:r>
        <w:rPr/>
        <w:t>Kayanula, D. .,&amp; Quartey, P. (2000). The policy environment for promoting small and medium- sized enterprises in Ghana and Malawi.</w:t>
      </w:r>
      <w:r>
        <w:rPr>
          <w:spacing w:val="40"/>
        </w:rPr>
        <w:t> </w:t>
      </w:r>
      <w:r>
        <w:rPr/>
        <w:t>(Online)</w:t>
      </w:r>
      <w:r>
        <w:rPr>
          <w:spacing w:val="40"/>
        </w:rPr>
        <w:t> </w:t>
      </w:r>
      <w:r>
        <w:rPr/>
        <w:t>Available from: http//</w:t>
      </w:r>
      <w:hyperlink r:id="rId48">
        <w:r>
          <w:rPr/>
          <w:t>www.mam.ac.uk/idpm/.Accessed</w:t>
        </w:r>
      </w:hyperlink>
      <w:r>
        <w:rPr/>
        <w:t> on 24/5/ 2014</w:t>
      </w:r>
    </w:p>
    <w:p>
      <w:pPr>
        <w:pStyle w:val="BodyText"/>
        <w:spacing w:before="84"/>
      </w:pPr>
    </w:p>
    <w:p>
      <w:pPr>
        <w:pStyle w:val="BodyText"/>
        <w:ind w:left="1211" w:right="1318" w:hanging="812"/>
        <w:jc w:val="both"/>
      </w:pPr>
      <w:r>
        <w:rPr/>
        <w:t>Kaynak, H. (2000). The Relationship between Total Quality Management Practices and Their Effect on Firm Performance, Journal of Operation Management, 21(3), 405-435</w:t>
      </w:r>
    </w:p>
    <w:p>
      <w:pPr>
        <w:pStyle w:val="BodyText"/>
        <w:spacing w:before="84"/>
      </w:pPr>
    </w:p>
    <w:p>
      <w:pPr>
        <w:spacing w:before="0"/>
        <w:ind w:left="1211" w:right="1320" w:hanging="812"/>
        <w:jc w:val="both"/>
        <w:rPr>
          <w:i/>
          <w:sz w:val="24"/>
        </w:rPr>
      </w:pPr>
      <w:r>
        <w:rPr>
          <w:sz w:val="24"/>
        </w:rPr>
        <w:t>Kaynak, H., (2003), The Relationship between Total Quality Management Practices and their Effect on firm Performance’</w:t>
      </w:r>
      <w:r>
        <w:rPr>
          <w:i/>
          <w:sz w:val="24"/>
        </w:rPr>
        <w:t>, Journal of Operation Management, 21(4),405-435</w:t>
      </w:r>
    </w:p>
    <w:p>
      <w:pPr>
        <w:pStyle w:val="BodyText"/>
        <w:spacing w:before="84"/>
        <w:rPr>
          <w:i/>
        </w:rPr>
      </w:pPr>
    </w:p>
    <w:p>
      <w:pPr>
        <w:pStyle w:val="BodyText"/>
        <w:ind w:left="1211" w:right="1321" w:hanging="812"/>
        <w:jc w:val="both"/>
      </w:pPr>
      <w:r>
        <w:rPr/>
        <w:t>Kelce, A. &amp; Lee, C. (2004). TQM in Small manufacture’s. Available at: (</w:t>
      </w:r>
      <w:hyperlink r:id="rId49">
        <w:r>
          <w:rPr>
            <w:color w:val="0000FF"/>
            <w:u w:val="single" w:color="0000FF"/>
          </w:rPr>
          <w:t>www.emeraldsight.com</w:t>
        </w:r>
      </w:hyperlink>
      <w:r>
        <w:rPr>
          <w:color w:val="0000FF"/>
          <w:u w:val="single" w:color="0000FF"/>
        </w:rPr>
        <w:t>). </w:t>
      </w:r>
      <w:r>
        <w:rPr>
          <w:color w:val="0000FF"/>
          <w:spacing w:val="40"/>
        </w:rPr>
        <w:t> </w:t>
      </w:r>
      <w:r>
        <w:rPr/>
        <w:t>Accessed 3/8/2014</w:t>
      </w:r>
    </w:p>
    <w:p>
      <w:pPr>
        <w:pStyle w:val="BodyText"/>
        <w:spacing w:before="84"/>
      </w:pPr>
    </w:p>
    <w:p>
      <w:pPr>
        <w:pStyle w:val="BodyText"/>
        <w:ind w:left="1211" w:right="1321" w:hanging="812"/>
        <w:jc w:val="both"/>
      </w:pPr>
      <w:r>
        <w:rPr/>
        <w:t>Kelly, D. (2006), Human Resource Development: For Enterprise and Human Development, </w:t>
      </w:r>
      <w:hyperlink r:id="rId50">
        <w:r>
          <w:rPr>
            <w:spacing w:val="-2"/>
          </w:rPr>
          <w:t>http://ro.uow.edu.au/artspapers/114.</w:t>
        </w:r>
      </w:hyperlink>
    </w:p>
    <w:p>
      <w:pPr>
        <w:pStyle w:val="BodyText"/>
        <w:spacing w:before="84"/>
      </w:pPr>
    </w:p>
    <w:p>
      <w:pPr>
        <w:pStyle w:val="BodyText"/>
        <w:ind w:left="1211" w:right="1321" w:hanging="812"/>
        <w:jc w:val="both"/>
      </w:pPr>
      <w:r>
        <w:rPr/>
        <w:t>Kerzner, H, (2003). Project Management: A system approach to planning, scheduling &amp; control, 8th edition.</w:t>
      </w:r>
    </w:p>
    <w:p>
      <w:pPr>
        <w:pStyle w:val="BodyText"/>
        <w:spacing w:before="84"/>
      </w:pPr>
    </w:p>
    <w:p>
      <w:pPr>
        <w:pStyle w:val="BodyText"/>
        <w:ind w:left="1211" w:right="1318" w:hanging="812"/>
        <w:jc w:val="both"/>
      </w:pPr>
      <w:r>
        <w:rPr/>
        <w:t>Khalid A. F. A. (2003). Assessment of total quality management in the Saudi construction industry organizations. A Doctoral Thesis in Loughborough University.</w:t>
      </w:r>
    </w:p>
    <w:p>
      <w:pPr>
        <w:pStyle w:val="BodyText"/>
        <w:spacing w:before="84"/>
      </w:pPr>
    </w:p>
    <w:p>
      <w:pPr>
        <w:pStyle w:val="BodyText"/>
        <w:ind w:left="1211" w:right="1317" w:hanging="812"/>
        <w:jc w:val="both"/>
      </w:pPr>
      <w:r>
        <w:rPr/>
        <w:t>Khan, R.E. (1997) Developing</w:t>
      </w:r>
      <w:r>
        <w:rPr>
          <w:spacing w:val="-1"/>
        </w:rPr>
        <w:t> </w:t>
      </w:r>
      <w:r>
        <w:rPr/>
        <w:t>the theoretical and conceptual framework. J199 lectureKhan, J.H. (2003) Impact of total quality management on productivity. </w:t>
      </w:r>
      <w:r>
        <w:rPr>
          <w:i/>
        </w:rPr>
        <w:t>The TQMMagazine</w:t>
      </w:r>
      <w:r>
        <w:rPr/>
        <w:t>, 15(6), </w:t>
      </w:r>
      <w:r>
        <w:rPr>
          <w:spacing w:val="-2"/>
        </w:rPr>
        <w:t>374-380.</w:t>
      </w:r>
    </w:p>
    <w:p>
      <w:pPr>
        <w:pStyle w:val="BodyText"/>
        <w:spacing w:before="84"/>
      </w:pPr>
    </w:p>
    <w:p>
      <w:pPr>
        <w:pStyle w:val="BodyText"/>
        <w:spacing w:before="1"/>
        <w:ind w:left="1211" w:right="1317" w:hanging="812"/>
        <w:jc w:val="both"/>
      </w:pPr>
      <w:r>
        <w:rPr/>
        <w:t>Kotelnikov, V.</w:t>
      </w:r>
      <w:r>
        <w:rPr>
          <w:spacing w:val="40"/>
        </w:rPr>
        <w:t> </w:t>
      </w:r>
      <w:r>
        <w:rPr/>
        <w:t>(2009). Total quality management- an integrated approach to TQM and continuous improvement. Available at: (</w:t>
      </w:r>
      <w:hyperlink r:id="rId51">
        <w:r>
          <w:rPr>
            <w:color w:val="0000FF"/>
            <w:u w:val="single" w:color="0000FF"/>
          </w:rPr>
          <w:t>http://1000ventures.com/businessguide/im-tqm-</w:t>
        </w:r>
      </w:hyperlink>
      <w:r>
        <w:rPr>
          <w:color w:val="0000FF"/>
        </w:rPr>
        <w:t> </w:t>
      </w:r>
      <w:hyperlink r:id="rId51">
        <w:r>
          <w:rPr>
            <w:color w:val="0000FF"/>
            <w:spacing w:val="-4"/>
            <w:u w:val="single" w:color="0000FF"/>
          </w:rPr>
          <w:t>main</w:t>
        </w:r>
      </w:hyperlink>
      <w:r>
        <w:rPr>
          <w:spacing w:val="-4"/>
        </w:rPr>
        <w:t>)</w:t>
      </w:r>
    </w:p>
    <w:p>
      <w:pPr>
        <w:pStyle w:val="BodyText"/>
        <w:spacing w:before="83"/>
      </w:pPr>
    </w:p>
    <w:p>
      <w:pPr>
        <w:pStyle w:val="BodyText"/>
        <w:spacing w:before="1"/>
        <w:ind w:left="400"/>
      </w:pPr>
      <w:r>
        <w:rPr/>
        <w:t>Kotler,</w:t>
      </w:r>
      <w:r>
        <w:rPr>
          <w:spacing w:val="-2"/>
        </w:rPr>
        <w:t> </w:t>
      </w:r>
      <w:r>
        <w:rPr/>
        <w:t>P.</w:t>
      </w:r>
      <w:r>
        <w:rPr>
          <w:spacing w:val="-1"/>
        </w:rPr>
        <w:t> </w:t>
      </w:r>
      <w:r>
        <w:rPr/>
        <w:t>(2004).</w:t>
      </w:r>
      <w:r>
        <w:rPr>
          <w:spacing w:val="-1"/>
        </w:rPr>
        <w:t> </w:t>
      </w:r>
      <w:r>
        <w:rPr/>
        <w:t>Marketing</w:t>
      </w:r>
      <w:r>
        <w:rPr>
          <w:spacing w:val="-4"/>
        </w:rPr>
        <w:t> </w:t>
      </w:r>
      <w:r>
        <w:rPr/>
        <w:t>management.</w:t>
      </w:r>
      <w:r>
        <w:rPr>
          <w:spacing w:val="-1"/>
        </w:rPr>
        <w:t> </w:t>
      </w:r>
      <w:r>
        <w:rPr/>
        <w:t>NewYork:</w:t>
      </w:r>
      <w:r>
        <w:rPr>
          <w:spacing w:val="-1"/>
        </w:rPr>
        <w:t> </w:t>
      </w:r>
      <w:r>
        <w:rPr>
          <w:spacing w:val="-2"/>
        </w:rPr>
        <w:t>Thompson</w:t>
      </w:r>
    </w:p>
    <w:p>
      <w:pPr>
        <w:spacing w:after="0"/>
        <w:sectPr>
          <w:pgSz w:w="12240" w:h="15840"/>
          <w:pgMar w:header="0" w:footer="1017" w:top="1360" w:bottom="1200" w:left="1040" w:right="120"/>
        </w:sectPr>
      </w:pPr>
    </w:p>
    <w:p>
      <w:pPr>
        <w:pStyle w:val="BodyText"/>
        <w:spacing w:before="72"/>
        <w:ind w:left="400"/>
      </w:pPr>
      <w:r>
        <w:rPr/>
        <w:t>KPMG</w:t>
      </w:r>
      <w:r>
        <w:rPr>
          <w:spacing w:val="55"/>
        </w:rPr>
        <w:t> </w:t>
      </w:r>
      <w:r>
        <w:rPr/>
        <w:t>(2008).</w:t>
      </w:r>
      <w:r>
        <w:rPr>
          <w:spacing w:val="59"/>
        </w:rPr>
        <w:t> </w:t>
      </w:r>
      <w:r>
        <w:rPr/>
        <w:t>Embracing</w:t>
      </w:r>
      <w:r>
        <w:rPr>
          <w:spacing w:val="-4"/>
        </w:rPr>
        <w:t> </w:t>
      </w:r>
      <w:r>
        <w:rPr/>
        <w:t>change?</w:t>
      </w:r>
      <w:r>
        <w:rPr>
          <w:spacing w:val="62"/>
        </w:rPr>
        <w:t> </w:t>
      </w:r>
      <w:r>
        <w:rPr/>
        <w:t>Global construction</w:t>
      </w:r>
      <w:r>
        <w:rPr>
          <w:spacing w:val="-1"/>
        </w:rPr>
        <w:t> </w:t>
      </w:r>
      <w:r>
        <w:rPr/>
        <w:t>survey</w:t>
      </w:r>
      <w:r>
        <w:rPr>
          <w:spacing w:val="-6"/>
        </w:rPr>
        <w:t> </w:t>
      </w:r>
      <w:r>
        <w:rPr/>
        <w:t>2008:</w:t>
      </w:r>
      <w:r>
        <w:rPr>
          <w:spacing w:val="59"/>
        </w:rPr>
        <w:t> </w:t>
      </w:r>
      <w:r>
        <w:rPr/>
        <w:t>KPMG</w:t>
      </w:r>
      <w:r>
        <w:rPr>
          <w:spacing w:val="1"/>
        </w:rPr>
        <w:t> </w:t>
      </w:r>
      <w:r>
        <w:rPr>
          <w:spacing w:val="-2"/>
        </w:rPr>
        <w:t>International.</w:t>
      </w:r>
    </w:p>
    <w:p>
      <w:pPr>
        <w:pStyle w:val="BodyText"/>
        <w:spacing w:before="83"/>
      </w:pPr>
    </w:p>
    <w:p>
      <w:pPr>
        <w:pStyle w:val="BodyText"/>
        <w:spacing w:before="1"/>
        <w:ind w:left="1211" w:right="1316" w:hanging="812"/>
        <w:jc w:val="both"/>
      </w:pPr>
      <w:r>
        <w:rPr/>
        <w:t>Kume, V. (2010). Menaxhimi strategjik. Tirane. Shtepia botuese Pegi Kuratko et al. (2001). Quality practices for a competitive advantage in smaller firms</w:t>
      </w:r>
      <w:r>
        <w:rPr>
          <w:i/>
        </w:rPr>
        <w:t>.</w:t>
      </w:r>
      <w:r>
        <w:rPr>
          <w:i/>
          <w:spacing w:val="40"/>
        </w:rPr>
        <w:t> </w:t>
      </w:r>
      <w:r>
        <w:rPr>
          <w:i/>
        </w:rPr>
        <w:t>Journal of Small Business Management, </w:t>
      </w:r>
      <w:r>
        <w:rPr/>
        <w:t>39 (4), 293-311</w:t>
      </w:r>
    </w:p>
    <w:p>
      <w:pPr>
        <w:pStyle w:val="BodyText"/>
        <w:spacing w:before="84"/>
      </w:pPr>
    </w:p>
    <w:p>
      <w:pPr>
        <w:pStyle w:val="BodyText"/>
        <w:ind w:left="1211" w:right="1319" w:hanging="812"/>
        <w:jc w:val="both"/>
      </w:pPr>
      <w:r>
        <w:rPr/>
        <w:t>Lagos state Physical Planning Authority. (2008). Statistics of Collapse Building in Lagos State from 2005 to mid-2008. Lagos State Physical Planning Authority, Lagos, Nigeria.</w:t>
      </w:r>
    </w:p>
    <w:p>
      <w:pPr>
        <w:pStyle w:val="BodyText"/>
        <w:spacing w:before="84"/>
      </w:pPr>
    </w:p>
    <w:p>
      <w:pPr>
        <w:spacing w:before="0"/>
        <w:ind w:left="1211" w:right="1317" w:hanging="812"/>
        <w:jc w:val="both"/>
        <w:rPr>
          <w:i/>
          <w:sz w:val="24"/>
        </w:rPr>
      </w:pPr>
      <w:r>
        <w:rPr>
          <w:sz w:val="24"/>
        </w:rPr>
        <w:t>Lakhal, L, Pasin, F. &amp; Liman M. (2006). Quality Management Practices and Their Impact on Performance</w:t>
      </w:r>
      <w:r>
        <w:rPr>
          <w:i/>
          <w:sz w:val="24"/>
        </w:rPr>
        <w:t>.</w:t>
      </w:r>
      <w:r>
        <w:rPr>
          <w:i/>
          <w:spacing w:val="-2"/>
          <w:sz w:val="24"/>
        </w:rPr>
        <w:t> </w:t>
      </w:r>
      <w:r>
        <w:rPr>
          <w:i/>
          <w:sz w:val="24"/>
        </w:rPr>
        <w:t>International</w:t>
      </w:r>
      <w:r>
        <w:rPr>
          <w:i/>
          <w:spacing w:val="-2"/>
          <w:sz w:val="24"/>
        </w:rPr>
        <w:t> </w:t>
      </w:r>
      <w:r>
        <w:rPr>
          <w:i/>
          <w:sz w:val="24"/>
        </w:rPr>
        <w:t>Journal</w:t>
      </w:r>
      <w:r>
        <w:rPr>
          <w:i/>
          <w:spacing w:val="-2"/>
          <w:sz w:val="24"/>
        </w:rPr>
        <w:t> </w:t>
      </w:r>
      <w:r>
        <w:rPr>
          <w:i/>
          <w:sz w:val="24"/>
        </w:rPr>
        <w:t>of</w:t>
      </w:r>
      <w:r>
        <w:rPr>
          <w:i/>
          <w:spacing w:val="-2"/>
          <w:sz w:val="24"/>
        </w:rPr>
        <w:t> </w:t>
      </w:r>
      <w:r>
        <w:rPr>
          <w:i/>
          <w:sz w:val="24"/>
        </w:rPr>
        <w:t>Quality</w:t>
      </w:r>
      <w:r>
        <w:rPr>
          <w:i/>
          <w:spacing w:val="-3"/>
          <w:sz w:val="24"/>
        </w:rPr>
        <w:t> </w:t>
      </w:r>
      <w:r>
        <w:rPr>
          <w:i/>
          <w:sz w:val="24"/>
        </w:rPr>
        <w:t>and</w:t>
      </w:r>
      <w:r>
        <w:rPr>
          <w:i/>
          <w:spacing w:val="-4"/>
          <w:sz w:val="24"/>
        </w:rPr>
        <w:t> </w:t>
      </w:r>
      <w:r>
        <w:rPr>
          <w:i/>
          <w:sz w:val="24"/>
        </w:rPr>
        <w:t>Reliability</w:t>
      </w:r>
      <w:r>
        <w:rPr>
          <w:i/>
          <w:spacing w:val="-3"/>
          <w:sz w:val="24"/>
        </w:rPr>
        <w:t> </w:t>
      </w:r>
      <w:r>
        <w:rPr>
          <w:i/>
          <w:sz w:val="24"/>
        </w:rPr>
        <w:t>management,</w:t>
      </w:r>
      <w:r>
        <w:rPr>
          <w:i/>
          <w:spacing w:val="-2"/>
          <w:sz w:val="24"/>
        </w:rPr>
        <w:t> </w:t>
      </w:r>
      <w:r>
        <w:rPr>
          <w:i/>
          <w:sz w:val="24"/>
        </w:rPr>
        <w:t>23,</w:t>
      </w:r>
      <w:r>
        <w:rPr>
          <w:i/>
          <w:spacing w:val="-2"/>
          <w:sz w:val="24"/>
        </w:rPr>
        <w:t> </w:t>
      </w:r>
      <w:r>
        <w:rPr>
          <w:i/>
          <w:sz w:val="24"/>
        </w:rPr>
        <w:t>(6),</w:t>
      </w:r>
      <w:r>
        <w:rPr>
          <w:i/>
          <w:spacing w:val="-2"/>
          <w:sz w:val="24"/>
        </w:rPr>
        <w:t> </w:t>
      </w:r>
      <w:r>
        <w:rPr>
          <w:i/>
          <w:sz w:val="24"/>
        </w:rPr>
        <w:t>625- </w:t>
      </w:r>
      <w:r>
        <w:rPr>
          <w:i/>
          <w:spacing w:val="-4"/>
          <w:sz w:val="24"/>
        </w:rPr>
        <w:t>646.</w:t>
      </w:r>
    </w:p>
    <w:p>
      <w:pPr>
        <w:pStyle w:val="BodyText"/>
        <w:spacing w:before="84"/>
        <w:rPr>
          <w:i/>
        </w:rPr>
      </w:pPr>
    </w:p>
    <w:p>
      <w:pPr>
        <w:pStyle w:val="BodyText"/>
        <w:ind w:left="1211" w:right="1320" w:hanging="812"/>
        <w:jc w:val="both"/>
      </w:pPr>
      <w:r>
        <w:rPr/>
        <w:t>LaPiana Associates, Inc.</w:t>
      </w:r>
      <w:r>
        <w:rPr>
          <w:spacing w:val="40"/>
        </w:rPr>
        <w:t> </w:t>
      </w:r>
      <w:r>
        <w:rPr/>
        <w:t>(2004). Strategy formation:</w:t>
      </w:r>
      <w:r>
        <w:rPr>
          <w:spacing w:val="40"/>
        </w:rPr>
        <w:t> </w:t>
      </w:r>
      <w:r>
        <w:rPr/>
        <w:t>beyond strategic planning. </w:t>
      </w:r>
      <w:hyperlink r:id="rId52">
        <w:r>
          <w:rPr>
            <w:spacing w:val="-2"/>
          </w:rPr>
          <w:t>http://www.lapiana.org/downloads/strategy_formation.pdf</w:t>
        </w:r>
      </w:hyperlink>
    </w:p>
    <w:p>
      <w:pPr>
        <w:pStyle w:val="BodyText"/>
        <w:spacing w:line="630" w:lineRule="atLeast" w:before="6"/>
        <w:ind w:left="400" w:right="1315"/>
      </w:pPr>
      <w:r>
        <w:rPr/>
        <w:t>Lavene, A .E (2016).Total Quality Management practices and Competitive Advantage in the Aviation</w:t>
      </w:r>
      <w:r>
        <w:rPr>
          <w:spacing w:val="25"/>
        </w:rPr>
        <w:t> </w:t>
      </w:r>
      <w:r>
        <w:rPr/>
        <w:t>industry</w:t>
      </w:r>
      <w:r>
        <w:rPr>
          <w:spacing w:val="21"/>
        </w:rPr>
        <w:t> </w:t>
      </w:r>
      <w:r>
        <w:rPr/>
        <w:t>in</w:t>
      </w:r>
      <w:r>
        <w:rPr>
          <w:spacing w:val="25"/>
        </w:rPr>
        <w:t> </w:t>
      </w:r>
      <w:r>
        <w:rPr/>
        <w:t>Kenya.</w:t>
      </w:r>
      <w:r>
        <w:rPr>
          <w:spacing w:val="28"/>
        </w:rPr>
        <w:t> </w:t>
      </w:r>
      <w:r>
        <w:rPr/>
        <w:t>Dissertation</w:t>
      </w:r>
      <w:r>
        <w:rPr>
          <w:spacing w:val="25"/>
        </w:rPr>
        <w:t> </w:t>
      </w:r>
      <w:r>
        <w:rPr/>
        <w:t>Research</w:t>
      </w:r>
      <w:r>
        <w:rPr>
          <w:spacing w:val="25"/>
        </w:rPr>
        <w:t> </w:t>
      </w:r>
      <w:r>
        <w:rPr/>
        <w:t>work</w:t>
      </w:r>
      <w:r>
        <w:rPr>
          <w:spacing w:val="25"/>
        </w:rPr>
        <w:t> </w:t>
      </w:r>
      <w:r>
        <w:rPr/>
        <w:t>in</w:t>
      </w:r>
      <w:r>
        <w:rPr>
          <w:spacing w:val="25"/>
        </w:rPr>
        <w:t> </w:t>
      </w:r>
      <w:r>
        <w:rPr/>
        <w:t>Business</w:t>
      </w:r>
      <w:r>
        <w:rPr>
          <w:spacing w:val="26"/>
        </w:rPr>
        <w:t> </w:t>
      </w:r>
      <w:r>
        <w:rPr/>
        <w:t>administration,</w:t>
      </w:r>
      <w:r>
        <w:rPr>
          <w:spacing w:val="25"/>
        </w:rPr>
        <w:t> </w:t>
      </w:r>
      <w:r>
        <w:rPr/>
        <w:t>School</w:t>
      </w:r>
      <w:r>
        <w:rPr>
          <w:spacing w:val="26"/>
        </w:rPr>
        <w:t> </w:t>
      </w:r>
      <w:r>
        <w:rPr/>
        <w:t>of</w:t>
      </w:r>
    </w:p>
    <w:p>
      <w:pPr>
        <w:pStyle w:val="BodyText"/>
        <w:spacing w:before="6"/>
        <w:ind w:left="1211"/>
      </w:pPr>
      <w:r>
        <w:rPr/>
        <w:t>business,</w:t>
      </w:r>
      <w:r>
        <w:rPr>
          <w:spacing w:val="-1"/>
        </w:rPr>
        <w:t> </w:t>
      </w:r>
      <w:r>
        <w:rPr/>
        <w:t>university</w:t>
      </w:r>
      <w:r>
        <w:rPr>
          <w:spacing w:val="-5"/>
        </w:rPr>
        <w:t> </w:t>
      </w:r>
      <w:r>
        <w:rPr/>
        <w:t>of</w:t>
      </w:r>
      <w:r>
        <w:rPr>
          <w:spacing w:val="-1"/>
        </w:rPr>
        <w:t> </w:t>
      </w:r>
      <w:r>
        <w:rPr>
          <w:spacing w:val="-2"/>
        </w:rPr>
        <w:t>Nairobi</w:t>
      </w:r>
    </w:p>
    <w:p>
      <w:pPr>
        <w:pStyle w:val="BodyText"/>
        <w:spacing w:before="84"/>
      </w:pPr>
    </w:p>
    <w:p>
      <w:pPr>
        <w:pStyle w:val="BodyText"/>
        <w:ind w:left="1211" w:right="1320" w:hanging="812"/>
        <w:jc w:val="both"/>
      </w:pPr>
      <w:r>
        <w:rPr/>
        <w:t>Lawrence, W. H. T. (2000). Quality Management Theory and Practice: Some Observations of Practices in Australian Academic Libraries. Library Management, 21(7), 349-356.</w:t>
      </w:r>
    </w:p>
    <w:p>
      <w:pPr>
        <w:pStyle w:val="BodyText"/>
        <w:spacing w:before="84"/>
      </w:pPr>
    </w:p>
    <w:p>
      <w:pPr>
        <w:spacing w:before="0"/>
        <w:ind w:left="1211" w:right="1318" w:hanging="812"/>
        <w:jc w:val="both"/>
        <w:rPr>
          <w:i/>
          <w:sz w:val="24"/>
        </w:rPr>
      </w:pPr>
      <w:r>
        <w:rPr>
          <w:sz w:val="24"/>
        </w:rPr>
        <w:t>Lee, C.Y. (2004). Perception and developement of total quality management in small manufacturers: An exploratory study in China. </w:t>
      </w:r>
      <w:r>
        <w:rPr>
          <w:i/>
          <w:sz w:val="24"/>
        </w:rPr>
        <w:t>Journal of small business management, 42(1), 102-115.</w:t>
      </w:r>
    </w:p>
    <w:p>
      <w:pPr>
        <w:pStyle w:val="BodyText"/>
        <w:spacing w:before="84"/>
        <w:rPr>
          <w:i/>
        </w:rPr>
      </w:pPr>
    </w:p>
    <w:p>
      <w:pPr>
        <w:pStyle w:val="BodyText"/>
        <w:ind w:left="1211" w:right="1316" w:hanging="812"/>
        <w:jc w:val="both"/>
      </w:pPr>
      <w:r>
        <w:rPr/>
        <w:t>Lee,</w:t>
      </w:r>
      <w:r>
        <w:rPr>
          <w:spacing w:val="-3"/>
        </w:rPr>
        <w:t> </w:t>
      </w:r>
      <w:r>
        <w:rPr/>
        <w:t>J.</w:t>
      </w:r>
      <w:r>
        <w:rPr>
          <w:spacing w:val="-3"/>
        </w:rPr>
        <w:t> </w:t>
      </w:r>
      <w:r>
        <w:rPr/>
        <w:t>W.</w:t>
      </w:r>
      <w:r>
        <w:rPr>
          <w:spacing w:val="-3"/>
        </w:rPr>
        <w:t> </w:t>
      </w:r>
      <w:r>
        <w:rPr/>
        <w:t>(1991).</w:t>
      </w:r>
      <w:r>
        <w:rPr>
          <w:spacing w:val="-3"/>
        </w:rPr>
        <w:t> </w:t>
      </w:r>
      <w:r>
        <w:rPr/>
        <w:t>Managing</w:t>
      </w:r>
      <w:r>
        <w:rPr>
          <w:spacing w:val="-6"/>
        </w:rPr>
        <w:t> </w:t>
      </w:r>
      <w:r>
        <w:rPr/>
        <w:t>technological</w:t>
      </w:r>
      <w:r>
        <w:rPr>
          <w:spacing w:val="-1"/>
        </w:rPr>
        <w:t> </w:t>
      </w:r>
      <w:r>
        <w:rPr/>
        <w:t>change</w:t>
      </w:r>
      <w:r>
        <w:rPr>
          <w:spacing w:val="-4"/>
        </w:rPr>
        <w:t> </w:t>
      </w:r>
      <w:r>
        <w:rPr/>
        <w:t>through</w:t>
      </w:r>
      <w:r>
        <w:rPr>
          <w:spacing w:val="-3"/>
        </w:rPr>
        <w:t> </w:t>
      </w:r>
      <w:r>
        <w:rPr/>
        <w:t>strategic</w:t>
      </w:r>
      <w:r>
        <w:rPr>
          <w:spacing w:val="-4"/>
        </w:rPr>
        <w:t> </w:t>
      </w:r>
      <w:r>
        <w:rPr/>
        <w:t>planning.</w:t>
      </w:r>
      <w:r>
        <w:rPr>
          <w:spacing w:val="40"/>
        </w:rPr>
        <w:t> </w:t>
      </w:r>
      <w:r>
        <w:rPr/>
        <w:t>IEEE</w:t>
      </w:r>
      <w:r>
        <w:rPr>
          <w:spacing w:val="-1"/>
        </w:rPr>
        <w:t> </w:t>
      </w:r>
      <w:r>
        <w:rPr/>
        <w:t>Technology Management the New International Language, 749-754.</w:t>
      </w:r>
    </w:p>
    <w:p>
      <w:pPr>
        <w:pStyle w:val="BodyText"/>
        <w:spacing w:before="84"/>
      </w:pPr>
    </w:p>
    <w:p>
      <w:pPr>
        <w:spacing w:before="0"/>
        <w:ind w:left="1211" w:right="1313" w:hanging="812"/>
        <w:jc w:val="both"/>
        <w:rPr>
          <w:i/>
          <w:sz w:val="24"/>
        </w:rPr>
      </w:pPr>
      <w:r>
        <w:rPr>
          <w:sz w:val="24"/>
        </w:rPr>
        <w:t>Lee, S. M., Rho, B. H., &amp; Lee, S. G. (2003). Impact of Malcolm Baldrige National Quality Award Criteria on Organizational Quality Performance. </w:t>
      </w:r>
      <w:r>
        <w:rPr>
          <w:i/>
          <w:sz w:val="24"/>
        </w:rPr>
        <w:t>International Journal of Production Research, 41(9), 2003- 2010</w:t>
      </w:r>
    </w:p>
    <w:p>
      <w:pPr>
        <w:pStyle w:val="BodyText"/>
        <w:spacing w:before="84"/>
        <w:rPr>
          <w:i/>
        </w:rPr>
      </w:pPr>
    </w:p>
    <w:p>
      <w:pPr>
        <w:pStyle w:val="BodyText"/>
        <w:ind w:left="1211" w:right="1315" w:hanging="812"/>
        <w:jc w:val="both"/>
      </w:pPr>
      <w:r>
        <w:rPr/>
        <w:t>Leedy, P.D., &amp; Ormrod, J.E. (2010). Practical Research: </w:t>
      </w:r>
      <w:r>
        <w:rPr>
          <w:i/>
        </w:rPr>
        <w:t>Planning and Design</w:t>
      </w:r>
      <w:r>
        <w:rPr/>
        <w:t>. 9</w:t>
      </w:r>
      <w:r>
        <w:rPr>
          <w:vertAlign w:val="superscript"/>
        </w:rPr>
        <w:t>th</w:t>
      </w:r>
      <w:r>
        <w:rPr>
          <w:vertAlign w:val="baseline"/>
        </w:rPr>
        <w:t> Edition, NewJersey: Merrill Prentice Hall.</w:t>
      </w:r>
    </w:p>
    <w:p>
      <w:pPr>
        <w:pStyle w:val="BodyText"/>
        <w:spacing w:before="84"/>
      </w:pPr>
    </w:p>
    <w:p>
      <w:pPr>
        <w:pStyle w:val="BodyText"/>
        <w:ind w:left="1211" w:right="1317" w:hanging="812"/>
        <w:jc w:val="both"/>
      </w:pPr>
      <w:r>
        <w:rPr/>
        <w:t>Leonora C.H.C (2002). Thesis on competitive advantages and SMEs: the role of distinctive competences as determinants of success, are there differences across gender, sector and size. Universitat Autonoma De Barcelona.</w:t>
      </w:r>
    </w:p>
    <w:p>
      <w:pPr>
        <w:spacing w:after="0"/>
        <w:jc w:val="both"/>
        <w:sectPr>
          <w:pgSz w:w="12240" w:h="15840"/>
          <w:pgMar w:header="0" w:footer="1017" w:top="1360" w:bottom="1200" w:left="1040" w:right="120"/>
        </w:sectPr>
      </w:pPr>
    </w:p>
    <w:p>
      <w:pPr>
        <w:pStyle w:val="BodyText"/>
        <w:spacing w:before="72"/>
        <w:ind w:left="1211" w:right="1315" w:hanging="812"/>
        <w:jc w:val="both"/>
      </w:pPr>
      <w:r>
        <w:rPr/>
        <w:t>Loiy, B.I. (2012).An evaluation of the implementation of Total Quality Management (TQM) within the construction sector in the United Kingdom and Jordan A PhD thesis, The University of Huddersfield</w:t>
      </w:r>
    </w:p>
    <w:p>
      <w:pPr>
        <w:pStyle w:val="BodyText"/>
        <w:spacing w:before="84"/>
      </w:pPr>
    </w:p>
    <w:p>
      <w:pPr>
        <w:pStyle w:val="BodyText"/>
        <w:ind w:left="1211" w:right="1318" w:hanging="812"/>
        <w:jc w:val="both"/>
      </w:pPr>
      <w:r>
        <w:rPr/>
        <w:t>Love, P.D.E., Edwards, D.J., &amp; Sohal, A. (2004) "Total quality management in Australian contracting organizations: pre-conditions for successful implementation". Engineering, Construction and Architectural Management, 14 (3), 189-98.</w:t>
      </w:r>
    </w:p>
    <w:p>
      <w:pPr>
        <w:pStyle w:val="BodyText"/>
        <w:spacing w:before="84"/>
      </w:pPr>
    </w:p>
    <w:p>
      <w:pPr>
        <w:pStyle w:val="BodyText"/>
        <w:ind w:left="400"/>
      </w:pPr>
      <w:r>
        <w:rPr/>
        <w:t>Low,</w:t>
      </w:r>
      <w:r>
        <w:rPr>
          <w:spacing w:val="15"/>
        </w:rPr>
        <w:t> </w:t>
      </w:r>
      <w:r>
        <w:rPr/>
        <w:t>S.P.,</w:t>
      </w:r>
      <w:r>
        <w:rPr>
          <w:spacing w:val="17"/>
        </w:rPr>
        <w:t> </w:t>
      </w:r>
      <w:r>
        <w:rPr/>
        <w:t>&amp;</w:t>
      </w:r>
      <w:r>
        <w:rPr>
          <w:spacing w:val="16"/>
        </w:rPr>
        <w:t> </w:t>
      </w:r>
      <w:r>
        <w:rPr/>
        <w:t>Teo,</w:t>
      </w:r>
      <w:r>
        <w:rPr>
          <w:spacing w:val="18"/>
        </w:rPr>
        <w:t> </w:t>
      </w:r>
      <w:r>
        <w:rPr/>
        <w:t>J.A.</w:t>
      </w:r>
      <w:r>
        <w:rPr>
          <w:spacing w:val="17"/>
        </w:rPr>
        <w:t> </w:t>
      </w:r>
      <w:r>
        <w:rPr/>
        <w:t>(2004).</w:t>
      </w:r>
      <w:r>
        <w:rPr>
          <w:spacing w:val="19"/>
        </w:rPr>
        <w:t> </w:t>
      </w:r>
      <w:r>
        <w:rPr/>
        <w:t>Implementing</w:t>
      </w:r>
      <w:r>
        <w:rPr>
          <w:spacing w:val="15"/>
        </w:rPr>
        <w:t> </w:t>
      </w:r>
      <w:r>
        <w:rPr/>
        <w:t>Total</w:t>
      </w:r>
      <w:r>
        <w:rPr>
          <w:spacing w:val="17"/>
        </w:rPr>
        <w:t> </w:t>
      </w:r>
      <w:r>
        <w:rPr/>
        <w:t>quality</w:t>
      </w:r>
      <w:r>
        <w:rPr>
          <w:spacing w:val="11"/>
        </w:rPr>
        <w:t> </w:t>
      </w:r>
      <w:r>
        <w:rPr/>
        <w:t>Management</w:t>
      </w:r>
      <w:r>
        <w:rPr>
          <w:spacing w:val="21"/>
        </w:rPr>
        <w:t> </w:t>
      </w:r>
      <w:r>
        <w:rPr/>
        <w:t>in</w:t>
      </w:r>
      <w:r>
        <w:rPr>
          <w:spacing w:val="17"/>
        </w:rPr>
        <w:t> </w:t>
      </w:r>
      <w:r>
        <w:rPr/>
        <w:t>construction</w:t>
      </w:r>
      <w:r>
        <w:rPr>
          <w:spacing w:val="18"/>
        </w:rPr>
        <w:t> </w:t>
      </w:r>
      <w:r>
        <w:rPr>
          <w:spacing w:val="-2"/>
        </w:rPr>
        <w:t>Firms.</w:t>
      </w:r>
    </w:p>
    <w:p>
      <w:pPr>
        <w:spacing w:before="0"/>
        <w:ind w:left="1211" w:right="0" w:firstLine="0"/>
        <w:jc w:val="left"/>
        <w:rPr>
          <w:sz w:val="24"/>
        </w:rPr>
      </w:pPr>
      <w:r>
        <w:rPr>
          <w:i/>
          <w:sz w:val="24"/>
        </w:rPr>
        <w:t>Journal</w:t>
      </w:r>
      <w:r>
        <w:rPr>
          <w:i/>
          <w:spacing w:val="-2"/>
          <w:sz w:val="24"/>
        </w:rPr>
        <w:t> </w:t>
      </w:r>
      <w:r>
        <w:rPr>
          <w:i/>
          <w:sz w:val="24"/>
        </w:rPr>
        <w:t>of</w:t>
      </w:r>
      <w:r>
        <w:rPr>
          <w:i/>
          <w:spacing w:val="-1"/>
          <w:sz w:val="24"/>
        </w:rPr>
        <w:t> </w:t>
      </w:r>
      <w:r>
        <w:rPr>
          <w:i/>
          <w:sz w:val="24"/>
        </w:rPr>
        <w:t>management</w:t>
      </w:r>
      <w:r>
        <w:rPr>
          <w:i/>
          <w:spacing w:val="-2"/>
          <w:sz w:val="24"/>
        </w:rPr>
        <w:t> </w:t>
      </w:r>
      <w:r>
        <w:rPr>
          <w:i/>
          <w:sz w:val="24"/>
        </w:rPr>
        <w:t>in</w:t>
      </w:r>
      <w:r>
        <w:rPr>
          <w:i/>
          <w:spacing w:val="-1"/>
          <w:sz w:val="24"/>
        </w:rPr>
        <w:t> </w:t>
      </w:r>
      <w:r>
        <w:rPr>
          <w:i/>
          <w:sz w:val="24"/>
        </w:rPr>
        <w:t>Engineering,</w:t>
      </w:r>
      <w:r>
        <w:rPr>
          <w:i/>
          <w:spacing w:val="-2"/>
          <w:sz w:val="24"/>
        </w:rPr>
        <w:t> </w:t>
      </w:r>
      <w:r>
        <w:rPr>
          <w:i/>
          <w:sz w:val="24"/>
        </w:rPr>
        <w:t>20(10),</w:t>
      </w:r>
      <w:r>
        <w:rPr>
          <w:i/>
          <w:spacing w:val="-1"/>
          <w:sz w:val="24"/>
        </w:rPr>
        <w:t> </w:t>
      </w:r>
      <w:r>
        <w:rPr>
          <w:i/>
          <w:sz w:val="24"/>
        </w:rPr>
        <w:t>8-</w:t>
      </w:r>
      <w:r>
        <w:rPr>
          <w:i/>
          <w:spacing w:val="-5"/>
          <w:sz w:val="24"/>
        </w:rPr>
        <w:t>15</w:t>
      </w:r>
      <w:r>
        <w:rPr>
          <w:spacing w:val="-5"/>
          <w:sz w:val="24"/>
        </w:rPr>
        <w:t>.</w:t>
      </w:r>
    </w:p>
    <w:p>
      <w:pPr>
        <w:pStyle w:val="BodyText"/>
        <w:spacing w:before="84"/>
      </w:pPr>
    </w:p>
    <w:p>
      <w:pPr>
        <w:spacing w:before="0"/>
        <w:ind w:left="1211" w:right="1318" w:hanging="812"/>
        <w:jc w:val="both"/>
        <w:rPr>
          <w:i/>
          <w:sz w:val="24"/>
        </w:rPr>
      </w:pPr>
      <w:r>
        <w:rPr>
          <w:sz w:val="24"/>
        </w:rPr>
        <w:t>Lu, W. S., Shen, L. Y., &amp; Yam, M. C. H., (2008), Critical success factors for competitiveness of contractors: China study, </w:t>
      </w:r>
      <w:r>
        <w:rPr>
          <w:i/>
          <w:sz w:val="24"/>
        </w:rPr>
        <w:t>Journal of Construction Engineering and Management,. 134(12), 972-982.</w:t>
      </w:r>
    </w:p>
    <w:p>
      <w:pPr>
        <w:pStyle w:val="BodyText"/>
        <w:spacing w:before="84"/>
        <w:rPr>
          <w:i/>
        </w:rPr>
      </w:pPr>
    </w:p>
    <w:p>
      <w:pPr>
        <w:pStyle w:val="BodyText"/>
        <w:ind w:left="1211" w:right="1318" w:hanging="812"/>
        <w:jc w:val="both"/>
      </w:pPr>
      <w:r>
        <w:rPr/>
        <w:t>Macal, C. M., (2005). Model verification and validation, Workshop on threat anticipation: Social science methods and models, The University of Chicago and Argonne National Laboratory April 7-9, Chicago.</w:t>
      </w:r>
    </w:p>
    <w:p>
      <w:pPr>
        <w:pStyle w:val="BodyText"/>
        <w:spacing w:before="84"/>
      </w:pPr>
    </w:p>
    <w:p>
      <w:pPr>
        <w:pStyle w:val="BodyText"/>
        <w:ind w:left="1211" w:right="1319" w:hanging="812"/>
        <w:jc w:val="both"/>
      </w:pPr>
      <w:r>
        <w:rPr/>
        <w:t>Maguad, B. A. (2006). The Modern Quality Movement: Origins, Development and Trends"</w:t>
      </w:r>
      <w:r>
        <w:rPr>
          <w:spacing w:val="40"/>
        </w:rPr>
        <w:t> </w:t>
      </w:r>
      <w:r>
        <w:rPr/>
        <w:t>Total Quality Management &amp; Business Excellence, 17(2), 179-203.</w:t>
      </w:r>
    </w:p>
    <w:p>
      <w:pPr>
        <w:pStyle w:val="BodyText"/>
        <w:spacing w:before="84"/>
      </w:pPr>
    </w:p>
    <w:p>
      <w:pPr>
        <w:pStyle w:val="BodyText"/>
        <w:ind w:left="400"/>
      </w:pPr>
      <w:r>
        <w:rPr/>
        <w:t>Mann,</w:t>
      </w:r>
      <w:r>
        <w:rPr>
          <w:spacing w:val="18"/>
        </w:rPr>
        <w:t> </w:t>
      </w:r>
      <w:r>
        <w:rPr/>
        <w:t>N.,</w:t>
      </w:r>
      <w:r>
        <w:rPr>
          <w:spacing w:val="18"/>
        </w:rPr>
        <w:t> </w:t>
      </w:r>
      <w:r>
        <w:rPr/>
        <w:t>R.,</w:t>
      </w:r>
      <w:r>
        <w:rPr>
          <w:spacing w:val="20"/>
        </w:rPr>
        <w:t> </w:t>
      </w:r>
      <w:r>
        <w:rPr/>
        <w:t>(1992).</w:t>
      </w:r>
      <w:r>
        <w:rPr>
          <w:spacing w:val="20"/>
        </w:rPr>
        <w:t> </w:t>
      </w:r>
      <w:r>
        <w:rPr/>
        <w:t>The</w:t>
      </w:r>
      <w:r>
        <w:rPr>
          <w:spacing w:val="18"/>
        </w:rPr>
        <w:t> </w:t>
      </w:r>
      <w:r>
        <w:rPr/>
        <w:t>keys</w:t>
      </w:r>
      <w:r>
        <w:rPr>
          <w:spacing w:val="18"/>
        </w:rPr>
        <w:t> </w:t>
      </w:r>
      <w:r>
        <w:rPr/>
        <w:t>to</w:t>
      </w:r>
      <w:r>
        <w:rPr>
          <w:spacing w:val="20"/>
        </w:rPr>
        <w:t> </w:t>
      </w:r>
      <w:r>
        <w:rPr/>
        <w:t>excellence.</w:t>
      </w:r>
      <w:r>
        <w:rPr>
          <w:spacing w:val="18"/>
        </w:rPr>
        <w:t> </w:t>
      </w:r>
      <w:r>
        <w:rPr/>
        <w:t>The</w:t>
      </w:r>
      <w:r>
        <w:rPr>
          <w:spacing w:val="17"/>
        </w:rPr>
        <w:t> </w:t>
      </w:r>
      <w:r>
        <w:rPr/>
        <w:t>Deming</w:t>
      </w:r>
      <w:r>
        <w:rPr>
          <w:spacing w:val="16"/>
        </w:rPr>
        <w:t> </w:t>
      </w:r>
      <w:r>
        <w:rPr/>
        <w:t>Philosophy.</w:t>
      </w:r>
      <w:r>
        <w:rPr>
          <w:spacing w:val="23"/>
        </w:rPr>
        <w:t> </w:t>
      </w:r>
      <w:r>
        <w:rPr/>
        <w:t>S.</w:t>
      </w:r>
      <w:r>
        <w:rPr>
          <w:spacing w:val="18"/>
        </w:rPr>
        <w:t> </w:t>
      </w:r>
      <w:r>
        <w:rPr/>
        <w:t>Abdul</w:t>
      </w:r>
      <w:r>
        <w:rPr>
          <w:spacing w:val="18"/>
        </w:rPr>
        <w:t> </w:t>
      </w:r>
      <w:r>
        <w:rPr/>
        <w:t>Majeed</w:t>
      </w:r>
      <w:r>
        <w:rPr>
          <w:spacing w:val="21"/>
        </w:rPr>
        <w:t> </w:t>
      </w:r>
      <w:r>
        <w:rPr>
          <w:spacing w:val="-4"/>
        </w:rPr>
        <w:t>&amp;co.</w:t>
      </w:r>
    </w:p>
    <w:p>
      <w:pPr>
        <w:pStyle w:val="BodyText"/>
        <w:ind w:left="1211"/>
      </w:pPr>
      <w:r>
        <w:rPr/>
        <w:t>Kuala</w:t>
      </w:r>
      <w:r>
        <w:rPr>
          <w:spacing w:val="-1"/>
        </w:rPr>
        <w:t> </w:t>
      </w:r>
      <w:r>
        <w:rPr>
          <w:spacing w:val="-2"/>
        </w:rPr>
        <w:t>Lumpur.</w:t>
      </w:r>
    </w:p>
    <w:p>
      <w:pPr>
        <w:pStyle w:val="BodyText"/>
        <w:spacing w:before="84"/>
      </w:pPr>
    </w:p>
    <w:p>
      <w:pPr>
        <w:pStyle w:val="BodyText"/>
        <w:ind w:left="400"/>
      </w:pPr>
      <w:r>
        <w:rPr/>
        <w:t>Marco.</w:t>
      </w:r>
      <w:r>
        <w:rPr>
          <w:spacing w:val="32"/>
        </w:rPr>
        <w:t> </w:t>
      </w:r>
      <w:r>
        <w:rPr/>
        <w:t>V.P.</w:t>
      </w:r>
      <w:r>
        <w:rPr>
          <w:spacing w:val="32"/>
        </w:rPr>
        <w:t> </w:t>
      </w:r>
      <w:r>
        <w:rPr/>
        <w:t>(2009).</w:t>
      </w:r>
      <w:r>
        <w:rPr>
          <w:spacing w:val="35"/>
        </w:rPr>
        <w:t> </w:t>
      </w:r>
      <w:r>
        <w:rPr/>
        <w:t>Competitive</w:t>
      </w:r>
      <w:r>
        <w:rPr>
          <w:spacing w:val="31"/>
        </w:rPr>
        <w:t> </w:t>
      </w:r>
      <w:r>
        <w:rPr/>
        <w:t>strategy</w:t>
      </w:r>
      <w:r>
        <w:rPr>
          <w:spacing w:val="28"/>
        </w:rPr>
        <w:t> </w:t>
      </w:r>
      <w:r>
        <w:rPr/>
        <w:t>for</w:t>
      </w:r>
      <w:r>
        <w:rPr>
          <w:spacing w:val="34"/>
        </w:rPr>
        <w:t> </w:t>
      </w:r>
      <w:r>
        <w:rPr/>
        <w:t>an</w:t>
      </w:r>
      <w:r>
        <w:rPr>
          <w:spacing w:val="35"/>
        </w:rPr>
        <w:t> </w:t>
      </w:r>
      <w:r>
        <w:rPr/>
        <w:t>Indian</w:t>
      </w:r>
      <w:r>
        <w:rPr>
          <w:spacing w:val="32"/>
        </w:rPr>
        <w:t> </w:t>
      </w:r>
      <w:r>
        <w:rPr/>
        <w:t>natural</w:t>
      </w:r>
      <w:r>
        <w:rPr>
          <w:spacing w:val="33"/>
        </w:rPr>
        <w:t> </w:t>
      </w:r>
      <w:r>
        <w:rPr/>
        <w:t>stone</w:t>
      </w:r>
      <w:r>
        <w:rPr>
          <w:spacing w:val="31"/>
        </w:rPr>
        <w:t> </w:t>
      </w:r>
      <w:r>
        <w:rPr/>
        <w:t>trader.</w:t>
      </w:r>
      <w:r>
        <w:rPr>
          <w:spacing w:val="35"/>
        </w:rPr>
        <w:t> </w:t>
      </w:r>
      <w:r>
        <w:rPr/>
        <w:t>Bachelor</w:t>
      </w:r>
      <w:r>
        <w:rPr>
          <w:spacing w:val="34"/>
        </w:rPr>
        <w:t> </w:t>
      </w:r>
      <w:r>
        <w:rPr>
          <w:spacing w:val="-2"/>
        </w:rPr>
        <w:t>Thesis.</w:t>
      </w:r>
    </w:p>
    <w:p>
      <w:pPr>
        <w:pStyle w:val="BodyText"/>
        <w:ind w:left="1211"/>
      </w:pPr>
      <w:r>
        <w:rPr/>
        <w:t>Faculty</w:t>
      </w:r>
      <w:r>
        <w:rPr>
          <w:spacing w:val="-8"/>
        </w:rPr>
        <w:t> </w:t>
      </w:r>
      <w:r>
        <w:rPr/>
        <w:t>of</w:t>
      </w:r>
      <w:r>
        <w:rPr>
          <w:spacing w:val="-1"/>
        </w:rPr>
        <w:t> </w:t>
      </w:r>
      <w:r>
        <w:rPr/>
        <w:t>Management and Bestuur, University</w:t>
      </w:r>
      <w:r>
        <w:rPr>
          <w:spacing w:val="-3"/>
        </w:rPr>
        <w:t> </w:t>
      </w:r>
      <w:r>
        <w:rPr/>
        <w:t>of</w:t>
      </w:r>
      <w:r>
        <w:rPr>
          <w:spacing w:val="-1"/>
        </w:rPr>
        <w:t> </w:t>
      </w:r>
      <w:r>
        <w:rPr>
          <w:spacing w:val="-2"/>
        </w:rPr>
        <w:t>Twente.</w:t>
      </w:r>
    </w:p>
    <w:p>
      <w:pPr>
        <w:pStyle w:val="BodyText"/>
        <w:spacing w:before="84"/>
      </w:pPr>
    </w:p>
    <w:p>
      <w:pPr>
        <w:pStyle w:val="BodyText"/>
        <w:ind w:left="1211" w:right="1315" w:hanging="812"/>
        <w:jc w:val="both"/>
      </w:pPr>
      <w:r>
        <w:rPr/>
        <w:t>Marin-Garcia,</w:t>
      </w:r>
      <w:r>
        <w:rPr>
          <w:spacing w:val="71"/>
        </w:rPr>
        <w:t> </w:t>
      </w:r>
      <w:r>
        <w:rPr/>
        <w:t>J.</w:t>
      </w:r>
      <w:r>
        <w:rPr>
          <w:spacing w:val="71"/>
        </w:rPr>
        <w:t> </w:t>
      </w:r>
      <w:r>
        <w:rPr/>
        <w:t>A., Del Val,</w:t>
      </w:r>
      <w:r>
        <w:rPr>
          <w:spacing w:val="71"/>
        </w:rPr>
        <w:t> </w:t>
      </w:r>
      <w:r>
        <w:rPr/>
        <w:t>M.P.,and</w:t>
      </w:r>
      <w:r>
        <w:rPr>
          <w:spacing w:val="71"/>
        </w:rPr>
        <w:t> </w:t>
      </w:r>
      <w:r>
        <w:rPr/>
        <w:t>Bonavia,T</w:t>
      </w:r>
      <w:r>
        <w:rPr>
          <w:spacing w:val="71"/>
        </w:rPr>
        <w:t> </w:t>
      </w:r>
      <w:r>
        <w:rPr/>
        <w:t>(2008). Longitudinal Study of the</w:t>
      </w:r>
      <w:r>
        <w:rPr>
          <w:spacing w:val="72"/>
        </w:rPr>
        <w:t> </w:t>
      </w:r>
      <w:r>
        <w:rPr/>
        <w:t>Results of Continuous Improvement in an Industrial</w:t>
      </w:r>
      <w:r>
        <w:rPr>
          <w:spacing w:val="40"/>
        </w:rPr>
        <w:t> </w:t>
      </w:r>
      <w:r>
        <w:rPr/>
        <w:t>Company".</w:t>
      </w:r>
      <w:r>
        <w:rPr>
          <w:spacing w:val="40"/>
        </w:rPr>
        <w:t> </w:t>
      </w:r>
      <w:r>
        <w:rPr/>
        <w:t>Team Performance Management, 14(1/2), 56-69</w:t>
      </w:r>
    </w:p>
    <w:p>
      <w:pPr>
        <w:pStyle w:val="BodyText"/>
        <w:spacing w:before="84"/>
      </w:pPr>
    </w:p>
    <w:p>
      <w:pPr>
        <w:pStyle w:val="BodyText"/>
        <w:ind w:left="1211" w:right="1316" w:hanging="812"/>
        <w:jc w:val="both"/>
      </w:pPr>
      <w:r>
        <w:rPr/>
        <w:t>Marion, J., (2004). Are bid preferences benign? The Effect of small business subsidies in Highway procurement auctions, working paper, University of California at Santa Cruz.</w:t>
      </w:r>
    </w:p>
    <w:p>
      <w:pPr>
        <w:pStyle w:val="BodyText"/>
        <w:spacing w:before="84"/>
      </w:pPr>
    </w:p>
    <w:p>
      <w:pPr>
        <w:pStyle w:val="BodyText"/>
        <w:ind w:left="400"/>
      </w:pPr>
      <w:r>
        <w:rPr/>
        <w:t>Mansour,</w:t>
      </w:r>
      <w:r>
        <w:rPr>
          <w:spacing w:val="-2"/>
        </w:rPr>
        <w:t> </w:t>
      </w:r>
      <w:r>
        <w:rPr/>
        <w:t>A.,</w:t>
      </w:r>
      <w:r>
        <w:rPr>
          <w:spacing w:val="-1"/>
        </w:rPr>
        <w:t> </w:t>
      </w:r>
      <w:r>
        <w:rPr/>
        <w:t>H.</w:t>
      </w:r>
      <w:r>
        <w:rPr>
          <w:spacing w:val="-1"/>
        </w:rPr>
        <w:t> </w:t>
      </w:r>
      <w:r>
        <w:rPr/>
        <w:t>Ali</w:t>
      </w:r>
      <w:r>
        <w:rPr>
          <w:spacing w:val="-1"/>
        </w:rPr>
        <w:t> </w:t>
      </w:r>
      <w:r>
        <w:rPr/>
        <w:t>2007.</w:t>
      </w:r>
      <w:r>
        <w:rPr>
          <w:spacing w:val="-1"/>
        </w:rPr>
        <w:t> </w:t>
      </w:r>
      <w:r>
        <w:rPr/>
        <w:t>Application</w:t>
      </w:r>
      <w:r>
        <w:rPr>
          <w:spacing w:val="-1"/>
        </w:rPr>
        <w:t> </w:t>
      </w:r>
      <w:r>
        <w:rPr/>
        <w:t>tqm</w:t>
      </w:r>
      <w:r>
        <w:rPr>
          <w:spacing w:val="-1"/>
        </w:rPr>
        <w:t> </w:t>
      </w:r>
      <w:r>
        <w:rPr/>
        <w:t>to</w:t>
      </w:r>
      <w:r>
        <w:rPr>
          <w:spacing w:val="-1"/>
        </w:rPr>
        <w:t> </w:t>
      </w:r>
      <w:r>
        <w:rPr/>
        <w:t>financial</w:t>
      </w:r>
      <w:r>
        <w:rPr>
          <w:spacing w:val="-1"/>
        </w:rPr>
        <w:t> </w:t>
      </w:r>
      <w:r>
        <w:rPr>
          <w:spacing w:val="-2"/>
        </w:rPr>
        <w:t>services.</w:t>
      </w:r>
    </w:p>
    <w:p>
      <w:pPr>
        <w:pStyle w:val="BodyText"/>
        <w:spacing w:before="84"/>
      </w:pPr>
    </w:p>
    <w:p>
      <w:pPr>
        <w:pStyle w:val="BodyText"/>
        <w:spacing w:before="1"/>
        <w:ind w:left="1211" w:right="1321" w:hanging="812"/>
        <w:jc w:val="both"/>
      </w:pPr>
      <w:r>
        <w:rPr/>
        <w:t>McAdam, R. (2000), Quality models in an SME context: A critical perspective using agrounded approach", International Journal of Quality &amp; Reliability Management, 17(.3), 305-323.</w:t>
      </w:r>
    </w:p>
    <w:p>
      <w:pPr>
        <w:pStyle w:val="BodyText"/>
        <w:spacing w:before="83"/>
      </w:pPr>
    </w:p>
    <w:p>
      <w:pPr>
        <w:pStyle w:val="BodyText"/>
        <w:spacing w:before="1"/>
        <w:ind w:left="1211" w:right="1318" w:hanging="812"/>
        <w:jc w:val="both"/>
      </w:pPr>
      <w:r>
        <w:rPr/>
        <w:t>Mehmet, D., &amp; Lenny, K.S.C. (2006) TQM and market orientation's impact on SMEs' Performance. Industrial Management &amp; Data Systems, 106(8), 1206-1228.</w:t>
      </w:r>
    </w:p>
    <w:p>
      <w:pPr>
        <w:spacing w:after="0"/>
        <w:jc w:val="both"/>
        <w:sectPr>
          <w:pgSz w:w="12240" w:h="15840"/>
          <w:pgMar w:header="0" w:footer="1017" w:top="1360" w:bottom="1200" w:left="1040" w:right="120"/>
        </w:sectPr>
      </w:pPr>
    </w:p>
    <w:p>
      <w:pPr>
        <w:pStyle w:val="BodyText"/>
        <w:spacing w:before="72"/>
        <w:ind w:left="1211" w:right="1320" w:hanging="752"/>
        <w:jc w:val="both"/>
      </w:pPr>
      <w:r>
        <w:rPr/>
        <w:t>Mele, C. (2007). The synergic relationship between TQM and marketing in creating customer value. Managing Service Quality, 17 (3), 240-258.</w:t>
      </w:r>
    </w:p>
    <w:p>
      <w:pPr>
        <w:pStyle w:val="BodyText"/>
        <w:spacing w:before="84"/>
      </w:pPr>
    </w:p>
    <w:p>
      <w:pPr>
        <w:pStyle w:val="BodyText"/>
        <w:ind w:left="1211" w:right="1321" w:hanging="812"/>
        <w:jc w:val="both"/>
      </w:pPr>
      <w:r>
        <w:rPr/>
        <w:t>Metri, B. A. (2004). TQM Critical Success Factors for Construction Firms. Management Economics, 10 (2), 61-72.</w:t>
      </w:r>
    </w:p>
    <w:p>
      <w:pPr>
        <w:pStyle w:val="BodyText"/>
        <w:spacing w:before="84"/>
      </w:pPr>
    </w:p>
    <w:p>
      <w:pPr>
        <w:pStyle w:val="BodyText"/>
        <w:ind w:left="1211" w:right="1316" w:hanging="812"/>
        <w:jc w:val="both"/>
      </w:pPr>
      <w:r>
        <w:rPr/>
        <w:t>Meyer-Stamer, J., (1995), ‘Micro-Level Innovations and Competitiveness’, World Development,Vol. 23, 143-148.</w:t>
      </w:r>
    </w:p>
    <w:p>
      <w:pPr>
        <w:pStyle w:val="BodyText"/>
        <w:spacing w:before="84"/>
      </w:pPr>
    </w:p>
    <w:p>
      <w:pPr>
        <w:pStyle w:val="BodyText"/>
        <w:ind w:left="1211" w:right="1321" w:hanging="812"/>
        <w:jc w:val="both"/>
      </w:pPr>
      <w:r>
        <w:rPr/>
        <w:t>Mladen</w:t>
      </w:r>
      <w:r>
        <w:rPr>
          <w:spacing w:val="-4"/>
        </w:rPr>
        <w:t> </w:t>
      </w:r>
      <w:r>
        <w:rPr/>
        <w:t>,V.</w:t>
      </w:r>
      <w:r>
        <w:rPr>
          <w:spacing w:val="-2"/>
        </w:rPr>
        <w:t> </w:t>
      </w:r>
      <w:r>
        <w:rPr/>
        <w:t>(2010). Leading,</w:t>
      </w:r>
      <w:r>
        <w:rPr>
          <w:spacing w:val="-2"/>
        </w:rPr>
        <w:t> </w:t>
      </w:r>
      <w:r>
        <w:rPr/>
        <w:t>Lagging</w:t>
      </w:r>
      <w:r>
        <w:rPr>
          <w:spacing w:val="-7"/>
        </w:rPr>
        <w:t> </w:t>
      </w:r>
      <w:r>
        <w:rPr/>
        <w:t>and</w:t>
      </w:r>
      <w:r>
        <w:rPr>
          <w:spacing w:val="-2"/>
        </w:rPr>
        <w:t> </w:t>
      </w:r>
      <w:r>
        <w:rPr/>
        <w:t>Perceptive</w:t>
      </w:r>
      <w:r>
        <w:rPr>
          <w:spacing w:val="-5"/>
        </w:rPr>
        <w:t> </w:t>
      </w:r>
      <w:r>
        <w:rPr/>
        <w:t>Performance</w:t>
      </w:r>
      <w:r>
        <w:rPr>
          <w:spacing w:val="-5"/>
        </w:rPr>
        <w:t> </w:t>
      </w:r>
      <w:r>
        <w:rPr/>
        <w:t>Measures</w:t>
      </w:r>
      <w:r>
        <w:rPr>
          <w:spacing w:val="-2"/>
        </w:rPr>
        <w:t> </w:t>
      </w:r>
      <w:r>
        <w:rPr/>
        <w:t>In</w:t>
      </w:r>
      <w:r>
        <w:rPr>
          <w:spacing w:val="-4"/>
        </w:rPr>
        <w:t> </w:t>
      </w:r>
      <w:r>
        <w:rPr/>
        <w:t>The</w:t>
      </w:r>
      <w:r>
        <w:rPr>
          <w:spacing w:val="-3"/>
        </w:rPr>
        <w:t> </w:t>
      </w:r>
      <w:r>
        <w:rPr/>
        <w:t>Construction </w:t>
      </w:r>
      <w:r>
        <w:rPr>
          <w:spacing w:val="-2"/>
        </w:rPr>
        <w:t>Industry.</w:t>
      </w:r>
    </w:p>
    <w:p>
      <w:pPr>
        <w:pStyle w:val="BodyText"/>
        <w:spacing w:before="84"/>
      </w:pPr>
    </w:p>
    <w:p>
      <w:pPr>
        <w:pStyle w:val="BodyText"/>
        <w:ind w:left="1211" w:right="1317" w:hanging="812"/>
        <w:jc w:val="both"/>
      </w:pPr>
      <w:r>
        <w:rPr/>
        <w:t>Mohammad I., &amp;</w:t>
      </w:r>
      <w:r>
        <w:rPr>
          <w:spacing w:val="-1"/>
        </w:rPr>
        <w:t> </w:t>
      </w:r>
      <w:r>
        <w:rPr/>
        <w:t>Anshul .G. (2014). A Comparative</w:t>
      </w:r>
      <w:r>
        <w:rPr>
          <w:spacing w:val="-1"/>
        </w:rPr>
        <w:t> </w:t>
      </w:r>
      <w:r>
        <w:rPr/>
        <w:t>Analysis between Small and Medium Scale Manufacturing Company through Total Quality Management Techniques. Proceedings of the 2014 International Conference on Industrial Engineering and Operations Management. Bali, Indonesia. 43-47</w:t>
      </w:r>
    </w:p>
    <w:p>
      <w:pPr>
        <w:pStyle w:val="BodyText"/>
        <w:spacing w:before="84"/>
      </w:pPr>
    </w:p>
    <w:p>
      <w:pPr>
        <w:spacing w:before="0"/>
        <w:ind w:left="1211" w:right="1315" w:hanging="812"/>
        <w:jc w:val="both"/>
        <w:rPr>
          <w:i/>
          <w:sz w:val="24"/>
        </w:rPr>
      </w:pPr>
      <w:r>
        <w:rPr>
          <w:sz w:val="24"/>
        </w:rPr>
        <w:t>Momaya, K and Selby, K., (1998), "International competitiveness of the Canadian construction industry: a comparison with Japan and the United states</w:t>
      </w:r>
      <w:r>
        <w:rPr>
          <w:i/>
          <w:sz w:val="24"/>
        </w:rPr>
        <w:t>". Canadian, Journal of Civil Engineering, Vol. 25, 640-652.</w:t>
      </w:r>
    </w:p>
    <w:p>
      <w:pPr>
        <w:pStyle w:val="BodyText"/>
        <w:spacing w:before="84"/>
        <w:rPr>
          <w:i/>
        </w:rPr>
      </w:pPr>
    </w:p>
    <w:p>
      <w:pPr>
        <w:pStyle w:val="BodyText"/>
        <w:ind w:left="1211" w:right="1317" w:hanging="812"/>
        <w:jc w:val="both"/>
      </w:pPr>
      <w:r>
        <w:rPr/>
        <w:t>Moriam</w:t>
      </w:r>
      <w:r>
        <w:rPr>
          <w:spacing w:val="-3"/>
        </w:rPr>
        <w:t> </w:t>
      </w:r>
      <w:r>
        <w:rPr/>
        <w:t>A.</w:t>
      </w:r>
      <w:r>
        <w:rPr>
          <w:spacing w:val="-1"/>
        </w:rPr>
        <w:t> </w:t>
      </w:r>
      <w:r>
        <w:rPr/>
        <w:t>A.,</w:t>
      </w:r>
      <w:r>
        <w:rPr>
          <w:spacing w:val="-3"/>
        </w:rPr>
        <w:t> </w:t>
      </w:r>
      <w:r>
        <w:rPr/>
        <w:t>Mukaila A.</w:t>
      </w:r>
      <w:r>
        <w:rPr>
          <w:spacing w:val="-3"/>
        </w:rPr>
        <w:t> </w:t>
      </w:r>
      <w:r>
        <w:rPr/>
        <w:t>A.,</w:t>
      </w:r>
      <w:r>
        <w:rPr>
          <w:spacing w:val="-1"/>
        </w:rPr>
        <w:t> </w:t>
      </w:r>
      <w:r>
        <w:rPr/>
        <w:t>&amp;</w:t>
      </w:r>
      <w:r>
        <w:rPr>
          <w:spacing w:val="-3"/>
        </w:rPr>
        <w:t> </w:t>
      </w:r>
      <w:r>
        <w:rPr/>
        <w:t>Hameedat</w:t>
      </w:r>
      <w:r>
        <w:rPr>
          <w:spacing w:val="-1"/>
        </w:rPr>
        <w:t> </w:t>
      </w:r>
      <w:r>
        <w:rPr/>
        <w:t>B.</w:t>
      </w:r>
      <w:r>
        <w:rPr>
          <w:spacing w:val="-1"/>
        </w:rPr>
        <w:t> </w:t>
      </w:r>
      <w:r>
        <w:rPr/>
        <w:t>O.</w:t>
      </w:r>
      <w:r>
        <w:rPr>
          <w:spacing w:val="-1"/>
        </w:rPr>
        <w:t> </w:t>
      </w:r>
      <w:r>
        <w:rPr/>
        <w:t>(2015).Impact</w:t>
      </w:r>
      <w:r>
        <w:rPr>
          <w:spacing w:val="-3"/>
        </w:rPr>
        <w:t> </w:t>
      </w:r>
      <w:r>
        <w:rPr/>
        <w:t>of</w:t>
      </w:r>
      <w:r>
        <w:rPr>
          <w:spacing w:val="-2"/>
        </w:rPr>
        <w:t> </w:t>
      </w:r>
      <w:r>
        <w:rPr/>
        <w:t>Strategic</w:t>
      </w:r>
      <w:r>
        <w:rPr>
          <w:spacing w:val="-4"/>
        </w:rPr>
        <w:t> </w:t>
      </w:r>
      <w:r>
        <w:rPr/>
        <w:t>Management</w:t>
      </w:r>
      <w:r>
        <w:rPr>
          <w:spacing w:val="-3"/>
        </w:rPr>
        <w:t> </w:t>
      </w:r>
      <w:r>
        <w:rPr/>
        <w:t>on</w:t>
      </w:r>
      <w:r>
        <w:rPr>
          <w:spacing w:val="-1"/>
        </w:rPr>
        <w:t> </w:t>
      </w:r>
      <w:r>
        <w:rPr/>
        <w:t>the Performance of Small and Medium Scale Enterprises (Smes) in Nigeria .</w:t>
      </w:r>
      <w:r>
        <w:rPr>
          <w:i/>
        </w:rPr>
        <w:t>Journal of Sustainable Development in Africa </w:t>
      </w:r>
      <w:r>
        <w:rPr/>
        <w:t>17(1)1ISSN: 1520-5509</w:t>
      </w:r>
    </w:p>
    <w:p>
      <w:pPr>
        <w:pStyle w:val="BodyText"/>
        <w:spacing w:before="84"/>
      </w:pPr>
    </w:p>
    <w:p>
      <w:pPr>
        <w:spacing w:before="0"/>
        <w:ind w:left="1211" w:right="1318" w:hanging="812"/>
        <w:jc w:val="both"/>
        <w:rPr>
          <w:i/>
          <w:sz w:val="24"/>
        </w:rPr>
      </w:pPr>
      <w:r>
        <w:rPr>
          <w:sz w:val="24"/>
        </w:rPr>
        <w:t>Muazu, D. A., &amp; Bustani, S. A. (2004). A Comparative Analysis of Litigation among Foreign and Indigenous Construction Firms in Nigeria. ATBU </w:t>
      </w:r>
      <w:r>
        <w:rPr>
          <w:i/>
          <w:sz w:val="24"/>
        </w:rPr>
        <w:t>Journal of Environmental Technology, 3(1):13-16.</w:t>
      </w:r>
    </w:p>
    <w:p>
      <w:pPr>
        <w:pStyle w:val="BodyText"/>
        <w:spacing w:line="630" w:lineRule="atLeast" w:before="6"/>
        <w:ind w:left="400" w:right="1315"/>
      </w:pPr>
      <w:r>
        <w:rPr/>
        <w:t>Mukherjee, P. N. (2006). Total Quality Management. New Delhi: Prentice-Hall of India Pvt.Ltd Mukras,</w:t>
      </w:r>
      <w:r>
        <w:rPr>
          <w:spacing w:val="29"/>
        </w:rPr>
        <w:t> </w:t>
      </w:r>
      <w:r>
        <w:rPr/>
        <w:t>M.</w:t>
      </w:r>
      <w:r>
        <w:rPr>
          <w:spacing w:val="29"/>
        </w:rPr>
        <w:t> </w:t>
      </w:r>
      <w:r>
        <w:rPr/>
        <w:t>S.</w:t>
      </w:r>
      <w:r>
        <w:rPr>
          <w:spacing w:val="29"/>
        </w:rPr>
        <w:t> </w:t>
      </w:r>
      <w:r>
        <w:rPr/>
        <w:t>(2003).Poverty</w:t>
      </w:r>
      <w:r>
        <w:rPr>
          <w:spacing w:val="27"/>
        </w:rPr>
        <w:t> </w:t>
      </w:r>
      <w:r>
        <w:rPr/>
        <w:t>reduction</w:t>
      </w:r>
      <w:r>
        <w:rPr>
          <w:spacing w:val="29"/>
        </w:rPr>
        <w:t> </w:t>
      </w:r>
      <w:r>
        <w:rPr/>
        <w:t>through</w:t>
      </w:r>
      <w:r>
        <w:rPr>
          <w:spacing w:val="32"/>
        </w:rPr>
        <w:t> </w:t>
      </w:r>
      <w:r>
        <w:rPr/>
        <w:t>strengthening</w:t>
      </w:r>
      <w:r>
        <w:rPr>
          <w:spacing w:val="27"/>
        </w:rPr>
        <w:t> </w:t>
      </w:r>
      <w:r>
        <w:rPr/>
        <w:t>small</w:t>
      </w:r>
      <w:r>
        <w:rPr>
          <w:spacing w:val="30"/>
        </w:rPr>
        <w:t> </w:t>
      </w:r>
      <w:r>
        <w:rPr/>
        <w:t>and</w:t>
      </w:r>
      <w:r>
        <w:rPr>
          <w:spacing w:val="32"/>
        </w:rPr>
        <w:t> </w:t>
      </w:r>
      <w:r>
        <w:rPr/>
        <w:t>medium</w:t>
      </w:r>
      <w:r>
        <w:rPr>
          <w:spacing w:val="30"/>
        </w:rPr>
        <w:t> </w:t>
      </w:r>
      <w:r>
        <w:rPr/>
        <w:t>enterprises,</w:t>
      </w:r>
    </w:p>
    <w:p>
      <w:pPr>
        <w:spacing w:before="6"/>
        <w:ind w:left="1211" w:right="0" w:firstLine="0"/>
        <w:jc w:val="left"/>
        <w:rPr>
          <w:sz w:val="24"/>
        </w:rPr>
      </w:pPr>
      <w:r>
        <w:rPr>
          <w:sz w:val="24"/>
        </w:rPr>
        <w:t>Pula:</w:t>
      </w:r>
      <w:r>
        <w:rPr>
          <w:spacing w:val="-2"/>
          <w:sz w:val="24"/>
        </w:rPr>
        <w:t> </w:t>
      </w:r>
      <w:r>
        <w:rPr>
          <w:sz w:val="24"/>
        </w:rPr>
        <w:t>Botswana</w:t>
      </w:r>
      <w:r>
        <w:rPr>
          <w:spacing w:val="-2"/>
          <w:sz w:val="24"/>
        </w:rPr>
        <w:t> </w:t>
      </w:r>
      <w:r>
        <w:rPr>
          <w:i/>
          <w:sz w:val="24"/>
        </w:rPr>
        <w:t>Journal</w:t>
      </w:r>
      <w:r>
        <w:rPr>
          <w:i/>
          <w:spacing w:val="1"/>
          <w:sz w:val="24"/>
        </w:rPr>
        <w:t> </w:t>
      </w:r>
      <w:r>
        <w:rPr>
          <w:i/>
          <w:sz w:val="24"/>
        </w:rPr>
        <w:t>of</w:t>
      </w:r>
      <w:r>
        <w:rPr>
          <w:i/>
          <w:spacing w:val="-1"/>
          <w:sz w:val="24"/>
        </w:rPr>
        <w:t> </w:t>
      </w:r>
      <w:r>
        <w:rPr>
          <w:i/>
          <w:sz w:val="24"/>
        </w:rPr>
        <w:t>African</w:t>
      </w:r>
      <w:r>
        <w:rPr>
          <w:i/>
          <w:spacing w:val="-1"/>
          <w:sz w:val="24"/>
        </w:rPr>
        <w:t> </w:t>
      </w:r>
      <w:r>
        <w:rPr>
          <w:i/>
          <w:sz w:val="24"/>
        </w:rPr>
        <w:t>Studies</w:t>
      </w:r>
      <w:r>
        <w:rPr>
          <w:sz w:val="24"/>
        </w:rPr>
        <w:t>,</w:t>
      </w:r>
      <w:r>
        <w:rPr>
          <w:spacing w:val="-1"/>
          <w:sz w:val="24"/>
        </w:rPr>
        <w:t> </w:t>
      </w:r>
      <w:r>
        <w:rPr>
          <w:sz w:val="24"/>
        </w:rPr>
        <w:t>17</w:t>
      </w:r>
      <w:r>
        <w:rPr>
          <w:spacing w:val="-1"/>
          <w:sz w:val="24"/>
        </w:rPr>
        <w:t> </w:t>
      </w:r>
      <w:r>
        <w:rPr>
          <w:sz w:val="24"/>
        </w:rPr>
        <w:t>(2):</w:t>
      </w:r>
      <w:r>
        <w:rPr>
          <w:spacing w:val="-1"/>
          <w:sz w:val="24"/>
        </w:rPr>
        <w:t> </w:t>
      </w:r>
      <w:r>
        <w:rPr>
          <w:sz w:val="24"/>
        </w:rPr>
        <w:t>58</w:t>
      </w:r>
      <w:r>
        <w:rPr>
          <w:spacing w:val="-1"/>
          <w:sz w:val="24"/>
        </w:rPr>
        <w:t> </w:t>
      </w:r>
      <w:r>
        <w:rPr>
          <w:sz w:val="24"/>
        </w:rPr>
        <w:t>–</w:t>
      </w:r>
      <w:r>
        <w:rPr>
          <w:spacing w:val="-1"/>
          <w:sz w:val="24"/>
        </w:rPr>
        <w:t> </w:t>
      </w:r>
      <w:r>
        <w:rPr>
          <w:spacing w:val="-5"/>
          <w:sz w:val="24"/>
        </w:rPr>
        <w:t>69.</w:t>
      </w:r>
    </w:p>
    <w:p>
      <w:pPr>
        <w:pStyle w:val="BodyText"/>
        <w:spacing w:before="84"/>
      </w:pPr>
    </w:p>
    <w:p>
      <w:pPr>
        <w:pStyle w:val="BodyText"/>
        <w:ind w:left="1211" w:right="1321" w:hanging="812"/>
        <w:jc w:val="both"/>
      </w:pPr>
      <w:r>
        <w:rPr/>
        <w:t>Musran, M. (2013). The Impact of TQM practices Towards Competitive Advantage and Organizational Performance, Pak J Commer Soc Sci, 7, (1),184-197</w:t>
      </w:r>
    </w:p>
    <w:p>
      <w:pPr>
        <w:pStyle w:val="BodyText"/>
        <w:spacing w:before="84"/>
      </w:pPr>
    </w:p>
    <w:p>
      <w:pPr>
        <w:pStyle w:val="BodyText"/>
        <w:ind w:left="400"/>
      </w:pPr>
      <w:r>
        <w:rPr/>
        <w:t>Namho,</w:t>
      </w:r>
      <w:r>
        <w:rPr>
          <w:spacing w:val="-5"/>
        </w:rPr>
        <w:t> </w:t>
      </w:r>
      <w:r>
        <w:rPr/>
        <w:t>K.</w:t>
      </w:r>
      <w:r>
        <w:rPr>
          <w:spacing w:val="-2"/>
        </w:rPr>
        <w:t> </w:t>
      </w:r>
      <w:r>
        <w:rPr/>
        <w:t>(2007). “Performance</w:t>
      </w:r>
      <w:r>
        <w:rPr>
          <w:spacing w:val="-3"/>
        </w:rPr>
        <w:t> </w:t>
      </w:r>
      <w:r>
        <w:rPr/>
        <w:t>Management</w:t>
      </w:r>
      <w:r>
        <w:rPr>
          <w:spacing w:val="-2"/>
        </w:rPr>
        <w:t> </w:t>
      </w:r>
      <w:r>
        <w:rPr/>
        <w:t>Method</w:t>
      </w:r>
      <w:r>
        <w:rPr>
          <w:spacing w:val="-2"/>
        </w:rPr>
        <w:t> </w:t>
      </w:r>
      <w:r>
        <w:rPr/>
        <w:t>for</w:t>
      </w:r>
      <w:r>
        <w:rPr>
          <w:spacing w:val="-3"/>
        </w:rPr>
        <w:t> </w:t>
      </w:r>
      <w:r>
        <w:rPr/>
        <w:t>Construction</w:t>
      </w:r>
      <w:r>
        <w:rPr>
          <w:spacing w:val="-2"/>
        </w:rPr>
        <w:t> Companies”.</w:t>
      </w:r>
    </w:p>
    <w:p>
      <w:pPr>
        <w:pStyle w:val="BodyText"/>
        <w:spacing w:before="84"/>
      </w:pPr>
    </w:p>
    <w:p>
      <w:pPr>
        <w:pStyle w:val="BodyText"/>
        <w:ind w:left="1211" w:right="1318" w:hanging="812"/>
        <w:jc w:val="both"/>
        <w:rPr>
          <w:b/>
        </w:rPr>
      </w:pPr>
      <w:r>
        <w:rPr/>
        <w:t>Nawal, G., Abdussalam, S., Messaoud, S., &amp; Amrit, S. (2012). Critical Success Factors of Implementing Total Quality Management in Libyan Organisations. Proceedings of the 2012 International Conference on Industrial Engineering and Operations Management, Istanbul, Turkey</w:t>
      </w:r>
      <w:r>
        <w:rPr>
          <w:b/>
        </w:rPr>
        <w:t>.</w:t>
      </w:r>
    </w:p>
    <w:p>
      <w:pPr>
        <w:spacing w:after="0"/>
        <w:jc w:val="both"/>
        <w:sectPr>
          <w:pgSz w:w="12240" w:h="15840"/>
          <w:pgMar w:header="0" w:footer="1017" w:top="1360" w:bottom="1200" w:left="1040" w:right="120"/>
        </w:sectPr>
      </w:pPr>
    </w:p>
    <w:p>
      <w:pPr>
        <w:pStyle w:val="BodyText"/>
        <w:spacing w:before="72"/>
        <w:ind w:left="1211" w:right="1318" w:hanging="812"/>
        <w:jc w:val="both"/>
      </w:pPr>
      <w:r>
        <w:rPr/>
        <w:t>Ndefo .O. (2012) Causes of highway failures in Nigeria. International Journal of Engineering Science and Technology (IJEST) ISSN: 0975-5462 4 (11)</w:t>
      </w:r>
    </w:p>
    <w:p>
      <w:pPr>
        <w:pStyle w:val="BodyText"/>
        <w:spacing w:before="84"/>
      </w:pPr>
    </w:p>
    <w:p>
      <w:pPr>
        <w:spacing w:before="0"/>
        <w:ind w:left="1211" w:right="1319" w:hanging="812"/>
        <w:jc w:val="both"/>
        <w:rPr>
          <w:sz w:val="24"/>
        </w:rPr>
      </w:pPr>
      <w:r>
        <w:rPr>
          <w:sz w:val="24"/>
        </w:rPr>
        <w:t>Nelson N. (2003). Organization and management of construction projects in Nigeria, </w:t>
      </w:r>
      <w:r>
        <w:rPr>
          <w:i/>
          <w:sz w:val="24"/>
        </w:rPr>
        <w:t>Building and Environment Journal, </w:t>
      </w:r>
      <w:r>
        <w:rPr>
          <w:sz w:val="24"/>
        </w:rPr>
        <w:t>14 (4), 253 – 256.</w:t>
      </w:r>
    </w:p>
    <w:p>
      <w:pPr>
        <w:pStyle w:val="BodyText"/>
        <w:spacing w:before="84"/>
      </w:pPr>
    </w:p>
    <w:p>
      <w:pPr>
        <w:pStyle w:val="BodyText"/>
        <w:ind w:left="1211" w:right="1316" w:hanging="812"/>
        <w:jc w:val="both"/>
      </w:pPr>
      <w:r>
        <w:rPr/>
        <w:t>Nesan, J. L. (2005): Project Finance Model for Small Contractors in USA: Department of Civil and Construction Engineering, College of Engineering &amp; Applied Sciences, Western Michigan University, Michigan, USA.</w:t>
      </w:r>
    </w:p>
    <w:p>
      <w:pPr>
        <w:pStyle w:val="BodyText"/>
        <w:spacing w:before="84"/>
      </w:pPr>
    </w:p>
    <w:p>
      <w:pPr>
        <w:pStyle w:val="BodyText"/>
        <w:ind w:left="1211" w:right="1316" w:hanging="812"/>
        <w:jc w:val="both"/>
      </w:pPr>
      <w:r>
        <w:rPr/>
        <w:t>Nicola, E. T. (1999). The application of TQM in the construction industry .A Master's Thesis in Loughborough University</w:t>
      </w:r>
    </w:p>
    <w:p>
      <w:pPr>
        <w:pStyle w:val="BodyText"/>
        <w:spacing w:before="84"/>
      </w:pPr>
    </w:p>
    <w:p>
      <w:pPr>
        <w:pStyle w:val="BodyText"/>
        <w:ind w:left="1211" w:right="1318" w:hanging="812"/>
        <w:jc w:val="both"/>
      </w:pPr>
      <w:r>
        <w:rPr/>
        <w:t>Nisa, Z., Roshani, P., &amp; Thurairajah, N</w:t>
      </w:r>
      <w:r>
        <w:rPr>
          <w:b/>
        </w:rPr>
        <w:t>., (</w:t>
      </w:r>
      <w:r>
        <w:rPr/>
        <w:t>2006). Career Paths in Quantity Surveying,In R. RameezdeenAnd I. Seneviratne, Eds. Customising The Qs To Face Challenges In Year 2020, Colombo 26 January2006. Colombo: University Of Moratuwa</w:t>
      </w:r>
    </w:p>
    <w:p>
      <w:pPr>
        <w:pStyle w:val="BodyText"/>
        <w:spacing w:before="84"/>
      </w:pPr>
    </w:p>
    <w:p>
      <w:pPr>
        <w:pStyle w:val="BodyText"/>
        <w:ind w:left="1211" w:right="1317" w:hanging="812"/>
        <w:jc w:val="both"/>
      </w:pPr>
      <w:r>
        <w:rPr/>
        <w:t>Nnadi E.O.E., &amp; Alintah-Abel. U. (2015). An Assessment of Foreign Construction Firms’ Participation</w:t>
      </w:r>
      <w:r>
        <w:rPr>
          <w:spacing w:val="-1"/>
        </w:rPr>
        <w:t> </w:t>
      </w:r>
      <w:r>
        <w:rPr/>
        <w:t>On</w:t>
      </w:r>
      <w:r>
        <w:rPr>
          <w:spacing w:val="-1"/>
        </w:rPr>
        <w:t> </w:t>
      </w:r>
      <w:r>
        <w:rPr/>
        <w:t>The</w:t>
      </w:r>
      <w:r>
        <w:rPr>
          <w:spacing w:val="-2"/>
        </w:rPr>
        <w:t> </w:t>
      </w:r>
      <w:r>
        <w:rPr/>
        <w:t>Cost</w:t>
      </w:r>
      <w:r>
        <w:rPr>
          <w:spacing w:val="-1"/>
        </w:rPr>
        <w:t> </w:t>
      </w:r>
      <w:r>
        <w:rPr/>
        <w:t>Of</w:t>
      </w:r>
      <w:r>
        <w:rPr>
          <w:spacing w:val="-2"/>
        </w:rPr>
        <w:t> </w:t>
      </w:r>
      <w:r>
        <w:rPr/>
        <w:t>Construction</w:t>
      </w:r>
      <w:r>
        <w:rPr>
          <w:spacing w:val="-1"/>
        </w:rPr>
        <w:t> </w:t>
      </w:r>
      <w:r>
        <w:rPr/>
        <w:t>Works</w:t>
      </w:r>
      <w:r>
        <w:rPr>
          <w:spacing w:val="-1"/>
        </w:rPr>
        <w:t> </w:t>
      </w:r>
      <w:r>
        <w:rPr/>
        <w:t>In Nigeria.</w:t>
      </w:r>
      <w:r>
        <w:rPr>
          <w:spacing w:val="-1"/>
        </w:rPr>
        <w:t> </w:t>
      </w:r>
      <w:r>
        <w:rPr/>
        <w:t>NIQS</w:t>
      </w:r>
      <w:r>
        <w:rPr>
          <w:spacing w:val="-1"/>
        </w:rPr>
        <w:t> </w:t>
      </w:r>
      <w:r>
        <w:rPr/>
        <w:t>Recon 2</w:t>
      </w:r>
      <w:r>
        <w:rPr>
          <w:spacing w:val="-1"/>
        </w:rPr>
        <w:t> </w:t>
      </w:r>
      <w:r>
        <w:rPr/>
        <w:t>conference</w:t>
      </w:r>
    </w:p>
    <w:p>
      <w:pPr>
        <w:pStyle w:val="BodyText"/>
        <w:spacing w:before="84"/>
      </w:pPr>
    </w:p>
    <w:p>
      <w:pPr>
        <w:pStyle w:val="BodyText"/>
        <w:ind w:left="1211" w:right="1319" w:hanging="812"/>
        <w:jc w:val="both"/>
      </w:pPr>
      <w:r>
        <w:rPr/>
        <w:t>Nonxuba .A. N.,</w:t>
      </w:r>
      <w:r>
        <w:rPr>
          <w:spacing w:val="80"/>
        </w:rPr>
        <w:t> </w:t>
      </w:r>
      <w:r>
        <w:rPr/>
        <w:t>(2010). The application of total quality</w:t>
      </w:r>
      <w:r>
        <w:rPr>
          <w:spacing w:val="-2"/>
        </w:rPr>
        <w:t> </w:t>
      </w:r>
      <w:r>
        <w:rPr/>
        <w:t>management within small and medium enterprises.</w:t>
      </w:r>
      <w:r>
        <w:rPr>
          <w:spacing w:val="40"/>
        </w:rPr>
        <w:t> </w:t>
      </w:r>
      <w:r>
        <w:rPr/>
        <w:t>Dissertation work</w:t>
      </w:r>
      <w:r>
        <w:rPr>
          <w:spacing w:val="40"/>
        </w:rPr>
        <w:t> </w:t>
      </w:r>
      <w:r>
        <w:rPr/>
        <w:t>in the Faculty of Engineering at the Cape Peninsula University of Technology.</w:t>
      </w:r>
    </w:p>
    <w:p>
      <w:pPr>
        <w:pStyle w:val="BodyText"/>
        <w:spacing w:before="84"/>
      </w:pPr>
    </w:p>
    <w:p>
      <w:pPr>
        <w:spacing w:before="0"/>
        <w:ind w:left="1211" w:right="1317" w:hanging="812"/>
        <w:jc w:val="both"/>
        <w:rPr>
          <w:sz w:val="24"/>
        </w:rPr>
      </w:pPr>
      <w:r>
        <w:rPr>
          <w:sz w:val="24"/>
        </w:rPr>
        <w:t>Nukulchai, W. K. (2003). </w:t>
      </w:r>
      <w:r>
        <w:rPr>
          <w:i/>
          <w:sz w:val="24"/>
        </w:rPr>
        <w:t>"Towards Total Quality Management in Higher Education: The Experience of Asian Institute of Technology"</w:t>
      </w:r>
      <w:r>
        <w:rPr>
          <w:sz w:val="24"/>
        </w:rPr>
        <w:t>: Asian Institute of Technology.</w:t>
      </w:r>
    </w:p>
    <w:p>
      <w:pPr>
        <w:pStyle w:val="BodyText"/>
        <w:spacing w:before="84"/>
      </w:pPr>
    </w:p>
    <w:p>
      <w:pPr>
        <w:pStyle w:val="BodyText"/>
        <w:ind w:left="1211" w:right="1319" w:hanging="812"/>
        <w:jc w:val="both"/>
      </w:pPr>
      <w:r>
        <w:rPr/>
        <w:t>Nunnally,</w:t>
      </w:r>
      <w:r>
        <w:rPr>
          <w:spacing w:val="40"/>
        </w:rPr>
        <w:t> </w:t>
      </w:r>
      <w:r>
        <w:rPr/>
        <w:t>J.C., &amp;</w:t>
      </w:r>
      <w:r>
        <w:rPr>
          <w:spacing w:val="40"/>
        </w:rPr>
        <w:t> </w:t>
      </w:r>
      <w:r>
        <w:rPr/>
        <w:t>Bernstein, I.H.</w:t>
      </w:r>
      <w:r>
        <w:rPr>
          <w:spacing w:val="40"/>
        </w:rPr>
        <w:t> </w:t>
      </w:r>
      <w:r>
        <w:rPr/>
        <w:t>(1994). Psychometric Theory. 3rd Edn., McGraw-Hill, New York, ISBN-10: 007047849X, pp: 752.</w:t>
      </w:r>
    </w:p>
    <w:p>
      <w:pPr>
        <w:pStyle w:val="BodyText"/>
        <w:spacing w:before="84"/>
      </w:pPr>
    </w:p>
    <w:p>
      <w:pPr>
        <w:spacing w:line="552" w:lineRule="auto" w:before="0"/>
        <w:ind w:left="400" w:right="1427" w:firstLine="0"/>
        <w:jc w:val="left"/>
        <w:rPr>
          <w:sz w:val="24"/>
        </w:rPr>
      </w:pPr>
      <w:r>
        <w:rPr>
          <w:sz w:val="24"/>
        </w:rPr>
        <w:t>Nwosu, C.C. (2005). </w:t>
      </w:r>
      <w:r>
        <w:rPr>
          <w:i/>
          <w:sz w:val="24"/>
        </w:rPr>
        <w:t>Essentials of Construction Economics</w:t>
      </w:r>
      <w:r>
        <w:rPr>
          <w:sz w:val="24"/>
        </w:rPr>
        <w:t>. Computer Edge Publishers Oakland,</w:t>
      </w:r>
      <w:r>
        <w:rPr>
          <w:spacing w:val="-3"/>
          <w:sz w:val="24"/>
        </w:rPr>
        <w:t> </w:t>
      </w:r>
      <w:r>
        <w:rPr>
          <w:sz w:val="24"/>
        </w:rPr>
        <w:t>J.,</w:t>
      </w:r>
      <w:r>
        <w:rPr>
          <w:spacing w:val="-3"/>
          <w:sz w:val="24"/>
        </w:rPr>
        <w:t> </w:t>
      </w:r>
      <w:r>
        <w:rPr>
          <w:sz w:val="24"/>
        </w:rPr>
        <w:t>(1994).Total</w:t>
      </w:r>
      <w:r>
        <w:rPr>
          <w:spacing w:val="-3"/>
          <w:sz w:val="24"/>
        </w:rPr>
        <w:t> </w:t>
      </w:r>
      <w:r>
        <w:rPr>
          <w:sz w:val="24"/>
        </w:rPr>
        <w:t>Quality</w:t>
      </w:r>
      <w:r>
        <w:rPr>
          <w:spacing w:val="-8"/>
          <w:sz w:val="24"/>
        </w:rPr>
        <w:t> </w:t>
      </w:r>
      <w:r>
        <w:rPr>
          <w:sz w:val="24"/>
        </w:rPr>
        <w:t>Management</w:t>
      </w:r>
      <w:r>
        <w:rPr>
          <w:spacing w:val="-3"/>
          <w:sz w:val="24"/>
        </w:rPr>
        <w:t> </w:t>
      </w:r>
      <w:r>
        <w:rPr>
          <w:sz w:val="24"/>
        </w:rPr>
        <w:t>The</w:t>
      </w:r>
      <w:r>
        <w:rPr>
          <w:spacing w:val="-4"/>
          <w:sz w:val="24"/>
        </w:rPr>
        <w:t> </w:t>
      </w:r>
      <w:r>
        <w:rPr>
          <w:sz w:val="24"/>
        </w:rPr>
        <w:t>route</w:t>
      </w:r>
      <w:r>
        <w:rPr>
          <w:spacing w:val="-4"/>
          <w:sz w:val="24"/>
        </w:rPr>
        <w:t> </w:t>
      </w:r>
      <w:r>
        <w:rPr>
          <w:sz w:val="24"/>
        </w:rPr>
        <w:t>to</w:t>
      </w:r>
      <w:r>
        <w:rPr>
          <w:spacing w:val="-3"/>
          <w:sz w:val="24"/>
        </w:rPr>
        <w:t> </w:t>
      </w:r>
      <w:r>
        <w:rPr>
          <w:sz w:val="24"/>
        </w:rPr>
        <w:t>improving</w:t>
      </w:r>
      <w:r>
        <w:rPr>
          <w:spacing w:val="-6"/>
          <w:sz w:val="24"/>
        </w:rPr>
        <w:t> </w:t>
      </w:r>
      <w:r>
        <w:rPr>
          <w:sz w:val="24"/>
        </w:rPr>
        <w:t>performance</w:t>
      </w:r>
      <w:r>
        <w:rPr>
          <w:spacing w:val="-4"/>
          <w:sz w:val="24"/>
        </w:rPr>
        <w:t> </w:t>
      </w:r>
      <w:r>
        <w:rPr>
          <w:sz w:val="24"/>
        </w:rPr>
        <w:t>2nd</w:t>
      </w:r>
      <w:r>
        <w:rPr>
          <w:spacing w:val="-2"/>
          <w:sz w:val="24"/>
        </w:rPr>
        <w:t> </w:t>
      </w:r>
      <w:r>
        <w:rPr>
          <w:sz w:val="24"/>
        </w:rPr>
        <w:t>edition</w:t>
      </w:r>
    </w:p>
    <w:p>
      <w:pPr>
        <w:spacing w:before="3"/>
        <w:ind w:left="1211" w:right="1320" w:hanging="812"/>
        <w:jc w:val="both"/>
        <w:rPr>
          <w:sz w:val="24"/>
        </w:rPr>
      </w:pPr>
      <w:r>
        <w:rPr>
          <w:sz w:val="24"/>
        </w:rPr>
        <w:t>Oakland, J. (2003) </w:t>
      </w:r>
      <w:r>
        <w:rPr>
          <w:i/>
          <w:sz w:val="24"/>
        </w:rPr>
        <w:t>Total Quality Management: Text with cases</w:t>
      </w:r>
      <w:r>
        <w:rPr>
          <w:sz w:val="24"/>
        </w:rPr>
        <w:t>. (3rd ed). Butterworth Heinemann: Oxford.</w:t>
      </w:r>
    </w:p>
    <w:p>
      <w:pPr>
        <w:pStyle w:val="BodyText"/>
        <w:spacing w:before="84"/>
      </w:pPr>
    </w:p>
    <w:p>
      <w:pPr>
        <w:pStyle w:val="BodyText"/>
        <w:ind w:left="1211" w:right="1318" w:hanging="812"/>
        <w:jc w:val="both"/>
      </w:pPr>
      <w:r>
        <w:rPr/>
        <w:t>Oakland, J.S. (2000) Total Quality Management-Text with Cases, 2nded, Butterworth </w:t>
      </w:r>
      <w:r>
        <w:rPr>
          <w:spacing w:val="-2"/>
        </w:rPr>
        <w:t>Heinemann.</w:t>
      </w:r>
    </w:p>
    <w:p>
      <w:pPr>
        <w:pStyle w:val="BodyText"/>
        <w:spacing w:before="84"/>
      </w:pPr>
    </w:p>
    <w:p>
      <w:pPr>
        <w:spacing w:before="0"/>
        <w:ind w:left="1211" w:right="1316" w:hanging="812"/>
        <w:jc w:val="both"/>
        <w:rPr>
          <w:i/>
          <w:sz w:val="24"/>
        </w:rPr>
      </w:pPr>
      <w:r>
        <w:rPr>
          <w:sz w:val="24"/>
        </w:rPr>
        <w:t>Odediran, S.J; Adeyinka, B.F; Opatunji, O.A; &amp; Morakinyo, K.O. (2012) Business Structure of Indigenous Firms in the Nigerian Construction Industry. </w:t>
      </w:r>
      <w:r>
        <w:rPr>
          <w:i/>
          <w:sz w:val="24"/>
        </w:rPr>
        <w:t>International Journal of Business Research and Management (ijbrm), 3(5), 255-264</w:t>
      </w:r>
    </w:p>
    <w:p>
      <w:pPr>
        <w:spacing w:after="0"/>
        <w:jc w:val="both"/>
        <w:rPr>
          <w:sz w:val="24"/>
        </w:rPr>
        <w:sectPr>
          <w:pgSz w:w="12240" w:h="15840"/>
          <w:pgMar w:header="0" w:footer="1017" w:top="1360" w:bottom="1200" w:left="1040" w:right="120"/>
        </w:sectPr>
      </w:pPr>
    </w:p>
    <w:p>
      <w:pPr>
        <w:pStyle w:val="BodyText"/>
        <w:spacing w:before="72"/>
        <w:ind w:left="1211" w:right="1316" w:hanging="812"/>
        <w:jc w:val="both"/>
      </w:pPr>
      <w:r>
        <w:rPr/>
        <w:t>Ogbebor, P.O. (2002). Enhancing Indigenous Construction Industry as a National Goal in Nigerian Development. In I. Akintunde (Ed.), The Nigerian Construction Industry: Past, Present, Problems and Prospects (pp.230-239). Ibadan: Ibadan University Printery.</w:t>
      </w:r>
    </w:p>
    <w:p>
      <w:pPr>
        <w:pStyle w:val="BodyText"/>
        <w:spacing w:before="84"/>
      </w:pPr>
    </w:p>
    <w:p>
      <w:pPr>
        <w:pStyle w:val="BodyText"/>
        <w:ind w:left="400"/>
      </w:pPr>
      <w:r>
        <w:rPr/>
        <w:t>Okereke,</w:t>
      </w:r>
      <w:r>
        <w:rPr>
          <w:spacing w:val="15"/>
        </w:rPr>
        <w:t> </w:t>
      </w:r>
      <w:r>
        <w:rPr/>
        <w:t>P.A.</w:t>
      </w:r>
      <w:r>
        <w:rPr>
          <w:spacing w:val="18"/>
        </w:rPr>
        <w:t> </w:t>
      </w:r>
      <w:r>
        <w:rPr/>
        <w:t>(2003):</w:t>
      </w:r>
      <w:r>
        <w:rPr>
          <w:spacing w:val="17"/>
        </w:rPr>
        <w:t> </w:t>
      </w:r>
      <w:r>
        <w:rPr/>
        <w:t>Construction</w:t>
      </w:r>
      <w:r>
        <w:rPr>
          <w:spacing w:val="18"/>
        </w:rPr>
        <w:t> </w:t>
      </w:r>
      <w:r>
        <w:rPr/>
        <w:t>Materials</w:t>
      </w:r>
      <w:r>
        <w:rPr>
          <w:spacing w:val="18"/>
        </w:rPr>
        <w:t> </w:t>
      </w:r>
      <w:r>
        <w:rPr/>
        <w:t>Testing</w:t>
      </w:r>
      <w:r>
        <w:rPr>
          <w:spacing w:val="14"/>
        </w:rPr>
        <w:t> </w:t>
      </w:r>
      <w:r>
        <w:rPr/>
        <w:t>and</w:t>
      </w:r>
      <w:r>
        <w:rPr>
          <w:spacing w:val="18"/>
        </w:rPr>
        <w:t> </w:t>
      </w:r>
      <w:r>
        <w:rPr/>
        <w:t>Quality</w:t>
      </w:r>
      <w:r>
        <w:rPr>
          <w:spacing w:val="13"/>
        </w:rPr>
        <w:t> </w:t>
      </w:r>
      <w:r>
        <w:rPr/>
        <w:t>Control</w:t>
      </w:r>
      <w:r>
        <w:rPr>
          <w:spacing w:val="17"/>
        </w:rPr>
        <w:t> </w:t>
      </w:r>
      <w:r>
        <w:rPr/>
        <w:t>in</w:t>
      </w:r>
      <w:r>
        <w:rPr>
          <w:spacing w:val="18"/>
        </w:rPr>
        <w:t> </w:t>
      </w:r>
      <w:r>
        <w:rPr/>
        <w:t>Tropical</w:t>
      </w:r>
      <w:r>
        <w:rPr>
          <w:spacing w:val="18"/>
        </w:rPr>
        <w:t> </w:t>
      </w:r>
      <w:r>
        <w:rPr>
          <w:spacing w:val="-2"/>
        </w:rPr>
        <w:t>Climate.</w:t>
      </w:r>
    </w:p>
    <w:p>
      <w:pPr>
        <w:pStyle w:val="BodyText"/>
        <w:ind w:left="1211"/>
      </w:pPr>
      <w:r>
        <w:rPr/>
        <w:t>Cown</w:t>
      </w:r>
      <w:r>
        <w:rPr>
          <w:spacing w:val="-4"/>
        </w:rPr>
        <w:t> </w:t>
      </w:r>
      <w:r>
        <w:rPr/>
        <w:t>Publishers</w:t>
      </w:r>
      <w:r>
        <w:rPr>
          <w:spacing w:val="-1"/>
        </w:rPr>
        <w:t> </w:t>
      </w:r>
      <w:r>
        <w:rPr/>
        <w:t>Limited,</w:t>
      </w:r>
      <w:r>
        <w:rPr>
          <w:spacing w:val="-3"/>
        </w:rPr>
        <w:t> </w:t>
      </w:r>
      <w:r>
        <w:rPr>
          <w:spacing w:val="-2"/>
        </w:rPr>
        <w:t>Owerri.</w:t>
      </w:r>
    </w:p>
    <w:p>
      <w:pPr>
        <w:pStyle w:val="BodyText"/>
        <w:spacing w:before="84"/>
      </w:pPr>
    </w:p>
    <w:p>
      <w:pPr>
        <w:pStyle w:val="BodyText"/>
        <w:ind w:left="1211" w:right="1317" w:hanging="812"/>
        <w:jc w:val="both"/>
      </w:pPr>
      <w:r>
        <w:rPr/>
        <w:t>Okolie, K.C. (2011). Performance</w:t>
      </w:r>
      <w:r>
        <w:rPr>
          <w:spacing w:val="-1"/>
        </w:rPr>
        <w:t> </w:t>
      </w:r>
      <w:r>
        <w:rPr/>
        <w:t>Evaluation of Buildings in Educational Institutions: A Case</w:t>
      </w:r>
      <w:r>
        <w:rPr>
          <w:spacing w:val="-1"/>
        </w:rPr>
        <w:t> </w:t>
      </w:r>
      <w:r>
        <w:rPr/>
        <w:t>of Universities in South-East Nigeria.A PhD thesis submitted to Nelson Mandela Metropolitan University, Port Elizabeth South Africa.</w:t>
      </w:r>
    </w:p>
    <w:p>
      <w:pPr>
        <w:pStyle w:val="BodyText"/>
        <w:spacing w:before="84"/>
      </w:pPr>
    </w:p>
    <w:p>
      <w:pPr>
        <w:pStyle w:val="BodyText"/>
        <w:ind w:left="1211" w:right="1318" w:hanging="812"/>
        <w:jc w:val="both"/>
      </w:pPr>
      <w:r>
        <w:rPr/>
        <w:t>Okuntade .T. F. (2015) Barriers and Benefits of Total Quality Management in the Nigerian Construction Industry: A review International </w:t>
      </w:r>
      <w:r>
        <w:rPr>
          <w:i/>
        </w:rPr>
        <w:t>Journal of Engineering Works </w:t>
      </w:r>
      <w:r>
        <w:rPr/>
        <w:t>Kambohwell Publisher Enterprises ISSN: 2409-2770. l2(1), 7-13.</w:t>
      </w:r>
      <w:r>
        <w:rPr>
          <w:spacing w:val="40"/>
        </w:rPr>
        <w:t> </w:t>
      </w:r>
      <w:hyperlink r:id="rId53">
        <w:r>
          <w:rPr>
            <w:spacing w:val="-2"/>
          </w:rPr>
          <w:t>www.kwpublisher.com</w:t>
        </w:r>
      </w:hyperlink>
    </w:p>
    <w:p>
      <w:pPr>
        <w:pStyle w:val="BodyText"/>
        <w:spacing w:before="84"/>
      </w:pPr>
    </w:p>
    <w:p>
      <w:pPr>
        <w:pStyle w:val="BodyText"/>
        <w:ind w:left="1211" w:right="1321" w:hanging="812"/>
        <w:jc w:val="both"/>
      </w:pPr>
      <w:r>
        <w:rPr/>
        <w:t>Oladapo, I.O.(2017) Article IABSE reports of the working commissions: Retrieved from</w:t>
      </w:r>
      <w:hyperlink r:id="rId54">
        <w:r>
          <w:rPr>
            <w:color w:val="0000FF"/>
            <w:u w:val="single" w:color="0000FF"/>
          </w:rPr>
          <w:t>http://doi.org/10.5169/seals-21509</w:t>
        </w:r>
        <w:r>
          <w:rPr/>
          <w:t>.</w:t>
        </w:r>
      </w:hyperlink>
      <w:r>
        <w:rPr/>
        <w:t> Accessed 30/12/17</w:t>
      </w:r>
    </w:p>
    <w:p>
      <w:pPr>
        <w:pStyle w:val="BodyText"/>
        <w:spacing w:before="84"/>
      </w:pPr>
    </w:p>
    <w:p>
      <w:pPr>
        <w:spacing w:before="0"/>
        <w:ind w:left="1211" w:right="1318" w:hanging="812"/>
        <w:jc w:val="both"/>
        <w:rPr>
          <w:sz w:val="24"/>
        </w:rPr>
      </w:pPr>
      <w:r>
        <w:rPr>
          <w:sz w:val="24"/>
        </w:rPr>
        <w:t>Olateju,</w:t>
      </w:r>
      <w:r>
        <w:rPr>
          <w:spacing w:val="-2"/>
          <w:sz w:val="24"/>
        </w:rPr>
        <w:t> </w:t>
      </w:r>
      <w:r>
        <w:rPr>
          <w:sz w:val="24"/>
        </w:rPr>
        <w:t>B.</w:t>
      </w:r>
      <w:r>
        <w:rPr>
          <w:spacing w:val="-2"/>
          <w:sz w:val="24"/>
        </w:rPr>
        <w:t> </w:t>
      </w:r>
      <w:r>
        <w:rPr>
          <w:sz w:val="24"/>
        </w:rPr>
        <w:t>(1991).</w:t>
      </w:r>
      <w:r>
        <w:rPr>
          <w:spacing w:val="-2"/>
          <w:sz w:val="24"/>
        </w:rPr>
        <w:t> </w:t>
      </w:r>
      <w:r>
        <w:rPr>
          <w:sz w:val="24"/>
        </w:rPr>
        <w:t>Enhancing</w:t>
      </w:r>
      <w:r>
        <w:rPr>
          <w:spacing w:val="-4"/>
          <w:sz w:val="24"/>
        </w:rPr>
        <w:t> </w:t>
      </w:r>
      <w:r>
        <w:rPr>
          <w:sz w:val="24"/>
        </w:rPr>
        <w:t>the</w:t>
      </w:r>
      <w:r>
        <w:rPr>
          <w:spacing w:val="-1"/>
          <w:sz w:val="24"/>
        </w:rPr>
        <w:t> </w:t>
      </w:r>
      <w:r>
        <w:rPr>
          <w:sz w:val="24"/>
        </w:rPr>
        <w:t>contract</w:t>
      </w:r>
      <w:r>
        <w:rPr>
          <w:spacing w:val="-2"/>
          <w:sz w:val="24"/>
        </w:rPr>
        <w:t> </w:t>
      </w:r>
      <w:r>
        <w:rPr>
          <w:sz w:val="24"/>
        </w:rPr>
        <w:t>management</w:t>
      </w:r>
      <w:r>
        <w:rPr>
          <w:spacing w:val="-2"/>
          <w:sz w:val="24"/>
        </w:rPr>
        <w:t> </w:t>
      </w:r>
      <w:r>
        <w:rPr>
          <w:sz w:val="24"/>
        </w:rPr>
        <w:t>capabilities</w:t>
      </w:r>
      <w:r>
        <w:rPr>
          <w:spacing w:val="-2"/>
          <w:sz w:val="24"/>
        </w:rPr>
        <w:t> </w:t>
      </w:r>
      <w:r>
        <w:rPr>
          <w:sz w:val="24"/>
        </w:rPr>
        <w:t>of</w:t>
      </w:r>
      <w:r>
        <w:rPr>
          <w:spacing w:val="-3"/>
          <w:sz w:val="24"/>
        </w:rPr>
        <w:t> </w:t>
      </w:r>
      <w:r>
        <w:rPr>
          <w:sz w:val="24"/>
        </w:rPr>
        <w:t>the indigenous</w:t>
      </w:r>
      <w:r>
        <w:rPr>
          <w:spacing w:val="-2"/>
          <w:sz w:val="24"/>
        </w:rPr>
        <w:t> </w:t>
      </w:r>
      <w:r>
        <w:rPr>
          <w:sz w:val="24"/>
        </w:rPr>
        <w:t>contractor. </w:t>
      </w:r>
      <w:r>
        <w:rPr>
          <w:i/>
          <w:sz w:val="24"/>
        </w:rPr>
        <w:t>Effective Contract Management in the Construction Industry. </w:t>
      </w:r>
      <w:r>
        <w:rPr>
          <w:sz w:val="24"/>
        </w:rPr>
        <w:t>Lagos, Nigeria: Nigerian Institute of Building, 132–142.</w:t>
      </w:r>
    </w:p>
    <w:p>
      <w:pPr>
        <w:pStyle w:val="BodyText"/>
        <w:spacing w:before="84"/>
      </w:pPr>
    </w:p>
    <w:p>
      <w:pPr>
        <w:pStyle w:val="BodyText"/>
        <w:ind w:left="1211" w:right="1320" w:hanging="812"/>
        <w:jc w:val="both"/>
      </w:pPr>
      <w:r>
        <w:rPr/>
        <w:t>Omachonu, V., &amp; Ross, J., (1994), Principles of Total Quality. St Lucie Press, Delray Beach,</w:t>
      </w:r>
      <w:r>
        <w:rPr>
          <w:spacing w:val="80"/>
        </w:rPr>
        <w:t> </w:t>
      </w:r>
      <w:r>
        <w:rPr>
          <w:spacing w:val="-4"/>
        </w:rPr>
        <w:t>Fla.</w:t>
      </w:r>
    </w:p>
    <w:p>
      <w:pPr>
        <w:pStyle w:val="BodyText"/>
        <w:spacing w:before="84"/>
      </w:pPr>
    </w:p>
    <w:p>
      <w:pPr>
        <w:pStyle w:val="BodyText"/>
        <w:ind w:left="1211" w:right="1318" w:hanging="812"/>
        <w:jc w:val="both"/>
      </w:pPr>
      <w:r>
        <w:rPr/>
        <w:t>Onugu, B. A. N. (2005): Small and Medium Enterprises (SMEs) in Nigeria: Problems and Prospects”. St. Clements University Dissertations and Theses, in </w:t>
      </w:r>
      <w:r>
        <w:rPr>
          <w:spacing w:val="-2"/>
        </w:rPr>
        <w:t>(</w:t>
      </w:r>
      <w:hyperlink r:id="rId55">
        <w:r>
          <w:rPr>
            <w:spacing w:val="-2"/>
          </w:rPr>
          <w:t>http://stclements.edu/grad/gradonug.pdf).</w:t>
        </w:r>
      </w:hyperlink>
    </w:p>
    <w:p>
      <w:pPr>
        <w:pStyle w:val="BodyText"/>
        <w:spacing w:before="84"/>
      </w:pPr>
    </w:p>
    <w:p>
      <w:pPr>
        <w:spacing w:before="0"/>
        <w:ind w:left="1211" w:right="1316" w:hanging="812"/>
        <w:jc w:val="both"/>
        <w:rPr>
          <w:i/>
          <w:sz w:val="24"/>
        </w:rPr>
      </w:pPr>
      <w:r>
        <w:rPr>
          <w:sz w:val="24"/>
        </w:rPr>
        <w:t>Ooi, K.-B., Bakar, N. A., Arumugam, V., Vellapan, L., &amp; Loke, A.K.Y. (2007). Does TQM Influence Employees’ Job Satisfaction? An Empirical Case Analysis. </w:t>
      </w:r>
      <w:r>
        <w:rPr>
          <w:i/>
          <w:sz w:val="24"/>
        </w:rPr>
        <w:t>International Journal of Quality and Reliability Management, 24 (1), 62-77.</w:t>
      </w:r>
    </w:p>
    <w:p>
      <w:pPr>
        <w:pStyle w:val="BodyText"/>
        <w:spacing w:before="84"/>
        <w:rPr>
          <w:i/>
        </w:rPr>
      </w:pPr>
    </w:p>
    <w:p>
      <w:pPr>
        <w:pStyle w:val="BodyText"/>
        <w:ind w:left="400"/>
      </w:pPr>
      <w:r>
        <w:rPr/>
        <w:t>O‟Regan</w:t>
      </w:r>
      <w:r>
        <w:rPr>
          <w:spacing w:val="72"/>
        </w:rPr>
        <w:t> </w:t>
      </w:r>
      <w:r>
        <w:rPr/>
        <w:t>N.,</w:t>
      </w:r>
      <w:r>
        <w:rPr>
          <w:spacing w:val="71"/>
        </w:rPr>
        <w:t> </w:t>
      </w:r>
      <w:r>
        <w:rPr/>
        <w:t>Ghobadian</w:t>
      </w:r>
      <w:r>
        <w:rPr>
          <w:spacing w:val="70"/>
        </w:rPr>
        <w:t> </w:t>
      </w:r>
      <w:r>
        <w:rPr/>
        <w:t>A.</w:t>
      </w:r>
      <w:r>
        <w:rPr>
          <w:spacing w:val="71"/>
        </w:rPr>
        <w:t> </w:t>
      </w:r>
      <w:r>
        <w:rPr/>
        <w:t>(2005):</w:t>
      </w:r>
      <w:r>
        <w:rPr>
          <w:spacing w:val="70"/>
        </w:rPr>
        <w:t> </w:t>
      </w:r>
      <w:r>
        <w:rPr/>
        <w:t>Strategic</w:t>
      </w:r>
      <w:r>
        <w:rPr>
          <w:spacing w:val="74"/>
        </w:rPr>
        <w:t> </w:t>
      </w:r>
      <w:r>
        <w:rPr/>
        <w:t>Planning:</w:t>
      </w:r>
      <w:r>
        <w:rPr>
          <w:spacing w:val="71"/>
        </w:rPr>
        <w:t> </w:t>
      </w:r>
      <w:r>
        <w:rPr/>
        <w:t>A</w:t>
      </w:r>
      <w:r>
        <w:rPr>
          <w:spacing w:val="69"/>
        </w:rPr>
        <w:t> </w:t>
      </w:r>
      <w:r>
        <w:rPr/>
        <w:t>Comparison</w:t>
      </w:r>
      <w:r>
        <w:rPr>
          <w:spacing w:val="71"/>
        </w:rPr>
        <w:t> </w:t>
      </w:r>
      <w:r>
        <w:rPr/>
        <w:t>of</w:t>
      </w:r>
      <w:r>
        <w:rPr>
          <w:spacing w:val="69"/>
        </w:rPr>
        <w:t> </w:t>
      </w:r>
      <w:r>
        <w:rPr/>
        <w:t>High</w:t>
      </w:r>
      <w:r>
        <w:rPr>
          <w:spacing w:val="73"/>
        </w:rPr>
        <w:t> </w:t>
      </w:r>
      <w:r>
        <w:rPr/>
        <w:t>and</w:t>
      </w:r>
      <w:r>
        <w:rPr>
          <w:spacing w:val="73"/>
        </w:rPr>
        <w:t> </w:t>
      </w:r>
      <w:r>
        <w:rPr>
          <w:spacing w:val="-5"/>
        </w:rPr>
        <w:t>Low</w:t>
      </w:r>
    </w:p>
    <w:p>
      <w:pPr>
        <w:pStyle w:val="BodyText"/>
        <w:ind w:left="1211"/>
      </w:pPr>
      <w:r>
        <w:rPr/>
        <w:t>Manufacturing</w:t>
      </w:r>
      <w:r>
        <w:rPr>
          <w:spacing w:val="-2"/>
        </w:rPr>
        <w:t> </w:t>
      </w:r>
      <w:r>
        <w:rPr/>
        <w:t>Firms,</w:t>
      </w:r>
      <w:r>
        <w:rPr>
          <w:spacing w:val="-2"/>
        </w:rPr>
        <w:t> </w:t>
      </w:r>
      <w:r>
        <w:rPr/>
        <w:t>Technovation,</w:t>
      </w:r>
      <w:r>
        <w:rPr>
          <w:spacing w:val="-2"/>
        </w:rPr>
        <w:t> </w:t>
      </w:r>
      <w:r>
        <w:rPr/>
        <w:t>25</w:t>
      </w:r>
      <w:r>
        <w:rPr>
          <w:spacing w:val="-2"/>
        </w:rPr>
        <w:t> </w:t>
      </w:r>
      <w:r>
        <w:rPr/>
        <w:t>(10),</w:t>
      </w:r>
      <w:r>
        <w:rPr>
          <w:spacing w:val="-2"/>
        </w:rPr>
        <w:t> 1107–111</w:t>
      </w:r>
    </w:p>
    <w:p>
      <w:pPr>
        <w:pStyle w:val="BodyText"/>
        <w:spacing w:before="84"/>
      </w:pPr>
    </w:p>
    <w:p>
      <w:pPr>
        <w:pStyle w:val="BodyText"/>
        <w:spacing w:before="1"/>
        <w:ind w:left="1211" w:right="1318" w:hanging="812"/>
        <w:jc w:val="both"/>
      </w:pPr>
      <w:r>
        <w:rPr/>
        <w:t>Organisation for Economic Cooperation and Development (OECD). (2006) African Economic Outlook: 2006/07. World Bank, Washington DC ISBN: 9789264022447 (PDF); 9789264022430 (print)</w:t>
      </w:r>
    </w:p>
    <w:p>
      <w:pPr>
        <w:spacing w:after="0"/>
        <w:jc w:val="both"/>
        <w:sectPr>
          <w:pgSz w:w="12240" w:h="15840"/>
          <w:pgMar w:header="0" w:footer="1017" w:top="1360" w:bottom="1200" w:left="1040" w:right="120"/>
        </w:sectPr>
      </w:pPr>
    </w:p>
    <w:p>
      <w:pPr>
        <w:pStyle w:val="BodyText"/>
        <w:spacing w:before="72"/>
        <w:ind w:left="1211" w:right="1317" w:hanging="812"/>
        <w:jc w:val="both"/>
      </w:pPr>
      <w:r>
        <w:rPr/>
        <w:t>Oseni,</w:t>
      </w:r>
      <w:r>
        <w:rPr>
          <w:spacing w:val="-3"/>
        </w:rPr>
        <w:t> </w:t>
      </w:r>
      <w:r>
        <w:rPr/>
        <w:t>F.</w:t>
      </w:r>
      <w:r>
        <w:rPr>
          <w:spacing w:val="-1"/>
        </w:rPr>
        <w:t> </w:t>
      </w:r>
      <w:r>
        <w:rPr/>
        <w:t>A.</w:t>
      </w:r>
      <w:r>
        <w:rPr>
          <w:spacing w:val="-3"/>
        </w:rPr>
        <w:t> </w:t>
      </w:r>
      <w:r>
        <w:rPr/>
        <w:t>(2002).</w:t>
      </w:r>
      <w:r>
        <w:rPr>
          <w:spacing w:val="-3"/>
        </w:rPr>
        <w:t> </w:t>
      </w:r>
      <w:r>
        <w:rPr/>
        <w:t>Need</w:t>
      </w:r>
      <w:r>
        <w:rPr>
          <w:spacing w:val="-3"/>
        </w:rPr>
        <w:t> </w:t>
      </w:r>
      <w:r>
        <w:rPr/>
        <w:t>to</w:t>
      </w:r>
      <w:r>
        <w:rPr>
          <w:spacing w:val="-3"/>
        </w:rPr>
        <w:t> </w:t>
      </w:r>
      <w:r>
        <w:rPr/>
        <w:t>Revive</w:t>
      </w:r>
      <w:r>
        <w:rPr>
          <w:spacing w:val="-4"/>
        </w:rPr>
        <w:t> </w:t>
      </w:r>
      <w:r>
        <w:rPr/>
        <w:t>Our</w:t>
      </w:r>
      <w:r>
        <w:rPr>
          <w:spacing w:val="-2"/>
        </w:rPr>
        <w:t> </w:t>
      </w:r>
      <w:r>
        <w:rPr/>
        <w:t>National</w:t>
      </w:r>
      <w:r>
        <w:rPr>
          <w:spacing w:val="-1"/>
        </w:rPr>
        <w:t> </w:t>
      </w:r>
      <w:r>
        <w:rPr/>
        <w:t>Development</w:t>
      </w:r>
      <w:r>
        <w:rPr>
          <w:spacing w:val="-3"/>
        </w:rPr>
        <w:t> </w:t>
      </w:r>
      <w:r>
        <w:rPr/>
        <w:t>Plans.</w:t>
      </w:r>
      <w:r>
        <w:rPr>
          <w:spacing w:val="-1"/>
        </w:rPr>
        <w:t> </w:t>
      </w:r>
      <w:r>
        <w:rPr/>
        <w:t>In I.</w:t>
      </w:r>
      <w:r>
        <w:rPr>
          <w:spacing w:val="-1"/>
        </w:rPr>
        <w:t> </w:t>
      </w:r>
      <w:r>
        <w:rPr/>
        <w:t>Akintunde</w:t>
      </w:r>
      <w:r>
        <w:rPr>
          <w:spacing w:val="-4"/>
        </w:rPr>
        <w:t> </w:t>
      </w:r>
      <w:r>
        <w:rPr/>
        <w:t>(Ed.),</w:t>
      </w:r>
      <w:r>
        <w:rPr>
          <w:spacing w:val="-1"/>
        </w:rPr>
        <w:t> </w:t>
      </w:r>
      <w:r>
        <w:rPr>
          <w:i/>
        </w:rPr>
        <w:t>The Nigerian Construction Industry</w:t>
      </w:r>
      <w:r>
        <w:rPr/>
        <w:t>: Past, Present, Problems and Prospects (pp.17- 55).Ibadan: Ibadan University Printery.</w:t>
      </w:r>
    </w:p>
    <w:p>
      <w:pPr>
        <w:pStyle w:val="BodyText"/>
        <w:spacing w:before="84"/>
      </w:pPr>
    </w:p>
    <w:p>
      <w:pPr>
        <w:pStyle w:val="BodyText"/>
        <w:ind w:right="919"/>
        <w:jc w:val="center"/>
      </w:pPr>
      <w:r>
        <w:rPr/>
        <w:t>Oyelaran-Oyeyinka,</w:t>
      </w:r>
      <w:r>
        <w:rPr>
          <w:spacing w:val="-1"/>
        </w:rPr>
        <w:t> </w:t>
      </w:r>
      <w:r>
        <w:rPr/>
        <w:t>B.</w:t>
      </w:r>
      <w:r>
        <w:rPr>
          <w:spacing w:val="5"/>
        </w:rPr>
        <w:t> </w:t>
      </w:r>
      <w:r>
        <w:rPr/>
        <w:t>(2003):</w:t>
      </w:r>
      <w:r>
        <w:rPr>
          <w:spacing w:val="3"/>
        </w:rPr>
        <w:t> </w:t>
      </w:r>
      <w:r>
        <w:rPr/>
        <w:t>Financing</w:t>
      </w:r>
      <w:r>
        <w:rPr>
          <w:spacing w:val="2"/>
        </w:rPr>
        <w:t> </w:t>
      </w:r>
      <w:r>
        <w:rPr/>
        <w:t>and</w:t>
      </w:r>
      <w:r>
        <w:rPr>
          <w:spacing w:val="2"/>
        </w:rPr>
        <w:t> </w:t>
      </w:r>
      <w:r>
        <w:rPr/>
        <w:t>Development</w:t>
      </w:r>
      <w:r>
        <w:rPr>
          <w:spacing w:val="3"/>
        </w:rPr>
        <w:t> </w:t>
      </w:r>
      <w:r>
        <w:rPr/>
        <w:t>of</w:t>
      </w:r>
      <w:r>
        <w:rPr>
          <w:spacing w:val="2"/>
        </w:rPr>
        <w:t> </w:t>
      </w:r>
      <w:r>
        <w:rPr/>
        <w:t>Small-scale</w:t>
      </w:r>
      <w:r>
        <w:rPr>
          <w:spacing w:val="4"/>
        </w:rPr>
        <w:t> </w:t>
      </w:r>
      <w:r>
        <w:rPr/>
        <w:t>Industries</w:t>
      </w:r>
      <w:r>
        <w:rPr>
          <w:spacing w:val="3"/>
        </w:rPr>
        <w:t> </w:t>
      </w:r>
      <w:r>
        <w:rPr/>
        <w:t>in</w:t>
      </w:r>
      <w:r>
        <w:rPr>
          <w:spacing w:val="2"/>
        </w:rPr>
        <w:t> </w:t>
      </w:r>
      <w:r>
        <w:rPr>
          <w:spacing w:val="-2"/>
        </w:rPr>
        <w:t>Nigeria.</w:t>
      </w:r>
    </w:p>
    <w:p>
      <w:pPr>
        <w:pStyle w:val="BodyText"/>
        <w:ind w:left="1211"/>
        <w:jc w:val="both"/>
      </w:pPr>
      <w:r>
        <w:rPr/>
        <w:t>Central</w:t>
      </w:r>
      <w:r>
        <w:rPr>
          <w:spacing w:val="-4"/>
        </w:rPr>
        <w:t> </w:t>
      </w:r>
      <w:r>
        <w:rPr/>
        <w:t>Bank</w:t>
      </w:r>
      <w:r>
        <w:rPr>
          <w:spacing w:val="-2"/>
        </w:rPr>
        <w:t> </w:t>
      </w:r>
      <w:r>
        <w:rPr/>
        <w:t>of</w:t>
      </w:r>
      <w:r>
        <w:rPr>
          <w:spacing w:val="-3"/>
        </w:rPr>
        <w:t> </w:t>
      </w:r>
      <w:r>
        <w:rPr/>
        <w:t>Nigeria</w:t>
      </w:r>
      <w:r>
        <w:rPr>
          <w:spacing w:val="-1"/>
        </w:rPr>
        <w:t> </w:t>
      </w:r>
      <w:r>
        <w:rPr/>
        <w:t>Economic</w:t>
      </w:r>
      <w:r>
        <w:rPr>
          <w:spacing w:val="-3"/>
        </w:rPr>
        <w:t> </w:t>
      </w:r>
      <w:r>
        <w:rPr/>
        <w:t>and</w:t>
      </w:r>
      <w:r>
        <w:rPr>
          <w:spacing w:val="-2"/>
        </w:rPr>
        <w:t> </w:t>
      </w:r>
      <w:r>
        <w:rPr/>
        <w:t>Financial Review.</w:t>
      </w:r>
      <w:r>
        <w:rPr>
          <w:spacing w:val="-2"/>
        </w:rPr>
        <w:t> 24(4).</w:t>
      </w:r>
    </w:p>
    <w:p>
      <w:pPr>
        <w:pStyle w:val="BodyText"/>
        <w:spacing w:before="84"/>
      </w:pPr>
    </w:p>
    <w:p>
      <w:pPr>
        <w:spacing w:before="0"/>
        <w:ind w:left="1211" w:right="1318" w:hanging="812"/>
        <w:jc w:val="both"/>
        <w:rPr>
          <w:sz w:val="24"/>
        </w:rPr>
      </w:pPr>
      <w:r>
        <w:rPr>
          <w:sz w:val="24"/>
        </w:rPr>
        <w:t>Oyelaran-Oyeyinka, B. (2012). SMEs: Issues, Challenges and Prospects. </w:t>
      </w:r>
      <w:r>
        <w:rPr>
          <w:i/>
          <w:sz w:val="24"/>
        </w:rPr>
        <w:t>International Conference on Financial Systems Strategy 2020</w:t>
      </w:r>
      <w:r>
        <w:rPr>
          <w:sz w:val="24"/>
        </w:rPr>
        <w:t>. United </w:t>
      </w:r>
      <w:r>
        <w:rPr>
          <w:spacing w:val="-2"/>
          <w:sz w:val="24"/>
        </w:rPr>
        <w:t>Nations,in(</w:t>
      </w:r>
      <w:hyperlink r:id="rId56">
        <w:r>
          <w:rPr>
            <w:color w:val="0000FF"/>
            <w:spacing w:val="-2"/>
            <w:sz w:val="24"/>
            <w:u w:val="single" w:color="0000FF"/>
          </w:rPr>
          <w:t>http://cenbank.org/fss/wed/SME_Issues</w:t>
        </w:r>
      </w:hyperlink>
      <w:r>
        <w:rPr>
          <w:spacing w:val="-2"/>
          <w:sz w:val="24"/>
        </w:rPr>
        <w:t>Challenges_and_Prospects_Oyeyinka</w:t>
      </w:r>
    </w:p>
    <w:p>
      <w:pPr>
        <w:pStyle w:val="BodyText"/>
        <w:ind w:left="1211"/>
        <w:jc w:val="both"/>
      </w:pPr>
      <w:r>
        <w:rPr/>
        <w:t>_Banji.pdf)</w:t>
      </w:r>
      <w:r>
        <w:rPr>
          <w:spacing w:val="-3"/>
        </w:rPr>
        <w:t> </w:t>
      </w:r>
      <w:r>
        <w:rPr/>
        <w:t>Accessed</w:t>
      </w:r>
      <w:r>
        <w:rPr>
          <w:spacing w:val="-3"/>
        </w:rPr>
        <w:t> </w:t>
      </w:r>
      <w:r>
        <w:rPr>
          <w:spacing w:val="-2"/>
        </w:rPr>
        <w:t>15/07/2014</w:t>
      </w:r>
    </w:p>
    <w:p>
      <w:pPr>
        <w:pStyle w:val="BodyText"/>
        <w:spacing w:before="84"/>
      </w:pPr>
    </w:p>
    <w:p>
      <w:pPr>
        <w:pStyle w:val="BodyText"/>
        <w:ind w:left="1211" w:right="1317" w:hanging="812"/>
        <w:jc w:val="both"/>
      </w:pPr>
      <w:r>
        <w:rPr/>
        <w:t>Palm, P. (2007). Closing the Loop: The Use of Post-Occupancy Evaluations in Real Estate Management. Stockholm: Kungliga Tekniska Hogskolan.</w:t>
      </w:r>
    </w:p>
    <w:p>
      <w:pPr>
        <w:pStyle w:val="BodyText"/>
        <w:spacing w:before="84"/>
      </w:pPr>
    </w:p>
    <w:p>
      <w:pPr>
        <w:pStyle w:val="BodyText"/>
        <w:ind w:left="400" w:right="1319"/>
        <w:jc w:val="center"/>
      </w:pPr>
      <w:r>
        <w:rPr/>
        <w:t>Peter</w:t>
      </w:r>
      <w:r>
        <w:rPr>
          <w:spacing w:val="-1"/>
        </w:rPr>
        <w:t> </w:t>
      </w:r>
      <w:r>
        <w:rPr/>
        <w:t>.F. (2001).The</w:t>
      </w:r>
      <w:r>
        <w:rPr>
          <w:spacing w:val="-1"/>
        </w:rPr>
        <w:t> </w:t>
      </w:r>
      <w:r>
        <w:rPr/>
        <w:t>role of</w:t>
      </w:r>
      <w:r>
        <w:rPr>
          <w:spacing w:val="-1"/>
        </w:rPr>
        <w:t> </w:t>
      </w:r>
      <w:r>
        <w:rPr/>
        <w:t>quality</w:t>
      </w:r>
      <w:r>
        <w:rPr>
          <w:spacing w:val="-5"/>
        </w:rPr>
        <w:t> </w:t>
      </w:r>
      <w:r>
        <w:rPr/>
        <w:t>in the</w:t>
      </w:r>
      <w:r>
        <w:rPr>
          <w:spacing w:val="-1"/>
        </w:rPr>
        <w:t> </w:t>
      </w:r>
      <w:r>
        <w:rPr/>
        <w:t>management of</w:t>
      </w:r>
      <w:r>
        <w:rPr>
          <w:spacing w:val="-1"/>
        </w:rPr>
        <w:t> </w:t>
      </w:r>
      <w:r>
        <w:rPr/>
        <w:t>projects. Thesis work in</w:t>
      </w:r>
      <w:r>
        <w:rPr>
          <w:spacing w:val="-9"/>
        </w:rPr>
        <w:t> </w:t>
      </w:r>
      <w:r>
        <w:rPr/>
        <w:t>Department of Management and Organization University of StirlingStirlingFK9 4LA, Scotland</w:t>
      </w:r>
    </w:p>
    <w:p>
      <w:pPr>
        <w:pStyle w:val="BodyText"/>
        <w:spacing w:before="84"/>
      </w:pPr>
    </w:p>
    <w:p>
      <w:pPr>
        <w:spacing w:before="0"/>
        <w:ind w:left="1211" w:right="1321" w:hanging="812"/>
        <w:jc w:val="both"/>
        <w:rPr>
          <w:sz w:val="24"/>
        </w:rPr>
      </w:pPr>
      <w:r>
        <w:rPr>
          <w:sz w:val="24"/>
        </w:rPr>
        <w:t>Pheng, L. S., &amp; Teo Ann, J (2004). Implementing Total Quality Management in Construction Firms. </w:t>
      </w:r>
      <w:r>
        <w:rPr>
          <w:i/>
          <w:sz w:val="24"/>
        </w:rPr>
        <w:t>Journal of Management in Engineering ASCE, 20</w:t>
      </w:r>
      <w:r>
        <w:rPr>
          <w:sz w:val="24"/>
        </w:rPr>
        <w:t>(1), 8-15.</w:t>
      </w:r>
    </w:p>
    <w:p>
      <w:pPr>
        <w:pStyle w:val="BodyText"/>
        <w:spacing w:before="84"/>
      </w:pPr>
    </w:p>
    <w:p>
      <w:pPr>
        <w:pStyle w:val="BodyText"/>
        <w:ind w:left="1211" w:right="1318" w:hanging="812"/>
        <w:jc w:val="both"/>
      </w:pPr>
      <w:r>
        <w:rPr/>
        <w:t>Pinhold,, J. (2008). The nature of new firms. [Online]. Rerieved from </w:t>
      </w:r>
      <w:hyperlink r:id="rId57">
        <w:r>
          <w:rPr>
            <w:spacing w:val="-2"/>
          </w:rPr>
          <w:t>http://commerce.massey.ac.nz/research-output/2002/20002022.pdf</w:t>
        </w:r>
      </w:hyperlink>
    </w:p>
    <w:p>
      <w:pPr>
        <w:pStyle w:val="BodyText"/>
        <w:spacing w:before="84"/>
      </w:pPr>
    </w:p>
    <w:p>
      <w:pPr>
        <w:spacing w:before="0"/>
        <w:ind w:left="1211" w:right="1320" w:hanging="812"/>
        <w:jc w:val="both"/>
        <w:rPr>
          <w:sz w:val="24"/>
        </w:rPr>
      </w:pPr>
      <w:r>
        <w:rPr>
          <w:sz w:val="24"/>
        </w:rPr>
        <w:t>Prajogo, D.I. (2005). The Comparative analysis of TQM Practices and Quality Performance Between Manufacturing and Service Firms. </w:t>
      </w:r>
      <w:r>
        <w:rPr>
          <w:i/>
          <w:sz w:val="24"/>
        </w:rPr>
        <w:t>International Journal of Service Industry Management, </w:t>
      </w:r>
      <w:r>
        <w:rPr>
          <w:sz w:val="24"/>
        </w:rPr>
        <w:t>Vol 16, 217–228.</w:t>
      </w:r>
    </w:p>
    <w:p>
      <w:pPr>
        <w:pStyle w:val="BodyText"/>
        <w:spacing w:before="84"/>
      </w:pPr>
    </w:p>
    <w:p>
      <w:pPr>
        <w:spacing w:before="0"/>
        <w:ind w:left="1211" w:right="1316" w:hanging="812"/>
        <w:jc w:val="both"/>
        <w:rPr>
          <w:sz w:val="24"/>
        </w:rPr>
      </w:pPr>
      <w:r>
        <w:rPr>
          <w:sz w:val="24"/>
        </w:rPr>
        <w:t>Prajogo, D. I., &amp; McDermott, C. M. (2005). The relationship between total quality management practices and organizational culture. </w:t>
      </w:r>
      <w:r>
        <w:rPr>
          <w:i/>
          <w:sz w:val="24"/>
        </w:rPr>
        <w:t>International Journal of Operations &amp; Production Management, </w:t>
      </w:r>
      <w:r>
        <w:rPr>
          <w:sz w:val="24"/>
        </w:rPr>
        <w:t>25(11), 1101-1122.</w:t>
      </w:r>
    </w:p>
    <w:p>
      <w:pPr>
        <w:pStyle w:val="BodyText"/>
        <w:spacing w:before="84"/>
      </w:pPr>
    </w:p>
    <w:p>
      <w:pPr>
        <w:pStyle w:val="BodyText"/>
        <w:tabs>
          <w:tab w:pos="782" w:val="left" w:leader="none"/>
          <w:tab w:pos="1672" w:val="left" w:leader="none"/>
          <w:tab w:pos="3093" w:val="left" w:leader="none"/>
          <w:tab w:pos="4084" w:val="left" w:leader="none"/>
          <w:tab w:pos="5035" w:val="left" w:leader="none"/>
          <w:tab w:pos="5879" w:val="left" w:leader="none"/>
          <w:tab w:pos="6587" w:val="left" w:leader="none"/>
          <w:tab w:pos="8005" w:val="left" w:leader="none"/>
        </w:tabs>
        <w:ind w:right="918"/>
        <w:jc w:val="center"/>
      </w:pPr>
      <w:r>
        <w:rPr>
          <w:spacing w:val="-2"/>
        </w:rPr>
        <w:t>Price,</w:t>
      </w:r>
      <w:r>
        <w:rPr/>
        <w:tab/>
      </w:r>
      <w:r>
        <w:rPr>
          <w:spacing w:val="-2"/>
        </w:rPr>
        <w:t>A.D.F.</w:t>
      </w:r>
      <w:r>
        <w:rPr/>
        <w:tab/>
        <w:t>(2003).</w:t>
      </w:r>
      <w:r>
        <w:rPr>
          <w:spacing w:val="55"/>
        </w:rPr>
        <w:t> </w:t>
      </w:r>
      <w:r>
        <w:rPr>
          <w:spacing w:val="-5"/>
        </w:rPr>
        <w:t>The</w:t>
      </w:r>
      <w:r>
        <w:rPr/>
        <w:tab/>
      </w:r>
      <w:r>
        <w:rPr>
          <w:spacing w:val="-2"/>
        </w:rPr>
        <w:t>strategy</w:t>
      </w:r>
      <w:r>
        <w:rPr/>
        <w:tab/>
      </w:r>
      <w:r>
        <w:rPr>
          <w:spacing w:val="-2"/>
        </w:rPr>
        <w:t>process</w:t>
      </w:r>
      <w:r>
        <w:rPr/>
        <w:tab/>
      </w:r>
      <w:r>
        <w:rPr>
          <w:spacing w:val="-2"/>
        </w:rPr>
        <w:t>within</w:t>
      </w:r>
      <w:r>
        <w:rPr/>
        <w:tab/>
      </w:r>
      <w:r>
        <w:rPr>
          <w:spacing w:val="-2"/>
        </w:rPr>
        <w:t>large</w:t>
      </w:r>
      <w:r>
        <w:rPr/>
        <w:tab/>
      </w:r>
      <w:r>
        <w:rPr>
          <w:spacing w:val="-2"/>
        </w:rPr>
        <w:t>construction</w:t>
      </w:r>
      <w:r>
        <w:rPr/>
        <w:tab/>
      </w:r>
      <w:r>
        <w:rPr>
          <w:spacing w:val="-2"/>
        </w:rPr>
        <w:t>organizations.</w:t>
      </w:r>
    </w:p>
    <w:p>
      <w:pPr>
        <w:pStyle w:val="BodyText"/>
        <w:ind w:left="1211"/>
      </w:pPr>
      <w:r>
        <w:rPr/>
        <w:t>Engineering,</w:t>
      </w:r>
      <w:r>
        <w:rPr>
          <w:spacing w:val="-5"/>
        </w:rPr>
        <w:t> </w:t>
      </w:r>
      <w:r>
        <w:rPr/>
        <w:t>Construction</w:t>
      </w:r>
      <w:r>
        <w:rPr>
          <w:spacing w:val="-3"/>
        </w:rPr>
        <w:t> </w:t>
      </w:r>
      <w:r>
        <w:rPr/>
        <w:t>and</w:t>
      </w:r>
      <w:r>
        <w:rPr>
          <w:spacing w:val="-2"/>
        </w:rPr>
        <w:t> </w:t>
      </w:r>
      <w:r>
        <w:rPr/>
        <w:t>Architectural</w:t>
      </w:r>
      <w:r>
        <w:rPr>
          <w:spacing w:val="-3"/>
        </w:rPr>
        <w:t> </w:t>
      </w:r>
      <w:r>
        <w:rPr/>
        <w:t>Management,</w:t>
      </w:r>
      <w:r>
        <w:rPr>
          <w:spacing w:val="-2"/>
        </w:rPr>
        <w:t> </w:t>
      </w:r>
      <w:r>
        <w:rPr/>
        <w:t>10(4),</w:t>
      </w:r>
      <w:r>
        <w:rPr>
          <w:spacing w:val="-3"/>
        </w:rPr>
        <w:t> </w:t>
      </w:r>
      <w:r>
        <w:rPr/>
        <w:t>283</w:t>
      </w:r>
      <w:r>
        <w:rPr>
          <w:spacing w:val="-2"/>
        </w:rPr>
        <w:t> –296.</w:t>
      </w:r>
    </w:p>
    <w:p>
      <w:pPr>
        <w:pStyle w:val="BodyText"/>
        <w:spacing w:before="84"/>
      </w:pPr>
    </w:p>
    <w:p>
      <w:pPr>
        <w:pStyle w:val="BodyText"/>
        <w:ind w:left="399"/>
      </w:pPr>
      <w:r>
        <w:rPr/>
        <w:t>Prybutok,</w:t>
      </w:r>
      <w:r>
        <w:rPr>
          <w:spacing w:val="46"/>
        </w:rPr>
        <w:t> </w:t>
      </w:r>
      <w:r>
        <w:rPr/>
        <w:t>V.</w:t>
      </w:r>
      <w:r>
        <w:rPr>
          <w:spacing w:val="48"/>
        </w:rPr>
        <w:t> </w:t>
      </w:r>
      <w:r>
        <w:rPr/>
        <w:t>and</w:t>
      </w:r>
      <w:r>
        <w:rPr>
          <w:spacing w:val="48"/>
        </w:rPr>
        <w:t> </w:t>
      </w:r>
      <w:r>
        <w:rPr/>
        <w:t>Ramasesh,</w:t>
      </w:r>
      <w:r>
        <w:rPr>
          <w:spacing w:val="48"/>
        </w:rPr>
        <w:t> </w:t>
      </w:r>
      <w:r>
        <w:rPr/>
        <w:t>R.</w:t>
      </w:r>
      <w:r>
        <w:rPr>
          <w:spacing w:val="48"/>
        </w:rPr>
        <w:t> </w:t>
      </w:r>
      <w:r>
        <w:rPr/>
        <w:t>(2004).</w:t>
      </w:r>
      <w:r>
        <w:rPr>
          <w:spacing w:val="49"/>
        </w:rPr>
        <w:t> </w:t>
      </w:r>
      <w:r>
        <w:rPr/>
        <w:t>An</w:t>
      </w:r>
      <w:r>
        <w:rPr>
          <w:spacing w:val="48"/>
        </w:rPr>
        <w:t> </w:t>
      </w:r>
      <w:r>
        <w:rPr/>
        <w:t>action-research</w:t>
      </w:r>
      <w:r>
        <w:rPr>
          <w:spacing w:val="48"/>
        </w:rPr>
        <w:t> </w:t>
      </w:r>
      <w:r>
        <w:rPr/>
        <w:t>based</w:t>
      </w:r>
      <w:r>
        <w:rPr>
          <w:spacing w:val="48"/>
        </w:rPr>
        <w:t> </w:t>
      </w:r>
      <w:r>
        <w:rPr/>
        <w:t>instrument</w:t>
      </w:r>
      <w:r>
        <w:rPr>
          <w:spacing w:val="48"/>
        </w:rPr>
        <w:t> </w:t>
      </w:r>
      <w:r>
        <w:rPr/>
        <w:t>for</w:t>
      </w:r>
      <w:r>
        <w:rPr>
          <w:spacing w:val="48"/>
        </w:rPr>
        <w:t> </w:t>
      </w:r>
      <w:r>
        <w:rPr>
          <w:spacing w:val="-2"/>
        </w:rPr>
        <w:t>monitoring</w:t>
      </w:r>
    </w:p>
    <w:p>
      <w:pPr>
        <w:pStyle w:val="BodyText"/>
        <w:ind w:left="1211" w:right="1315"/>
      </w:pPr>
      <w:r>
        <w:rPr/>
        <w:t>\continuousquality</w:t>
      </w:r>
      <w:r>
        <w:rPr>
          <w:spacing w:val="29"/>
        </w:rPr>
        <w:t> </w:t>
      </w:r>
      <w:r>
        <w:rPr/>
        <w:t>improvement</w:t>
      </w:r>
      <w:r>
        <w:rPr>
          <w:spacing w:val="33"/>
        </w:rPr>
        <w:t> </w:t>
      </w:r>
      <w:r>
        <w:rPr/>
        <w:t>Retrieved</w:t>
      </w:r>
      <w:r>
        <w:rPr>
          <w:spacing w:val="32"/>
        </w:rPr>
        <w:t> </w:t>
      </w:r>
      <w:r>
        <w:rPr/>
        <w:t>from:</w:t>
      </w:r>
      <w:r>
        <w:rPr>
          <w:spacing w:val="33"/>
        </w:rPr>
        <w:t> </w:t>
      </w:r>
      <w:r>
        <w:rPr/>
        <w:t>(www.sciencedirest.com)</w:t>
      </w:r>
      <w:r>
        <w:rPr>
          <w:spacing w:val="40"/>
        </w:rPr>
        <w:t> </w:t>
      </w:r>
      <w:r>
        <w:rPr/>
        <w:t>(Accessed: </w:t>
      </w:r>
      <w:r>
        <w:rPr>
          <w:spacing w:val="-2"/>
        </w:rPr>
        <w:t>18/09/2015)</w:t>
      </w:r>
    </w:p>
    <w:p>
      <w:pPr>
        <w:pStyle w:val="BodyText"/>
        <w:spacing w:before="84"/>
      </w:pPr>
    </w:p>
    <w:p>
      <w:pPr>
        <w:pStyle w:val="BodyText"/>
        <w:spacing w:before="1"/>
        <w:ind w:left="1211" w:right="1319" w:hanging="812"/>
        <w:jc w:val="both"/>
      </w:pPr>
      <w:r>
        <w:rPr/>
        <w:t>Prybutok, V. R., Zhang, X., &amp; Ryan, S. D. (2008). Evaluating leadership, IT Quality and Net Benefit in An E-Governance Environment. Information Management, 45, 143-152.</w:t>
      </w:r>
    </w:p>
    <w:p>
      <w:pPr>
        <w:spacing w:after="0"/>
        <w:jc w:val="both"/>
        <w:sectPr>
          <w:pgSz w:w="12240" w:h="15840"/>
          <w:pgMar w:header="0" w:footer="1017" w:top="1360" w:bottom="1200" w:left="1040" w:right="120"/>
        </w:sectPr>
      </w:pPr>
    </w:p>
    <w:p>
      <w:pPr>
        <w:pStyle w:val="BodyText"/>
        <w:spacing w:before="72"/>
        <w:ind w:left="1211" w:right="1315" w:hanging="812"/>
      </w:pPr>
      <w:r>
        <w:rPr/>
        <w:t>Poon,</w:t>
      </w:r>
      <w:r>
        <w:rPr>
          <w:spacing w:val="-4"/>
        </w:rPr>
        <w:t> </w:t>
      </w:r>
      <w:r>
        <w:rPr/>
        <w:t>J.</w:t>
      </w:r>
      <w:r>
        <w:rPr>
          <w:spacing w:val="40"/>
        </w:rPr>
        <w:t> </w:t>
      </w:r>
      <w:r>
        <w:rPr/>
        <w:t>(2003),</w:t>
      </w:r>
      <w:r>
        <w:rPr>
          <w:spacing w:val="-4"/>
        </w:rPr>
        <w:t> </w:t>
      </w:r>
      <w:r>
        <w:rPr/>
        <w:t>Professional</w:t>
      </w:r>
      <w:r>
        <w:rPr>
          <w:spacing w:val="-4"/>
        </w:rPr>
        <w:t> </w:t>
      </w:r>
      <w:r>
        <w:rPr/>
        <w:t>Ethics</w:t>
      </w:r>
      <w:r>
        <w:rPr>
          <w:spacing w:val="-4"/>
        </w:rPr>
        <w:t> </w:t>
      </w:r>
      <w:r>
        <w:rPr/>
        <w:t>for</w:t>
      </w:r>
      <w:r>
        <w:rPr>
          <w:spacing w:val="-5"/>
        </w:rPr>
        <w:t> </w:t>
      </w:r>
      <w:r>
        <w:rPr/>
        <w:t>Surveyors</w:t>
      </w:r>
      <w:r>
        <w:rPr>
          <w:spacing w:val="-2"/>
        </w:rPr>
        <w:t> </w:t>
      </w:r>
      <w:r>
        <w:rPr/>
        <w:t>and</w:t>
      </w:r>
      <w:r>
        <w:rPr>
          <w:spacing w:val="-4"/>
        </w:rPr>
        <w:t> </w:t>
      </w:r>
      <w:r>
        <w:rPr/>
        <w:t>Construction</w:t>
      </w:r>
      <w:r>
        <w:rPr>
          <w:spacing w:val="-4"/>
        </w:rPr>
        <w:t> </w:t>
      </w:r>
      <w:r>
        <w:rPr/>
        <w:t>Project</w:t>
      </w:r>
      <w:r>
        <w:rPr>
          <w:spacing w:val="-4"/>
        </w:rPr>
        <w:t> </w:t>
      </w:r>
      <w:r>
        <w:rPr/>
        <w:t>Performance:</w:t>
      </w:r>
      <w:r>
        <w:rPr>
          <w:spacing w:val="40"/>
        </w:rPr>
        <w:t> </w:t>
      </w:r>
      <w:r>
        <w:rPr/>
        <w:t>What We Need to Know Proceedings of the RICS Foundation Construction and Building Research Conference.</w:t>
      </w:r>
    </w:p>
    <w:p>
      <w:pPr>
        <w:pStyle w:val="BodyText"/>
        <w:spacing w:before="84"/>
      </w:pPr>
    </w:p>
    <w:p>
      <w:pPr>
        <w:pStyle w:val="BodyText"/>
        <w:ind w:left="399"/>
      </w:pPr>
      <w:r>
        <w:rPr/>
        <w:t>Porter</w:t>
      </w:r>
      <w:r>
        <w:rPr>
          <w:spacing w:val="45"/>
        </w:rPr>
        <w:t> </w:t>
      </w:r>
      <w:r>
        <w:rPr/>
        <w:t>M.E.</w:t>
      </w:r>
      <w:r>
        <w:rPr>
          <w:spacing w:val="51"/>
        </w:rPr>
        <w:t> </w:t>
      </w:r>
      <w:r>
        <w:rPr/>
        <w:t>(1985).</w:t>
      </w:r>
      <w:r>
        <w:rPr>
          <w:spacing w:val="49"/>
        </w:rPr>
        <w:t> </w:t>
      </w:r>
      <w:r>
        <w:rPr/>
        <w:t>Competitive</w:t>
      </w:r>
      <w:r>
        <w:rPr>
          <w:spacing w:val="48"/>
        </w:rPr>
        <w:t> </w:t>
      </w:r>
      <w:r>
        <w:rPr/>
        <w:t>Advantage:</w:t>
      </w:r>
      <w:r>
        <w:rPr>
          <w:spacing w:val="48"/>
        </w:rPr>
        <w:t> </w:t>
      </w:r>
      <w:r>
        <w:rPr/>
        <w:t>Creating</w:t>
      </w:r>
      <w:r>
        <w:rPr>
          <w:spacing w:val="47"/>
        </w:rPr>
        <w:t> </w:t>
      </w:r>
      <w:r>
        <w:rPr/>
        <w:t>and</w:t>
      </w:r>
      <w:r>
        <w:rPr>
          <w:spacing w:val="51"/>
        </w:rPr>
        <w:t> </w:t>
      </w:r>
      <w:r>
        <w:rPr/>
        <w:t>Sustaining</w:t>
      </w:r>
      <w:r>
        <w:rPr>
          <w:spacing w:val="51"/>
        </w:rPr>
        <w:t> </w:t>
      </w:r>
      <w:r>
        <w:rPr/>
        <w:t>Superior</w:t>
      </w:r>
      <w:r>
        <w:rPr>
          <w:spacing w:val="48"/>
        </w:rPr>
        <w:t> </w:t>
      </w:r>
      <w:r>
        <w:rPr>
          <w:spacing w:val="-2"/>
        </w:rPr>
        <w:t>Performance.</w:t>
      </w:r>
    </w:p>
    <w:p>
      <w:pPr>
        <w:pStyle w:val="BodyText"/>
        <w:ind w:left="1211"/>
      </w:pPr>
      <w:r>
        <w:rPr/>
        <w:t>New</w:t>
      </w:r>
      <w:r>
        <w:rPr>
          <w:spacing w:val="-5"/>
        </w:rPr>
        <w:t> </w:t>
      </w:r>
      <w:r>
        <w:rPr/>
        <w:t>York,</w:t>
      </w:r>
      <w:r>
        <w:rPr>
          <w:spacing w:val="1"/>
        </w:rPr>
        <w:t> </w:t>
      </w:r>
      <w:r>
        <w:rPr/>
        <w:t>USA:</w:t>
      </w:r>
      <w:r>
        <w:rPr>
          <w:spacing w:val="-2"/>
        </w:rPr>
        <w:t> </w:t>
      </w:r>
      <w:r>
        <w:rPr/>
        <w:t>The</w:t>
      </w:r>
      <w:r>
        <w:rPr>
          <w:spacing w:val="-2"/>
        </w:rPr>
        <w:t> </w:t>
      </w:r>
      <w:r>
        <w:rPr/>
        <w:t>Free</w:t>
      </w:r>
      <w:r>
        <w:rPr>
          <w:spacing w:val="-2"/>
        </w:rPr>
        <w:t> Press.</w:t>
      </w:r>
    </w:p>
    <w:p>
      <w:pPr>
        <w:pStyle w:val="BodyText"/>
        <w:spacing w:before="84"/>
      </w:pPr>
    </w:p>
    <w:p>
      <w:pPr>
        <w:pStyle w:val="BodyText"/>
        <w:ind w:left="1211" w:right="1315" w:hanging="812"/>
      </w:pPr>
      <w:r>
        <w:rPr/>
        <w:t>Powell,</w:t>
      </w:r>
      <w:r>
        <w:rPr>
          <w:spacing w:val="40"/>
        </w:rPr>
        <w:t> </w:t>
      </w:r>
      <w:r>
        <w:rPr/>
        <w:t>T.C.</w:t>
      </w:r>
      <w:r>
        <w:rPr>
          <w:spacing w:val="40"/>
        </w:rPr>
        <w:t> </w:t>
      </w:r>
      <w:r>
        <w:rPr/>
        <w:t>(1995).</w:t>
      </w:r>
      <w:r>
        <w:rPr>
          <w:spacing w:val="40"/>
        </w:rPr>
        <w:t> </w:t>
      </w:r>
      <w:r>
        <w:rPr/>
        <w:t>Total</w:t>
      </w:r>
      <w:r>
        <w:rPr>
          <w:spacing w:val="40"/>
        </w:rPr>
        <w:t> </w:t>
      </w:r>
      <w:r>
        <w:rPr/>
        <w:t>Quality</w:t>
      </w:r>
      <w:r>
        <w:rPr>
          <w:spacing w:val="40"/>
        </w:rPr>
        <w:t> </w:t>
      </w:r>
      <w:r>
        <w:rPr/>
        <w:t>Management</w:t>
      </w:r>
      <w:r>
        <w:rPr>
          <w:spacing w:val="40"/>
        </w:rPr>
        <w:t> </w:t>
      </w:r>
      <w:r>
        <w:rPr/>
        <w:t>as</w:t>
      </w:r>
      <w:r>
        <w:rPr>
          <w:spacing w:val="40"/>
        </w:rPr>
        <w:t> </w:t>
      </w:r>
      <w:r>
        <w:rPr/>
        <w:t>Competitive</w:t>
      </w:r>
      <w:r>
        <w:rPr>
          <w:spacing w:val="40"/>
        </w:rPr>
        <w:t> </w:t>
      </w:r>
      <w:r>
        <w:rPr/>
        <w:t>Advantage:</w:t>
      </w:r>
      <w:r>
        <w:rPr>
          <w:spacing w:val="40"/>
        </w:rPr>
        <w:t> </w:t>
      </w:r>
      <w:r>
        <w:rPr/>
        <w:t>A</w:t>
      </w:r>
      <w:r>
        <w:rPr>
          <w:spacing w:val="40"/>
        </w:rPr>
        <w:t> </w:t>
      </w:r>
      <w:r>
        <w:rPr/>
        <w:t>Review</w:t>
      </w:r>
      <w:r>
        <w:rPr>
          <w:spacing w:val="40"/>
        </w:rPr>
        <w:t> </w:t>
      </w:r>
      <w:r>
        <w:rPr/>
        <w:t>and Empirical Study. </w:t>
      </w:r>
      <w:r>
        <w:rPr>
          <w:i/>
        </w:rPr>
        <w:t>Strategic management journal</w:t>
      </w:r>
      <w:r>
        <w:rPr/>
        <w:t>, 16 (1), 1537</w:t>
      </w:r>
    </w:p>
    <w:p>
      <w:pPr>
        <w:pStyle w:val="BodyText"/>
        <w:spacing w:before="84"/>
      </w:pPr>
    </w:p>
    <w:p>
      <w:pPr>
        <w:spacing w:before="0"/>
        <w:ind w:left="1211" w:right="1314" w:hanging="812"/>
        <w:jc w:val="both"/>
        <w:rPr>
          <w:sz w:val="24"/>
        </w:rPr>
      </w:pPr>
      <w:r>
        <w:rPr>
          <w:sz w:val="24"/>
        </w:rPr>
        <w:t>Rad, A.M. M. (2005). A survey of total quality management in Iran: Barriers to successful implementation in health care organizations. </w:t>
      </w:r>
      <w:r>
        <w:rPr>
          <w:i/>
          <w:sz w:val="24"/>
        </w:rPr>
        <w:t>International Journal of Health Care Quality Assurance </w:t>
      </w:r>
      <w:r>
        <w:rPr>
          <w:sz w:val="24"/>
        </w:rPr>
        <w:t>18(4/5),22-34.</w:t>
      </w:r>
    </w:p>
    <w:p>
      <w:pPr>
        <w:pStyle w:val="BodyText"/>
        <w:spacing w:before="84"/>
      </w:pPr>
    </w:p>
    <w:p>
      <w:pPr>
        <w:spacing w:before="0"/>
        <w:ind w:left="1211" w:right="1317" w:hanging="812"/>
        <w:jc w:val="both"/>
        <w:rPr>
          <w:i/>
          <w:sz w:val="24"/>
        </w:rPr>
      </w:pPr>
      <w:r>
        <w:rPr>
          <w:sz w:val="24"/>
        </w:rPr>
        <w:t>Rahman, S., &amp; Bullock, P. (2005). Soft TQM, hard TQM and organizational performance relationships: an empirical investigation. </w:t>
      </w:r>
      <w:r>
        <w:rPr>
          <w:i/>
          <w:sz w:val="24"/>
        </w:rPr>
        <w:t>The international journal of Management Science 33(1).</w:t>
      </w:r>
    </w:p>
    <w:p>
      <w:pPr>
        <w:pStyle w:val="BodyText"/>
        <w:spacing w:before="84"/>
        <w:rPr>
          <w:i/>
        </w:rPr>
      </w:pPr>
    </w:p>
    <w:p>
      <w:pPr>
        <w:spacing w:before="0"/>
        <w:ind w:left="1211" w:right="1317" w:hanging="812"/>
        <w:jc w:val="both"/>
        <w:rPr>
          <w:i/>
          <w:sz w:val="24"/>
        </w:rPr>
      </w:pPr>
      <w:r>
        <w:rPr>
          <w:sz w:val="24"/>
        </w:rPr>
        <w:t>Rahman, S., &amp; Bullock, P. (2005). Soft TQM, hard TQM and organizational performance relationships: an empirical investigation. </w:t>
      </w:r>
      <w:r>
        <w:rPr>
          <w:i/>
          <w:sz w:val="24"/>
        </w:rPr>
        <w:t>The international journal of Management Science 33(1).</w:t>
      </w:r>
    </w:p>
    <w:p>
      <w:pPr>
        <w:pStyle w:val="BodyText"/>
        <w:spacing w:before="84"/>
        <w:rPr>
          <w:i/>
        </w:rPr>
      </w:pPr>
    </w:p>
    <w:p>
      <w:pPr>
        <w:pStyle w:val="BodyText"/>
        <w:ind w:left="1211" w:right="1314" w:hanging="812"/>
        <w:jc w:val="both"/>
        <w:rPr>
          <w:i/>
        </w:rPr>
      </w:pPr>
      <w:r>
        <w:rPr/>
        <w:t>Rallabandi, S., Satyanarayana, R. G., Sreenivasaro, V., &amp; Rikkula, S. R. (2010). The Contributions of TQM and Six SIGMA in the Organizations to Achieve the Success in Terms of Quality. </w:t>
      </w:r>
      <w:r>
        <w:rPr>
          <w:i/>
        </w:rPr>
        <w:t>International Journal of Computer Applications</w:t>
      </w:r>
      <w:r>
        <w:rPr/>
        <w:t>, 8(4), 16-22</w:t>
      </w:r>
      <w:r>
        <w:rPr>
          <w:i/>
        </w:rPr>
        <w:t>.</w:t>
      </w:r>
    </w:p>
    <w:p>
      <w:pPr>
        <w:pStyle w:val="BodyText"/>
        <w:spacing w:before="84"/>
        <w:rPr>
          <w:i/>
        </w:rPr>
      </w:pPr>
    </w:p>
    <w:p>
      <w:pPr>
        <w:spacing w:before="0"/>
        <w:ind w:left="1211" w:right="1317" w:hanging="812"/>
        <w:jc w:val="both"/>
        <w:rPr>
          <w:sz w:val="24"/>
        </w:rPr>
      </w:pPr>
      <w:r>
        <w:rPr>
          <w:sz w:val="24"/>
        </w:rPr>
        <w:t>Redha E, M. M. A. (2014).A Framework for Successful TQM Implementation and Its Effect on the</w:t>
      </w:r>
      <w:r>
        <w:rPr>
          <w:spacing w:val="-2"/>
          <w:sz w:val="24"/>
        </w:rPr>
        <w:t> </w:t>
      </w:r>
      <w:r>
        <w:rPr>
          <w:sz w:val="24"/>
        </w:rPr>
        <w:t>Organizational Sustainability</w:t>
      </w:r>
      <w:r>
        <w:rPr>
          <w:spacing w:val="-4"/>
          <w:sz w:val="24"/>
        </w:rPr>
        <w:t> </w:t>
      </w:r>
      <w:r>
        <w:rPr>
          <w:sz w:val="24"/>
        </w:rPr>
        <w:t>Development.</w:t>
      </w:r>
      <w:r>
        <w:rPr>
          <w:spacing w:val="-6"/>
          <w:sz w:val="24"/>
        </w:rPr>
        <w:t> </w:t>
      </w:r>
      <w:r>
        <w:rPr>
          <w:i/>
          <w:sz w:val="24"/>
        </w:rPr>
        <w:t>World</w:t>
      </w:r>
      <w:r>
        <w:rPr>
          <w:i/>
          <w:spacing w:val="-1"/>
          <w:sz w:val="24"/>
        </w:rPr>
        <w:t> </w:t>
      </w:r>
      <w:r>
        <w:rPr>
          <w:i/>
          <w:sz w:val="24"/>
        </w:rPr>
        <w:t>Academy of Science, Engineering and Technology International Journal of Social, Behavioral, Educational, Economic</w:t>
      </w:r>
      <w:r>
        <w:rPr>
          <w:i/>
          <w:spacing w:val="40"/>
          <w:sz w:val="24"/>
        </w:rPr>
        <w:t> </w:t>
      </w:r>
      <w:r>
        <w:rPr>
          <w:i/>
          <w:sz w:val="24"/>
        </w:rPr>
        <w:t>and Management Engineering </w:t>
      </w:r>
      <w:r>
        <w:rPr>
          <w:sz w:val="24"/>
        </w:rPr>
        <w:t>8(1), 130-138.</w:t>
      </w:r>
    </w:p>
    <w:p>
      <w:pPr>
        <w:pStyle w:val="BodyText"/>
        <w:spacing w:before="84"/>
      </w:pPr>
    </w:p>
    <w:p>
      <w:pPr>
        <w:pStyle w:val="BodyText"/>
        <w:ind w:left="1211" w:right="1320" w:hanging="812"/>
        <w:jc w:val="both"/>
      </w:pPr>
      <w:r>
        <w:rPr/>
        <w:t>Reed, R. et al. (1996). Beyond process: TQM content and firm performance. The Academy of Management Review, Vol. 21 (1), 173-202</w:t>
      </w:r>
    </w:p>
    <w:p>
      <w:pPr>
        <w:pStyle w:val="BodyText"/>
        <w:spacing w:before="84"/>
      </w:pPr>
    </w:p>
    <w:p>
      <w:pPr>
        <w:spacing w:before="0"/>
        <w:ind w:left="1211" w:right="1320" w:hanging="812"/>
        <w:jc w:val="both"/>
        <w:rPr>
          <w:i/>
          <w:sz w:val="24"/>
        </w:rPr>
      </w:pPr>
      <w:r>
        <w:rPr>
          <w:sz w:val="24"/>
        </w:rPr>
        <w:t>Reed, R., Lemak, D.J., &amp; Mero, N.P. (2000). Total Quality Management and Sustainable Competitive Advantage</w:t>
      </w:r>
      <w:r>
        <w:rPr>
          <w:i/>
          <w:sz w:val="24"/>
        </w:rPr>
        <w:t>, Journal of Quality Management, 5, (1), 5-26.</w:t>
      </w:r>
    </w:p>
    <w:p>
      <w:pPr>
        <w:pStyle w:val="BodyText"/>
        <w:spacing w:before="84"/>
        <w:rPr>
          <w:i/>
        </w:rPr>
      </w:pPr>
    </w:p>
    <w:p>
      <w:pPr>
        <w:pStyle w:val="BodyText"/>
        <w:spacing w:before="1"/>
        <w:ind w:left="1211" w:right="1318" w:hanging="812"/>
        <w:jc w:val="both"/>
      </w:pPr>
      <w:r>
        <w:rPr/>
        <w:t>Rose M. A. (2014). Determinants of Small and Medium Scale Enterprises in Nigeria.</w:t>
      </w:r>
      <w:r>
        <w:rPr>
          <w:spacing w:val="80"/>
        </w:rPr>
        <w:t> </w:t>
      </w:r>
      <w:r>
        <w:rPr>
          <w:i/>
        </w:rPr>
        <w:t>JORIND 12 (1)</w:t>
      </w:r>
      <w:r>
        <w:rPr>
          <w:i/>
          <w:spacing w:val="40"/>
        </w:rPr>
        <w:t> </w:t>
      </w:r>
      <w:r>
        <w:rPr/>
        <w:t>ISSN 1596-8308. </w:t>
      </w:r>
      <w:hyperlink r:id="rId58">
        <w:r>
          <w:rPr>
            <w:color w:val="0000FF"/>
            <w:u w:val="single" w:color="0000FF"/>
          </w:rPr>
          <w:t>www.transcampus.org/journals</w:t>
        </w:r>
      </w:hyperlink>
      <w:r>
        <w:rPr/>
        <w:t>; </w:t>
      </w:r>
      <w:hyperlink r:id="rId59">
        <w:r>
          <w:rPr/>
          <w:t>www.ajol.info/journals/jorind</w:t>
        </w:r>
      </w:hyperlink>
    </w:p>
    <w:p>
      <w:pPr>
        <w:pStyle w:val="BodyText"/>
        <w:spacing w:before="83"/>
      </w:pPr>
    </w:p>
    <w:p>
      <w:pPr>
        <w:spacing w:before="1"/>
        <w:ind w:left="1211" w:right="1318" w:hanging="812"/>
        <w:jc w:val="both"/>
        <w:rPr>
          <w:i/>
          <w:sz w:val="24"/>
        </w:rPr>
      </w:pPr>
      <w:r>
        <w:rPr>
          <w:sz w:val="24"/>
        </w:rPr>
        <w:t>Rula, A. A. (2017). The impact of Total Quality Management on organizational performance Case of Jordan Oil Petroleum Company. </w:t>
      </w:r>
      <w:r>
        <w:rPr>
          <w:i/>
          <w:sz w:val="24"/>
        </w:rPr>
        <w:t>International Journal of Business and Social Science, 8(1), 192-202.</w:t>
      </w:r>
    </w:p>
    <w:p>
      <w:pPr>
        <w:spacing w:after="0"/>
        <w:jc w:val="both"/>
        <w:rPr>
          <w:sz w:val="24"/>
        </w:rPr>
        <w:sectPr>
          <w:pgSz w:w="12240" w:h="15840"/>
          <w:pgMar w:header="0" w:footer="1017" w:top="1360" w:bottom="1200" w:left="1040" w:right="120"/>
        </w:sectPr>
      </w:pPr>
    </w:p>
    <w:p>
      <w:pPr>
        <w:pStyle w:val="BodyText"/>
        <w:spacing w:before="72"/>
        <w:ind w:left="1211" w:right="1315" w:hanging="812"/>
        <w:jc w:val="both"/>
      </w:pPr>
      <w:r>
        <w:rPr/>
        <w:t>Samuel, M.O. (1999). The causes of foreign dominance of the Nigerian construction industry</w:t>
      </w:r>
      <w:r>
        <w:rPr>
          <w:spacing w:val="80"/>
        </w:rPr>
        <w:t> </w:t>
      </w:r>
      <w:r>
        <w:rPr/>
        <w:t>and the prospects for the indigenous firms. MSc. thesis. University of Lagos, Nigeria, </w:t>
      </w:r>
      <w:r>
        <w:rPr>
          <w:spacing w:val="-2"/>
        </w:rPr>
        <w:t>21–22.</w:t>
      </w:r>
    </w:p>
    <w:p>
      <w:pPr>
        <w:pStyle w:val="BodyText"/>
        <w:spacing w:before="84"/>
      </w:pPr>
    </w:p>
    <w:p>
      <w:pPr>
        <w:pStyle w:val="BodyText"/>
        <w:ind w:left="1211" w:right="1316" w:hanging="812"/>
        <w:jc w:val="both"/>
      </w:pPr>
      <w:r>
        <w:rPr/>
        <w:t>Sang ,C (2005) Relationship Between HRM Practices and the Perception of Organizational Performance, Roles of Management Style, Social Capital, and Culture: Comparison between Manufacturing Firms in Cambodia and Taiwan, Un Published Master Thesis, National Cheng Kung University, Tainan, Taiwan</w:t>
      </w:r>
    </w:p>
    <w:p>
      <w:pPr>
        <w:pStyle w:val="BodyText"/>
        <w:spacing w:line="630" w:lineRule="atLeast" w:before="6"/>
        <w:ind w:left="400" w:right="1315"/>
      </w:pPr>
      <w:r>
        <w:rPr/>
        <w:t>Sashkin, M., &amp; Kiser, K. (1992). What is TQM? Executive Excellence, Vol. 9, 11-17 Scarborough, N.M. (2011). Essentials of Entrepreneurship and Small Business Management (6th</w:t>
      </w:r>
    </w:p>
    <w:p>
      <w:pPr>
        <w:pStyle w:val="BodyText"/>
        <w:spacing w:before="6"/>
        <w:ind w:left="1211"/>
      </w:pPr>
      <w:r>
        <w:rPr/>
        <w:t>ed.).</w:t>
      </w:r>
      <w:r>
        <w:rPr>
          <w:spacing w:val="-3"/>
        </w:rPr>
        <w:t> </w:t>
      </w:r>
      <w:r>
        <w:rPr/>
        <w:t>England:</w:t>
      </w:r>
      <w:r>
        <w:rPr>
          <w:spacing w:val="-2"/>
        </w:rPr>
        <w:t> Pearson.</w:t>
      </w:r>
    </w:p>
    <w:p>
      <w:pPr>
        <w:pStyle w:val="BodyText"/>
        <w:spacing w:before="84"/>
      </w:pPr>
    </w:p>
    <w:p>
      <w:pPr>
        <w:pStyle w:val="BodyText"/>
        <w:ind w:left="400"/>
      </w:pPr>
      <w:r>
        <w:rPr/>
        <w:t>Senge,</w:t>
      </w:r>
      <w:r>
        <w:rPr>
          <w:spacing w:val="57"/>
        </w:rPr>
        <w:t> </w:t>
      </w:r>
      <w:r>
        <w:rPr/>
        <w:t>P.M.</w:t>
      </w:r>
      <w:r>
        <w:rPr>
          <w:spacing w:val="59"/>
        </w:rPr>
        <w:t> </w:t>
      </w:r>
      <w:r>
        <w:rPr/>
        <w:t>(1990).</w:t>
      </w:r>
      <w:r>
        <w:rPr>
          <w:spacing w:val="59"/>
        </w:rPr>
        <w:t> </w:t>
      </w:r>
      <w:r>
        <w:rPr/>
        <w:t>The</w:t>
      </w:r>
      <w:r>
        <w:rPr>
          <w:spacing w:val="58"/>
        </w:rPr>
        <w:t> </w:t>
      </w:r>
      <w:r>
        <w:rPr/>
        <w:t>fifth</w:t>
      </w:r>
      <w:r>
        <w:rPr>
          <w:spacing w:val="59"/>
        </w:rPr>
        <w:t> </w:t>
      </w:r>
      <w:r>
        <w:rPr/>
        <w:t>dicipline:</w:t>
      </w:r>
      <w:r>
        <w:rPr>
          <w:spacing w:val="59"/>
        </w:rPr>
        <w:t> </w:t>
      </w:r>
      <w:r>
        <w:rPr/>
        <w:t>the</w:t>
      </w:r>
      <w:r>
        <w:rPr>
          <w:spacing w:val="58"/>
        </w:rPr>
        <w:t> </w:t>
      </w:r>
      <w:r>
        <w:rPr/>
        <w:t>art</w:t>
      </w:r>
      <w:r>
        <w:rPr>
          <w:spacing w:val="61"/>
        </w:rPr>
        <w:t> </w:t>
      </w:r>
      <w:r>
        <w:rPr/>
        <w:t>and</w:t>
      </w:r>
      <w:r>
        <w:rPr>
          <w:spacing w:val="59"/>
        </w:rPr>
        <w:t> </w:t>
      </w:r>
      <w:r>
        <w:rPr/>
        <w:t>practice</w:t>
      </w:r>
      <w:r>
        <w:rPr>
          <w:spacing w:val="58"/>
        </w:rPr>
        <w:t> </w:t>
      </w:r>
      <w:r>
        <w:rPr/>
        <w:t>of</w:t>
      </w:r>
      <w:r>
        <w:rPr>
          <w:spacing w:val="58"/>
        </w:rPr>
        <w:t> </w:t>
      </w:r>
      <w:r>
        <w:rPr/>
        <w:t>the</w:t>
      </w:r>
      <w:r>
        <w:rPr>
          <w:spacing w:val="58"/>
        </w:rPr>
        <w:t> </w:t>
      </w:r>
      <w:r>
        <w:rPr/>
        <w:t>learning</w:t>
      </w:r>
      <w:r>
        <w:rPr>
          <w:spacing w:val="-3"/>
        </w:rPr>
        <w:t> </w:t>
      </w:r>
      <w:r>
        <w:rPr>
          <w:spacing w:val="-2"/>
        </w:rPr>
        <w:t>organisation.</w:t>
      </w:r>
    </w:p>
    <w:p>
      <w:pPr>
        <w:pStyle w:val="BodyText"/>
        <w:ind w:left="1211"/>
      </w:pPr>
      <w:r>
        <w:rPr/>
        <w:t>1-20.</w:t>
      </w:r>
      <w:r>
        <w:rPr>
          <w:spacing w:val="-6"/>
        </w:rPr>
        <w:t> </w:t>
      </w:r>
      <w:hyperlink r:id="rId60">
        <w:r>
          <w:rPr/>
          <w:t>http://www.audubon-</w:t>
        </w:r>
        <w:r>
          <w:rPr>
            <w:spacing w:val="-2"/>
          </w:rPr>
          <w:t>area.com/sengesum.pdf</w:t>
        </w:r>
      </w:hyperlink>
    </w:p>
    <w:p>
      <w:pPr>
        <w:pStyle w:val="BodyText"/>
        <w:spacing w:before="84"/>
      </w:pPr>
    </w:p>
    <w:p>
      <w:pPr>
        <w:pStyle w:val="BodyText"/>
        <w:ind w:left="1211" w:right="1416" w:hanging="812"/>
        <w:jc w:val="both"/>
      </w:pPr>
      <w:r>
        <w:rPr/>
        <w:t>Shantanu.</w:t>
      </w:r>
      <w:r>
        <w:rPr>
          <w:spacing w:val="-3"/>
        </w:rPr>
        <w:t> </w:t>
      </w:r>
      <w:r>
        <w:rPr/>
        <w:t>B.</w:t>
      </w:r>
      <w:r>
        <w:rPr>
          <w:spacing w:val="-3"/>
        </w:rPr>
        <w:t> </w:t>
      </w:r>
      <w:r>
        <w:rPr/>
        <w:t>(2002).</w:t>
      </w:r>
      <w:r>
        <w:rPr>
          <w:spacing w:val="-3"/>
        </w:rPr>
        <w:t> </w:t>
      </w:r>
      <w:r>
        <w:rPr/>
        <w:t>Determinants</w:t>
      </w:r>
      <w:r>
        <w:rPr>
          <w:spacing w:val="-3"/>
        </w:rPr>
        <w:t> </w:t>
      </w:r>
      <w:r>
        <w:rPr/>
        <w:t>of</w:t>
      </w:r>
      <w:r>
        <w:rPr>
          <w:spacing w:val="-4"/>
        </w:rPr>
        <w:t> </w:t>
      </w:r>
      <w:r>
        <w:rPr/>
        <w:t>international</w:t>
      </w:r>
      <w:r>
        <w:rPr>
          <w:spacing w:val="-3"/>
        </w:rPr>
        <w:t> </w:t>
      </w:r>
      <w:r>
        <w:rPr/>
        <w:t>competitiveness:</w:t>
      </w:r>
      <w:r>
        <w:rPr>
          <w:spacing w:val="-3"/>
        </w:rPr>
        <w:t> </w:t>
      </w:r>
      <w:r>
        <w:rPr/>
        <w:t>A</w:t>
      </w:r>
      <w:r>
        <w:rPr>
          <w:spacing w:val="-4"/>
        </w:rPr>
        <w:t> </w:t>
      </w:r>
      <w:r>
        <w:rPr/>
        <w:t>comparative</w:t>
      </w:r>
      <w:r>
        <w:rPr>
          <w:spacing w:val="-4"/>
        </w:rPr>
        <w:t> </w:t>
      </w:r>
      <w:r>
        <w:rPr/>
        <w:t>Study</w:t>
      </w:r>
      <w:r>
        <w:rPr>
          <w:spacing w:val="-8"/>
        </w:rPr>
        <w:t> </w:t>
      </w:r>
      <w:r>
        <w:rPr/>
        <w:t>of</w:t>
      </w:r>
      <w:r>
        <w:rPr>
          <w:spacing w:val="-4"/>
        </w:rPr>
        <w:t> </w:t>
      </w:r>
      <w:r>
        <w:rPr/>
        <w:t>the Sugar Industry in Australia, Brazil, and European Union.</w:t>
      </w:r>
    </w:p>
    <w:p>
      <w:pPr>
        <w:pStyle w:val="BodyText"/>
        <w:spacing w:before="84"/>
      </w:pPr>
    </w:p>
    <w:p>
      <w:pPr>
        <w:pStyle w:val="BodyText"/>
        <w:ind w:left="1211" w:right="1315" w:hanging="812"/>
        <w:jc w:val="both"/>
      </w:pPr>
      <w:r>
        <w:rPr/>
        <w:t>Schubert, P., &amp; Leimstoll, U. (2007), Importance and Use of Information Technology in Small and Medium-Sized Companies, Electronic Markets, 17 (1), 38-55. Retrieved from, </w:t>
      </w:r>
      <w:hyperlink r:id="rId61">
        <w:r>
          <w:rPr>
            <w:color w:val="0000FF"/>
            <w:u w:val="single" w:color="0000FF"/>
          </w:rPr>
          <w:t>http://www.tandfoline.com/doi/full/10.1080/10196780601136799</w:t>
        </w:r>
      </w:hyperlink>
      <w:r>
        <w:rPr/>
        <w:t>. Accessed 16/5/2015</w:t>
      </w:r>
    </w:p>
    <w:p>
      <w:pPr>
        <w:pStyle w:val="BodyText"/>
        <w:spacing w:before="84"/>
      </w:pPr>
    </w:p>
    <w:p>
      <w:pPr>
        <w:spacing w:before="0"/>
        <w:ind w:left="1211" w:right="1318" w:hanging="812"/>
        <w:jc w:val="both"/>
        <w:rPr>
          <w:sz w:val="24"/>
        </w:rPr>
      </w:pPr>
      <w:r>
        <w:rPr>
          <w:sz w:val="24"/>
        </w:rPr>
        <w:t>Shen, L.Y., Lu, W. S., &amp; Yam, C. H. M., (2006) Contractor Key Competitiveness Indicators (KCIs): a China study", </w:t>
      </w:r>
      <w:r>
        <w:rPr>
          <w:i/>
          <w:sz w:val="24"/>
        </w:rPr>
        <w:t>Journal of Construction Engineering and Management (ASCE), </w:t>
      </w:r>
      <w:r>
        <w:rPr>
          <w:sz w:val="24"/>
        </w:rPr>
        <w:t>132(4) 416–424.</w:t>
      </w:r>
    </w:p>
    <w:p>
      <w:pPr>
        <w:pStyle w:val="BodyText"/>
        <w:spacing w:before="84"/>
      </w:pPr>
    </w:p>
    <w:p>
      <w:pPr>
        <w:pStyle w:val="BodyText"/>
        <w:ind w:left="400"/>
      </w:pPr>
      <w:r>
        <w:rPr/>
        <w:t>Shenawy</w:t>
      </w:r>
      <w:r>
        <w:rPr>
          <w:spacing w:val="63"/>
        </w:rPr>
        <w:t> </w:t>
      </w:r>
      <w:r>
        <w:rPr/>
        <w:t>et</w:t>
      </w:r>
      <w:r>
        <w:rPr>
          <w:spacing w:val="71"/>
        </w:rPr>
        <w:t> </w:t>
      </w:r>
      <w:r>
        <w:rPr/>
        <w:t>al.</w:t>
      </w:r>
      <w:r>
        <w:rPr>
          <w:spacing w:val="71"/>
        </w:rPr>
        <w:t> </w:t>
      </w:r>
      <w:r>
        <w:rPr/>
        <w:t>(2007).</w:t>
      </w:r>
      <w:r>
        <w:rPr>
          <w:spacing w:val="71"/>
        </w:rPr>
        <w:t> </w:t>
      </w:r>
      <w:r>
        <w:rPr/>
        <w:t>A</w:t>
      </w:r>
      <w:r>
        <w:rPr>
          <w:spacing w:val="70"/>
        </w:rPr>
        <w:t> </w:t>
      </w:r>
      <w:r>
        <w:rPr/>
        <w:t>meta-analysis</w:t>
      </w:r>
      <w:r>
        <w:rPr>
          <w:spacing w:val="71"/>
        </w:rPr>
        <w:t> </w:t>
      </w:r>
      <w:r>
        <w:rPr/>
        <w:t>of</w:t>
      </w:r>
      <w:r>
        <w:rPr>
          <w:spacing w:val="70"/>
        </w:rPr>
        <w:t> </w:t>
      </w:r>
      <w:r>
        <w:rPr/>
        <w:t>the</w:t>
      </w:r>
      <w:r>
        <w:rPr>
          <w:spacing w:val="70"/>
        </w:rPr>
        <w:t> </w:t>
      </w:r>
      <w:r>
        <w:rPr/>
        <w:t>effect</w:t>
      </w:r>
      <w:r>
        <w:rPr>
          <w:spacing w:val="71"/>
        </w:rPr>
        <w:t> </w:t>
      </w:r>
      <w:r>
        <w:rPr/>
        <w:t>of</w:t>
      </w:r>
      <w:r>
        <w:rPr>
          <w:spacing w:val="70"/>
        </w:rPr>
        <w:t> </w:t>
      </w:r>
      <w:r>
        <w:rPr/>
        <w:t>TQM</w:t>
      </w:r>
      <w:r>
        <w:rPr>
          <w:spacing w:val="71"/>
        </w:rPr>
        <w:t> </w:t>
      </w:r>
      <w:r>
        <w:rPr/>
        <w:t>on</w:t>
      </w:r>
      <w:r>
        <w:rPr>
          <w:spacing w:val="71"/>
        </w:rPr>
        <w:t> </w:t>
      </w:r>
      <w:r>
        <w:rPr/>
        <w:t>competitive</w:t>
      </w:r>
      <w:r>
        <w:rPr>
          <w:spacing w:val="70"/>
        </w:rPr>
        <w:t> </w:t>
      </w:r>
      <w:r>
        <w:rPr>
          <w:spacing w:val="-2"/>
        </w:rPr>
        <w:t>advantage.</w:t>
      </w:r>
    </w:p>
    <w:p>
      <w:pPr>
        <w:spacing w:before="0"/>
        <w:ind w:left="1211" w:right="0" w:firstLine="0"/>
        <w:jc w:val="left"/>
        <w:rPr>
          <w:i/>
          <w:sz w:val="24"/>
        </w:rPr>
      </w:pPr>
      <w:r>
        <w:rPr>
          <w:i/>
          <w:sz w:val="24"/>
        </w:rPr>
        <w:t>International</w:t>
      </w:r>
      <w:r>
        <w:rPr>
          <w:i/>
          <w:spacing w:val="-2"/>
          <w:sz w:val="24"/>
        </w:rPr>
        <w:t> </w:t>
      </w:r>
      <w:r>
        <w:rPr>
          <w:i/>
          <w:sz w:val="24"/>
        </w:rPr>
        <w:t>Journal</w:t>
      </w:r>
      <w:r>
        <w:rPr>
          <w:i/>
          <w:spacing w:val="-1"/>
          <w:sz w:val="24"/>
        </w:rPr>
        <w:t> </w:t>
      </w:r>
      <w:r>
        <w:rPr>
          <w:i/>
          <w:sz w:val="24"/>
        </w:rPr>
        <w:t>of</w:t>
      </w:r>
      <w:r>
        <w:rPr>
          <w:i/>
          <w:spacing w:val="-2"/>
          <w:sz w:val="24"/>
        </w:rPr>
        <w:t> </w:t>
      </w:r>
      <w:r>
        <w:rPr>
          <w:i/>
          <w:sz w:val="24"/>
        </w:rPr>
        <w:t>Quality</w:t>
      </w:r>
      <w:r>
        <w:rPr>
          <w:i/>
          <w:spacing w:val="2"/>
          <w:sz w:val="24"/>
        </w:rPr>
        <w:t> </w:t>
      </w:r>
      <w:r>
        <w:rPr>
          <w:i/>
          <w:sz w:val="24"/>
        </w:rPr>
        <w:t>&amp;</w:t>
      </w:r>
      <w:r>
        <w:rPr>
          <w:i/>
          <w:spacing w:val="-9"/>
          <w:sz w:val="24"/>
        </w:rPr>
        <w:t> </w:t>
      </w:r>
      <w:r>
        <w:rPr>
          <w:i/>
          <w:sz w:val="24"/>
        </w:rPr>
        <w:t>Reliability</w:t>
      </w:r>
      <w:r>
        <w:rPr>
          <w:i/>
          <w:spacing w:val="-2"/>
          <w:sz w:val="24"/>
        </w:rPr>
        <w:t> </w:t>
      </w:r>
      <w:r>
        <w:rPr>
          <w:i/>
          <w:sz w:val="24"/>
        </w:rPr>
        <w:t>Management,</w:t>
      </w:r>
      <w:r>
        <w:rPr>
          <w:i/>
          <w:spacing w:val="-2"/>
          <w:sz w:val="24"/>
        </w:rPr>
        <w:t> </w:t>
      </w:r>
      <w:r>
        <w:rPr>
          <w:i/>
          <w:sz w:val="24"/>
        </w:rPr>
        <w:t>24</w:t>
      </w:r>
      <w:r>
        <w:rPr>
          <w:i/>
          <w:spacing w:val="1"/>
          <w:sz w:val="24"/>
        </w:rPr>
        <w:t> </w:t>
      </w:r>
      <w:r>
        <w:rPr>
          <w:i/>
          <w:sz w:val="24"/>
        </w:rPr>
        <w:t>(5),</w:t>
      </w:r>
      <w:r>
        <w:rPr>
          <w:i/>
          <w:spacing w:val="-1"/>
          <w:sz w:val="24"/>
        </w:rPr>
        <w:t> </w:t>
      </w:r>
      <w:r>
        <w:rPr>
          <w:i/>
          <w:sz w:val="24"/>
        </w:rPr>
        <w:t>442-</w:t>
      </w:r>
      <w:r>
        <w:rPr>
          <w:i/>
          <w:spacing w:val="-5"/>
          <w:sz w:val="24"/>
        </w:rPr>
        <w:t>471</w:t>
      </w:r>
    </w:p>
    <w:p>
      <w:pPr>
        <w:pStyle w:val="BodyText"/>
        <w:spacing w:before="84"/>
        <w:rPr>
          <w:i/>
        </w:rPr>
      </w:pPr>
    </w:p>
    <w:p>
      <w:pPr>
        <w:pStyle w:val="BodyText"/>
        <w:ind w:left="1211" w:right="1316" w:hanging="812"/>
        <w:jc w:val="both"/>
      </w:pPr>
      <w:r>
        <w:rPr/>
        <w:t>Shibani, A, R. Soetanto, R., &amp; Ganjian, E. (2010). An investigation on the Critical Success Factors of Total Quality Management implementation in Libyan Construction Organisations. Third International World of Construction Project Management Conference, Coventry University</w:t>
      </w:r>
    </w:p>
    <w:p>
      <w:pPr>
        <w:pStyle w:val="BodyText"/>
        <w:spacing w:before="84"/>
      </w:pPr>
    </w:p>
    <w:p>
      <w:pPr>
        <w:pStyle w:val="BodyText"/>
        <w:ind w:left="1211" w:right="1321" w:hanging="812"/>
        <w:jc w:val="both"/>
      </w:pPr>
      <w:r>
        <w:rPr/>
        <w:t>Shih, M., Liu, D.R., &amp; Hsu, M. (2010). Discovering competitive intelligence by mining changes in patent trends. Expert Systems with Application, 37(4), 2882–2890.</w:t>
      </w:r>
    </w:p>
    <w:p>
      <w:pPr>
        <w:pStyle w:val="BodyText"/>
        <w:spacing w:before="84"/>
      </w:pPr>
    </w:p>
    <w:p>
      <w:pPr>
        <w:pStyle w:val="BodyText"/>
        <w:ind w:left="1211" w:right="1318" w:hanging="812"/>
        <w:jc w:val="both"/>
      </w:pPr>
      <w:r>
        <w:rPr/>
        <w:t>Shu,</w:t>
      </w:r>
      <w:r>
        <w:rPr>
          <w:spacing w:val="-2"/>
        </w:rPr>
        <w:t> </w:t>
      </w:r>
      <w:r>
        <w:rPr/>
        <w:t>L.,</w:t>
      </w:r>
      <w:r>
        <w:rPr>
          <w:spacing w:val="-2"/>
        </w:rPr>
        <w:t> </w:t>
      </w:r>
      <w:r>
        <w:rPr/>
        <w:t>Ta</w:t>
      </w:r>
      <w:r>
        <w:rPr>
          <w:spacing w:val="-3"/>
        </w:rPr>
        <w:t> </w:t>
      </w:r>
      <w:r>
        <w:rPr/>
        <w:t>chien,</w:t>
      </w:r>
      <w:r>
        <w:rPr>
          <w:spacing w:val="-2"/>
        </w:rPr>
        <w:t> </w:t>
      </w:r>
      <w:r>
        <w:rPr/>
        <w:t>H.</w:t>
      </w:r>
      <w:r>
        <w:rPr>
          <w:spacing w:val="-2"/>
        </w:rPr>
        <w:t> </w:t>
      </w:r>
      <w:r>
        <w:rPr/>
        <w:t>(2007).</w:t>
      </w:r>
      <w:r>
        <w:rPr>
          <w:spacing w:val="-2"/>
        </w:rPr>
        <w:t> </w:t>
      </w:r>
      <w:r>
        <w:rPr/>
        <w:t>Knowledge</w:t>
      </w:r>
      <w:r>
        <w:rPr>
          <w:spacing w:val="-3"/>
        </w:rPr>
        <w:t> </w:t>
      </w:r>
      <w:r>
        <w:rPr/>
        <w:t>Transfer and</w:t>
      </w:r>
      <w:r>
        <w:rPr>
          <w:spacing w:val="-2"/>
        </w:rPr>
        <w:t> </w:t>
      </w:r>
      <w:r>
        <w:rPr/>
        <w:t>Competitive</w:t>
      </w:r>
      <w:r>
        <w:rPr>
          <w:spacing w:val="-5"/>
        </w:rPr>
        <w:t> </w:t>
      </w:r>
      <w:r>
        <w:rPr/>
        <w:t>Advantage</w:t>
      </w:r>
      <w:r>
        <w:rPr>
          <w:spacing w:val="-3"/>
        </w:rPr>
        <w:t> </w:t>
      </w:r>
      <w:r>
        <w:rPr/>
        <w:t>on</w:t>
      </w:r>
      <w:r>
        <w:rPr>
          <w:spacing w:val="-2"/>
        </w:rPr>
        <w:t> </w:t>
      </w:r>
      <w:r>
        <w:rPr/>
        <w:t>Environmental Uncertainty: An Empirical Study of the Taiwan Semiconductor Industry, Technovation, 27, (6-7), 402-411</w:t>
      </w:r>
    </w:p>
    <w:p>
      <w:pPr>
        <w:spacing w:after="0"/>
        <w:jc w:val="both"/>
        <w:sectPr>
          <w:pgSz w:w="12240" w:h="15840"/>
          <w:pgMar w:header="0" w:footer="1017" w:top="1360" w:bottom="1200" w:left="1040" w:right="120"/>
        </w:sectPr>
      </w:pPr>
    </w:p>
    <w:p>
      <w:pPr>
        <w:spacing w:before="72"/>
        <w:ind w:left="1211" w:right="1316" w:hanging="812"/>
        <w:jc w:val="both"/>
        <w:rPr>
          <w:i/>
          <w:sz w:val="24"/>
        </w:rPr>
      </w:pPr>
      <w:r>
        <w:rPr>
          <w:sz w:val="24"/>
        </w:rPr>
        <w:t>Sila, I., &amp; Ebrahimpour, M. (2002). An investigation of the total quality management survey based research published between 1989 and 2000: A literature review. </w:t>
      </w:r>
      <w:r>
        <w:rPr>
          <w:i/>
          <w:sz w:val="24"/>
        </w:rPr>
        <w:t>International Journal of Quality &amp; Reliability Management, 19(7), 902-970.</w:t>
      </w:r>
    </w:p>
    <w:p>
      <w:pPr>
        <w:pStyle w:val="BodyText"/>
        <w:spacing w:before="84"/>
        <w:rPr>
          <w:i/>
        </w:rPr>
      </w:pPr>
    </w:p>
    <w:p>
      <w:pPr>
        <w:pStyle w:val="BodyText"/>
        <w:ind w:right="1315"/>
        <w:jc w:val="right"/>
      </w:pPr>
      <w:r>
        <w:rPr/>
        <w:t>Sila,</w:t>
      </w:r>
      <w:r>
        <w:rPr>
          <w:spacing w:val="9"/>
        </w:rPr>
        <w:t> </w:t>
      </w:r>
      <w:r>
        <w:rPr/>
        <w:t>I.,</w:t>
      </w:r>
      <w:r>
        <w:rPr>
          <w:spacing w:val="10"/>
        </w:rPr>
        <w:t> </w:t>
      </w:r>
      <w:r>
        <w:rPr/>
        <w:t>&amp;</w:t>
      </w:r>
      <w:r>
        <w:rPr>
          <w:spacing w:val="8"/>
        </w:rPr>
        <w:t> </w:t>
      </w:r>
      <w:r>
        <w:rPr/>
        <w:t>Ebrahimpour</w:t>
      </w:r>
      <w:r>
        <w:rPr>
          <w:spacing w:val="10"/>
        </w:rPr>
        <w:t> </w:t>
      </w:r>
      <w:r>
        <w:rPr/>
        <w:t>M.</w:t>
      </w:r>
      <w:r>
        <w:rPr>
          <w:spacing w:val="10"/>
        </w:rPr>
        <w:t> </w:t>
      </w:r>
      <w:r>
        <w:rPr/>
        <w:t>(2005).Critical</w:t>
      </w:r>
      <w:r>
        <w:rPr>
          <w:spacing w:val="10"/>
        </w:rPr>
        <w:t> </w:t>
      </w:r>
      <w:r>
        <w:rPr/>
        <w:t>linkages</w:t>
      </w:r>
      <w:r>
        <w:rPr>
          <w:spacing w:val="10"/>
        </w:rPr>
        <w:t> </w:t>
      </w:r>
      <w:r>
        <w:rPr/>
        <w:t>Among</w:t>
      </w:r>
      <w:r>
        <w:rPr>
          <w:spacing w:val="7"/>
        </w:rPr>
        <w:t> </w:t>
      </w:r>
      <w:r>
        <w:rPr/>
        <w:t>TQM</w:t>
      </w:r>
      <w:r>
        <w:rPr>
          <w:spacing w:val="9"/>
        </w:rPr>
        <w:t> </w:t>
      </w:r>
      <w:r>
        <w:rPr/>
        <w:t>Factors</w:t>
      </w:r>
      <w:r>
        <w:rPr>
          <w:spacing w:val="12"/>
        </w:rPr>
        <w:t> </w:t>
      </w:r>
      <w:r>
        <w:rPr/>
        <w:t>and</w:t>
      </w:r>
      <w:r>
        <w:rPr>
          <w:spacing w:val="10"/>
        </w:rPr>
        <w:t> </w:t>
      </w:r>
      <w:r>
        <w:rPr/>
        <w:t>Business</w:t>
      </w:r>
      <w:r>
        <w:rPr>
          <w:spacing w:val="10"/>
        </w:rPr>
        <w:t> </w:t>
      </w:r>
      <w:r>
        <w:rPr>
          <w:spacing w:val="-2"/>
        </w:rPr>
        <w:t>Results,</w:t>
      </w:r>
    </w:p>
    <w:p>
      <w:pPr>
        <w:spacing w:before="0"/>
        <w:ind w:left="0" w:right="1399" w:firstLine="0"/>
        <w:jc w:val="right"/>
        <w:rPr>
          <w:i/>
          <w:sz w:val="24"/>
        </w:rPr>
      </w:pPr>
      <w:r>
        <w:rPr>
          <w:i/>
          <w:sz w:val="24"/>
        </w:rPr>
        <w:t>International</w:t>
      </w:r>
      <w:r>
        <w:rPr>
          <w:i/>
          <w:spacing w:val="-2"/>
          <w:sz w:val="24"/>
        </w:rPr>
        <w:t> </w:t>
      </w:r>
      <w:r>
        <w:rPr>
          <w:i/>
          <w:sz w:val="24"/>
        </w:rPr>
        <w:t>Journal</w:t>
      </w:r>
      <w:r>
        <w:rPr>
          <w:i/>
          <w:spacing w:val="-2"/>
          <w:sz w:val="24"/>
        </w:rPr>
        <w:t> </w:t>
      </w:r>
      <w:r>
        <w:rPr>
          <w:i/>
          <w:sz w:val="24"/>
        </w:rPr>
        <w:t>of</w:t>
      </w:r>
      <w:r>
        <w:rPr>
          <w:i/>
          <w:spacing w:val="-1"/>
          <w:sz w:val="24"/>
        </w:rPr>
        <w:t> </w:t>
      </w:r>
      <w:r>
        <w:rPr>
          <w:i/>
          <w:sz w:val="24"/>
        </w:rPr>
        <w:t>Operations</w:t>
      </w:r>
      <w:r>
        <w:rPr>
          <w:i/>
          <w:spacing w:val="3"/>
          <w:sz w:val="24"/>
        </w:rPr>
        <w:t> </w:t>
      </w:r>
      <w:r>
        <w:rPr>
          <w:i/>
          <w:sz w:val="24"/>
        </w:rPr>
        <w:t>&amp;</w:t>
      </w:r>
      <w:r>
        <w:rPr>
          <w:i/>
          <w:spacing w:val="-8"/>
          <w:sz w:val="24"/>
        </w:rPr>
        <w:t> </w:t>
      </w:r>
      <w:r>
        <w:rPr>
          <w:i/>
          <w:sz w:val="24"/>
        </w:rPr>
        <w:t>Production</w:t>
      </w:r>
      <w:r>
        <w:rPr>
          <w:i/>
          <w:spacing w:val="-2"/>
          <w:sz w:val="24"/>
        </w:rPr>
        <w:t> </w:t>
      </w:r>
      <w:r>
        <w:rPr>
          <w:i/>
          <w:sz w:val="24"/>
        </w:rPr>
        <w:t>Management,</w:t>
      </w:r>
      <w:r>
        <w:rPr>
          <w:i/>
          <w:spacing w:val="-1"/>
          <w:sz w:val="24"/>
        </w:rPr>
        <w:t> </w:t>
      </w:r>
      <w:r>
        <w:rPr>
          <w:i/>
          <w:sz w:val="24"/>
        </w:rPr>
        <w:t>25 (11),</w:t>
      </w:r>
      <w:r>
        <w:rPr>
          <w:i/>
          <w:spacing w:val="1"/>
          <w:sz w:val="24"/>
        </w:rPr>
        <w:t> </w:t>
      </w:r>
      <w:r>
        <w:rPr>
          <w:i/>
          <w:sz w:val="24"/>
        </w:rPr>
        <w:t>Pp1123-</w:t>
      </w:r>
      <w:r>
        <w:rPr>
          <w:i/>
          <w:spacing w:val="-2"/>
          <w:sz w:val="24"/>
        </w:rPr>
        <w:t>1155.</w:t>
      </w:r>
    </w:p>
    <w:p>
      <w:pPr>
        <w:pStyle w:val="BodyText"/>
        <w:spacing w:before="84"/>
        <w:rPr>
          <w:i/>
        </w:rPr>
      </w:pPr>
    </w:p>
    <w:p>
      <w:pPr>
        <w:spacing w:before="0"/>
        <w:ind w:left="1211" w:right="1319" w:hanging="812"/>
        <w:jc w:val="both"/>
        <w:rPr>
          <w:i/>
          <w:sz w:val="24"/>
        </w:rPr>
      </w:pPr>
      <w:r>
        <w:rPr>
          <w:sz w:val="24"/>
        </w:rPr>
        <w:t>Singh, P. J., &amp; Smith, A. (2006). An empirically validated quality management measurement instrument. Benchmarking: </w:t>
      </w:r>
      <w:r>
        <w:rPr>
          <w:i/>
          <w:sz w:val="24"/>
        </w:rPr>
        <w:t>An International Journal, 13(4), 493-522.</w:t>
      </w:r>
    </w:p>
    <w:p>
      <w:pPr>
        <w:pStyle w:val="BodyText"/>
        <w:spacing w:before="84"/>
        <w:rPr>
          <w:i/>
        </w:rPr>
      </w:pPr>
    </w:p>
    <w:p>
      <w:pPr>
        <w:pStyle w:val="BodyText"/>
        <w:ind w:right="1316"/>
        <w:jc w:val="right"/>
      </w:pPr>
      <w:r>
        <w:rPr/>
        <w:t>SMEDAN</w:t>
      </w:r>
      <w:r>
        <w:rPr>
          <w:spacing w:val="-5"/>
        </w:rPr>
        <w:t> </w:t>
      </w:r>
      <w:r>
        <w:rPr/>
        <w:t>(2007).</w:t>
      </w:r>
      <w:r>
        <w:rPr>
          <w:spacing w:val="-1"/>
        </w:rPr>
        <w:t> </w:t>
      </w:r>
      <w:r>
        <w:rPr/>
        <w:t>‟National</w:t>
      </w:r>
      <w:r>
        <w:rPr>
          <w:spacing w:val="-1"/>
        </w:rPr>
        <w:t> </w:t>
      </w:r>
      <w:r>
        <w:rPr/>
        <w:t>Policy</w:t>
      </w:r>
      <w:r>
        <w:rPr>
          <w:spacing w:val="-6"/>
        </w:rPr>
        <w:t> </w:t>
      </w:r>
      <w:r>
        <w:rPr/>
        <w:t>on</w:t>
      </w:r>
      <w:r>
        <w:rPr>
          <w:spacing w:val="-1"/>
        </w:rPr>
        <w:t> </w:t>
      </w:r>
      <w:r>
        <w:rPr/>
        <w:t>Micro,</w:t>
      </w:r>
      <w:r>
        <w:rPr>
          <w:spacing w:val="-1"/>
        </w:rPr>
        <w:t> </w:t>
      </w:r>
      <w:r>
        <w:rPr/>
        <w:t>Small</w:t>
      </w:r>
      <w:r>
        <w:rPr>
          <w:spacing w:val="-1"/>
        </w:rPr>
        <w:t> </w:t>
      </w:r>
      <w:r>
        <w:rPr/>
        <w:t>and</w:t>
      </w:r>
      <w:r>
        <w:rPr>
          <w:spacing w:val="-1"/>
        </w:rPr>
        <w:t> </w:t>
      </w:r>
      <w:r>
        <w:rPr/>
        <w:t>Medium</w:t>
      </w:r>
      <w:r>
        <w:rPr>
          <w:spacing w:val="-1"/>
        </w:rPr>
        <w:t> </w:t>
      </w:r>
      <w:r>
        <w:rPr/>
        <w:t>Enterprises”.</w:t>
      </w:r>
      <w:r>
        <w:rPr>
          <w:spacing w:val="-1"/>
        </w:rPr>
        <w:t> </w:t>
      </w:r>
      <w:r>
        <w:rPr/>
        <w:t>Federal</w:t>
      </w:r>
      <w:r>
        <w:rPr>
          <w:spacing w:val="-1"/>
        </w:rPr>
        <w:t> </w:t>
      </w:r>
      <w:r>
        <w:rPr>
          <w:spacing w:val="-2"/>
        </w:rPr>
        <w:t>Republic</w:t>
      </w:r>
    </w:p>
    <w:p>
      <w:pPr>
        <w:pStyle w:val="BodyText"/>
        <w:ind w:right="1386"/>
        <w:jc w:val="right"/>
      </w:pPr>
      <w:r>
        <w:rPr/>
        <w:t>Nigeria,</w:t>
      </w:r>
      <w:r>
        <w:rPr>
          <w:spacing w:val="-4"/>
        </w:rPr>
        <w:t> </w:t>
      </w:r>
      <w:r>
        <w:rPr/>
        <w:t>Small</w:t>
      </w:r>
      <w:r>
        <w:rPr>
          <w:spacing w:val="-3"/>
        </w:rPr>
        <w:t> </w:t>
      </w:r>
      <w:r>
        <w:rPr/>
        <w:t>and</w:t>
      </w:r>
      <w:r>
        <w:rPr>
          <w:spacing w:val="-2"/>
        </w:rPr>
        <w:t> </w:t>
      </w:r>
      <w:r>
        <w:rPr/>
        <w:t>Medium</w:t>
      </w:r>
      <w:r>
        <w:rPr>
          <w:spacing w:val="-2"/>
        </w:rPr>
        <w:t> </w:t>
      </w:r>
      <w:r>
        <w:rPr/>
        <w:t>Enterprises</w:t>
      </w:r>
      <w:r>
        <w:rPr>
          <w:spacing w:val="-2"/>
        </w:rPr>
        <w:t> </w:t>
      </w:r>
      <w:r>
        <w:rPr/>
        <w:t>Development</w:t>
      </w:r>
      <w:r>
        <w:rPr>
          <w:spacing w:val="-2"/>
        </w:rPr>
        <w:t> </w:t>
      </w:r>
      <w:r>
        <w:rPr/>
        <w:t>Agency</w:t>
      </w:r>
      <w:r>
        <w:rPr>
          <w:spacing w:val="-6"/>
        </w:rPr>
        <w:t> </w:t>
      </w:r>
      <w:r>
        <w:rPr/>
        <w:t>of</w:t>
      </w:r>
      <w:r>
        <w:rPr>
          <w:spacing w:val="-1"/>
        </w:rPr>
        <w:t> </w:t>
      </w:r>
      <w:r>
        <w:rPr/>
        <w:t>Nigeria, January,</w:t>
      </w:r>
      <w:r>
        <w:rPr>
          <w:spacing w:val="-2"/>
        </w:rPr>
        <w:t> </w:t>
      </w:r>
      <w:r>
        <w:rPr>
          <w:spacing w:val="-4"/>
        </w:rPr>
        <w:t>2007</w:t>
      </w:r>
    </w:p>
    <w:p>
      <w:pPr>
        <w:pStyle w:val="BodyText"/>
        <w:spacing w:before="84"/>
      </w:pPr>
    </w:p>
    <w:p>
      <w:pPr>
        <w:pStyle w:val="BodyText"/>
        <w:ind w:left="1211" w:right="1318" w:hanging="812"/>
        <w:jc w:val="both"/>
      </w:pPr>
      <w:r>
        <w:rPr/>
        <w:t>Smith, G., (2004), ‘An Evaluation of the Corporate Culture of South West Airlines’, Measuring Business Excellence, 8(4), pp26-33</w:t>
      </w:r>
    </w:p>
    <w:p>
      <w:pPr>
        <w:pStyle w:val="BodyText"/>
        <w:spacing w:before="84"/>
      </w:pPr>
    </w:p>
    <w:p>
      <w:pPr>
        <w:pStyle w:val="BodyText"/>
        <w:ind w:left="1211" w:right="1317" w:hanging="812"/>
        <w:jc w:val="both"/>
      </w:pPr>
      <w:r>
        <w:rPr/>
        <w:t>Smith-Jackson,</w:t>
      </w:r>
      <w:r>
        <w:rPr>
          <w:spacing w:val="-1"/>
        </w:rPr>
        <w:t> </w:t>
      </w:r>
      <w:r>
        <w:rPr/>
        <w:t>T;</w:t>
      </w:r>
      <w:r>
        <w:rPr>
          <w:spacing w:val="-1"/>
        </w:rPr>
        <w:t> </w:t>
      </w:r>
      <w:r>
        <w:rPr/>
        <w:t>Artis,</w:t>
      </w:r>
      <w:r>
        <w:rPr>
          <w:spacing w:val="-3"/>
        </w:rPr>
        <w:t> </w:t>
      </w:r>
      <w:r>
        <w:rPr/>
        <w:t>S.;</w:t>
      </w:r>
      <w:r>
        <w:rPr>
          <w:spacing w:val="-1"/>
        </w:rPr>
        <w:t> </w:t>
      </w:r>
      <w:r>
        <w:rPr/>
        <w:t>Hung,</w:t>
      </w:r>
      <w:r>
        <w:rPr>
          <w:spacing w:val="-1"/>
        </w:rPr>
        <w:t> </w:t>
      </w:r>
      <w:r>
        <w:rPr/>
        <w:t>Y.;</w:t>
      </w:r>
      <w:r>
        <w:rPr>
          <w:spacing w:val="-1"/>
        </w:rPr>
        <w:t> </w:t>
      </w:r>
      <w:r>
        <w:rPr/>
        <w:t>Kim,</w:t>
      </w:r>
      <w:r>
        <w:rPr>
          <w:spacing w:val="-1"/>
        </w:rPr>
        <w:t> </w:t>
      </w:r>
      <w:r>
        <w:rPr/>
        <w:t>H.</w:t>
      </w:r>
      <w:r>
        <w:rPr>
          <w:spacing w:val="-1"/>
        </w:rPr>
        <w:t> </w:t>
      </w:r>
      <w:r>
        <w:rPr/>
        <w:t>N.;</w:t>
      </w:r>
      <w:r>
        <w:rPr>
          <w:spacing w:val="-1"/>
        </w:rPr>
        <w:t> </w:t>
      </w:r>
      <w:r>
        <w:rPr/>
        <w:t>Hughes,</w:t>
      </w:r>
      <w:r>
        <w:rPr>
          <w:spacing w:val="-1"/>
        </w:rPr>
        <w:t> </w:t>
      </w:r>
      <w:r>
        <w:rPr/>
        <w:t>C.;</w:t>
      </w:r>
      <w:r>
        <w:rPr>
          <w:spacing w:val="-1"/>
        </w:rPr>
        <w:t> </w:t>
      </w:r>
      <w:r>
        <w:rPr/>
        <w:t>Kleiner,</w:t>
      </w:r>
      <w:r>
        <w:rPr>
          <w:spacing w:val="-1"/>
        </w:rPr>
        <w:t> </w:t>
      </w:r>
      <w:r>
        <w:rPr/>
        <w:t>B., &amp;</w:t>
      </w:r>
      <w:r>
        <w:rPr>
          <w:spacing w:val="-3"/>
        </w:rPr>
        <w:t> </w:t>
      </w:r>
      <w:r>
        <w:rPr/>
        <w:t>Nolden,</w:t>
      </w:r>
      <w:r>
        <w:rPr>
          <w:spacing w:val="-1"/>
        </w:rPr>
        <w:t> </w:t>
      </w:r>
      <w:r>
        <w:rPr/>
        <w:t>A</w:t>
      </w:r>
      <w:r>
        <w:rPr>
          <w:spacing w:val="-2"/>
        </w:rPr>
        <w:t> </w:t>
      </w:r>
      <w:r>
        <w:rPr/>
        <w:t>(2011): Safety Critical Incidents among Small Construction Contractors: A Prospective Case Study. Open Occupational Health &amp; Safety Journal, 3(1) 39-47</w:t>
      </w:r>
    </w:p>
    <w:p>
      <w:pPr>
        <w:pStyle w:val="BodyText"/>
        <w:spacing w:before="84"/>
      </w:pPr>
    </w:p>
    <w:p>
      <w:pPr>
        <w:spacing w:before="0"/>
        <w:ind w:left="1211" w:right="1318" w:hanging="812"/>
        <w:jc w:val="both"/>
        <w:rPr>
          <w:sz w:val="24"/>
        </w:rPr>
      </w:pPr>
      <w:r>
        <w:rPr>
          <w:sz w:val="24"/>
        </w:rPr>
        <w:t>Soliman, F., Optimum Level of Process Mapping and Least Cost Business Process ReEngineering</w:t>
      </w:r>
      <w:r>
        <w:rPr>
          <w:i/>
          <w:sz w:val="24"/>
        </w:rPr>
        <w:t>, International journal of Operations &amp; Product Management</w:t>
      </w:r>
      <w:r>
        <w:rPr>
          <w:sz w:val="24"/>
        </w:rPr>
        <w:t>, 1998.</w:t>
      </w:r>
    </w:p>
    <w:p>
      <w:pPr>
        <w:pStyle w:val="BodyText"/>
        <w:spacing w:before="84"/>
      </w:pPr>
    </w:p>
    <w:p>
      <w:pPr>
        <w:pStyle w:val="BodyText"/>
        <w:ind w:left="1211" w:right="1316" w:hanging="812"/>
        <w:jc w:val="both"/>
      </w:pPr>
      <w:r>
        <w:rPr/>
        <w:t>Soltan. Y. (2006). Total</w:t>
      </w:r>
      <w:r>
        <w:rPr>
          <w:spacing w:val="-2"/>
        </w:rPr>
        <w:t> </w:t>
      </w:r>
      <w:r>
        <w:rPr/>
        <w:t>Quality</w:t>
      </w:r>
      <w:r>
        <w:rPr>
          <w:spacing w:val="-3"/>
        </w:rPr>
        <w:t> </w:t>
      </w:r>
      <w:r>
        <w:rPr/>
        <w:t>Management Framework for Libyan Process and Manufacturing industries. Ph.D Thesis.School of Applied Sciences Centre of Resources Management and Efficiency.</w:t>
      </w:r>
    </w:p>
    <w:p>
      <w:pPr>
        <w:pStyle w:val="BodyText"/>
        <w:spacing w:before="84"/>
      </w:pPr>
    </w:p>
    <w:p>
      <w:pPr>
        <w:pStyle w:val="BodyText"/>
        <w:ind w:left="1211" w:right="1320" w:hanging="812"/>
        <w:jc w:val="both"/>
      </w:pPr>
      <w:r>
        <w:rPr/>
        <w:t>Sommerville, J., Stocks, R., &amp;</w:t>
      </w:r>
      <w:r>
        <w:rPr>
          <w:spacing w:val="40"/>
        </w:rPr>
        <w:t> </w:t>
      </w:r>
      <w:r>
        <w:rPr/>
        <w:t>Robertson, H. (1999). Cultural dynamics for quality: the polar plot model. Total Quality Management, 10 (4&amp;5), 725-732.</w:t>
      </w:r>
    </w:p>
    <w:p>
      <w:pPr>
        <w:pStyle w:val="BodyText"/>
        <w:spacing w:before="84"/>
      </w:pPr>
    </w:p>
    <w:p>
      <w:pPr>
        <w:pStyle w:val="BodyText"/>
        <w:ind w:left="1211" w:right="1318" w:hanging="812"/>
        <w:jc w:val="both"/>
      </w:pPr>
      <w:r>
        <w:rPr/>
        <w:t>Stella, K. (2014).An analysis of the Critical Factors in the successful implementation of total quality management practices by Small to Medium scale Enterprises in Zimbabwe. A case of SMES at Glen View 8, Harare. A thesis in Business Administration (MBA), Faculty of Commerce, Graduate School of Management, University of Zimbabwe.</w:t>
      </w:r>
    </w:p>
    <w:p>
      <w:pPr>
        <w:pStyle w:val="BodyText"/>
        <w:spacing w:before="84"/>
      </w:pPr>
    </w:p>
    <w:p>
      <w:pPr>
        <w:pStyle w:val="BodyText"/>
        <w:ind w:left="1211" w:right="1321" w:hanging="812"/>
        <w:jc w:val="both"/>
      </w:pPr>
      <w:r>
        <w:rPr/>
        <w:t>Strassman, W. P., &amp; Wells, J. (1988) The global construction industry, Strategies for entry, growth and survival. Unwin Hyman, London.</w:t>
      </w:r>
    </w:p>
    <w:p>
      <w:pPr>
        <w:pStyle w:val="BodyText"/>
        <w:spacing w:before="84"/>
      </w:pPr>
    </w:p>
    <w:p>
      <w:pPr>
        <w:pStyle w:val="BodyText"/>
        <w:spacing w:before="1"/>
        <w:ind w:left="1211" w:right="1318" w:hanging="812"/>
        <w:jc w:val="both"/>
        <w:rPr>
          <w:i/>
        </w:rPr>
      </w:pPr>
      <w:r>
        <w:rPr/>
        <w:t>Suhong L., Bhanu, N., Ragu, N., &amp; Subba, R.(2006).</w:t>
      </w:r>
      <w:r>
        <w:rPr>
          <w:spacing w:val="40"/>
        </w:rPr>
        <w:t> </w:t>
      </w:r>
      <w:r>
        <w:rPr/>
        <w:t>“The impact of supply chain management practices</w:t>
      </w:r>
      <w:r>
        <w:rPr>
          <w:spacing w:val="33"/>
        </w:rPr>
        <w:t> </w:t>
      </w:r>
      <w:r>
        <w:rPr/>
        <w:t>on</w:t>
      </w:r>
      <w:r>
        <w:rPr>
          <w:spacing w:val="38"/>
        </w:rPr>
        <w:t> </w:t>
      </w:r>
      <w:r>
        <w:rPr/>
        <w:t>competitive</w:t>
      </w:r>
      <w:r>
        <w:rPr>
          <w:spacing w:val="34"/>
        </w:rPr>
        <w:t> </w:t>
      </w:r>
      <w:r>
        <w:rPr/>
        <w:t>advantage</w:t>
      </w:r>
      <w:r>
        <w:rPr>
          <w:spacing w:val="37"/>
        </w:rPr>
        <w:t> </w:t>
      </w:r>
      <w:r>
        <w:rPr/>
        <w:t>and</w:t>
      </w:r>
      <w:r>
        <w:rPr>
          <w:spacing w:val="36"/>
        </w:rPr>
        <w:t> </w:t>
      </w:r>
      <w:r>
        <w:rPr/>
        <w:t>organizational</w:t>
      </w:r>
      <w:r>
        <w:rPr>
          <w:spacing w:val="35"/>
        </w:rPr>
        <w:t> </w:t>
      </w:r>
      <w:r>
        <w:rPr/>
        <w:t>performance</w:t>
      </w:r>
      <w:r>
        <w:rPr>
          <w:i/>
        </w:rPr>
        <w:t>”.</w:t>
      </w:r>
      <w:r>
        <w:rPr>
          <w:i/>
          <w:spacing w:val="36"/>
        </w:rPr>
        <w:t> </w:t>
      </w:r>
      <w:r>
        <w:rPr>
          <w:i/>
        </w:rPr>
        <w:t>Omega</w:t>
      </w:r>
      <w:r>
        <w:rPr>
          <w:i/>
          <w:spacing w:val="36"/>
        </w:rPr>
        <w:t> </w:t>
      </w:r>
      <w:r>
        <w:rPr>
          <w:i/>
          <w:spacing w:val="-2"/>
        </w:rPr>
        <w:t>Journal</w:t>
      </w:r>
    </w:p>
    <w:p>
      <w:pPr>
        <w:pStyle w:val="BodyText"/>
        <w:ind w:left="1211"/>
      </w:pPr>
      <w:r>
        <w:rPr/>
        <w:t>,34,</w:t>
      </w:r>
      <w:r>
        <w:rPr>
          <w:spacing w:val="-2"/>
        </w:rPr>
        <w:t> (2),107–124</w:t>
      </w:r>
    </w:p>
    <w:p>
      <w:pPr>
        <w:spacing w:after="0"/>
        <w:sectPr>
          <w:pgSz w:w="12240" w:h="15840"/>
          <w:pgMar w:header="0" w:footer="1017" w:top="1360" w:bottom="1200" w:left="1040" w:right="120"/>
        </w:sectPr>
      </w:pPr>
    </w:p>
    <w:p>
      <w:pPr>
        <w:pStyle w:val="BodyText"/>
        <w:spacing w:before="72"/>
        <w:ind w:left="1211" w:right="1318" w:hanging="812"/>
        <w:jc w:val="both"/>
      </w:pPr>
      <w:r>
        <w:rPr/>
        <w:t>Taleghani, M., Rad, S.K., &amp; Rahmati, Y. (2012). The Role of Innovation in the Relationship between Knowledge Management and Competitive Advantage (An Empirical Study of Tourism Industry). </w:t>
      </w:r>
      <w:r>
        <w:rPr>
          <w:i/>
        </w:rPr>
        <w:t>Journal of Basic and Applied Scientific Research</w:t>
      </w:r>
      <w:r>
        <w:rPr/>
        <w:t>, 2(4), 3607-3614.</w:t>
      </w:r>
    </w:p>
    <w:p>
      <w:pPr>
        <w:pStyle w:val="BodyText"/>
        <w:spacing w:before="84"/>
      </w:pPr>
    </w:p>
    <w:p>
      <w:pPr>
        <w:pStyle w:val="BodyText"/>
        <w:ind w:left="1211" w:right="1321" w:hanging="812"/>
        <w:jc w:val="both"/>
      </w:pPr>
      <w:r>
        <w:rPr/>
        <w:t>Talha, M. (2004). "Total Quality Management (TQM): An Overview. The Bottom Line: Managing Library Finances, 17, 15-19.</w:t>
      </w:r>
    </w:p>
    <w:p>
      <w:pPr>
        <w:pStyle w:val="BodyText"/>
        <w:spacing w:before="84"/>
      </w:pPr>
    </w:p>
    <w:p>
      <w:pPr>
        <w:pStyle w:val="BodyText"/>
        <w:ind w:left="1211" w:right="1316" w:hanging="812"/>
        <w:jc w:val="both"/>
      </w:pPr>
      <w:r>
        <w:rPr/>
        <w:t>Teh, P.-L.,Yong, C.-C., Arumugam, V., &amp; Ooi, K.-B. (2009). Does Total Quality Management Reduce Employees’ Role Conflict? Industrial Management and Data Systems, 109 (8), </w:t>
      </w:r>
      <w:r>
        <w:rPr>
          <w:spacing w:val="-2"/>
        </w:rPr>
        <w:t>1118-1136</w:t>
      </w:r>
    </w:p>
    <w:p>
      <w:pPr>
        <w:pStyle w:val="BodyText"/>
        <w:spacing w:before="84"/>
      </w:pPr>
    </w:p>
    <w:p>
      <w:pPr>
        <w:pStyle w:val="BodyText"/>
        <w:ind w:left="1211" w:right="1318" w:hanging="812"/>
        <w:jc w:val="both"/>
      </w:pPr>
      <w:r>
        <w:rPr/>
        <w:t>The European Construction Institute (1996). Implementing TQ in the Construction Industry: </w:t>
      </w:r>
      <w:r>
        <w:rPr>
          <w:i/>
        </w:rPr>
        <w:t>A practical guide</w:t>
      </w:r>
      <w:r>
        <w:rPr/>
        <w:t>, Thomas Telford, London (UK).</w:t>
      </w:r>
    </w:p>
    <w:p>
      <w:pPr>
        <w:pStyle w:val="BodyText"/>
        <w:spacing w:before="84"/>
      </w:pPr>
    </w:p>
    <w:p>
      <w:pPr>
        <w:pStyle w:val="BodyText"/>
        <w:ind w:left="1211" w:right="1321" w:hanging="812"/>
        <w:jc w:val="both"/>
      </w:pPr>
      <w:r>
        <w:rPr/>
        <w:t>Tilley and Tonge, Competitive Advantage in SMEs: organizing for innovation and change, Willey, 2003.</w:t>
      </w:r>
    </w:p>
    <w:p>
      <w:pPr>
        <w:pStyle w:val="BodyText"/>
        <w:spacing w:before="84"/>
      </w:pPr>
    </w:p>
    <w:p>
      <w:pPr>
        <w:pStyle w:val="BodyText"/>
        <w:ind w:left="1211" w:right="1315" w:hanging="812"/>
        <w:jc w:val="both"/>
      </w:pPr>
      <w:r>
        <w:rPr/>
        <w:t>Torres, S. (2004). A Preliminary</w:t>
      </w:r>
      <w:r>
        <w:rPr>
          <w:spacing w:val="-3"/>
        </w:rPr>
        <w:t> </w:t>
      </w:r>
      <w:r>
        <w:rPr/>
        <w:t>Empirical Test of a</w:t>
      </w:r>
      <w:r>
        <w:rPr>
          <w:spacing w:val="-1"/>
        </w:rPr>
        <w:t> </w:t>
      </w:r>
      <w:r>
        <w:rPr/>
        <w:t>Culturally-Relevant Theoretical Framework for the Study of Successful Aging. </w:t>
      </w:r>
      <w:r>
        <w:rPr>
          <w:i/>
        </w:rPr>
        <w:t>Journal: Cross-cultural Gerontology</w:t>
      </w:r>
      <w:r>
        <w:rPr/>
        <w:t>: Volume 18, No.10169-3816 (Print) 1573-0719 (Online) Retrieved from: </w:t>
      </w:r>
      <w:hyperlink r:id="rId62">
        <w:r>
          <w:rPr>
            <w:color w:val="0000FF"/>
            <w:u w:val="single" w:color="0000FF"/>
          </w:rPr>
          <w:t>http://www.ncbi.nlm.nih.gov/pubmed/14617959</w:t>
        </w:r>
        <w:r>
          <w:rPr/>
          <w:t>.</w:t>
        </w:r>
      </w:hyperlink>
      <w:r>
        <w:rPr/>
        <w:t> Accessed 23/ 9/2014</w:t>
      </w:r>
    </w:p>
    <w:p>
      <w:pPr>
        <w:pStyle w:val="BodyText"/>
        <w:spacing w:before="84"/>
      </w:pPr>
    </w:p>
    <w:p>
      <w:pPr>
        <w:spacing w:before="0"/>
        <w:ind w:left="1211" w:right="1313" w:hanging="812"/>
        <w:jc w:val="both"/>
        <w:rPr>
          <w:i/>
          <w:sz w:val="24"/>
        </w:rPr>
      </w:pPr>
      <w:r>
        <w:rPr>
          <w:sz w:val="24"/>
        </w:rPr>
        <w:t>Tracey M, Vonderembse M.A. and Lim J.S. (1999). Manufacturing technology and strategy formulation: Keys to enhancing</w:t>
      </w:r>
      <w:r>
        <w:rPr>
          <w:spacing w:val="-1"/>
          <w:sz w:val="24"/>
        </w:rPr>
        <w:t> </w:t>
      </w:r>
      <w:r>
        <w:rPr>
          <w:sz w:val="24"/>
        </w:rPr>
        <w:t>competitiveness and improving</w:t>
      </w:r>
      <w:r>
        <w:rPr>
          <w:spacing w:val="-1"/>
          <w:sz w:val="24"/>
        </w:rPr>
        <w:t> </w:t>
      </w:r>
      <w:r>
        <w:rPr>
          <w:sz w:val="24"/>
        </w:rPr>
        <w:t>performance</w:t>
      </w:r>
      <w:r>
        <w:rPr>
          <w:i/>
          <w:sz w:val="24"/>
        </w:rPr>
        <w:t>. Journal of Operation Management, 17, 411–428.</w:t>
      </w:r>
    </w:p>
    <w:p>
      <w:pPr>
        <w:pStyle w:val="BodyText"/>
        <w:spacing w:before="84"/>
        <w:rPr>
          <w:i/>
        </w:rPr>
      </w:pPr>
    </w:p>
    <w:p>
      <w:pPr>
        <w:pStyle w:val="BodyText"/>
        <w:ind w:left="1211" w:right="1318" w:hanging="812"/>
        <w:jc w:val="both"/>
      </w:pPr>
      <w:r>
        <w:rPr/>
        <w:t>Turkyilmaz, A., Tatoglu, E., Zaim, S., &amp; Ozkan, C. (2010). TQM practices and business performance in SMEs. I: Esposito, V. V., Chin W. W., Henseler, J. &amp; Wang, H. Handbook of Partial Least Squares. Springer-Verlag, 1st edition, pp. 605-621</w:t>
      </w:r>
    </w:p>
    <w:p>
      <w:pPr>
        <w:pStyle w:val="BodyText"/>
        <w:spacing w:before="84"/>
      </w:pPr>
    </w:p>
    <w:p>
      <w:pPr>
        <w:pStyle w:val="BodyText"/>
        <w:ind w:left="1211" w:right="1318" w:hanging="812"/>
        <w:jc w:val="both"/>
      </w:pPr>
      <w:r>
        <w:rPr/>
        <w:t>Twaissi, N. M. M. (2008). An Evaluation of the Implementation of Total Quality Management (TQM) Within the Information and Communications Technology (ICT) Sector in</w:t>
      </w:r>
      <w:r>
        <w:rPr>
          <w:spacing w:val="40"/>
        </w:rPr>
        <w:t> </w:t>
      </w:r>
      <w:r>
        <w:rPr/>
        <w:t>Jordan. University of Huddersfield., Huddersfield, UK.</w:t>
      </w:r>
    </w:p>
    <w:p>
      <w:pPr>
        <w:pStyle w:val="BodyText"/>
        <w:spacing w:before="84"/>
      </w:pPr>
    </w:p>
    <w:p>
      <w:pPr>
        <w:spacing w:before="0"/>
        <w:ind w:left="1211" w:right="1315" w:hanging="812"/>
        <w:jc w:val="left"/>
        <w:rPr>
          <w:sz w:val="24"/>
        </w:rPr>
      </w:pPr>
      <w:r>
        <w:rPr>
          <w:sz w:val="24"/>
        </w:rPr>
        <w:t>Ubani E.C., korocha K.A., &amp; Emeribe S.C. (2015). Analysis of Factors Influencing Time and Cost</w:t>
      </w:r>
      <w:r>
        <w:rPr>
          <w:spacing w:val="-4"/>
          <w:sz w:val="24"/>
        </w:rPr>
        <w:t> </w:t>
      </w:r>
      <w:r>
        <w:rPr>
          <w:sz w:val="24"/>
        </w:rPr>
        <w:t>Overruns</w:t>
      </w:r>
      <w:r>
        <w:rPr>
          <w:spacing w:val="-4"/>
          <w:sz w:val="24"/>
        </w:rPr>
        <w:t> </w:t>
      </w:r>
      <w:r>
        <w:rPr>
          <w:sz w:val="24"/>
        </w:rPr>
        <w:t>on</w:t>
      </w:r>
      <w:r>
        <w:rPr>
          <w:spacing w:val="-4"/>
          <w:sz w:val="24"/>
        </w:rPr>
        <w:t> </w:t>
      </w:r>
      <w:r>
        <w:rPr>
          <w:sz w:val="24"/>
        </w:rPr>
        <w:t>Construction</w:t>
      </w:r>
      <w:r>
        <w:rPr>
          <w:spacing w:val="-4"/>
          <w:sz w:val="24"/>
        </w:rPr>
        <w:t> </w:t>
      </w:r>
      <w:r>
        <w:rPr>
          <w:sz w:val="24"/>
        </w:rPr>
        <w:t>Projects</w:t>
      </w:r>
      <w:r>
        <w:rPr>
          <w:spacing w:val="-4"/>
          <w:sz w:val="24"/>
        </w:rPr>
        <w:t> </w:t>
      </w:r>
      <w:r>
        <w:rPr>
          <w:sz w:val="24"/>
        </w:rPr>
        <w:t>in</w:t>
      </w:r>
      <w:r>
        <w:rPr>
          <w:spacing w:val="-4"/>
          <w:sz w:val="24"/>
        </w:rPr>
        <w:t> </w:t>
      </w:r>
      <w:r>
        <w:rPr>
          <w:sz w:val="24"/>
        </w:rPr>
        <w:t>South</w:t>
      </w:r>
      <w:r>
        <w:rPr>
          <w:spacing w:val="-7"/>
          <w:sz w:val="24"/>
        </w:rPr>
        <w:t> </w:t>
      </w:r>
      <w:r>
        <w:rPr>
          <w:sz w:val="24"/>
        </w:rPr>
        <w:t>Eastern</w:t>
      </w:r>
      <w:r>
        <w:rPr>
          <w:spacing w:val="-4"/>
          <w:sz w:val="24"/>
        </w:rPr>
        <w:t> </w:t>
      </w:r>
      <w:r>
        <w:rPr>
          <w:sz w:val="24"/>
        </w:rPr>
        <w:t>Nigeria.</w:t>
      </w:r>
      <w:r>
        <w:rPr>
          <w:spacing w:val="-4"/>
          <w:sz w:val="24"/>
        </w:rPr>
        <w:t> </w:t>
      </w:r>
      <w:r>
        <w:rPr>
          <w:i/>
          <w:sz w:val="24"/>
        </w:rPr>
        <w:t>International</w:t>
      </w:r>
      <w:r>
        <w:rPr>
          <w:i/>
          <w:spacing w:val="-4"/>
          <w:sz w:val="24"/>
        </w:rPr>
        <w:t> </w:t>
      </w:r>
      <w:r>
        <w:rPr>
          <w:i/>
          <w:sz w:val="24"/>
        </w:rPr>
        <w:t>Journal of Management Sciences and Business Research. </w:t>
      </w:r>
      <w:r>
        <w:rPr>
          <w:sz w:val="24"/>
        </w:rPr>
        <w:t>2 (2)- ISSN (2226- </w:t>
      </w:r>
      <w:r>
        <w:rPr>
          <w:spacing w:val="-2"/>
          <w:sz w:val="24"/>
        </w:rPr>
        <w:t>8235)</w:t>
      </w:r>
      <w:hyperlink r:id="rId63">
        <w:r>
          <w:rPr>
            <w:spacing w:val="-2"/>
            <w:sz w:val="24"/>
          </w:rPr>
          <w:t>.ht</w:t>
        </w:r>
      </w:hyperlink>
      <w:r>
        <w:rPr>
          <w:spacing w:val="-2"/>
          <w:sz w:val="24"/>
        </w:rPr>
        <w:t>t</w:t>
      </w:r>
      <w:hyperlink r:id="rId63">
        <w:r>
          <w:rPr>
            <w:spacing w:val="-2"/>
            <w:sz w:val="24"/>
          </w:rPr>
          <w:t>p://www.ijmsbr.com</w:t>
        </w:r>
      </w:hyperlink>
    </w:p>
    <w:p>
      <w:pPr>
        <w:pStyle w:val="BodyText"/>
        <w:spacing w:before="84"/>
      </w:pPr>
    </w:p>
    <w:p>
      <w:pPr>
        <w:pStyle w:val="BodyText"/>
        <w:spacing w:before="1"/>
        <w:ind w:left="1211" w:right="1318" w:hanging="812"/>
        <w:jc w:val="both"/>
      </w:pPr>
      <w:r>
        <w:rPr/>
        <w:t>Ugboro, O., &amp; Obeng, K., (2000) Top Management Leadership, Employee Empowerment, Job Satisfaction and Customer Satisfaction in TQM Organisations: An Empirical Study, </w:t>
      </w:r>
      <w:r>
        <w:rPr>
          <w:i/>
        </w:rPr>
        <w:t>Journal of Quality Management</w:t>
      </w:r>
      <w:r>
        <w:rPr/>
        <w:t>, 5, 247-272</w:t>
      </w:r>
    </w:p>
    <w:p>
      <w:pPr>
        <w:spacing w:after="0"/>
        <w:jc w:val="both"/>
        <w:sectPr>
          <w:pgSz w:w="12240" w:h="15840"/>
          <w:pgMar w:header="0" w:footer="1017" w:top="1360" w:bottom="1200" w:left="1040" w:right="120"/>
        </w:sectPr>
      </w:pPr>
    </w:p>
    <w:p>
      <w:pPr>
        <w:pStyle w:val="BodyText"/>
        <w:spacing w:before="72"/>
        <w:ind w:left="1211" w:right="1319" w:hanging="812"/>
        <w:jc w:val="both"/>
      </w:pPr>
      <w:r>
        <w:rPr/>
        <w:t>Umar, I. (2008), Definition of SMI by Nigerian Government Agencies and Nigeria’s National Council on Industry. St. Clements University, PhD Thesis.</w:t>
      </w:r>
    </w:p>
    <w:p>
      <w:pPr>
        <w:pStyle w:val="BodyText"/>
        <w:spacing w:before="84"/>
      </w:pPr>
    </w:p>
    <w:p>
      <w:pPr>
        <w:spacing w:before="0"/>
        <w:ind w:left="1211" w:right="1320" w:hanging="812"/>
        <w:jc w:val="both"/>
        <w:rPr>
          <w:sz w:val="24"/>
        </w:rPr>
      </w:pPr>
      <w:r>
        <w:rPr>
          <w:sz w:val="24"/>
        </w:rPr>
        <w:t>Umenweke M.O. (2000) Preliminary</w:t>
      </w:r>
      <w:r>
        <w:rPr>
          <w:spacing w:val="-1"/>
          <w:sz w:val="24"/>
        </w:rPr>
        <w:t> </w:t>
      </w:r>
      <w:r>
        <w:rPr>
          <w:sz w:val="24"/>
        </w:rPr>
        <w:t>Study</w:t>
      </w:r>
      <w:r>
        <w:rPr>
          <w:spacing w:val="-1"/>
          <w:sz w:val="24"/>
        </w:rPr>
        <w:t> </w:t>
      </w:r>
      <w:r>
        <w:rPr>
          <w:sz w:val="24"/>
        </w:rPr>
        <w:t>of Physical Environment of Mid Tertiary Lignites of Anambra State, Nigeria </w:t>
      </w:r>
      <w:r>
        <w:rPr>
          <w:i/>
          <w:sz w:val="24"/>
        </w:rPr>
        <w:t>‘A Multi-Disciplinary Journal for Environmental Sciens’</w:t>
      </w:r>
      <w:r>
        <w:rPr>
          <w:sz w:val="24"/>
        </w:rPr>
        <w:t>. 3(1).</w:t>
      </w:r>
    </w:p>
    <w:p>
      <w:pPr>
        <w:pStyle w:val="BodyText"/>
        <w:spacing w:before="84"/>
      </w:pPr>
    </w:p>
    <w:p>
      <w:pPr>
        <w:pStyle w:val="BodyText"/>
        <w:ind w:left="1211" w:right="1320" w:hanging="812"/>
        <w:jc w:val="both"/>
      </w:pPr>
      <w:r>
        <w:rPr/>
        <w:t>Uzor, O.O. (2004). Small and Medium Scale Enterprises Cluster Development in South-Eastern Region of Nigeria. Institute for World Economics and International Management, pp. 5- </w:t>
      </w:r>
      <w:r>
        <w:rPr>
          <w:spacing w:val="-4"/>
        </w:rPr>
        <w:t>15.</w:t>
      </w:r>
    </w:p>
    <w:p>
      <w:pPr>
        <w:pStyle w:val="BodyText"/>
        <w:spacing w:before="84"/>
      </w:pPr>
    </w:p>
    <w:p>
      <w:pPr>
        <w:pStyle w:val="BodyText"/>
        <w:ind w:left="1211" w:right="1317" w:hanging="812"/>
        <w:jc w:val="both"/>
      </w:pPr>
      <w:r>
        <w:rPr/>
        <w:t>Vouzas, F. K., &amp; Gotzamani, K. D. (2005). Best practices of selected Greek organizations on their road to business excellence: the contribution of the new ISO 9000: 2000 series of standards. The TQM Magazine, 17(3):</w:t>
      </w:r>
      <w:r>
        <w:rPr>
          <w:spacing w:val="40"/>
        </w:rPr>
        <w:t> </w:t>
      </w:r>
      <w:r>
        <w:rPr/>
        <w:t>259-266.</w:t>
      </w:r>
    </w:p>
    <w:p>
      <w:pPr>
        <w:pStyle w:val="BodyText"/>
        <w:spacing w:before="84"/>
      </w:pPr>
    </w:p>
    <w:p>
      <w:pPr>
        <w:pStyle w:val="BodyText"/>
        <w:ind w:left="1211" w:right="1318" w:hanging="812"/>
        <w:jc w:val="both"/>
      </w:pPr>
      <w:r>
        <w:rPr/>
        <w:t>Walsh, A., Hughes, H., &amp; Maddox, D.P. (2002) Total quality management continuous improvement: is the</w:t>
      </w:r>
      <w:r>
        <w:rPr>
          <w:spacing w:val="-1"/>
        </w:rPr>
        <w:t> </w:t>
      </w:r>
      <w:r>
        <w:rPr/>
        <w:t>philosophy</w:t>
      </w:r>
      <w:r>
        <w:rPr>
          <w:spacing w:val="-4"/>
        </w:rPr>
        <w:t> </w:t>
      </w:r>
      <w:r>
        <w:rPr/>
        <w:t>a</w:t>
      </w:r>
      <w:r>
        <w:rPr>
          <w:spacing w:val="-1"/>
        </w:rPr>
        <w:t> </w:t>
      </w:r>
      <w:r>
        <w:rPr/>
        <w:t>reality?"</w:t>
      </w:r>
      <w:r>
        <w:rPr>
          <w:spacing w:val="-2"/>
        </w:rPr>
        <w:t> </w:t>
      </w:r>
      <w:r>
        <w:rPr/>
        <w:t>Journal of European Industrial Training, Vol. </w:t>
      </w:r>
      <w:r>
        <w:rPr>
          <w:spacing w:val="-2"/>
        </w:rPr>
        <w:t>26(6),299-307.</w:t>
      </w:r>
    </w:p>
    <w:p>
      <w:pPr>
        <w:pStyle w:val="BodyText"/>
        <w:spacing w:before="84"/>
      </w:pPr>
    </w:p>
    <w:p>
      <w:pPr>
        <w:pStyle w:val="BodyText"/>
        <w:ind w:left="1211" w:right="1318" w:hanging="812"/>
        <w:jc w:val="both"/>
      </w:pPr>
      <w:r>
        <w:rPr/>
        <w:t>Wasi, D. Bridge, A., &amp; Skitmore R. M. (2001) Factors affecting the performance of small indigenous contractors in Papua New Guinea. The Australian journal of construction economics and building. 1(1):80-90.</w:t>
      </w:r>
    </w:p>
    <w:p>
      <w:pPr>
        <w:pStyle w:val="BodyText"/>
        <w:spacing w:before="84"/>
      </w:pPr>
    </w:p>
    <w:p>
      <w:pPr>
        <w:pStyle w:val="BodyText"/>
        <w:ind w:left="1211" w:right="1317" w:hanging="812"/>
        <w:jc w:val="both"/>
      </w:pPr>
      <w:r>
        <w:rPr/>
        <w:t>Wasilij .R., &amp; Irina .V. (2014). Methods of strategic analysis and proposal method of measuring productivity of a company. The Małopolska School of Economics in Tarnów Research Papers Collection, 25 ( 2).</w:t>
      </w:r>
    </w:p>
    <w:p>
      <w:pPr>
        <w:pStyle w:val="BodyText"/>
        <w:spacing w:before="84"/>
      </w:pPr>
    </w:p>
    <w:p>
      <w:pPr>
        <w:pStyle w:val="BodyText"/>
        <w:ind w:left="399"/>
      </w:pPr>
      <w:r>
        <w:rPr/>
        <w:t>Watson,</w:t>
      </w:r>
      <w:r>
        <w:rPr>
          <w:spacing w:val="65"/>
        </w:rPr>
        <w:t> </w:t>
      </w:r>
      <w:r>
        <w:rPr/>
        <w:t>P.</w:t>
      </w:r>
      <w:r>
        <w:rPr>
          <w:spacing w:val="68"/>
        </w:rPr>
        <w:t> </w:t>
      </w:r>
      <w:r>
        <w:rPr/>
        <w:t>(1999).</w:t>
      </w:r>
      <w:r>
        <w:rPr>
          <w:spacing w:val="70"/>
        </w:rPr>
        <w:t> </w:t>
      </w:r>
      <w:r>
        <w:rPr/>
        <w:t>Implementation</w:t>
      </w:r>
      <w:r>
        <w:rPr>
          <w:spacing w:val="67"/>
        </w:rPr>
        <w:t> </w:t>
      </w:r>
      <w:r>
        <w:rPr/>
        <w:t>of</w:t>
      </w:r>
      <w:r>
        <w:rPr>
          <w:spacing w:val="67"/>
        </w:rPr>
        <w:t> </w:t>
      </w:r>
      <w:r>
        <w:rPr/>
        <w:t>Total</w:t>
      </w:r>
      <w:r>
        <w:rPr>
          <w:spacing w:val="68"/>
        </w:rPr>
        <w:t> </w:t>
      </w:r>
      <w:r>
        <w:rPr/>
        <w:t>Quality</w:t>
      </w:r>
      <w:r>
        <w:rPr>
          <w:spacing w:val="63"/>
        </w:rPr>
        <w:t> </w:t>
      </w:r>
      <w:r>
        <w:rPr/>
        <w:t>Management</w:t>
      </w:r>
      <w:r>
        <w:rPr>
          <w:spacing w:val="69"/>
        </w:rPr>
        <w:t> </w:t>
      </w:r>
      <w:r>
        <w:rPr/>
        <w:t>(TQM)</w:t>
      </w:r>
      <w:r>
        <w:rPr>
          <w:spacing w:val="66"/>
        </w:rPr>
        <w:t> </w:t>
      </w:r>
      <w:r>
        <w:rPr/>
        <w:t>in</w:t>
      </w:r>
      <w:r>
        <w:rPr>
          <w:spacing w:val="68"/>
        </w:rPr>
        <w:t> </w:t>
      </w:r>
      <w:r>
        <w:rPr>
          <w:spacing w:val="-2"/>
        </w:rPr>
        <w:t>Construction.</w:t>
      </w:r>
    </w:p>
    <w:p>
      <w:pPr>
        <w:pStyle w:val="BodyText"/>
        <w:ind w:left="1211"/>
      </w:pPr>
      <w:r>
        <w:rPr/>
        <w:t>Construction</w:t>
      </w:r>
      <w:r>
        <w:rPr>
          <w:spacing w:val="-3"/>
        </w:rPr>
        <w:t> </w:t>
      </w:r>
      <w:r>
        <w:rPr/>
        <w:t>Information</w:t>
      </w:r>
      <w:r>
        <w:rPr>
          <w:spacing w:val="-3"/>
        </w:rPr>
        <w:t> </w:t>
      </w:r>
      <w:r>
        <w:rPr/>
        <w:t>Quarterly,</w:t>
      </w:r>
      <w:r>
        <w:rPr>
          <w:spacing w:val="-3"/>
        </w:rPr>
        <w:t> </w:t>
      </w:r>
      <w:r>
        <w:rPr/>
        <w:t>1</w:t>
      </w:r>
      <w:r>
        <w:rPr>
          <w:spacing w:val="-3"/>
        </w:rPr>
        <w:t> </w:t>
      </w:r>
      <w:r>
        <w:rPr/>
        <w:t>(4),</w:t>
      </w:r>
      <w:r>
        <w:rPr>
          <w:spacing w:val="-2"/>
        </w:rPr>
        <w:t> </w:t>
      </w:r>
      <w:r>
        <w:rPr/>
        <w:t>1-</w:t>
      </w:r>
      <w:r>
        <w:rPr>
          <w:spacing w:val="-5"/>
        </w:rPr>
        <w:t>6.</w:t>
      </w:r>
    </w:p>
    <w:p>
      <w:pPr>
        <w:pStyle w:val="BodyText"/>
        <w:spacing w:before="84"/>
      </w:pPr>
    </w:p>
    <w:p>
      <w:pPr>
        <w:pStyle w:val="BodyText"/>
        <w:ind w:left="1211" w:right="1320" w:hanging="812"/>
        <w:jc w:val="both"/>
      </w:pPr>
      <w:r>
        <w:rPr/>
        <w:t>Way, S., &amp; Johnson, D (2005) Theorizing About the Impact of Strategic Human Resource Management, Human Resource Management Review, 1, (19), 1- 13.</w:t>
      </w:r>
    </w:p>
    <w:p>
      <w:pPr>
        <w:pStyle w:val="BodyText"/>
        <w:spacing w:before="84"/>
      </w:pPr>
    </w:p>
    <w:p>
      <w:pPr>
        <w:pStyle w:val="BodyText"/>
        <w:ind w:left="1211" w:right="1318" w:hanging="812"/>
        <w:jc w:val="both"/>
        <w:rPr>
          <w:sz w:val="28"/>
        </w:rPr>
      </w:pPr>
      <w:r>
        <w:rPr/>
        <w:t>Weiss, H. &amp; Gershon, M. 2008. Total Quality Management Principles observed in operation management. Available from: (</w:t>
      </w:r>
      <w:hyperlink r:id="rId64">
        <w:r>
          <w:rPr>
            <w:color w:val="0000FF"/>
            <w:u w:val="single" w:color="0000FF"/>
          </w:rPr>
          <w:t>www.scribd.com/doc/2919927/Total-Quality-</w:t>
        </w:r>
      </w:hyperlink>
      <w:r>
        <w:rPr>
          <w:color w:val="0000FF"/>
        </w:rPr>
        <w:t> </w:t>
      </w:r>
      <w:r>
        <w:rPr/>
        <w:t>Management) </w:t>
      </w:r>
      <w:r>
        <w:rPr>
          <w:sz w:val="28"/>
        </w:rPr>
        <w:t>(Accessed 12/05/2014)</w:t>
      </w:r>
    </w:p>
    <w:p>
      <w:pPr>
        <w:pStyle w:val="BodyText"/>
        <w:spacing w:before="84"/>
      </w:pPr>
    </w:p>
    <w:p>
      <w:pPr>
        <w:pStyle w:val="BodyText"/>
        <w:ind w:left="1211" w:right="1319" w:hanging="812"/>
        <w:jc w:val="both"/>
      </w:pPr>
      <w:r>
        <w:rPr/>
        <w:t>Wessel,</w:t>
      </w:r>
      <w:r>
        <w:rPr>
          <w:spacing w:val="-1"/>
        </w:rPr>
        <w:t> </w:t>
      </w:r>
      <w:r>
        <w:rPr/>
        <w:t>G.,</w:t>
      </w:r>
      <w:r>
        <w:rPr>
          <w:spacing w:val="-1"/>
        </w:rPr>
        <w:t> </w:t>
      </w:r>
      <w:r>
        <w:rPr/>
        <w:t>&amp;</w:t>
      </w:r>
      <w:r>
        <w:rPr>
          <w:spacing w:val="-3"/>
        </w:rPr>
        <w:t> </w:t>
      </w:r>
      <w:r>
        <w:rPr/>
        <w:t>Burcher,P (2004).</w:t>
      </w:r>
      <w:r>
        <w:rPr>
          <w:spacing w:val="-1"/>
        </w:rPr>
        <w:t> </w:t>
      </w:r>
      <w:r>
        <w:rPr/>
        <w:t>"Six Sigma</w:t>
      </w:r>
      <w:r>
        <w:rPr>
          <w:spacing w:val="-2"/>
        </w:rPr>
        <w:t> </w:t>
      </w:r>
      <w:r>
        <w:rPr/>
        <w:t>for</w:t>
      </w:r>
      <w:r>
        <w:rPr>
          <w:spacing w:val="-2"/>
        </w:rPr>
        <w:t> </w:t>
      </w:r>
      <w:r>
        <w:rPr/>
        <w:t>Small</w:t>
      </w:r>
      <w:r>
        <w:rPr>
          <w:spacing w:val="-1"/>
        </w:rPr>
        <w:t> </w:t>
      </w:r>
      <w:r>
        <w:rPr/>
        <w:t>and</w:t>
      </w:r>
      <w:r>
        <w:rPr>
          <w:spacing w:val="-1"/>
        </w:rPr>
        <w:t> </w:t>
      </w:r>
      <w:r>
        <w:rPr/>
        <w:t>Medium-Sized</w:t>
      </w:r>
      <w:r>
        <w:rPr>
          <w:spacing w:val="-3"/>
        </w:rPr>
        <w:t> </w:t>
      </w:r>
      <w:r>
        <w:rPr/>
        <w:t>Enterprises.</w:t>
      </w:r>
      <w:r>
        <w:rPr>
          <w:spacing w:val="-1"/>
        </w:rPr>
        <w:t> </w:t>
      </w:r>
      <w:r>
        <w:rPr>
          <w:i/>
        </w:rPr>
        <w:t>The</w:t>
      </w:r>
      <w:r>
        <w:rPr>
          <w:i/>
          <w:spacing w:val="-2"/>
        </w:rPr>
        <w:t> </w:t>
      </w:r>
      <w:r>
        <w:rPr>
          <w:i/>
        </w:rPr>
        <w:t>TQM Magazine, 16</w:t>
      </w:r>
      <w:r>
        <w:rPr/>
        <w:t>(4), .264 - 272.</w:t>
      </w:r>
    </w:p>
    <w:p>
      <w:pPr>
        <w:pStyle w:val="BodyText"/>
        <w:spacing w:before="84"/>
      </w:pPr>
    </w:p>
    <w:p>
      <w:pPr>
        <w:pStyle w:val="BodyText"/>
        <w:ind w:left="1211" w:right="1320" w:hanging="812"/>
        <w:jc w:val="both"/>
      </w:pPr>
      <w:r>
        <w:rPr/>
        <w:t>Wickhman, P.A. (2001). Strategic Entrepreneurship: A Decision Making Approach to New Venture Creation and Management, 2nd edition, Pearson Education, Harlow.</w:t>
      </w:r>
    </w:p>
    <w:p>
      <w:pPr>
        <w:spacing w:after="0"/>
        <w:jc w:val="both"/>
        <w:sectPr>
          <w:pgSz w:w="12240" w:h="15840"/>
          <w:pgMar w:header="0" w:footer="1017" w:top="1360" w:bottom="1200" w:left="1040" w:right="120"/>
        </w:sectPr>
      </w:pPr>
    </w:p>
    <w:p>
      <w:pPr>
        <w:spacing w:before="72"/>
        <w:ind w:left="1211" w:right="1318" w:hanging="812"/>
        <w:jc w:val="both"/>
        <w:rPr>
          <w:i/>
          <w:sz w:val="24"/>
        </w:rPr>
      </w:pPr>
      <w:r>
        <w:rPr>
          <w:sz w:val="24"/>
        </w:rPr>
        <w:t>Wilkes, N., &amp; Dale, B.G. (1998), Attitudes to self-assessment and quality awards: A study in small and medium-sized companies, </w:t>
      </w:r>
      <w:r>
        <w:rPr>
          <w:i/>
          <w:sz w:val="24"/>
        </w:rPr>
        <w:t>Total Quality Management, 9 (8), .731-739.</w:t>
      </w:r>
    </w:p>
    <w:p>
      <w:pPr>
        <w:pStyle w:val="BodyText"/>
        <w:spacing w:before="84"/>
        <w:rPr>
          <w:i/>
        </w:rPr>
      </w:pPr>
    </w:p>
    <w:p>
      <w:pPr>
        <w:pStyle w:val="BodyText"/>
        <w:ind w:left="1211" w:right="1320" w:hanging="812"/>
        <w:jc w:val="both"/>
      </w:pPr>
      <w:r>
        <w:rPr/>
        <w:t>Yamane, T. (1973) Statistics: An Introductory Analysis. 3rd Edition, Harper and Row, New </w:t>
      </w:r>
      <w:r>
        <w:rPr>
          <w:spacing w:val="-2"/>
        </w:rPr>
        <w:t>York.</w:t>
      </w:r>
    </w:p>
    <w:p>
      <w:pPr>
        <w:pStyle w:val="BodyText"/>
        <w:spacing w:before="84"/>
      </w:pPr>
    </w:p>
    <w:p>
      <w:pPr>
        <w:pStyle w:val="BodyText"/>
        <w:ind w:left="399"/>
      </w:pPr>
      <w:r>
        <w:rPr/>
        <w:t>Yatkın,</w:t>
      </w:r>
      <w:r>
        <w:rPr>
          <w:spacing w:val="-2"/>
        </w:rPr>
        <w:t> </w:t>
      </w:r>
      <w:r>
        <w:rPr/>
        <w:t>A.</w:t>
      </w:r>
      <w:r>
        <w:rPr>
          <w:spacing w:val="-2"/>
        </w:rPr>
        <w:t> </w:t>
      </w:r>
      <w:r>
        <w:rPr/>
        <w:t>(2004).</w:t>
      </w:r>
      <w:r>
        <w:rPr>
          <w:spacing w:val="-2"/>
        </w:rPr>
        <w:t> </w:t>
      </w:r>
      <w:r>
        <w:rPr/>
        <w:t>Total Quality</w:t>
      </w:r>
      <w:r>
        <w:rPr>
          <w:spacing w:val="-6"/>
        </w:rPr>
        <w:t> </w:t>
      </w:r>
      <w:r>
        <w:rPr/>
        <w:t>Management.</w:t>
      </w:r>
      <w:r>
        <w:rPr>
          <w:spacing w:val="-2"/>
        </w:rPr>
        <w:t> </w:t>
      </w:r>
      <w:r>
        <w:rPr/>
        <w:t>Ankara:</w:t>
      </w:r>
      <w:r>
        <w:rPr>
          <w:spacing w:val="-2"/>
        </w:rPr>
        <w:t> </w:t>
      </w:r>
      <w:r>
        <w:rPr/>
        <w:t>Nobel</w:t>
      </w:r>
      <w:r>
        <w:rPr>
          <w:spacing w:val="-1"/>
        </w:rPr>
        <w:t> </w:t>
      </w:r>
      <w:r>
        <w:rPr>
          <w:spacing w:val="-2"/>
        </w:rPr>
        <w:t>Publications</w:t>
      </w:r>
    </w:p>
    <w:p>
      <w:pPr>
        <w:pStyle w:val="BodyText"/>
        <w:spacing w:before="84"/>
      </w:pPr>
    </w:p>
    <w:p>
      <w:pPr>
        <w:pStyle w:val="BodyText"/>
        <w:ind w:left="1211" w:right="1318" w:hanging="812"/>
        <w:jc w:val="both"/>
      </w:pPr>
      <w:r>
        <w:rPr/>
        <w:t>Yimam, A. H. (2011). Project Management Maturity</w:t>
      </w:r>
      <w:r>
        <w:rPr>
          <w:spacing w:val="-3"/>
        </w:rPr>
        <w:t> </w:t>
      </w:r>
      <w:r>
        <w:rPr/>
        <w:t>in the Construction Industry</w:t>
      </w:r>
      <w:r>
        <w:rPr>
          <w:spacing w:val="-1"/>
        </w:rPr>
        <w:t> </w:t>
      </w:r>
      <w:r>
        <w:rPr/>
        <w:t>of Developing Countries: The Case of Ethiopian Contractors. MSc Thesis: University of Maryland.</w:t>
      </w:r>
    </w:p>
    <w:p>
      <w:pPr>
        <w:pStyle w:val="BodyText"/>
        <w:spacing w:before="84"/>
      </w:pPr>
    </w:p>
    <w:p>
      <w:pPr>
        <w:pStyle w:val="BodyText"/>
        <w:ind w:left="400"/>
      </w:pPr>
      <w:r>
        <w:rPr/>
        <w:t>Yrle,</w:t>
      </w:r>
      <w:r>
        <w:rPr>
          <w:spacing w:val="-2"/>
        </w:rPr>
        <w:t> </w:t>
      </w:r>
      <w:r>
        <w:rPr/>
        <w:t>A.C.,</w:t>
      </w:r>
      <w:r>
        <w:rPr>
          <w:spacing w:val="-1"/>
        </w:rPr>
        <w:t> </w:t>
      </w:r>
      <w:r>
        <w:rPr/>
        <w:t>Hartman,</w:t>
      </w:r>
      <w:r>
        <w:rPr>
          <w:spacing w:val="-2"/>
        </w:rPr>
        <w:t> </w:t>
      </w:r>
      <w:r>
        <w:rPr/>
        <w:t>S.J.,</w:t>
      </w:r>
      <w:r>
        <w:rPr>
          <w:spacing w:val="-1"/>
        </w:rPr>
        <w:t> </w:t>
      </w:r>
      <w:r>
        <w:rPr/>
        <w:t>Yrle,</w:t>
      </w:r>
      <w:r>
        <w:rPr>
          <w:spacing w:val="-2"/>
        </w:rPr>
        <w:t> </w:t>
      </w:r>
      <w:r>
        <w:rPr/>
        <w:t>A.R.</w:t>
      </w:r>
      <w:r>
        <w:rPr>
          <w:spacing w:val="-1"/>
        </w:rPr>
        <w:t> </w:t>
      </w:r>
      <w:r>
        <w:rPr/>
        <w:t>(2000). Economic</w:t>
      </w:r>
      <w:r>
        <w:rPr>
          <w:spacing w:val="-2"/>
        </w:rPr>
        <w:t> </w:t>
      </w:r>
      <w:r>
        <w:rPr/>
        <w:t>factors:</w:t>
      </w:r>
      <w:r>
        <w:rPr>
          <w:spacing w:val="-1"/>
        </w:rPr>
        <w:t> </w:t>
      </w:r>
      <w:r>
        <w:rPr/>
        <w:t>Examining</w:t>
      </w:r>
      <w:r>
        <w:rPr>
          <w:spacing w:val="-2"/>
        </w:rPr>
        <w:t> </w:t>
      </w:r>
      <w:r>
        <w:rPr/>
        <w:t>why</w:t>
      </w:r>
      <w:r>
        <w:rPr>
          <w:spacing w:val="-6"/>
        </w:rPr>
        <w:t> </w:t>
      </w:r>
      <w:r>
        <w:rPr/>
        <w:t>small</w:t>
      </w:r>
      <w:r>
        <w:rPr>
          <w:spacing w:val="-1"/>
        </w:rPr>
        <w:t> </w:t>
      </w:r>
      <w:r>
        <w:rPr>
          <w:spacing w:val="-2"/>
        </w:rPr>
        <w:t>businesses</w:t>
      </w:r>
    </w:p>
    <w:p>
      <w:pPr>
        <w:spacing w:before="0"/>
        <w:ind w:left="1211" w:right="0" w:firstLine="0"/>
        <w:jc w:val="left"/>
        <w:rPr>
          <w:sz w:val="24"/>
        </w:rPr>
      </w:pPr>
      <w:r>
        <w:rPr>
          <w:sz w:val="24"/>
        </w:rPr>
        <w:t>.</w:t>
      </w:r>
      <w:r>
        <w:rPr>
          <w:spacing w:val="-4"/>
          <w:sz w:val="24"/>
        </w:rPr>
        <w:t> </w:t>
      </w:r>
      <w:r>
        <w:rPr>
          <w:i/>
          <w:sz w:val="24"/>
        </w:rPr>
        <w:t>Journal</w:t>
      </w:r>
      <w:r>
        <w:rPr>
          <w:i/>
          <w:spacing w:val="-1"/>
          <w:sz w:val="24"/>
        </w:rPr>
        <w:t> </w:t>
      </w:r>
      <w:r>
        <w:rPr>
          <w:i/>
          <w:sz w:val="24"/>
        </w:rPr>
        <w:t>of</w:t>
      </w:r>
      <w:r>
        <w:rPr>
          <w:i/>
          <w:spacing w:val="-1"/>
          <w:sz w:val="24"/>
        </w:rPr>
        <w:t> </w:t>
      </w:r>
      <w:r>
        <w:rPr>
          <w:i/>
          <w:sz w:val="24"/>
        </w:rPr>
        <w:t>Business</w:t>
      </w:r>
      <w:r>
        <w:rPr>
          <w:i/>
          <w:spacing w:val="-2"/>
          <w:sz w:val="24"/>
        </w:rPr>
        <w:t> </w:t>
      </w:r>
      <w:r>
        <w:rPr>
          <w:i/>
          <w:sz w:val="24"/>
        </w:rPr>
        <w:t>and</w:t>
      </w:r>
      <w:r>
        <w:rPr>
          <w:i/>
          <w:spacing w:val="-1"/>
          <w:sz w:val="24"/>
        </w:rPr>
        <w:t> </w:t>
      </w:r>
      <w:r>
        <w:rPr>
          <w:i/>
          <w:sz w:val="24"/>
        </w:rPr>
        <w:t>Entrepreneurship</w:t>
      </w:r>
      <w:r>
        <w:rPr>
          <w:sz w:val="24"/>
        </w:rPr>
        <w:t>,</w:t>
      </w:r>
      <w:r>
        <w:rPr>
          <w:spacing w:val="-1"/>
          <w:sz w:val="24"/>
        </w:rPr>
        <w:t> </w:t>
      </w:r>
      <w:r>
        <w:rPr>
          <w:sz w:val="24"/>
        </w:rPr>
        <w:t>4(3),28-</w:t>
      </w:r>
      <w:r>
        <w:rPr>
          <w:spacing w:val="-5"/>
          <w:sz w:val="24"/>
        </w:rPr>
        <w:t>42.</w:t>
      </w:r>
    </w:p>
    <w:p>
      <w:pPr>
        <w:pStyle w:val="BodyText"/>
        <w:spacing w:before="84"/>
      </w:pPr>
    </w:p>
    <w:p>
      <w:pPr>
        <w:pStyle w:val="BodyText"/>
        <w:ind w:left="399"/>
      </w:pPr>
      <w:r>
        <w:rPr/>
        <w:t>Yusof,</w:t>
      </w:r>
      <w:r>
        <w:rPr>
          <w:spacing w:val="-2"/>
        </w:rPr>
        <w:t> </w:t>
      </w:r>
      <w:r>
        <w:rPr/>
        <w:t>S. M.</w:t>
      </w:r>
      <w:r>
        <w:rPr>
          <w:spacing w:val="1"/>
        </w:rPr>
        <w:t> </w:t>
      </w:r>
      <w:r>
        <w:rPr/>
        <w:t>&amp;</w:t>
      </w:r>
      <w:r>
        <w:rPr>
          <w:spacing w:val="-2"/>
        </w:rPr>
        <w:t> </w:t>
      </w:r>
      <w:r>
        <w:rPr/>
        <w:t>Aspinwall.</w:t>
      </w:r>
      <w:r>
        <w:rPr>
          <w:spacing w:val="1"/>
        </w:rPr>
        <w:t> </w:t>
      </w:r>
      <w:r>
        <w:rPr/>
        <w:t>(2000). A conceptual framework</w:t>
      </w:r>
      <w:r>
        <w:rPr>
          <w:spacing w:val="1"/>
        </w:rPr>
        <w:t> </w:t>
      </w:r>
      <w:r>
        <w:rPr/>
        <w:t>for</w:t>
      </w:r>
      <w:r>
        <w:rPr>
          <w:spacing w:val="-1"/>
        </w:rPr>
        <w:t> </w:t>
      </w:r>
      <w:r>
        <w:rPr/>
        <w:t>TQM</w:t>
      </w:r>
      <w:r>
        <w:rPr>
          <w:spacing w:val="1"/>
        </w:rPr>
        <w:t> </w:t>
      </w:r>
      <w:r>
        <w:rPr/>
        <w:t>implementation for </w:t>
      </w:r>
      <w:r>
        <w:rPr>
          <w:spacing w:val="-2"/>
        </w:rPr>
        <w:t>SMEs.</w:t>
      </w:r>
    </w:p>
    <w:p>
      <w:pPr>
        <w:pStyle w:val="BodyText"/>
        <w:ind w:left="1211"/>
      </w:pPr>
      <w:r>
        <w:rPr/>
        <w:t>The</w:t>
      </w:r>
      <w:r>
        <w:rPr>
          <w:spacing w:val="-5"/>
        </w:rPr>
        <w:t> </w:t>
      </w:r>
      <w:r>
        <w:rPr/>
        <w:t>TQM</w:t>
      </w:r>
      <w:r>
        <w:rPr>
          <w:spacing w:val="-2"/>
        </w:rPr>
        <w:t> </w:t>
      </w:r>
      <w:r>
        <w:rPr/>
        <w:t>Magazine,</w:t>
      </w:r>
      <w:r>
        <w:rPr>
          <w:spacing w:val="-2"/>
        </w:rPr>
        <w:t> </w:t>
      </w:r>
      <w:r>
        <w:rPr/>
        <w:t>12(1),</w:t>
      </w:r>
      <w:r>
        <w:rPr>
          <w:spacing w:val="-1"/>
        </w:rPr>
        <w:t> </w:t>
      </w:r>
      <w:r>
        <w:rPr/>
        <w:t>31-</w:t>
      </w:r>
      <w:r>
        <w:rPr>
          <w:spacing w:val="-5"/>
        </w:rPr>
        <w:t>36.</w:t>
      </w:r>
    </w:p>
    <w:p>
      <w:pPr>
        <w:pStyle w:val="BodyText"/>
        <w:spacing w:before="84"/>
      </w:pPr>
    </w:p>
    <w:p>
      <w:pPr>
        <w:pStyle w:val="BodyText"/>
        <w:ind w:left="1211" w:right="1319" w:hanging="812"/>
        <w:jc w:val="both"/>
      </w:pPr>
      <w:r>
        <w:rPr/>
        <w:t>Zahir. A. (2013). Developing a framework to apply total quality management concepts to land administration .(The case of Islamic Republic of Pakistan).</w:t>
      </w:r>
    </w:p>
    <w:p>
      <w:pPr>
        <w:pStyle w:val="BodyText"/>
        <w:spacing w:before="84"/>
      </w:pPr>
    </w:p>
    <w:p>
      <w:pPr>
        <w:pStyle w:val="BodyText"/>
        <w:ind w:left="1211" w:right="1320" w:hanging="812"/>
        <w:jc w:val="both"/>
      </w:pPr>
      <w:r>
        <w:rPr/>
        <w:t>Zairi,</w:t>
      </w:r>
      <w:r>
        <w:rPr>
          <w:spacing w:val="-1"/>
        </w:rPr>
        <w:t> </w:t>
      </w:r>
      <w:r>
        <w:rPr/>
        <w:t>M.,</w:t>
      </w:r>
      <w:r>
        <w:rPr>
          <w:spacing w:val="-1"/>
        </w:rPr>
        <w:t> </w:t>
      </w:r>
      <w:r>
        <w:rPr/>
        <w:t>&amp;</w:t>
      </w:r>
      <w:r>
        <w:rPr>
          <w:spacing w:val="-3"/>
        </w:rPr>
        <w:t> </w:t>
      </w:r>
      <w:r>
        <w:rPr/>
        <w:t>Youssef,</w:t>
      </w:r>
      <w:r>
        <w:rPr>
          <w:spacing w:val="-1"/>
        </w:rPr>
        <w:t> </w:t>
      </w:r>
      <w:r>
        <w:rPr/>
        <w:t>M.</w:t>
      </w:r>
      <w:r>
        <w:rPr>
          <w:spacing w:val="-1"/>
        </w:rPr>
        <w:t> </w:t>
      </w:r>
      <w:r>
        <w:rPr/>
        <w:t>A.</w:t>
      </w:r>
      <w:r>
        <w:rPr>
          <w:spacing w:val="-1"/>
        </w:rPr>
        <w:t> </w:t>
      </w:r>
      <w:r>
        <w:rPr/>
        <w:t>(1995)</w:t>
      </w:r>
      <w:r>
        <w:rPr>
          <w:spacing w:val="-2"/>
        </w:rPr>
        <w:t> </w:t>
      </w:r>
      <w:r>
        <w:rPr/>
        <w:t>„Benchmarking</w:t>
      </w:r>
      <w:r>
        <w:rPr>
          <w:spacing w:val="-3"/>
        </w:rPr>
        <w:t> </w:t>
      </w:r>
      <w:r>
        <w:rPr/>
        <w:t>Critical</w:t>
      </w:r>
      <w:r>
        <w:rPr>
          <w:spacing w:val="-1"/>
        </w:rPr>
        <w:t> </w:t>
      </w:r>
      <w:r>
        <w:rPr/>
        <w:t>Factors</w:t>
      </w:r>
      <w:r>
        <w:rPr>
          <w:spacing w:val="-1"/>
        </w:rPr>
        <w:t> </w:t>
      </w:r>
      <w:r>
        <w:rPr/>
        <w:t>for</w:t>
      </w:r>
      <w:r>
        <w:rPr>
          <w:spacing w:val="-2"/>
        </w:rPr>
        <w:t> </w:t>
      </w:r>
      <w:r>
        <w:rPr/>
        <w:t>TQM:</w:t>
      </w:r>
      <w:r>
        <w:rPr>
          <w:spacing w:val="-1"/>
        </w:rPr>
        <w:t> </w:t>
      </w:r>
      <w:r>
        <w:rPr/>
        <w:t>Part I:</w:t>
      </w:r>
      <w:r>
        <w:rPr>
          <w:spacing w:val="-1"/>
        </w:rPr>
        <w:t> </w:t>
      </w:r>
      <w:r>
        <w:rPr/>
        <w:t>Theory</w:t>
      </w:r>
      <w:r>
        <w:rPr>
          <w:spacing w:val="-6"/>
        </w:rPr>
        <w:t> </w:t>
      </w:r>
      <w:r>
        <w:rPr/>
        <w:t>and Foundation‟. Benchmarking for Quality Management and Technology, Pp. 5-20.</w:t>
      </w:r>
    </w:p>
    <w:p>
      <w:pPr>
        <w:pStyle w:val="BodyText"/>
        <w:spacing w:before="84"/>
      </w:pPr>
    </w:p>
    <w:p>
      <w:pPr>
        <w:pStyle w:val="BodyText"/>
        <w:ind w:left="1211" w:right="1317" w:hanging="752"/>
        <w:jc w:val="both"/>
      </w:pPr>
      <w:r>
        <w:rPr/>
        <w:t>Zakuan, N., Yusof, S., Laosirihongthong, T., &amp;</w:t>
      </w:r>
      <w:r>
        <w:rPr>
          <w:spacing w:val="-1"/>
        </w:rPr>
        <w:t> </w:t>
      </w:r>
      <w:r>
        <w:rPr/>
        <w:t>Shaharoun, A. (2010). Proposed Relationship of TQM and Organizational Performance Using Structured Equation, </w:t>
      </w:r>
      <w:r>
        <w:rPr>
          <w:spacing w:val="-2"/>
        </w:rPr>
        <w:t>https:/doi.org/10.1080/147833609035550020</w:t>
      </w:r>
    </w:p>
    <w:p>
      <w:pPr>
        <w:pStyle w:val="BodyText"/>
        <w:spacing w:before="84"/>
      </w:pPr>
    </w:p>
    <w:p>
      <w:pPr>
        <w:pStyle w:val="BodyText"/>
        <w:ind w:left="1211" w:right="1318" w:hanging="812"/>
        <w:jc w:val="both"/>
      </w:pPr>
      <w:r>
        <w:rPr/>
        <w:t>Zetie,</w:t>
      </w:r>
      <w:r>
        <w:rPr>
          <w:spacing w:val="40"/>
        </w:rPr>
        <w:t> </w:t>
      </w:r>
      <w:r>
        <w:rPr/>
        <w:t>S.</w:t>
      </w:r>
      <w:r>
        <w:rPr>
          <w:spacing w:val="40"/>
        </w:rPr>
        <w:t> </w:t>
      </w:r>
      <w:r>
        <w:rPr/>
        <w:t>(2002). The Quality Circle</w:t>
      </w:r>
      <w:r>
        <w:rPr>
          <w:spacing w:val="40"/>
        </w:rPr>
        <w:t> </w:t>
      </w:r>
      <w:r>
        <w:rPr/>
        <w:t>Approach</w:t>
      </w:r>
      <w:r>
        <w:rPr>
          <w:spacing w:val="40"/>
        </w:rPr>
        <w:t> </w:t>
      </w:r>
      <w:r>
        <w:rPr/>
        <w:t>to</w:t>
      </w:r>
      <w:r>
        <w:rPr>
          <w:spacing w:val="40"/>
        </w:rPr>
        <w:t> </w:t>
      </w:r>
      <w:r>
        <w:rPr/>
        <w:t>Knowledge</w:t>
      </w:r>
      <w:r>
        <w:rPr>
          <w:spacing w:val="40"/>
        </w:rPr>
        <w:t> </w:t>
      </w:r>
      <w:r>
        <w:rPr/>
        <w:t>Management. </w:t>
      </w:r>
      <w:r>
        <w:rPr>
          <w:i/>
        </w:rPr>
        <w:t>Managerial Auditing Journal</w:t>
      </w:r>
      <w:r>
        <w:rPr/>
        <w:t>, 17(6), pp.317 – 321,</w:t>
      </w:r>
      <w:r>
        <w:rPr>
          <w:spacing w:val="40"/>
        </w:rPr>
        <w:t> </w:t>
      </w:r>
      <w:hyperlink r:id="rId65">
        <w:r>
          <w:rPr>
            <w:color w:val="0000FF"/>
            <w:u w:val="single" w:color="0000FF"/>
          </w:rPr>
          <w:t>https://doi.org/10.1108/02686900210434096</w:t>
        </w:r>
      </w:hyperlink>
    </w:p>
    <w:p>
      <w:pPr>
        <w:spacing w:after="0"/>
        <w:jc w:val="both"/>
        <w:sectPr>
          <w:pgSz w:w="12240" w:h="15840"/>
          <w:pgMar w:header="0" w:footer="1017" w:top="1360" w:bottom="1200" w:left="1040" w:right="120"/>
        </w:sectPr>
      </w:pPr>
    </w:p>
    <w:p>
      <w:pPr>
        <w:spacing w:before="77"/>
        <w:ind w:left="0" w:right="918" w:firstLine="0"/>
        <w:jc w:val="center"/>
        <w:rPr>
          <w:b/>
          <w:sz w:val="28"/>
        </w:rPr>
      </w:pPr>
      <w:r>
        <w:rPr>
          <w:b/>
          <w:sz w:val="28"/>
        </w:rPr>
        <w:t>APPENDIX</w:t>
      </w:r>
      <w:r>
        <w:rPr>
          <w:b/>
          <w:spacing w:val="-12"/>
          <w:sz w:val="28"/>
        </w:rPr>
        <w:t> </w:t>
      </w:r>
      <w:r>
        <w:rPr>
          <w:b/>
          <w:spacing w:val="-10"/>
          <w:sz w:val="28"/>
        </w:rPr>
        <w:t>1</w:t>
      </w:r>
    </w:p>
    <w:p>
      <w:pPr>
        <w:pStyle w:val="Heading1"/>
        <w:spacing w:before="302"/>
        <w:ind w:left="369" w:right="1286"/>
        <w:jc w:val="center"/>
      </w:pPr>
      <w:r>
        <w:rPr/>
        <w:t>QUESTIONNAIRE</w:t>
      </w:r>
      <w:r>
        <w:rPr>
          <w:spacing w:val="-6"/>
        </w:rPr>
        <w:t> </w:t>
      </w:r>
      <w:r>
        <w:rPr/>
        <w:t>FOR</w:t>
      </w:r>
      <w:r>
        <w:rPr>
          <w:spacing w:val="-6"/>
        </w:rPr>
        <w:t> </w:t>
      </w:r>
      <w:r>
        <w:rPr/>
        <w:t>SMALL</w:t>
      </w:r>
      <w:r>
        <w:rPr>
          <w:spacing w:val="-6"/>
        </w:rPr>
        <w:t> </w:t>
      </w:r>
      <w:r>
        <w:rPr/>
        <w:t>AND</w:t>
      </w:r>
      <w:r>
        <w:rPr>
          <w:spacing w:val="-6"/>
        </w:rPr>
        <w:t> </w:t>
      </w:r>
      <w:r>
        <w:rPr/>
        <w:t>MEDIUM</w:t>
      </w:r>
      <w:r>
        <w:rPr>
          <w:spacing w:val="-6"/>
        </w:rPr>
        <w:t> </w:t>
      </w:r>
      <w:r>
        <w:rPr/>
        <w:t>CONSTRUCTION</w:t>
      </w:r>
      <w:r>
        <w:rPr>
          <w:spacing w:val="-6"/>
        </w:rPr>
        <w:t> </w:t>
      </w:r>
      <w:r>
        <w:rPr/>
        <w:t>FIRMS</w:t>
      </w:r>
      <w:r>
        <w:rPr>
          <w:spacing w:val="-6"/>
        </w:rPr>
        <w:t> </w:t>
      </w:r>
      <w:r>
        <w:rPr/>
        <w:t>IN SOUTH EAST NIGERIA</w:t>
      </w:r>
    </w:p>
    <w:p>
      <w:pPr>
        <w:pStyle w:val="BodyText"/>
        <w:spacing w:before="144"/>
        <w:rPr>
          <w:b/>
          <w:sz w:val="26"/>
        </w:rPr>
      </w:pPr>
    </w:p>
    <w:p>
      <w:pPr>
        <w:pStyle w:val="BodyText"/>
        <w:spacing w:line="360" w:lineRule="auto"/>
        <w:ind w:left="399" w:right="1316"/>
        <w:jc w:val="both"/>
      </w:pPr>
      <w:r>
        <w:rPr/>
        <w:t>The questionnaire is an important aspect of an ongoing PhD Dissertation “Development of a Total Quality Management Model for small and medium construction firms in south east Nigeria” which aims at determining the level of implementation and appraise critical success factors</w:t>
      </w:r>
      <w:r>
        <w:rPr>
          <w:color w:val="00B050"/>
        </w:rPr>
        <w:t>. </w:t>
      </w:r>
      <w:r>
        <w:rPr/>
        <w:t>This is with a view to developing a model which the small and medium construction firms can adopt for competitive advantage and effective project delivery.</w:t>
      </w:r>
    </w:p>
    <w:p>
      <w:pPr>
        <w:pStyle w:val="BodyText"/>
        <w:spacing w:line="360" w:lineRule="auto" w:before="275"/>
        <w:ind w:left="400" w:right="1319"/>
        <w:jc w:val="both"/>
      </w:pPr>
      <w:r>
        <w:rPr/>
        <w:t>Please, your firm is among those selected for the study and your co-operation in answering the questions in this questionnaire, based on your experience is crucial to the success of the study. Therefore, your candid and prompt response will highly be appreciated.</w:t>
      </w:r>
    </w:p>
    <w:p>
      <w:pPr>
        <w:pStyle w:val="BodyText"/>
        <w:spacing w:before="1"/>
      </w:pPr>
    </w:p>
    <w:p>
      <w:pPr>
        <w:pStyle w:val="BodyText"/>
        <w:spacing w:line="360" w:lineRule="auto"/>
        <w:ind w:left="400" w:right="1319"/>
        <w:jc w:val="both"/>
      </w:pPr>
      <w:r>
        <w:rPr/>
        <w:t>This study is strictly an academic exercise, hence, every opinion, information or data you</w:t>
      </w:r>
      <w:r>
        <w:rPr>
          <w:spacing w:val="40"/>
        </w:rPr>
        <w:t> </w:t>
      </w:r>
      <w:r>
        <w:rPr/>
        <w:t>indicate will be treated confidentially. To preserve your anonymity, providing your name is </w:t>
      </w:r>
      <w:r>
        <w:rPr>
          <w:spacing w:val="-2"/>
        </w:rPr>
        <w:t>optional.</w:t>
      </w:r>
    </w:p>
    <w:p>
      <w:pPr>
        <w:pStyle w:val="BodyText"/>
        <w:spacing w:line="360" w:lineRule="auto" w:before="275"/>
        <w:ind w:left="399" w:right="1318"/>
        <w:jc w:val="both"/>
      </w:pPr>
      <w:r>
        <w:rPr/>
        <w:t>Thank you very much for the anticipated cooperation and quick response. If you have any need for further inquiries, please contact me via the email below</w:t>
      </w:r>
    </w:p>
    <w:p>
      <w:pPr>
        <w:pStyle w:val="BodyText"/>
      </w:pPr>
    </w:p>
    <w:p>
      <w:pPr>
        <w:pStyle w:val="BodyText"/>
      </w:pPr>
    </w:p>
    <w:p>
      <w:pPr>
        <w:pStyle w:val="BodyText"/>
      </w:pPr>
    </w:p>
    <w:p>
      <w:pPr>
        <w:pStyle w:val="BodyText"/>
        <w:ind w:left="399"/>
      </w:pPr>
      <w:r>
        <w:rPr/>
        <w:t>Yours</w:t>
      </w:r>
      <w:r>
        <w:rPr>
          <w:spacing w:val="-2"/>
        </w:rPr>
        <w:t> faithfully,</w:t>
      </w:r>
    </w:p>
    <w:p>
      <w:pPr>
        <w:pStyle w:val="BodyText"/>
      </w:pPr>
    </w:p>
    <w:p>
      <w:pPr>
        <w:pStyle w:val="BodyText"/>
        <w:spacing w:before="39"/>
      </w:pPr>
    </w:p>
    <w:p>
      <w:pPr>
        <w:pStyle w:val="Heading1"/>
        <w:ind w:left="400"/>
      </w:pPr>
      <w:r>
        <w:rPr/>
        <w:t>Alintah-Abel</w:t>
      </w:r>
      <w:r>
        <w:rPr>
          <w:spacing w:val="-12"/>
        </w:rPr>
        <w:t> </w:t>
      </w:r>
      <w:r>
        <w:rPr/>
        <w:t>Uchechi,</w:t>
      </w:r>
      <w:r>
        <w:rPr>
          <w:spacing w:val="-12"/>
        </w:rPr>
        <w:t> </w:t>
      </w:r>
      <w:r>
        <w:rPr>
          <w:spacing w:val="-5"/>
        </w:rPr>
        <w:t>V.</w:t>
      </w:r>
    </w:p>
    <w:p>
      <w:pPr>
        <w:spacing w:before="40"/>
        <w:ind w:left="464" w:right="0" w:firstLine="0"/>
        <w:jc w:val="left"/>
        <w:rPr>
          <w:sz w:val="26"/>
        </w:rPr>
      </w:pPr>
      <w:r>
        <w:rPr>
          <w:sz w:val="26"/>
        </w:rPr>
        <w:t>(</w:t>
      </w:r>
      <w:r>
        <w:rPr>
          <w:b/>
          <w:sz w:val="26"/>
        </w:rPr>
        <w:t>Tel.</w:t>
      </w:r>
      <w:r>
        <w:rPr>
          <w:b/>
          <w:spacing w:val="-9"/>
          <w:sz w:val="26"/>
        </w:rPr>
        <w:t> </w:t>
      </w:r>
      <w:r>
        <w:rPr>
          <w:sz w:val="26"/>
        </w:rPr>
        <w:t>08034645585;</w:t>
      </w:r>
      <w:r>
        <w:rPr>
          <w:spacing w:val="-9"/>
          <w:sz w:val="26"/>
        </w:rPr>
        <w:t> </w:t>
      </w:r>
      <w:r>
        <w:rPr>
          <w:b/>
          <w:sz w:val="26"/>
        </w:rPr>
        <w:t>Email:</w:t>
      </w:r>
      <w:r>
        <w:rPr>
          <w:b/>
          <w:spacing w:val="-8"/>
          <w:sz w:val="26"/>
        </w:rPr>
        <w:t> </w:t>
      </w:r>
      <w:r>
        <w:rPr>
          <w:spacing w:val="-2"/>
          <w:sz w:val="26"/>
        </w:rPr>
        <w:t>uchevanessa@yahoo.com).</w:t>
      </w:r>
    </w:p>
    <w:p>
      <w:pPr>
        <w:spacing w:after="0"/>
        <w:jc w:val="left"/>
        <w:rPr>
          <w:sz w:val="26"/>
        </w:rPr>
        <w:sectPr>
          <w:pgSz w:w="12240" w:h="15840"/>
          <w:pgMar w:header="0" w:footer="1017" w:top="1360" w:bottom="1200" w:left="1040" w:right="120"/>
        </w:sectPr>
      </w:pPr>
    </w:p>
    <w:p>
      <w:pPr>
        <w:pStyle w:val="Heading2"/>
        <w:spacing w:before="37"/>
        <w:jc w:val="left"/>
        <w:rPr>
          <w:rFonts w:ascii="Calibri"/>
        </w:rPr>
      </w:pPr>
      <w:r>
        <w:rPr>
          <w:rFonts w:ascii="Calibri"/>
        </w:rPr>
        <w:t>Section</w:t>
      </w:r>
      <w:r>
        <w:rPr>
          <w:rFonts w:ascii="Calibri"/>
          <w:spacing w:val="-2"/>
        </w:rPr>
        <w:t> </w:t>
      </w:r>
      <w:r>
        <w:rPr>
          <w:rFonts w:ascii="Calibri"/>
        </w:rPr>
        <w:t>I:</w:t>
      </w:r>
      <w:r>
        <w:rPr>
          <w:rFonts w:ascii="Calibri"/>
          <w:spacing w:val="-2"/>
        </w:rPr>
        <w:t> </w:t>
      </w:r>
      <w:r>
        <w:rPr>
          <w:rFonts w:ascii="Calibri"/>
        </w:rPr>
        <w:t>General</w:t>
      </w:r>
      <w:r>
        <w:rPr>
          <w:rFonts w:ascii="Calibri"/>
          <w:spacing w:val="-2"/>
        </w:rPr>
        <w:t> Information</w:t>
      </w:r>
    </w:p>
    <w:p>
      <w:pPr>
        <w:spacing w:before="179"/>
        <w:ind w:left="400" w:right="0" w:firstLine="0"/>
        <w:jc w:val="left"/>
        <w:rPr>
          <w:i/>
          <w:sz w:val="22"/>
        </w:rPr>
      </w:pPr>
      <w:r>
        <w:rPr>
          <w:i/>
          <w:sz w:val="22"/>
        </w:rPr>
        <w:t>Please</w:t>
      </w:r>
      <w:r>
        <w:rPr>
          <w:i/>
          <w:spacing w:val="-3"/>
          <w:sz w:val="22"/>
        </w:rPr>
        <w:t> </w:t>
      </w:r>
      <w:r>
        <w:rPr>
          <w:i/>
          <w:sz w:val="22"/>
        </w:rPr>
        <w:t>fill</w:t>
      </w:r>
      <w:r>
        <w:rPr>
          <w:i/>
          <w:spacing w:val="-1"/>
          <w:sz w:val="22"/>
        </w:rPr>
        <w:t> </w:t>
      </w:r>
      <w:r>
        <w:rPr>
          <w:i/>
          <w:sz w:val="22"/>
        </w:rPr>
        <w:t>or</w:t>
      </w:r>
      <w:r>
        <w:rPr>
          <w:i/>
          <w:spacing w:val="-4"/>
          <w:sz w:val="22"/>
        </w:rPr>
        <w:t> </w:t>
      </w:r>
      <w:r>
        <w:rPr>
          <w:i/>
          <w:sz w:val="22"/>
        </w:rPr>
        <w:t>tick</w:t>
      </w:r>
      <w:r>
        <w:rPr>
          <w:i/>
          <w:spacing w:val="-2"/>
          <w:sz w:val="22"/>
        </w:rPr>
        <w:t> </w:t>
      </w:r>
      <w:r>
        <w:rPr>
          <w:i/>
          <w:sz w:val="22"/>
        </w:rPr>
        <w:t>(√)</w:t>
      </w:r>
      <w:r>
        <w:rPr>
          <w:i/>
          <w:spacing w:val="-4"/>
          <w:sz w:val="22"/>
        </w:rPr>
        <w:t> </w:t>
      </w:r>
      <w:r>
        <w:rPr>
          <w:i/>
          <w:sz w:val="22"/>
        </w:rPr>
        <w:t>to</w:t>
      </w:r>
      <w:r>
        <w:rPr>
          <w:i/>
          <w:spacing w:val="-2"/>
          <w:sz w:val="22"/>
        </w:rPr>
        <w:t> </w:t>
      </w:r>
      <w:r>
        <w:rPr>
          <w:i/>
          <w:sz w:val="22"/>
        </w:rPr>
        <w:t>indicate</w:t>
      </w:r>
      <w:r>
        <w:rPr>
          <w:i/>
          <w:spacing w:val="-5"/>
          <w:sz w:val="22"/>
        </w:rPr>
        <w:t> </w:t>
      </w:r>
      <w:r>
        <w:rPr>
          <w:i/>
          <w:sz w:val="22"/>
        </w:rPr>
        <w:t>your</w:t>
      </w:r>
      <w:r>
        <w:rPr>
          <w:i/>
          <w:spacing w:val="-4"/>
          <w:sz w:val="22"/>
        </w:rPr>
        <w:t> </w:t>
      </w:r>
      <w:r>
        <w:rPr>
          <w:i/>
          <w:sz w:val="22"/>
        </w:rPr>
        <w:t>response,</w:t>
      </w:r>
      <w:r>
        <w:rPr>
          <w:i/>
          <w:spacing w:val="-2"/>
          <w:sz w:val="22"/>
        </w:rPr>
        <w:t> </w:t>
      </w:r>
      <w:r>
        <w:rPr>
          <w:i/>
          <w:sz w:val="22"/>
        </w:rPr>
        <w:t>as</w:t>
      </w:r>
      <w:r>
        <w:rPr>
          <w:i/>
          <w:spacing w:val="-4"/>
          <w:sz w:val="22"/>
        </w:rPr>
        <w:t> </w:t>
      </w:r>
      <w:r>
        <w:rPr>
          <w:i/>
          <w:sz w:val="22"/>
        </w:rPr>
        <w:t>it</w:t>
      </w:r>
      <w:r>
        <w:rPr>
          <w:i/>
          <w:spacing w:val="-4"/>
          <w:sz w:val="22"/>
        </w:rPr>
        <w:t> </w:t>
      </w:r>
      <w:r>
        <w:rPr>
          <w:i/>
          <w:sz w:val="22"/>
        </w:rPr>
        <w:t>applies</w:t>
      </w:r>
      <w:r>
        <w:rPr>
          <w:i/>
          <w:spacing w:val="-2"/>
          <w:sz w:val="22"/>
        </w:rPr>
        <w:t> </w:t>
      </w:r>
      <w:r>
        <w:rPr>
          <w:i/>
          <w:sz w:val="22"/>
        </w:rPr>
        <w:t>to</w:t>
      </w:r>
      <w:r>
        <w:rPr>
          <w:i/>
          <w:spacing w:val="-2"/>
          <w:sz w:val="22"/>
        </w:rPr>
        <w:t> </w:t>
      </w:r>
      <w:r>
        <w:rPr>
          <w:i/>
          <w:spacing w:val="-4"/>
          <w:sz w:val="22"/>
        </w:rPr>
        <w:t>you.</w:t>
      </w:r>
    </w:p>
    <w:p>
      <w:pPr>
        <w:pStyle w:val="BodyText"/>
        <w:rPr>
          <w:i/>
          <w:sz w:val="22"/>
        </w:rPr>
      </w:pPr>
    </w:p>
    <w:p>
      <w:pPr>
        <w:pStyle w:val="BodyText"/>
        <w:spacing w:before="101"/>
        <w:rPr>
          <w:i/>
          <w:sz w:val="22"/>
        </w:rPr>
      </w:pPr>
    </w:p>
    <w:p>
      <w:pPr>
        <w:pStyle w:val="ListParagraph"/>
        <w:numPr>
          <w:ilvl w:val="0"/>
          <w:numId w:val="60"/>
        </w:numPr>
        <w:tabs>
          <w:tab w:pos="1119" w:val="left" w:leader="none"/>
          <w:tab w:pos="9217" w:val="left" w:leader="none"/>
        </w:tabs>
        <w:spacing w:line="240" w:lineRule="auto" w:before="0" w:after="0"/>
        <w:ind w:left="1119" w:right="0" w:hanging="359"/>
        <w:jc w:val="left"/>
        <w:rPr>
          <w:rFonts w:ascii="Calibri"/>
          <w:sz w:val="24"/>
        </w:rPr>
      </w:pPr>
      <w:r>
        <w:rPr>
          <w:rFonts w:ascii="Calibri"/>
          <w:sz w:val="24"/>
        </w:rPr>
        <w:t>Name</w:t>
      </w:r>
      <w:r>
        <w:rPr>
          <w:rFonts w:ascii="Calibri"/>
          <w:spacing w:val="-3"/>
          <w:sz w:val="24"/>
        </w:rPr>
        <w:t> </w:t>
      </w:r>
      <w:r>
        <w:rPr>
          <w:rFonts w:ascii="Calibri"/>
          <w:sz w:val="24"/>
        </w:rPr>
        <w:t>of</w:t>
      </w:r>
      <w:r>
        <w:rPr>
          <w:rFonts w:ascii="Calibri"/>
          <w:spacing w:val="1"/>
          <w:sz w:val="24"/>
        </w:rPr>
        <w:t> </w:t>
      </w:r>
      <w:r>
        <w:rPr>
          <w:rFonts w:ascii="Calibri"/>
          <w:sz w:val="24"/>
        </w:rPr>
        <w:t>Respondent</w:t>
      </w:r>
      <w:r>
        <w:rPr>
          <w:rFonts w:ascii="Calibri"/>
          <w:spacing w:val="1"/>
          <w:sz w:val="24"/>
        </w:rPr>
        <w:t> </w:t>
      </w:r>
      <w:r>
        <w:rPr>
          <w:rFonts w:ascii="Calibri"/>
          <w:spacing w:val="-2"/>
          <w:sz w:val="24"/>
        </w:rPr>
        <w:t>(optional)</w:t>
      </w:r>
      <w:r>
        <w:rPr>
          <w:rFonts w:ascii="Calibri"/>
          <w:sz w:val="24"/>
          <w:u w:val="single"/>
        </w:rPr>
        <w:tab/>
      </w:r>
    </w:p>
    <w:p>
      <w:pPr>
        <w:pStyle w:val="ListParagraph"/>
        <w:numPr>
          <w:ilvl w:val="0"/>
          <w:numId w:val="60"/>
        </w:numPr>
        <w:tabs>
          <w:tab w:pos="1119" w:val="left" w:leader="none"/>
          <w:tab w:pos="9313" w:val="left" w:leader="none"/>
        </w:tabs>
        <w:spacing w:line="240" w:lineRule="auto" w:before="24" w:after="0"/>
        <w:ind w:left="1119" w:right="0" w:hanging="359"/>
        <w:jc w:val="left"/>
        <w:rPr>
          <w:rFonts w:ascii="Calibri"/>
          <w:sz w:val="24"/>
        </w:rPr>
      </w:pPr>
      <w:r>
        <w:rPr>
          <w:rFonts w:ascii="Calibri"/>
          <w:sz w:val="24"/>
        </w:rPr>
        <w:t>Name</w:t>
      </w:r>
      <w:r>
        <w:rPr>
          <w:rFonts w:ascii="Calibri"/>
          <w:spacing w:val="-4"/>
          <w:sz w:val="24"/>
        </w:rPr>
        <w:t> </w:t>
      </w:r>
      <w:r>
        <w:rPr>
          <w:rFonts w:ascii="Calibri"/>
          <w:sz w:val="24"/>
        </w:rPr>
        <w:t>of Construction Company</w:t>
      </w:r>
      <w:r>
        <w:rPr>
          <w:rFonts w:ascii="Calibri"/>
          <w:spacing w:val="-2"/>
          <w:sz w:val="24"/>
        </w:rPr>
        <w:t> </w:t>
      </w:r>
      <w:r>
        <w:rPr>
          <w:rFonts w:ascii="Calibri"/>
          <w:sz w:val="24"/>
        </w:rPr>
        <w:t>you are</w:t>
      </w:r>
      <w:r>
        <w:rPr>
          <w:rFonts w:ascii="Calibri"/>
          <w:spacing w:val="-1"/>
          <w:sz w:val="24"/>
        </w:rPr>
        <w:t> </w:t>
      </w:r>
      <w:r>
        <w:rPr>
          <w:rFonts w:ascii="Calibri"/>
          <w:sz w:val="24"/>
        </w:rPr>
        <w:t>working</w:t>
      </w:r>
      <w:r>
        <w:rPr>
          <w:rFonts w:ascii="Calibri"/>
          <w:spacing w:val="-4"/>
          <w:sz w:val="24"/>
        </w:rPr>
        <w:t> </w:t>
      </w:r>
      <w:r>
        <w:rPr>
          <w:rFonts w:ascii="Calibri"/>
          <w:spacing w:val="-5"/>
          <w:sz w:val="24"/>
        </w:rPr>
        <w:t>for</w:t>
      </w:r>
      <w:r>
        <w:rPr>
          <w:rFonts w:ascii="Calibri"/>
          <w:sz w:val="24"/>
          <w:u w:val="single"/>
        </w:rPr>
        <w:tab/>
      </w:r>
    </w:p>
    <w:p>
      <w:pPr>
        <w:pStyle w:val="ListParagraph"/>
        <w:numPr>
          <w:ilvl w:val="0"/>
          <w:numId w:val="60"/>
        </w:numPr>
        <w:tabs>
          <w:tab w:pos="1119" w:val="left" w:leader="none"/>
          <w:tab w:pos="9277" w:val="left" w:leader="none"/>
        </w:tabs>
        <w:spacing w:line="240" w:lineRule="auto" w:before="21" w:after="0"/>
        <w:ind w:left="1119" w:right="0" w:hanging="359"/>
        <w:jc w:val="left"/>
        <w:rPr>
          <w:rFonts w:ascii="Calibri"/>
          <w:sz w:val="24"/>
        </w:rPr>
      </w:pPr>
      <w:r>
        <w:rPr>
          <w:rFonts w:ascii="Calibri"/>
          <w:sz w:val="24"/>
        </w:rPr>
        <w:t>Which</w:t>
      </w:r>
      <w:r>
        <w:rPr>
          <w:rFonts w:ascii="Calibri"/>
          <w:spacing w:val="-1"/>
          <w:sz w:val="24"/>
        </w:rPr>
        <w:t> </w:t>
      </w:r>
      <w:r>
        <w:rPr>
          <w:rFonts w:ascii="Calibri"/>
          <w:sz w:val="24"/>
        </w:rPr>
        <w:t>area</w:t>
      </w:r>
      <w:r>
        <w:rPr>
          <w:rFonts w:ascii="Calibri"/>
          <w:spacing w:val="-1"/>
          <w:sz w:val="24"/>
        </w:rPr>
        <w:t> </w:t>
      </w:r>
      <w:r>
        <w:rPr>
          <w:rFonts w:ascii="Calibri"/>
          <w:sz w:val="24"/>
        </w:rPr>
        <w:t>of South-East are</w:t>
      </w:r>
      <w:r>
        <w:rPr>
          <w:rFonts w:ascii="Calibri"/>
          <w:spacing w:val="-3"/>
          <w:sz w:val="24"/>
        </w:rPr>
        <w:t> </w:t>
      </w:r>
      <w:r>
        <w:rPr>
          <w:rFonts w:ascii="Calibri"/>
          <w:spacing w:val="-5"/>
          <w:sz w:val="24"/>
        </w:rPr>
        <w:t>you</w:t>
      </w:r>
      <w:r>
        <w:rPr>
          <w:rFonts w:ascii="Calibri"/>
          <w:sz w:val="24"/>
          <w:u w:val="single"/>
        </w:rPr>
        <w:tab/>
      </w:r>
    </w:p>
    <w:p>
      <w:pPr>
        <w:pStyle w:val="ListParagraph"/>
        <w:numPr>
          <w:ilvl w:val="0"/>
          <w:numId w:val="60"/>
        </w:numPr>
        <w:tabs>
          <w:tab w:pos="1119" w:val="left" w:leader="none"/>
          <w:tab w:pos="3095" w:val="left" w:leader="none"/>
          <w:tab w:pos="4064" w:val="left" w:leader="none"/>
          <w:tab w:pos="5598" w:val="left" w:leader="none"/>
        </w:tabs>
        <w:spacing w:line="240" w:lineRule="auto" w:before="24" w:after="0"/>
        <w:ind w:left="1119" w:right="0" w:hanging="359"/>
        <w:jc w:val="left"/>
        <w:rPr>
          <w:rFonts w:ascii="Calibri"/>
          <w:sz w:val="24"/>
        </w:rPr>
      </w:pPr>
      <w:r>
        <w:rPr/>
        <mc:AlternateContent>
          <mc:Choice Requires="wps">
            <w:drawing>
              <wp:anchor distT="0" distB="0" distL="0" distR="0" allowOverlap="1" layoutInCell="1" locked="0" behindDoc="0" simplePos="0" relativeHeight="15758336">
                <wp:simplePos x="0" y="0"/>
                <wp:positionH relativeFrom="page">
                  <wp:posOffset>4981575</wp:posOffset>
                </wp:positionH>
                <wp:positionV relativeFrom="paragraph">
                  <wp:posOffset>25520</wp:posOffset>
                </wp:positionV>
                <wp:extent cx="619125" cy="14287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619125" cy="142875"/>
                        </a:xfrm>
                        <a:custGeom>
                          <a:avLst/>
                          <a:gdLst/>
                          <a:ahLst/>
                          <a:cxnLst/>
                          <a:rect l="l" t="t" r="r" b="b"/>
                          <a:pathLst>
                            <a:path w="619125" h="142875">
                              <a:moveTo>
                                <a:pt x="0" y="142875"/>
                              </a:moveTo>
                              <a:lnTo>
                                <a:pt x="619125" y="142875"/>
                              </a:lnTo>
                              <a:lnTo>
                                <a:pt x="619125" y="0"/>
                              </a:lnTo>
                              <a:lnTo>
                                <a:pt x="0" y="0"/>
                              </a:lnTo>
                              <a:lnTo>
                                <a:pt x="0" y="142875"/>
                              </a:lnTo>
                              <a:close/>
                            </a:path>
                          </a:pathLst>
                        </a:custGeom>
                        <a:ln w="12700">
                          <a:solidFill>
                            <a:srgbClr val="41719C"/>
                          </a:solidFill>
                          <a:prstDash val="solid"/>
                        </a:ln>
                      </wps:spPr>
                      <wps:bodyPr wrap="square" lIns="0" tIns="0" rIns="0" bIns="0" rtlCol="0">
                        <a:prstTxWarp prst="textNoShape">
                          <a:avLst/>
                        </a:prstTxWarp>
                        <a:noAutofit/>
                      </wps:bodyPr>
                    </wps:wsp>
                  </a:graphicData>
                </a:graphic>
              </wp:anchor>
            </w:drawing>
          </mc:Choice>
          <mc:Fallback>
            <w:pict>
              <v:rect style="position:absolute;margin-left:392.25pt;margin-top:2.009473pt;width:48.75pt;height:11.25pt;mso-position-horizontal-relative:page;mso-position-vertical-relative:paragraph;z-index:15758336" id="docshape241" filled="false" stroked="true" strokeweight="1pt" strokecolor="#41719c">
                <v:stroke dashstyle="solid"/>
                <w10:wrap type="none"/>
              </v:rect>
            </w:pict>
          </mc:Fallback>
        </mc:AlternateContent>
      </w:r>
      <w:r>
        <w:rPr>
          <w:rFonts w:ascii="Calibri"/>
          <w:spacing w:val="-2"/>
          <w:sz w:val="24"/>
        </w:rPr>
        <w:t>Gender</w:t>
      </w:r>
      <w:r>
        <w:rPr>
          <w:rFonts w:ascii="Calibri"/>
          <w:sz w:val="24"/>
        </w:rPr>
        <w:tab/>
      </w:r>
      <w:r>
        <w:rPr>
          <w:rFonts w:ascii="Calibri"/>
          <w:spacing w:val="-4"/>
          <w:sz w:val="24"/>
        </w:rPr>
        <w:t>Male</w:t>
      </w:r>
      <w:r>
        <w:rPr>
          <w:rFonts w:ascii="Calibri"/>
          <w:sz w:val="24"/>
        </w:rPr>
        <w:tab/>
      </w:r>
      <w:r>
        <w:rPr>
          <w:rFonts w:ascii="Calibri"/>
          <w:position w:val="-4"/>
          <w:sz w:val="24"/>
        </w:rPr>
        <w:drawing>
          <wp:inline distT="0" distB="0" distL="0" distR="0">
            <wp:extent cx="631825" cy="155575"/>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66" cstate="print"/>
                    <a:stretch>
                      <a:fillRect/>
                    </a:stretch>
                  </pic:blipFill>
                  <pic:spPr>
                    <a:xfrm>
                      <a:off x="0" y="0"/>
                      <a:ext cx="631825" cy="155575"/>
                    </a:xfrm>
                    <a:prstGeom prst="rect">
                      <a:avLst/>
                    </a:prstGeom>
                  </pic:spPr>
                </pic:pic>
              </a:graphicData>
            </a:graphic>
          </wp:inline>
        </w:drawing>
      </w:r>
      <w:r>
        <w:rPr>
          <w:rFonts w:ascii="Calibri"/>
          <w:position w:val="-4"/>
          <w:sz w:val="24"/>
        </w:rPr>
      </w:r>
      <w:r>
        <w:rPr>
          <w:sz w:val="24"/>
        </w:rPr>
        <w:tab/>
      </w:r>
      <w:r>
        <w:rPr>
          <w:rFonts w:ascii="Calibri"/>
          <w:spacing w:val="-2"/>
          <w:sz w:val="24"/>
        </w:rPr>
        <w:t>Female</w:t>
      </w:r>
    </w:p>
    <w:p>
      <w:pPr>
        <w:pStyle w:val="BodyText"/>
        <w:spacing w:before="7"/>
        <w:rPr>
          <w:rFonts w:ascii="Calibri"/>
          <w:sz w:val="13"/>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5"/>
        <w:gridCol w:w="7740"/>
      </w:tblGrid>
      <w:tr>
        <w:trPr>
          <w:trHeight w:val="414" w:hRule="atLeast"/>
        </w:trPr>
        <w:tc>
          <w:tcPr>
            <w:tcW w:w="1615" w:type="dxa"/>
            <w:vMerge w:val="restart"/>
          </w:tcPr>
          <w:p>
            <w:pPr>
              <w:pStyle w:val="TableParagraph"/>
              <w:spacing w:line="265" w:lineRule="exact"/>
              <w:ind w:left="107"/>
              <w:rPr>
                <w:rFonts w:ascii="Calibri"/>
                <w:sz w:val="22"/>
              </w:rPr>
            </w:pPr>
            <w:r>
              <w:rPr>
                <w:rFonts w:ascii="Calibri"/>
                <w:spacing w:val="-2"/>
                <w:sz w:val="22"/>
              </w:rPr>
              <w:t>Designation</w:t>
            </w:r>
          </w:p>
        </w:tc>
        <w:tc>
          <w:tcPr>
            <w:tcW w:w="7740" w:type="dxa"/>
            <w:tcBorders>
              <w:bottom w:val="nil"/>
            </w:tcBorders>
          </w:tcPr>
          <w:p>
            <w:pPr>
              <w:pStyle w:val="TableParagraph"/>
              <w:tabs>
                <w:tab w:pos="1938" w:val="left" w:leader="none"/>
                <w:tab w:pos="3643" w:val="left" w:leader="none"/>
                <w:tab w:pos="4828" w:val="left" w:leader="none"/>
              </w:tabs>
              <w:spacing w:line="265" w:lineRule="exact"/>
              <w:ind w:left="407"/>
              <w:rPr>
                <w:rFonts w:ascii="Calibri"/>
                <w:sz w:val="22"/>
              </w:rPr>
            </w:pPr>
            <w:r>
              <w:rPr/>
              <mc:AlternateContent>
                <mc:Choice Requires="wps">
                  <w:drawing>
                    <wp:anchor distT="0" distB="0" distL="0" distR="0" allowOverlap="1" layoutInCell="1" locked="0" behindDoc="1" simplePos="0" relativeHeight="481971712">
                      <wp:simplePos x="0" y="0"/>
                      <wp:positionH relativeFrom="column">
                        <wp:posOffset>30988</wp:posOffset>
                      </wp:positionH>
                      <wp:positionV relativeFrom="paragraph">
                        <wp:posOffset>34417</wp:posOffset>
                      </wp:positionV>
                      <wp:extent cx="212725" cy="16510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212725" cy="165100"/>
                                <a:chExt cx="212725" cy="165100"/>
                              </a:xfrm>
                            </wpg:grpSpPr>
                            <wps:wsp>
                              <wps:cNvPr id="303" name="Graphic 303"/>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4pt;margin-top:2.71pt;width:16.75pt;height:13pt;mso-position-horizontal-relative:column;mso-position-vertical-relative:paragraph;z-index:-21344768" id="docshapegroup242" coordorigin="49,54" coordsize="335,260">
                      <v:rect style="position:absolute;left:58;top:64;width:315;height:240" id="docshape243"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2224">
                      <wp:simplePos x="0" y="0"/>
                      <wp:positionH relativeFrom="column">
                        <wp:posOffset>935863</wp:posOffset>
                      </wp:positionH>
                      <wp:positionV relativeFrom="paragraph">
                        <wp:posOffset>28067</wp:posOffset>
                      </wp:positionV>
                      <wp:extent cx="212725" cy="16510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212725" cy="165100"/>
                                <a:chExt cx="212725" cy="165100"/>
                              </a:xfrm>
                            </wpg:grpSpPr>
                            <wps:wsp>
                              <wps:cNvPr id="305" name="Graphic 305"/>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690002pt;margin-top:2.21pt;width:16.75pt;height:13pt;mso-position-horizontal-relative:column;mso-position-vertical-relative:paragraph;z-index:-21344256" id="docshapegroup244" coordorigin="1474,44" coordsize="335,260">
                      <v:rect style="position:absolute;left:1483;top:54;width:315;height:240" id="docshape245"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2736">
                      <wp:simplePos x="0" y="0"/>
                      <wp:positionH relativeFrom="column">
                        <wp:posOffset>2088388</wp:posOffset>
                      </wp:positionH>
                      <wp:positionV relativeFrom="paragraph">
                        <wp:posOffset>34417</wp:posOffset>
                      </wp:positionV>
                      <wp:extent cx="212725" cy="16510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212725" cy="165100"/>
                                <a:chExt cx="212725" cy="165100"/>
                              </a:xfrm>
                            </wpg:grpSpPr>
                            <wps:wsp>
                              <wps:cNvPr id="307" name="Graphic 307"/>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440002pt;margin-top:2.71pt;width:16.75pt;height:13pt;mso-position-horizontal-relative:column;mso-position-vertical-relative:paragraph;z-index:-21343744" id="docshapegroup246" coordorigin="3289,54" coordsize="335,260">
                      <v:rect style="position:absolute;left:3298;top:64;width:315;height:240" id="docshape247"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3248">
                      <wp:simplePos x="0" y="0"/>
                      <wp:positionH relativeFrom="column">
                        <wp:posOffset>2800857</wp:posOffset>
                      </wp:positionH>
                      <wp:positionV relativeFrom="paragraph">
                        <wp:posOffset>2031</wp:posOffset>
                      </wp:positionV>
                      <wp:extent cx="212725" cy="16510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212725" cy="165100"/>
                                <a:chExt cx="212725" cy="165100"/>
                              </a:xfrm>
                            </wpg:grpSpPr>
                            <wps:wsp>
                              <wps:cNvPr id="309" name="Graphic 309"/>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0.539993pt;margin-top:.16pt;width:16.75pt;height:13pt;mso-position-horizontal-relative:column;mso-position-vertical-relative:paragraph;z-index:-21343232" id="docshapegroup248" coordorigin="4411,3" coordsize="335,260">
                      <v:rect style="position:absolute;left:4420;top:13;width:315;height:240" id="docshape249" filled="false" stroked="true" strokeweight="1pt" strokecolor="#41719c">
                        <v:stroke dashstyle="solid"/>
                      </v:rect>
                      <w10:wrap type="none"/>
                    </v:group>
                  </w:pict>
                </mc:Fallback>
              </mc:AlternateContent>
            </w:r>
            <w:r>
              <w:rPr>
                <w:rFonts w:ascii="Calibri"/>
                <w:spacing w:val="-2"/>
                <w:sz w:val="22"/>
              </w:rPr>
              <w:t>Employee</w:t>
            </w:r>
            <w:r>
              <w:rPr>
                <w:rFonts w:ascii="Calibri"/>
                <w:sz w:val="22"/>
              </w:rPr>
              <w:tab/>
              <w:t>Team</w:t>
            </w:r>
            <w:r>
              <w:rPr>
                <w:rFonts w:ascii="Calibri"/>
                <w:spacing w:val="-5"/>
                <w:sz w:val="22"/>
              </w:rPr>
              <w:t> </w:t>
            </w:r>
            <w:r>
              <w:rPr>
                <w:rFonts w:ascii="Calibri"/>
                <w:spacing w:val="-2"/>
                <w:sz w:val="22"/>
              </w:rPr>
              <w:t>Leader</w:t>
            </w:r>
            <w:r>
              <w:rPr>
                <w:rFonts w:ascii="Calibri"/>
                <w:sz w:val="22"/>
              </w:rPr>
              <w:tab/>
            </w:r>
            <w:r>
              <w:rPr>
                <w:rFonts w:ascii="Calibri"/>
                <w:spacing w:val="-2"/>
                <w:sz w:val="22"/>
              </w:rPr>
              <w:t>Builder</w:t>
            </w:r>
            <w:r>
              <w:rPr>
                <w:rFonts w:ascii="Calibri"/>
                <w:sz w:val="22"/>
              </w:rPr>
              <w:tab/>
            </w:r>
            <w:r>
              <w:rPr>
                <w:rFonts w:ascii="Calibri"/>
                <w:spacing w:val="-2"/>
                <w:sz w:val="22"/>
              </w:rPr>
              <w:t>Supervisor</w:t>
            </w:r>
          </w:p>
        </w:tc>
      </w:tr>
      <w:tr>
        <w:trPr>
          <w:trHeight w:val="1125" w:hRule="atLeast"/>
        </w:trPr>
        <w:tc>
          <w:tcPr>
            <w:tcW w:w="1615" w:type="dxa"/>
            <w:vMerge/>
            <w:tcBorders>
              <w:top w:val="nil"/>
            </w:tcBorders>
          </w:tcPr>
          <w:p>
            <w:pPr>
              <w:rPr>
                <w:sz w:val="2"/>
                <w:szCs w:val="2"/>
              </w:rPr>
            </w:pPr>
          </w:p>
        </w:tc>
        <w:tc>
          <w:tcPr>
            <w:tcW w:w="7740" w:type="dxa"/>
            <w:tcBorders>
              <w:top w:val="nil"/>
            </w:tcBorders>
          </w:tcPr>
          <w:p>
            <w:pPr>
              <w:pStyle w:val="TableParagraph"/>
              <w:tabs>
                <w:tab w:pos="1843" w:val="left" w:leader="none"/>
                <w:tab w:pos="3690" w:val="left" w:leader="none"/>
              </w:tabs>
              <w:spacing w:before="109"/>
              <w:ind w:left="407"/>
              <w:rPr>
                <w:rFonts w:ascii="Calibri"/>
                <w:sz w:val="22"/>
              </w:rPr>
            </w:pPr>
            <w:r>
              <w:rPr/>
              <mc:AlternateContent>
                <mc:Choice Requires="wps">
                  <w:drawing>
                    <wp:anchor distT="0" distB="0" distL="0" distR="0" allowOverlap="1" layoutInCell="1" locked="0" behindDoc="1" simplePos="0" relativeHeight="481973760">
                      <wp:simplePos x="0" y="0"/>
                      <wp:positionH relativeFrom="column">
                        <wp:posOffset>24638</wp:posOffset>
                      </wp:positionH>
                      <wp:positionV relativeFrom="paragraph">
                        <wp:posOffset>76754</wp:posOffset>
                      </wp:positionV>
                      <wp:extent cx="212725" cy="16510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212725" cy="165100"/>
                                <a:chExt cx="212725" cy="165100"/>
                              </a:xfrm>
                            </wpg:grpSpPr>
                            <wps:wsp>
                              <wps:cNvPr id="311" name="Graphic 311"/>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pt;margin-top:6.043653pt;width:16.75pt;height:13pt;mso-position-horizontal-relative:column;mso-position-vertical-relative:paragraph;z-index:-21342720" id="docshapegroup250" coordorigin="39,121" coordsize="335,260">
                      <v:rect style="position:absolute;left:48;top:130;width:315;height:240" id="docshape251"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4272">
                      <wp:simplePos x="0" y="0"/>
                      <wp:positionH relativeFrom="column">
                        <wp:posOffset>909827</wp:posOffset>
                      </wp:positionH>
                      <wp:positionV relativeFrom="paragraph">
                        <wp:posOffset>92629</wp:posOffset>
                      </wp:positionV>
                      <wp:extent cx="212725" cy="16510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212725" cy="165100"/>
                                <a:chExt cx="212725" cy="165100"/>
                              </a:xfrm>
                            </wpg:grpSpPr>
                            <wps:wsp>
                              <wps:cNvPr id="313" name="Graphic 313"/>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39999pt;margin-top:7.293653pt;width:16.75pt;height:13pt;mso-position-horizontal-relative:column;mso-position-vertical-relative:paragraph;z-index:-21342208" id="docshapegroup252" coordorigin="1433,146" coordsize="335,260">
                      <v:rect style="position:absolute;left:1442;top:155;width:315;height:240" id="docshape253"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4784">
                      <wp:simplePos x="0" y="0"/>
                      <wp:positionH relativeFrom="column">
                        <wp:posOffset>2069973</wp:posOffset>
                      </wp:positionH>
                      <wp:positionV relativeFrom="paragraph">
                        <wp:posOffset>76754</wp:posOffset>
                      </wp:positionV>
                      <wp:extent cx="212725" cy="16510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212725" cy="165100"/>
                                <a:chExt cx="212725" cy="165100"/>
                              </a:xfrm>
                            </wpg:grpSpPr>
                            <wps:wsp>
                              <wps:cNvPr id="315" name="Graphic 315"/>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2.990005pt;margin-top:6.043653pt;width:16.75pt;height:13pt;mso-position-horizontal-relative:column;mso-position-vertical-relative:paragraph;z-index:-21341696" id="docshapegroup254" coordorigin="3260,121" coordsize="335,260">
                      <v:rect style="position:absolute;left:3269;top:130;width:315;height:240" id="docshape255" filled="false" stroked="true" strokeweight="1pt" strokecolor="#41719c">
                        <v:stroke dashstyle="solid"/>
                      </v:rect>
                      <w10:wrap type="none"/>
                    </v:group>
                  </w:pict>
                </mc:Fallback>
              </mc:AlternateContent>
            </w:r>
            <w:r>
              <w:rPr>
                <w:rFonts w:ascii="Calibri"/>
                <w:spacing w:val="-2"/>
                <w:sz w:val="22"/>
              </w:rPr>
              <w:t>Engineer</w:t>
            </w:r>
            <w:r>
              <w:rPr>
                <w:rFonts w:ascii="Calibri"/>
                <w:sz w:val="22"/>
              </w:rPr>
              <w:tab/>
            </w:r>
            <w:r>
              <w:rPr>
                <w:rFonts w:ascii="Calibri"/>
                <w:spacing w:val="-2"/>
                <w:sz w:val="22"/>
              </w:rPr>
              <w:t>Management</w:t>
            </w:r>
            <w:r>
              <w:rPr>
                <w:rFonts w:ascii="Calibri"/>
                <w:sz w:val="22"/>
              </w:rPr>
              <w:tab/>
              <w:t>Others</w:t>
            </w:r>
            <w:r>
              <w:rPr>
                <w:rFonts w:ascii="Calibri"/>
                <w:spacing w:val="-4"/>
                <w:sz w:val="22"/>
              </w:rPr>
              <w:t> </w:t>
            </w:r>
            <w:r>
              <w:rPr>
                <w:rFonts w:ascii="Calibri"/>
                <w:spacing w:val="-2"/>
                <w:sz w:val="22"/>
              </w:rPr>
              <w:t>(please</w:t>
            </w:r>
          </w:p>
          <w:p>
            <w:pPr>
              <w:pStyle w:val="TableParagraph"/>
              <w:rPr>
                <w:rFonts w:ascii="Calibri"/>
                <w:sz w:val="22"/>
              </w:rPr>
            </w:pPr>
          </w:p>
          <w:p>
            <w:pPr>
              <w:pStyle w:val="TableParagraph"/>
              <w:spacing w:before="1"/>
              <w:ind w:left="107"/>
              <w:rPr>
                <w:rFonts w:ascii="Calibri" w:hAnsi="Calibri"/>
                <w:sz w:val="22"/>
              </w:rPr>
            </w:pPr>
            <w:r>
              <w:rPr>
                <w:rFonts w:ascii="Calibri" w:hAnsi="Calibri"/>
                <w:sz w:val="22"/>
              </w:rPr>
              <w:t>Specify)</w:t>
            </w:r>
            <w:r>
              <w:rPr>
                <w:rFonts w:ascii="Calibri" w:hAnsi="Calibri"/>
                <w:spacing w:val="-6"/>
                <w:sz w:val="22"/>
              </w:rPr>
              <w:t> </w:t>
            </w:r>
            <w:r>
              <w:rPr>
                <w:rFonts w:ascii="Calibri" w:hAnsi="Calibri"/>
                <w:spacing w:val="-2"/>
                <w:sz w:val="22"/>
              </w:rPr>
              <w:t>…………………………………………………………………………….........................</w:t>
            </w:r>
          </w:p>
        </w:tc>
      </w:tr>
    </w:tbl>
    <w:p>
      <w:pPr>
        <w:pStyle w:val="BodyText"/>
        <w:rPr>
          <w:rFonts w:ascii="Calibri"/>
          <w:sz w:val="20"/>
        </w:rPr>
      </w:pPr>
    </w:p>
    <w:p>
      <w:pPr>
        <w:pStyle w:val="BodyText"/>
        <w:spacing w:before="59"/>
        <w:rPr>
          <w:rFonts w:ascii="Calibri"/>
          <w:sz w:val="20"/>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7800"/>
      </w:tblGrid>
      <w:tr>
        <w:trPr>
          <w:trHeight w:val="414" w:hRule="atLeast"/>
        </w:trPr>
        <w:tc>
          <w:tcPr>
            <w:tcW w:w="1519" w:type="dxa"/>
            <w:vMerge w:val="restart"/>
          </w:tcPr>
          <w:p>
            <w:pPr>
              <w:pStyle w:val="TableParagraph"/>
              <w:ind w:left="107" w:right="415"/>
              <w:rPr>
                <w:rFonts w:ascii="Calibri"/>
                <w:sz w:val="22"/>
              </w:rPr>
            </w:pPr>
            <w:r>
              <w:rPr>
                <w:rFonts w:ascii="Calibri"/>
                <w:spacing w:val="-4"/>
                <w:sz w:val="22"/>
              </w:rPr>
              <w:t>Work </w:t>
            </w:r>
            <w:r>
              <w:rPr>
                <w:rFonts w:ascii="Calibri"/>
                <w:spacing w:val="-2"/>
                <w:sz w:val="22"/>
              </w:rPr>
              <w:t>Experience</w:t>
            </w:r>
          </w:p>
        </w:tc>
        <w:tc>
          <w:tcPr>
            <w:tcW w:w="7800" w:type="dxa"/>
            <w:tcBorders>
              <w:bottom w:val="nil"/>
            </w:tcBorders>
          </w:tcPr>
          <w:p>
            <w:pPr>
              <w:pStyle w:val="TableParagraph"/>
              <w:tabs>
                <w:tab w:pos="2063" w:val="left" w:leader="none"/>
                <w:tab w:pos="3729" w:val="left" w:leader="none"/>
                <w:tab w:pos="5557" w:val="left" w:leader="none"/>
              </w:tabs>
              <w:spacing w:line="265" w:lineRule="exact"/>
              <w:ind w:left="458"/>
              <w:rPr>
                <w:rFonts w:ascii="Calibri" w:hAnsi="Calibri"/>
                <w:sz w:val="22"/>
              </w:rPr>
            </w:pPr>
            <w:r>
              <w:rPr/>
              <mc:AlternateContent>
                <mc:Choice Requires="wps">
                  <w:drawing>
                    <wp:anchor distT="0" distB="0" distL="0" distR="0" allowOverlap="1" layoutInCell="1" locked="0" behindDoc="1" simplePos="0" relativeHeight="481964032">
                      <wp:simplePos x="0" y="0"/>
                      <wp:positionH relativeFrom="column">
                        <wp:posOffset>40506</wp:posOffset>
                      </wp:positionH>
                      <wp:positionV relativeFrom="paragraph">
                        <wp:posOffset>18033</wp:posOffset>
                      </wp:positionV>
                      <wp:extent cx="212725" cy="16510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212725" cy="165100"/>
                                <a:chExt cx="212725" cy="165100"/>
                              </a:xfrm>
                            </wpg:grpSpPr>
                            <wps:wsp>
                              <wps:cNvPr id="317" name="Graphic 317"/>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8950pt;margin-top:1.42pt;width:16.75pt;height:13pt;mso-position-horizontal-relative:column;mso-position-vertical-relative:paragraph;z-index:-21352448" id="docshapegroup256" coordorigin="64,28" coordsize="335,260">
                      <v:rect style="position:absolute;left:73;top:38;width:315;height:240" id="docshape257"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4544">
                      <wp:simplePos x="0" y="0"/>
                      <wp:positionH relativeFrom="column">
                        <wp:posOffset>1041266</wp:posOffset>
                      </wp:positionH>
                      <wp:positionV relativeFrom="paragraph">
                        <wp:posOffset>18033</wp:posOffset>
                      </wp:positionV>
                      <wp:extent cx="212725" cy="16510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212725" cy="165100"/>
                                <a:chExt cx="212725" cy="165100"/>
                              </a:xfrm>
                            </wpg:grpSpPr>
                            <wps:wsp>
                              <wps:cNvPr id="319" name="Graphic 319"/>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989502pt;margin-top:1.42pt;width:16.75pt;height:13pt;mso-position-horizontal-relative:column;mso-position-vertical-relative:paragraph;z-index:-21351936" id="docshapegroup258" coordorigin="1640,28" coordsize="335,260">
                      <v:rect style="position:absolute;left:1649;top:38;width:315;height:240" id="docshape259"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5056">
                      <wp:simplePos x="0" y="0"/>
                      <wp:positionH relativeFrom="column">
                        <wp:posOffset>2104256</wp:posOffset>
                      </wp:positionH>
                      <wp:positionV relativeFrom="paragraph">
                        <wp:posOffset>27559</wp:posOffset>
                      </wp:positionV>
                      <wp:extent cx="212725" cy="16510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212725" cy="165100"/>
                                <a:chExt cx="212725" cy="165100"/>
                              </a:xfrm>
                            </wpg:grpSpPr>
                            <wps:wsp>
                              <wps:cNvPr id="321" name="Graphic 321"/>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689499pt;margin-top:2.17pt;width:16.75pt;height:13pt;mso-position-horizontal-relative:column;mso-position-vertical-relative:paragraph;z-index:-21351424" id="docshapegroup260" coordorigin="3314,43" coordsize="335,260">
                      <v:rect style="position:absolute;left:3323;top:53;width:315;height:240" id="docshape261"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5568">
                      <wp:simplePos x="0" y="0"/>
                      <wp:positionH relativeFrom="column">
                        <wp:posOffset>3209156</wp:posOffset>
                      </wp:positionH>
                      <wp:positionV relativeFrom="paragraph">
                        <wp:posOffset>18033</wp:posOffset>
                      </wp:positionV>
                      <wp:extent cx="212725" cy="16510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212725" cy="165100"/>
                                <a:chExt cx="212725" cy="165100"/>
                              </a:xfrm>
                            </wpg:grpSpPr>
                            <wps:wsp>
                              <wps:cNvPr id="323" name="Graphic 323"/>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2.689499pt;margin-top:1.42pt;width:16.75pt;height:13pt;mso-position-horizontal-relative:column;mso-position-vertical-relative:paragraph;z-index:-21350912" id="docshapegroup262" coordorigin="5054,28" coordsize="335,260">
                      <v:rect style="position:absolute;left:5063;top:38;width:315;height:240" id="docshape263" filled="false" stroked="true" strokeweight="1pt" strokecolor="#41719c">
                        <v:stroke dashstyle="solid"/>
                      </v:rect>
                      <w10:wrap type="none"/>
                    </v:group>
                  </w:pict>
                </mc:Fallback>
              </mc:AlternateContent>
            </w:r>
            <w:r>
              <w:rPr>
                <w:rFonts w:ascii="Calibri" w:hAnsi="Calibri"/>
                <w:sz w:val="22"/>
              </w:rPr>
              <w:t>1</w:t>
            </w:r>
            <w:r>
              <w:rPr>
                <w:rFonts w:ascii="Calibri" w:hAnsi="Calibri"/>
                <w:spacing w:val="-1"/>
                <w:sz w:val="22"/>
              </w:rPr>
              <w:t> </w:t>
            </w:r>
            <w:r>
              <w:rPr>
                <w:rFonts w:ascii="Calibri" w:hAnsi="Calibri"/>
                <w:sz w:val="22"/>
              </w:rPr>
              <w:t>–</w:t>
            </w:r>
            <w:r>
              <w:rPr>
                <w:rFonts w:ascii="Calibri" w:hAnsi="Calibri"/>
                <w:spacing w:val="-2"/>
                <w:sz w:val="22"/>
              </w:rPr>
              <w:t> </w:t>
            </w:r>
            <w:r>
              <w:rPr>
                <w:rFonts w:ascii="Calibri" w:hAnsi="Calibri"/>
                <w:sz w:val="22"/>
              </w:rPr>
              <w:t>5</w:t>
            </w:r>
            <w:r>
              <w:rPr>
                <w:rFonts w:ascii="Calibri" w:hAnsi="Calibri"/>
                <w:spacing w:val="-1"/>
                <w:sz w:val="22"/>
              </w:rPr>
              <w:t> </w:t>
            </w:r>
            <w:r>
              <w:rPr>
                <w:rFonts w:ascii="Calibri" w:hAnsi="Calibri"/>
                <w:spacing w:val="-2"/>
                <w:sz w:val="22"/>
              </w:rPr>
              <w:t>years</w:t>
            </w:r>
            <w:r>
              <w:rPr>
                <w:rFonts w:ascii="Calibri" w:hAnsi="Calibri"/>
                <w:sz w:val="22"/>
              </w:rPr>
              <w:tab/>
              <w:t>5</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z w:val="22"/>
              </w:rPr>
              <w:t>10</w:t>
            </w:r>
            <w:r>
              <w:rPr>
                <w:rFonts w:ascii="Calibri" w:hAnsi="Calibri"/>
                <w:spacing w:val="1"/>
                <w:sz w:val="22"/>
              </w:rPr>
              <w:t> </w:t>
            </w:r>
            <w:r>
              <w:rPr>
                <w:rFonts w:ascii="Calibri" w:hAnsi="Calibri"/>
                <w:spacing w:val="-4"/>
                <w:sz w:val="22"/>
              </w:rPr>
              <w:t>years</w:t>
            </w:r>
            <w:r>
              <w:rPr>
                <w:rFonts w:ascii="Calibri" w:hAnsi="Calibri"/>
                <w:sz w:val="22"/>
              </w:rPr>
              <w:tab/>
              <w:t>10</w:t>
            </w:r>
            <w:r>
              <w:rPr>
                <w:rFonts w:ascii="Calibri" w:hAnsi="Calibri"/>
                <w:spacing w:val="-1"/>
                <w:sz w:val="22"/>
              </w:rPr>
              <w:t> </w:t>
            </w:r>
            <w:r>
              <w:rPr>
                <w:rFonts w:ascii="Calibri" w:hAnsi="Calibri"/>
                <w:sz w:val="22"/>
              </w:rPr>
              <w:t>–</w:t>
            </w:r>
            <w:r>
              <w:rPr>
                <w:rFonts w:ascii="Calibri" w:hAnsi="Calibri"/>
                <w:spacing w:val="-2"/>
                <w:sz w:val="22"/>
              </w:rPr>
              <w:t> </w:t>
            </w:r>
            <w:r>
              <w:rPr>
                <w:rFonts w:ascii="Calibri" w:hAnsi="Calibri"/>
                <w:sz w:val="22"/>
              </w:rPr>
              <w:t>15</w:t>
            </w:r>
            <w:r>
              <w:rPr>
                <w:rFonts w:ascii="Calibri" w:hAnsi="Calibri"/>
                <w:spacing w:val="-1"/>
                <w:sz w:val="22"/>
              </w:rPr>
              <w:t> </w:t>
            </w:r>
            <w:r>
              <w:rPr>
                <w:rFonts w:ascii="Calibri" w:hAnsi="Calibri"/>
                <w:spacing w:val="-4"/>
                <w:sz w:val="22"/>
              </w:rPr>
              <w:t>years</w:t>
            </w:r>
            <w:r>
              <w:rPr>
                <w:rFonts w:ascii="Calibri" w:hAnsi="Calibri"/>
                <w:sz w:val="22"/>
              </w:rPr>
              <w:tab/>
              <w:t>15</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z w:val="22"/>
              </w:rPr>
              <w:t>20 </w:t>
            </w:r>
            <w:r>
              <w:rPr>
                <w:rFonts w:ascii="Calibri" w:hAnsi="Calibri"/>
                <w:spacing w:val="-2"/>
                <w:sz w:val="22"/>
              </w:rPr>
              <w:t>years</w:t>
            </w:r>
          </w:p>
        </w:tc>
      </w:tr>
      <w:tr>
        <w:trPr>
          <w:trHeight w:val="527" w:hRule="atLeast"/>
        </w:trPr>
        <w:tc>
          <w:tcPr>
            <w:tcW w:w="1519" w:type="dxa"/>
            <w:vMerge/>
            <w:tcBorders>
              <w:top w:val="nil"/>
            </w:tcBorders>
          </w:tcPr>
          <w:p>
            <w:pPr>
              <w:rPr>
                <w:sz w:val="2"/>
                <w:szCs w:val="2"/>
              </w:rPr>
            </w:pPr>
          </w:p>
        </w:tc>
        <w:tc>
          <w:tcPr>
            <w:tcW w:w="7800" w:type="dxa"/>
            <w:tcBorders>
              <w:top w:val="nil"/>
            </w:tcBorders>
          </w:tcPr>
          <w:p>
            <w:pPr>
              <w:pStyle w:val="TableParagraph"/>
              <w:spacing w:before="109"/>
              <w:ind w:left="458"/>
              <w:rPr>
                <w:rFonts w:ascii="Calibri"/>
                <w:sz w:val="22"/>
              </w:rPr>
            </w:pPr>
            <w:r>
              <w:rPr/>
              <mc:AlternateContent>
                <mc:Choice Requires="wps">
                  <w:drawing>
                    <wp:anchor distT="0" distB="0" distL="0" distR="0" allowOverlap="1" layoutInCell="1" locked="0" behindDoc="1" simplePos="0" relativeHeight="481966080">
                      <wp:simplePos x="0" y="0"/>
                      <wp:positionH relativeFrom="column">
                        <wp:posOffset>50031</wp:posOffset>
                      </wp:positionH>
                      <wp:positionV relativeFrom="paragraph">
                        <wp:posOffset>111171</wp:posOffset>
                      </wp:positionV>
                      <wp:extent cx="212725" cy="16510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212725" cy="165100"/>
                                <a:chExt cx="212725" cy="165100"/>
                              </a:xfrm>
                            </wpg:grpSpPr>
                            <wps:wsp>
                              <wps:cNvPr id="325" name="Graphic 325"/>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95pt;margin-top:8.753626pt;width:16.75pt;height:13pt;mso-position-horizontal-relative:column;mso-position-vertical-relative:paragraph;z-index:-21350400" id="docshapegroup264" coordorigin="79,175" coordsize="335,260">
                      <v:rect style="position:absolute;left:88;top:185;width:315;height:240" id="docshape265" filled="false" stroked="true" strokeweight="1pt" strokecolor="#41719c">
                        <v:stroke dashstyle="solid"/>
                      </v:rect>
                      <w10:wrap type="none"/>
                    </v:group>
                  </w:pict>
                </mc:Fallback>
              </mc:AlternateContent>
            </w:r>
            <w:r>
              <w:rPr>
                <w:rFonts w:ascii="Calibri"/>
                <w:sz w:val="22"/>
              </w:rPr>
              <w:t>Over</w:t>
            </w:r>
            <w:r>
              <w:rPr>
                <w:rFonts w:ascii="Calibri"/>
                <w:spacing w:val="-6"/>
                <w:sz w:val="22"/>
              </w:rPr>
              <w:t> </w:t>
            </w:r>
            <w:r>
              <w:rPr>
                <w:rFonts w:ascii="Calibri"/>
                <w:sz w:val="22"/>
              </w:rPr>
              <w:t>20</w:t>
            </w:r>
            <w:r>
              <w:rPr>
                <w:rFonts w:ascii="Calibri"/>
                <w:spacing w:val="-1"/>
                <w:sz w:val="22"/>
              </w:rPr>
              <w:t> </w:t>
            </w:r>
            <w:r>
              <w:rPr>
                <w:rFonts w:ascii="Calibri"/>
                <w:spacing w:val="-2"/>
                <w:sz w:val="22"/>
              </w:rPr>
              <w:t>years</w:t>
            </w:r>
          </w:p>
        </w:tc>
      </w:tr>
    </w:tbl>
    <w:p>
      <w:pPr>
        <w:pStyle w:val="BodyText"/>
        <w:rPr>
          <w:rFonts w:ascii="Calibri"/>
          <w:sz w:val="20"/>
        </w:rPr>
      </w:pPr>
    </w:p>
    <w:p>
      <w:pPr>
        <w:pStyle w:val="BodyText"/>
        <w:spacing w:before="179" w:after="1"/>
        <w:rPr>
          <w:rFonts w:ascii="Calibri"/>
          <w:sz w:val="20"/>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2"/>
        <w:gridCol w:w="7589"/>
      </w:tblGrid>
      <w:tr>
        <w:trPr>
          <w:trHeight w:val="425" w:hRule="atLeast"/>
        </w:trPr>
        <w:tc>
          <w:tcPr>
            <w:tcW w:w="1762" w:type="dxa"/>
            <w:vMerge w:val="restart"/>
          </w:tcPr>
          <w:p>
            <w:pPr>
              <w:pStyle w:val="TableParagraph"/>
              <w:ind w:left="107" w:right="496"/>
              <w:rPr>
                <w:rFonts w:ascii="Calibri"/>
                <w:sz w:val="22"/>
              </w:rPr>
            </w:pPr>
            <w:r>
              <w:rPr>
                <w:rFonts w:ascii="Calibri"/>
                <w:spacing w:val="-2"/>
                <w:sz w:val="22"/>
              </w:rPr>
              <w:t>Academic Qualification</w:t>
            </w:r>
          </w:p>
        </w:tc>
        <w:tc>
          <w:tcPr>
            <w:tcW w:w="7589" w:type="dxa"/>
            <w:tcBorders>
              <w:bottom w:val="nil"/>
            </w:tcBorders>
          </w:tcPr>
          <w:p>
            <w:pPr>
              <w:pStyle w:val="TableParagraph"/>
              <w:tabs>
                <w:tab w:pos="1952" w:val="left" w:leader="none"/>
                <w:tab w:pos="4126" w:val="left" w:leader="none"/>
              </w:tabs>
              <w:spacing w:line="265" w:lineRule="exact"/>
              <w:ind w:left="505"/>
              <w:rPr>
                <w:rFonts w:ascii="Calibri" w:hAnsi="Calibri"/>
                <w:sz w:val="22"/>
              </w:rPr>
            </w:pPr>
            <w:r>
              <w:rPr/>
              <mc:AlternateContent>
                <mc:Choice Requires="wps">
                  <w:drawing>
                    <wp:anchor distT="0" distB="0" distL="0" distR="0" allowOverlap="1" layoutInCell="1" locked="0" behindDoc="1" simplePos="0" relativeHeight="481966592">
                      <wp:simplePos x="0" y="0"/>
                      <wp:positionH relativeFrom="column">
                        <wp:posOffset>58673</wp:posOffset>
                      </wp:positionH>
                      <wp:positionV relativeFrom="paragraph">
                        <wp:posOffset>40767</wp:posOffset>
                      </wp:positionV>
                      <wp:extent cx="212725" cy="16510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212725" cy="165100"/>
                                <a:chExt cx="212725" cy="165100"/>
                              </a:xfrm>
                            </wpg:grpSpPr>
                            <wps:wsp>
                              <wps:cNvPr id="327" name="Graphic 327"/>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2pt;margin-top:3.21pt;width:16.75pt;height:13pt;mso-position-horizontal-relative:column;mso-position-vertical-relative:paragraph;z-index:-21349888" id="docshapegroup266" coordorigin="92,64" coordsize="335,260">
                      <v:rect style="position:absolute;left:102;top:74;width:315;height:240" id="docshape267"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7104">
                      <wp:simplePos x="0" y="0"/>
                      <wp:positionH relativeFrom="column">
                        <wp:posOffset>937513</wp:posOffset>
                      </wp:positionH>
                      <wp:positionV relativeFrom="paragraph">
                        <wp:posOffset>21717</wp:posOffset>
                      </wp:positionV>
                      <wp:extent cx="212725" cy="16510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212725" cy="165100"/>
                                <a:chExt cx="212725" cy="165100"/>
                              </a:xfrm>
                            </wpg:grpSpPr>
                            <wps:wsp>
                              <wps:cNvPr id="329" name="Graphic 329"/>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820pt;margin-top:1.71pt;width:16.75pt;height:13pt;mso-position-horizontal-relative:column;mso-position-vertical-relative:paragraph;z-index:-21349376" id="docshapegroup268" coordorigin="1476,34" coordsize="335,260">
                      <v:rect style="position:absolute;left:1486;top:44;width:315;height:240" id="docshape269"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7616">
                      <wp:simplePos x="0" y="0"/>
                      <wp:positionH relativeFrom="column">
                        <wp:posOffset>2382773</wp:posOffset>
                      </wp:positionH>
                      <wp:positionV relativeFrom="paragraph">
                        <wp:posOffset>31242</wp:posOffset>
                      </wp:positionV>
                      <wp:extent cx="212725" cy="16510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212725" cy="165100"/>
                                <a:chExt cx="212725" cy="165100"/>
                              </a:xfrm>
                            </wpg:grpSpPr>
                            <wps:wsp>
                              <wps:cNvPr id="331" name="Graphic 331"/>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619995pt;margin-top:2.46pt;width:16.75pt;height:13pt;mso-position-horizontal-relative:column;mso-position-vertical-relative:paragraph;z-index:-21348864" id="docshapegroup270" coordorigin="3752,49" coordsize="335,260">
                      <v:rect style="position:absolute;left:3762;top:59;width:315;height:240" id="docshape271" filled="false" stroked="true" strokeweight="1pt" strokecolor="#41719c">
                        <v:stroke dashstyle="solid"/>
                      </v:rect>
                      <w10:wrap type="none"/>
                    </v:group>
                  </w:pict>
                </mc:Fallback>
              </mc:AlternateContent>
            </w:r>
            <w:r>
              <w:rPr>
                <w:rFonts w:ascii="Calibri" w:hAnsi="Calibri"/>
                <w:spacing w:val="-2"/>
                <w:sz w:val="22"/>
              </w:rPr>
              <w:t>Diploma</w:t>
            </w:r>
            <w:r>
              <w:rPr>
                <w:rFonts w:ascii="Calibri" w:hAnsi="Calibri"/>
                <w:sz w:val="22"/>
              </w:rPr>
              <w:tab/>
              <w:t>Bachelor</w:t>
            </w:r>
            <w:r>
              <w:rPr>
                <w:rFonts w:ascii="Calibri" w:hAnsi="Calibri"/>
                <w:spacing w:val="-10"/>
                <w:sz w:val="22"/>
              </w:rPr>
              <w:t> </w:t>
            </w:r>
            <w:r>
              <w:rPr>
                <w:rFonts w:ascii="Calibri" w:hAnsi="Calibri"/>
                <w:spacing w:val="-2"/>
                <w:sz w:val="22"/>
              </w:rPr>
              <w:t>Degree</w:t>
            </w:r>
            <w:r>
              <w:rPr>
                <w:rFonts w:ascii="Calibri" w:hAnsi="Calibri"/>
                <w:sz w:val="22"/>
              </w:rPr>
              <w:tab/>
              <w:t>Master’s</w:t>
            </w:r>
            <w:r>
              <w:rPr>
                <w:rFonts w:ascii="Calibri" w:hAnsi="Calibri"/>
                <w:spacing w:val="-10"/>
                <w:sz w:val="22"/>
              </w:rPr>
              <w:t> </w:t>
            </w:r>
            <w:r>
              <w:rPr>
                <w:rFonts w:ascii="Calibri" w:hAnsi="Calibri"/>
                <w:spacing w:val="-2"/>
                <w:sz w:val="22"/>
              </w:rPr>
              <w:t>Degree</w:t>
            </w:r>
          </w:p>
        </w:tc>
      </w:tr>
      <w:tr>
        <w:trPr>
          <w:trHeight w:val="569" w:hRule="atLeast"/>
        </w:trPr>
        <w:tc>
          <w:tcPr>
            <w:tcW w:w="1762" w:type="dxa"/>
            <w:vMerge/>
            <w:tcBorders>
              <w:top w:val="nil"/>
            </w:tcBorders>
          </w:tcPr>
          <w:p>
            <w:pPr>
              <w:rPr>
                <w:sz w:val="2"/>
                <w:szCs w:val="2"/>
              </w:rPr>
            </w:pPr>
          </w:p>
        </w:tc>
        <w:tc>
          <w:tcPr>
            <w:tcW w:w="7589" w:type="dxa"/>
            <w:tcBorders>
              <w:top w:val="nil"/>
            </w:tcBorders>
          </w:tcPr>
          <w:p>
            <w:pPr>
              <w:pStyle w:val="TableParagraph"/>
              <w:tabs>
                <w:tab w:pos="1964" w:val="left" w:leader="none"/>
              </w:tabs>
              <w:spacing w:before="120"/>
              <w:ind w:left="505"/>
              <w:rPr>
                <w:rFonts w:ascii="Calibri" w:hAnsi="Calibri"/>
                <w:sz w:val="22"/>
              </w:rPr>
            </w:pPr>
            <w:r>
              <w:rPr/>
              <mc:AlternateContent>
                <mc:Choice Requires="wps">
                  <w:drawing>
                    <wp:anchor distT="0" distB="0" distL="0" distR="0" allowOverlap="1" layoutInCell="1" locked="0" behindDoc="1" simplePos="0" relativeHeight="481968128">
                      <wp:simplePos x="0" y="0"/>
                      <wp:positionH relativeFrom="column">
                        <wp:posOffset>68198</wp:posOffset>
                      </wp:positionH>
                      <wp:positionV relativeFrom="paragraph">
                        <wp:posOffset>103043</wp:posOffset>
                      </wp:positionV>
                      <wp:extent cx="212725" cy="16510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212725" cy="165100"/>
                                <a:chExt cx="212725" cy="165100"/>
                              </a:xfrm>
                            </wpg:grpSpPr>
                            <wps:wsp>
                              <wps:cNvPr id="333" name="Graphic 333"/>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7pt;margin-top:8.113647pt;width:16.75pt;height:13pt;mso-position-horizontal-relative:column;mso-position-vertical-relative:paragraph;z-index:-21348352" id="docshapegroup272" coordorigin="107,162" coordsize="335,260">
                      <v:rect style="position:absolute;left:117;top:172;width:315;height:240" id="docshape273"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68640">
                      <wp:simplePos x="0" y="0"/>
                      <wp:positionH relativeFrom="column">
                        <wp:posOffset>887349</wp:posOffset>
                      </wp:positionH>
                      <wp:positionV relativeFrom="paragraph">
                        <wp:posOffset>80818</wp:posOffset>
                      </wp:positionV>
                      <wp:extent cx="212725" cy="16510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212725" cy="165100"/>
                                <a:chExt cx="212725" cy="165100"/>
                              </a:xfrm>
                            </wpg:grpSpPr>
                            <wps:wsp>
                              <wps:cNvPr id="335" name="Graphic 335"/>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870003pt;margin-top:6.363647pt;width:16.75pt;height:13pt;mso-position-horizontal-relative:column;mso-position-vertical-relative:paragraph;z-index:-21347840" id="docshapegroup274" coordorigin="1397,127" coordsize="335,260">
                      <v:rect style="position:absolute;left:1407;top:137;width:315;height:240" id="docshape275" filled="false" stroked="true" strokeweight="1pt" strokecolor="#41719c">
                        <v:stroke dashstyle="solid"/>
                      </v:rect>
                      <w10:wrap type="none"/>
                    </v:group>
                  </w:pict>
                </mc:Fallback>
              </mc:AlternateContent>
            </w:r>
            <w:r>
              <w:rPr>
                <w:rFonts w:ascii="Calibri" w:hAnsi="Calibri"/>
                <w:spacing w:val="-5"/>
                <w:sz w:val="22"/>
              </w:rPr>
              <w:t>PhD</w:t>
            </w:r>
            <w:r>
              <w:rPr>
                <w:rFonts w:ascii="Calibri" w:hAnsi="Calibri"/>
                <w:sz w:val="22"/>
              </w:rPr>
              <w:tab/>
              <w:t>Others</w:t>
            </w:r>
            <w:r>
              <w:rPr>
                <w:rFonts w:ascii="Calibri" w:hAnsi="Calibri"/>
                <w:spacing w:val="-4"/>
                <w:sz w:val="22"/>
              </w:rPr>
              <w:t> </w:t>
            </w:r>
            <w:r>
              <w:rPr>
                <w:rFonts w:ascii="Calibri" w:hAnsi="Calibri"/>
                <w:sz w:val="22"/>
              </w:rPr>
              <w:t>(Please</w:t>
            </w:r>
            <w:r>
              <w:rPr>
                <w:rFonts w:ascii="Calibri" w:hAnsi="Calibri"/>
                <w:spacing w:val="-5"/>
                <w:sz w:val="22"/>
              </w:rPr>
              <w:t> </w:t>
            </w:r>
            <w:r>
              <w:rPr>
                <w:rFonts w:ascii="Calibri" w:hAnsi="Calibri"/>
                <w:spacing w:val="-2"/>
                <w:sz w:val="22"/>
              </w:rPr>
              <w:t>Specify)………………………………………………..</w:t>
            </w:r>
          </w:p>
        </w:tc>
      </w:tr>
    </w:tbl>
    <w:p>
      <w:pPr>
        <w:pStyle w:val="BodyText"/>
        <w:rPr>
          <w:rFonts w:ascii="Calibri"/>
          <w:sz w:val="20"/>
        </w:rPr>
      </w:pPr>
    </w:p>
    <w:p>
      <w:pPr>
        <w:pStyle w:val="BodyText"/>
        <w:spacing w:before="179"/>
        <w:rPr>
          <w:rFonts w:ascii="Calibri"/>
          <w:sz w:val="20"/>
        </w:rPr>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6521"/>
      </w:tblGrid>
      <w:tr>
        <w:trPr>
          <w:trHeight w:val="1161" w:hRule="atLeast"/>
        </w:trPr>
        <w:tc>
          <w:tcPr>
            <w:tcW w:w="2830" w:type="dxa"/>
          </w:tcPr>
          <w:p>
            <w:pPr>
              <w:pStyle w:val="TableParagraph"/>
              <w:ind w:left="107" w:right="157"/>
              <w:rPr>
                <w:rFonts w:ascii="Calibri"/>
                <w:sz w:val="22"/>
              </w:rPr>
            </w:pPr>
            <w:r>
              <w:rPr>
                <w:rFonts w:ascii="Calibri"/>
                <w:sz w:val="22"/>
              </w:rPr>
              <w:t>Number</w:t>
            </w:r>
            <w:r>
              <w:rPr>
                <w:rFonts w:ascii="Calibri"/>
                <w:spacing w:val="-11"/>
                <w:sz w:val="22"/>
              </w:rPr>
              <w:t> </w:t>
            </w:r>
            <w:r>
              <w:rPr>
                <w:rFonts w:ascii="Calibri"/>
                <w:sz w:val="22"/>
              </w:rPr>
              <w:t>of</w:t>
            </w:r>
            <w:r>
              <w:rPr>
                <w:rFonts w:ascii="Calibri"/>
                <w:spacing w:val="-9"/>
                <w:sz w:val="22"/>
              </w:rPr>
              <w:t> </w:t>
            </w:r>
            <w:r>
              <w:rPr>
                <w:rFonts w:ascii="Calibri"/>
                <w:sz w:val="22"/>
              </w:rPr>
              <w:t>Employees</w:t>
            </w:r>
            <w:r>
              <w:rPr>
                <w:rFonts w:ascii="Calibri"/>
                <w:spacing w:val="-9"/>
                <w:sz w:val="22"/>
              </w:rPr>
              <w:t> </w:t>
            </w:r>
            <w:r>
              <w:rPr>
                <w:rFonts w:ascii="Calibri"/>
                <w:sz w:val="22"/>
              </w:rPr>
              <w:t>in</w:t>
            </w:r>
            <w:r>
              <w:rPr>
                <w:rFonts w:ascii="Calibri"/>
                <w:spacing w:val="-10"/>
                <w:sz w:val="22"/>
              </w:rPr>
              <w:t> </w:t>
            </w:r>
            <w:r>
              <w:rPr>
                <w:rFonts w:ascii="Calibri"/>
                <w:sz w:val="22"/>
              </w:rPr>
              <w:t>the </w:t>
            </w:r>
            <w:r>
              <w:rPr>
                <w:rFonts w:ascii="Calibri"/>
                <w:spacing w:val="-2"/>
                <w:sz w:val="22"/>
              </w:rPr>
              <w:t>organization</w:t>
            </w:r>
          </w:p>
        </w:tc>
        <w:tc>
          <w:tcPr>
            <w:tcW w:w="6521" w:type="dxa"/>
          </w:tcPr>
          <w:p>
            <w:pPr>
              <w:pStyle w:val="TableParagraph"/>
              <w:tabs>
                <w:tab w:pos="3329" w:val="left" w:leader="none"/>
              </w:tabs>
              <w:spacing w:line="268" w:lineRule="exact"/>
              <w:ind w:left="505"/>
              <w:rPr>
                <w:rFonts w:ascii="Calibri"/>
                <w:sz w:val="22"/>
              </w:rPr>
            </w:pPr>
            <w:r>
              <w:rPr/>
              <mc:AlternateContent>
                <mc:Choice Requires="wps">
                  <w:drawing>
                    <wp:anchor distT="0" distB="0" distL="0" distR="0" allowOverlap="1" layoutInCell="1" locked="0" behindDoc="1" simplePos="0" relativeHeight="481969664">
                      <wp:simplePos x="0" y="0"/>
                      <wp:positionH relativeFrom="column">
                        <wp:posOffset>1808727</wp:posOffset>
                      </wp:positionH>
                      <wp:positionV relativeFrom="paragraph">
                        <wp:posOffset>13461</wp:posOffset>
                      </wp:positionV>
                      <wp:extent cx="212725" cy="165100"/>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212725" cy="165100"/>
                                <a:chExt cx="212725" cy="165100"/>
                              </a:xfrm>
                            </wpg:grpSpPr>
                            <wps:wsp>
                              <wps:cNvPr id="337" name="Graphic 337"/>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419495pt;margin-top:1.06pt;width:16.75pt;height:13pt;mso-position-horizontal-relative:column;mso-position-vertical-relative:paragraph;z-index:-21346816" id="docshapegroup276" coordorigin="2848,21" coordsize="335,260">
                      <v:rect style="position:absolute;left:2858;top:31;width:315;height:240" id="docshape277"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0176">
                      <wp:simplePos x="0" y="0"/>
                      <wp:positionH relativeFrom="column">
                        <wp:posOffset>3621652</wp:posOffset>
                      </wp:positionH>
                      <wp:positionV relativeFrom="paragraph">
                        <wp:posOffset>51561</wp:posOffset>
                      </wp:positionV>
                      <wp:extent cx="212725" cy="165100"/>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212725" cy="165100"/>
                                <a:chExt cx="212725" cy="165100"/>
                              </a:xfrm>
                            </wpg:grpSpPr>
                            <wps:wsp>
                              <wps:cNvPr id="339" name="Graphic 339"/>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5.169495pt;margin-top:4.060000pt;width:16.75pt;height:13pt;mso-position-horizontal-relative:column;mso-position-vertical-relative:paragraph;z-index:-21346304" id="docshapegroup278" coordorigin="5703,81" coordsize="335,260">
                      <v:rect style="position:absolute;left:5713;top:91;width:315;height:240" id="docshape279"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0688">
                      <wp:simplePos x="0" y="0"/>
                      <wp:positionH relativeFrom="column">
                        <wp:posOffset>1240402</wp:posOffset>
                      </wp:positionH>
                      <wp:positionV relativeFrom="paragraph">
                        <wp:posOffset>203961</wp:posOffset>
                      </wp:positionV>
                      <wp:extent cx="212725" cy="16510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212725" cy="165100"/>
                                <a:chExt cx="212725" cy="165100"/>
                              </a:xfrm>
                            </wpg:grpSpPr>
                            <wps:wsp>
                              <wps:cNvPr id="341" name="Graphic 341"/>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669502pt;margin-top:16.059999pt;width:16.75pt;height:13pt;mso-position-horizontal-relative:column;mso-position-vertical-relative:paragraph;z-index:-21345792" id="docshapegroup280" coordorigin="1953,321" coordsize="335,260">
                      <v:rect style="position:absolute;left:1963;top:331;width:315;height:240" id="docshape281" filled="false" stroked="true" strokeweight="1pt" strokecolor="#41719c">
                        <v:stroke dashstyle="solid"/>
                      </v:rect>
                      <w10:wrap type="none"/>
                    </v:group>
                  </w:pict>
                </mc:Fallback>
              </mc:AlternateContent>
            </w:r>
            <w:r>
              <w:rPr/>
              <mc:AlternateContent>
                <mc:Choice Requires="wps">
                  <w:drawing>
                    <wp:anchor distT="0" distB="0" distL="0" distR="0" allowOverlap="1" layoutInCell="1" locked="0" behindDoc="1" simplePos="0" relativeHeight="481971200">
                      <wp:simplePos x="0" y="0"/>
                      <wp:positionH relativeFrom="column">
                        <wp:posOffset>3040627</wp:posOffset>
                      </wp:positionH>
                      <wp:positionV relativeFrom="paragraph">
                        <wp:posOffset>235711</wp:posOffset>
                      </wp:positionV>
                      <wp:extent cx="212725" cy="16510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212725" cy="165100"/>
                                <a:chExt cx="212725" cy="165100"/>
                              </a:xfrm>
                            </wpg:grpSpPr>
                            <wps:wsp>
                              <wps:cNvPr id="343" name="Graphic 343"/>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419495pt;margin-top:18.559999pt;width:16.75pt;height:13pt;mso-position-horizontal-relative:column;mso-position-vertical-relative:paragraph;z-index:-21345280" id="docshapegroup282" coordorigin="4788,371" coordsize="335,260">
                      <v:rect style="position:absolute;left:4798;top:381;width:315;height:240" id="docshape283" filled="false" stroked="true" strokeweight="1pt" strokecolor="#41719c">
                        <v:stroke dashstyle="solid"/>
                      </v:rect>
                      <w10:wrap type="none"/>
                    </v:group>
                  </w:pict>
                </mc:Fallback>
              </mc:AlternateContent>
            </w:r>
            <w:r>
              <w:rPr>
                <w:rFonts w:ascii="Calibri"/>
                <w:sz w:val="22"/>
              </w:rPr>
              <w:t>Less</w:t>
            </w:r>
            <w:r>
              <w:rPr>
                <w:rFonts w:ascii="Calibri"/>
                <w:spacing w:val="-4"/>
                <w:sz w:val="22"/>
              </w:rPr>
              <w:t> </w:t>
            </w:r>
            <w:r>
              <w:rPr>
                <w:rFonts w:ascii="Calibri"/>
                <w:sz w:val="22"/>
              </w:rPr>
              <w:t>than</w:t>
            </w:r>
            <w:r>
              <w:rPr>
                <w:rFonts w:ascii="Calibri"/>
                <w:spacing w:val="-2"/>
                <w:sz w:val="22"/>
              </w:rPr>
              <w:t> </w:t>
            </w:r>
            <w:r>
              <w:rPr>
                <w:rFonts w:ascii="Calibri"/>
                <w:sz w:val="22"/>
              </w:rPr>
              <w:t>10</w:t>
            </w:r>
            <w:r>
              <w:rPr>
                <w:rFonts w:ascii="Calibri"/>
                <w:spacing w:val="-2"/>
                <w:sz w:val="22"/>
              </w:rPr>
              <w:t> employees</w:t>
            </w:r>
            <w:r>
              <w:rPr>
                <w:rFonts w:ascii="Calibri"/>
                <w:sz w:val="22"/>
              </w:rPr>
              <w:tab/>
              <w:t>10</w:t>
            </w:r>
            <w:r>
              <w:rPr>
                <w:rFonts w:ascii="Calibri"/>
                <w:spacing w:val="1"/>
                <w:sz w:val="22"/>
              </w:rPr>
              <w:t> </w:t>
            </w:r>
            <w:r>
              <w:rPr>
                <w:rFonts w:ascii="Calibri"/>
                <w:sz w:val="22"/>
              </w:rPr>
              <w:t>-</w:t>
            </w:r>
            <w:r>
              <w:rPr>
                <w:rFonts w:ascii="Calibri"/>
                <w:spacing w:val="-4"/>
                <w:sz w:val="22"/>
              </w:rPr>
              <w:t> </w:t>
            </w:r>
            <w:r>
              <w:rPr>
                <w:rFonts w:ascii="Calibri"/>
                <w:sz w:val="22"/>
              </w:rPr>
              <w:t>49</w:t>
            </w:r>
            <w:r>
              <w:rPr>
                <w:rFonts w:ascii="Calibri"/>
                <w:spacing w:val="1"/>
                <w:sz w:val="22"/>
              </w:rPr>
              <w:t> </w:t>
            </w:r>
            <w:r>
              <w:rPr>
                <w:rFonts w:ascii="Calibri"/>
                <w:spacing w:val="-2"/>
                <w:sz w:val="22"/>
              </w:rPr>
              <w:t>employees</w:t>
            </w:r>
          </w:p>
          <w:p>
            <w:pPr>
              <w:pStyle w:val="TableParagraph"/>
              <w:tabs>
                <w:tab w:pos="2439" w:val="left" w:leader="none"/>
              </w:tabs>
              <w:spacing w:line="267" w:lineRule="exact"/>
              <w:ind w:left="107"/>
              <w:rPr>
                <w:rFonts w:ascii="Calibri"/>
                <w:sz w:val="22"/>
              </w:rPr>
            </w:pPr>
            <w:r>
              <w:rPr/>
              <mc:AlternateContent>
                <mc:Choice Requires="wps">
                  <w:drawing>
                    <wp:anchor distT="0" distB="0" distL="0" distR="0" allowOverlap="1" layoutInCell="1" locked="0" behindDoc="1" simplePos="0" relativeHeight="481969152">
                      <wp:simplePos x="0" y="0"/>
                      <wp:positionH relativeFrom="column">
                        <wp:posOffset>40252</wp:posOffset>
                      </wp:positionH>
                      <wp:positionV relativeFrom="paragraph">
                        <wp:posOffset>-178896</wp:posOffset>
                      </wp:positionV>
                      <wp:extent cx="212725" cy="16510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212725" cy="165100"/>
                                <a:chExt cx="212725" cy="165100"/>
                              </a:xfrm>
                            </wpg:grpSpPr>
                            <wps:wsp>
                              <wps:cNvPr id="345" name="Graphic 345"/>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6950pt;margin-top:-14.086365pt;width:16.75pt;height:13pt;mso-position-horizontal-relative:column;mso-position-vertical-relative:paragraph;z-index:-21347328" id="docshapegroup284" coordorigin="63,-282" coordsize="335,260">
                      <v:rect style="position:absolute;left:73;top:-272;width:315;height:240" id="docshape285" filled="false" stroked="true" strokeweight="1pt" strokecolor="#41719c">
                        <v:stroke dashstyle="solid"/>
                      </v:rect>
                      <w10:wrap type="none"/>
                    </v:group>
                  </w:pict>
                </mc:Fallback>
              </mc:AlternateContent>
            </w:r>
            <w:r>
              <w:rPr>
                <w:rFonts w:ascii="Calibri"/>
                <w:sz w:val="22"/>
              </w:rPr>
              <w:t>50</w:t>
            </w:r>
            <w:r>
              <w:rPr>
                <w:rFonts w:ascii="Calibri"/>
                <w:spacing w:val="-1"/>
                <w:sz w:val="22"/>
              </w:rPr>
              <w:t> </w:t>
            </w:r>
            <w:r>
              <w:rPr>
                <w:rFonts w:ascii="Calibri"/>
                <w:sz w:val="22"/>
              </w:rPr>
              <w:t>-99</w:t>
            </w:r>
            <w:r>
              <w:rPr>
                <w:rFonts w:ascii="Calibri"/>
                <w:spacing w:val="-2"/>
                <w:sz w:val="22"/>
              </w:rPr>
              <w:t> employees</w:t>
            </w:r>
            <w:r>
              <w:rPr>
                <w:rFonts w:ascii="Calibri"/>
                <w:sz w:val="22"/>
              </w:rPr>
              <w:tab/>
              <w:t>100</w:t>
            </w:r>
            <w:r>
              <w:rPr>
                <w:rFonts w:ascii="Calibri"/>
                <w:spacing w:val="-3"/>
                <w:sz w:val="22"/>
              </w:rPr>
              <w:t> </w:t>
            </w:r>
            <w:r>
              <w:rPr>
                <w:rFonts w:ascii="Calibri"/>
                <w:sz w:val="22"/>
              </w:rPr>
              <w:t>-149</w:t>
            </w:r>
            <w:r>
              <w:rPr>
                <w:rFonts w:ascii="Calibri"/>
                <w:spacing w:val="-4"/>
                <w:sz w:val="22"/>
              </w:rPr>
              <w:t> </w:t>
            </w:r>
            <w:r>
              <w:rPr>
                <w:rFonts w:ascii="Calibri"/>
                <w:spacing w:val="-2"/>
                <w:sz w:val="22"/>
              </w:rPr>
              <w:t>employees</w:t>
            </w:r>
          </w:p>
          <w:p>
            <w:pPr>
              <w:pStyle w:val="TableParagraph"/>
              <w:spacing w:line="267" w:lineRule="exact"/>
              <w:ind w:left="107"/>
              <w:rPr>
                <w:rFonts w:ascii="Calibri" w:hAnsi="Calibri"/>
                <w:sz w:val="22"/>
              </w:rPr>
            </w:pPr>
            <w:r>
              <w:rPr>
                <w:rFonts w:ascii="Calibri" w:hAnsi="Calibri"/>
                <w:sz w:val="22"/>
              </w:rPr>
              <w:t>150</w:t>
            </w:r>
            <w:r>
              <w:rPr>
                <w:rFonts w:ascii="Calibri" w:hAnsi="Calibri"/>
                <w:spacing w:val="-1"/>
                <w:sz w:val="22"/>
              </w:rPr>
              <w:t> </w:t>
            </w:r>
            <w:r>
              <w:rPr>
                <w:rFonts w:ascii="Calibri" w:hAnsi="Calibri"/>
                <w:sz w:val="22"/>
              </w:rPr>
              <w:t>–</w:t>
            </w:r>
            <w:r>
              <w:rPr>
                <w:rFonts w:ascii="Calibri" w:hAnsi="Calibri"/>
                <w:spacing w:val="-3"/>
                <w:sz w:val="22"/>
              </w:rPr>
              <w:t> </w:t>
            </w:r>
            <w:r>
              <w:rPr>
                <w:rFonts w:ascii="Calibri" w:hAnsi="Calibri"/>
                <w:sz w:val="22"/>
              </w:rPr>
              <w:t>199</w:t>
            </w:r>
            <w:r>
              <w:rPr>
                <w:rFonts w:ascii="Calibri" w:hAnsi="Calibri"/>
                <w:spacing w:val="-2"/>
                <w:sz w:val="22"/>
              </w:rPr>
              <w:t> employees</w:t>
            </w:r>
          </w:p>
        </w:tc>
      </w:tr>
    </w:tbl>
    <w:p>
      <w:pPr>
        <w:spacing w:after="0" w:line="267" w:lineRule="exact"/>
        <w:rPr>
          <w:rFonts w:ascii="Calibri" w:hAnsi="Calibri"/>
          <w:sz w:val="22"/>
        </w:rPr>
        <w:sectPr>
          <w:pgSz w:w="12240" w:h="15840"/>
          <w:pgMar w:header="0" w:footer="1017" w:top="1400" w:bottom="1200" w:left="1040" w:right="120"/>
        </w:sectPr>
      </w:pPr>
    </w:p>
    <w:p>
      <w:pPr>
        <w:pStyle w:val="Heading2"/>
        <w:spacing w:before="37"/>
        <w:jc w:val="left"/>
        <w:rPr>
          <w:rFonts w:ascii="Calibri"/>
        </w:rPr>
      </w:pPr>
      <w:r>
        <w:rPr>
          <w:rFonts w:ascii="Calibri"/>
        </w:rPr>
        <w:t>Section</w:t>
      </w:r>
      <w:r>
        <w:rPr>
          <w:rFonts w:ascii="Calibri"/>
          <w:spacing w:val="-2"/>
        </w:rPr>
        <w:t> </w:t>
      </w:r>
      <w:r>
        <w:rPr>
          <w:rFonts w:ascii="Calibri"/>
          <w:spacing w:val="-5"/>
        </w:rPr>
        <w:t>II</w:t>
      </w:r>
    </w:p>
    <w:p>
      <w:pPr>
        <w:spacing w:before="182"/>
        <w:ind w:left="400" w:right="0" w:firstLine="0"/>
        <w:jc w:val="left"/>
        <w:rPr>
          <w:rFonts w:ascii="Calibri"/>
          <w:b/>
          <w:sz w:val="24"/>
        </w:rPr>
      </w:pPr>
      <w:r>
        <w:rPr>
          <w:rFonts w:ascii="Calibri"/>
          <w:b/>
          <w:sz w:val="24"/>
        </w:rPr>
        <w:t>Questions</w:t>
      </w:r>
      <w:r>
        <w:rPr>
          <w:rFonts w:ascii="Calibri"/>
          <w:b/>
          <w:spacing w:val="-3"/>
          <w:sz w:val="24"/>
        </w:rPr>
        <w:t> </w:t>
      </w:r>
      <w:r>
        <w:rPr>
          <w:rFonts w:ascii="Calibri"/>
          <w:b/>
          <w:sz w:val="24"/>
        </w:rPr>
        <w:t>Related</w:t>
      </w:r>
      <w:r>
        <w:rPr>
          <w:rFonts w:ascii="Calibri"/>
          <w:b/>
          <w:spacing w:val="-2"/>
          <w:sz w:val="24"/>
        </w:rPr>
        <w:t> </w:t>
      </w:r>
      <w:r>
        <w:rPr>
          <w:rFonts w:ascii="Calibri"/>
          <w:b/>
          <w:sz w:val="24"/>
        </w:rPr>
        <w:t>to</w:t>
      </w:r>
      <w:r>
        <w:rPr>
          <w:rFonts w:ascii="Calibri"/>
          <w:b/>
          <w:spacing w:val="-3"/>
          <w:sz w:val="24"/>
        </w:rPr>
        <w:t> </w:t>
      </w:r>
      <w:r>
        <w:rPr>
          <w:rFonts w:ascii="Calibri"/>
          <w:b/>
          <w:sz w:val="24"/>
        </w:rPr>
        <w:t>the</w:t>
      </w:r>
      <w:r>
        <w:rPr>
          <w:rFonts w:ascii="Calibri"/>
          <w:b/>
          <w:spacing w:val="-1"/>
          <w:sz w:val="24"/>
        </w:rPr>
        <w:t> </w:t>
      </w:r>
      <w:r>
        <w:rPr>
          <w:rFonts w:ascii="Calibri"/>
          <w:b/>
          <w:sz w:val="24"/>
        </w:rPr>
        <w:t>Concept</w:t>
      </w:r>
      <w:r>
        <w:rPr>
          <w:rFonts w:ascii="Calibri"/>
          <w:b/>
          <w:spacing w:val="-2"/>
          <w:sz w:val="24"/>
        </w:rPr>
        <w:t> </w:t>
      </w:r>
      <w:r>
        <w:rPr>
          <w:rFonts w:ascii="Calibri"/>
          <w:b/>
          <w:sz w:val="24"/>
        </w:rPr>
        <w:t>of</w:t>
      </w:r>
      <w:r>
        <w:rPr>
          <w:rFonts w:ascii="Calibri"/>
          <w:b/>
          <w:spacing w:val="-2"/>
          <w:sz w:val="24"/>
        </w:rPr>
        <w:t> </w:t>
      </w:r>
      <w:r>
        <w:rPr>
          <w:rFonts w:ascii="Calibri"/>
          <w:b/>
          <w:spacing w:val="-5"/>
          <w:sz w:val="24"/>
        </w:rPr>
        <w:t>TQM</w:t>
      </w:r>
    </w:p>
    <w:p>
      <w:pPr>
        <w:pStyle w:val="ListParagraph"/>
        <w:numPr>
          <w:ilvl w:val="0"/>
          <w:numId w:val="61"/>
        </w:numPr>
        <w:tabs>
          <w:tab w:pos="2785" w:val="left" w:leader="none"/>
          <w:tab w:pos="6875" w:val="left" w:leader="none"/>
          <w:tab w:pos="8413" w:val="left" w:leader="none"/>
        </w:tabs>
        <w:spacing w:line="240" w:lineRule="auto" w:before="185" w:after="0"/>
        <w:ind w:left="2785" w:right="0" w:hanging="2026"/>
        <w:jc w:val="left"/>
        <w:rPr>
          <w:rFonts w:ascii="Calibri"/>
          <w:sz w:val="24"/>
        </w:rPr>
      </w:pPr>
      <w:r>
        <w:rPr/>
        <mc:AlternateContent>
          <mc:Choice Requires="wps">
            <w:drawing>
              <wp:anchor distT="0" distB="0" distL="0" distR="0" allowOverlap="1" layoutInCell="1" locked="0" behindDoc="1" simplePos="0" relativeHeight="481975296">
                <wp:simplePos x="0" y="0"/>
                <wp:positionH relativeFrom="page">
                  <wp:posOffset>3701796</wp:posOffset>
                </wp:positionH>
                <wp:positionV relativeFrom="paragraph">
                  <wp:posOffset>148248</wp:posOffset>
                </wp:positionV>
                <wp:extent cx="201930" cy="1524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01930" cy="152400"/>
                        </a:xfrm>
                        <a:prstGeom prst="rect">
                          <a:avLst/>
                        </a:prstGeom>
                      </wps:spPr>
                      <wps:txbx>
                        <w:txbxContent>
                          <w:p>
                            <w:pPr>
                              <w:pStyle w:val="BodyText"/>
                              <w:spacing w:line="240" w:lineRule="exact"/>
                              <w:rPr>
                                <w:rFonts w:ascii="Calibri"/>
                              </w:rPr>
                            </w:pPr>
                            <w:r>
                              <w:rPr>
                                <w:rFonts w:ascii="Calibri"/>
                                <w:spacing w:val="-5"/>
                              </w:rPr>
                              <w:t>M?</w:t>
                            </w:r>
                          </w:p>
                        </w:txbxContent>
                      </wps:txbx>
                      <wps:bodyPr wrap="square" lIns="0" tIns="0" rIns="0" bIns="0" rtlCol="0">
                        <a:noAutofit/>
                      </wps:bodyPr>
                    </wps:wsp>
                  </a:graphicData>
                </a:graphic>
              </wp:anchor>
            </w:drawing>
          </mc:Choice>
          <mc:Fallback>
            <w:pict>
              <v:shape style="position:absolute;margin-left:291.480011pt;margin-top:11.673125pt;width:15.9pt;height:12pt;mso-position-horizontal-relative:page;mso-position-vertical-relative:paragraph;z-index:-21341184" type="#_x0000_t202" id="docshape286" filled="false" stroked="false">
                <v:textbox inset="0,0,0,0">
                  <w:txbxContent>
                    <w:p>
                      <w:pPr>
                        <w:pStyle w:val="BodyText"/>
                        <w:spacing w:line="240" w:lineRule="exact"/>
                        <w:rPr>
                          <w:rFonts w:ascii="Calibri"/>
                        </w:rPr>
                      </w:pPr>
                      <w:r>
                        <w:rPr>
                          <w:rFonts w:ascii="Calibri"/>
                          <w:spacing w:val="-5"/>
                        </w:rPr>
                        <w:t>M?</w:t>
                      </w:r>
                    </w:p>
                  </w:txbxContent>
                </v:textbox>
                <w10:wrap type="none"/>
              </v:shape>
            </w:pict>
          </mc:Fallback>
        </mc:AlternateContent>
      </w:r>
      <w:r>
        <w:rPr>
          <w:rFonts w:ascii="Calibri"/>
          <w:sz w:val="24"/>
        </w:rPr>
        <w:t>Are</w:t>
      </w:r>
      <w:r>
        <w:rPr>
          <w:rFonts w:ascii="Calibri"/>
          <w:spacing w:val="-5"/>
          <w:sz w:val="24"/>
        </w:rPr>
        <w:t> </w:t>
      </w:r>
      <w:r>
        <w:rPr>
          <w:rFonts w:ascii="Calibri"/>
          <w:sz w:val="24"/>
        </w:rPr>
        <w:t>you</w:t>
      </w:r>
      <w:r>
        <w:rPr>
          <w:rFonts w:ascii="Calibri"/>
          <w:spacing w:val="-6"/>
          <w:sz w:val="24"/>
        </w:rPr>
        <w:t> </w:t>
      </w:r>
      <w:r>
        <w:rPr>
          <w:rFonts w:ascii="Calibri"/>
          <w:sz w:val="24"/>
        </w:rPr>
        <w:t>aware</w:t>
      </w:r>
      <w:r>
        <w:rPr>
          <w:rFonts w:ascii="Calibri"/>
          <w:spacing w:val="-4"/>
          <w:sz w:val="24"/>
        </w:rPr>
        <w:t> </w:t>
      </w:r>
      <w:r>
        <w:rPr>
          <w:rFonts w:ascii="Calibri"/>
          <w:sz w:val="24"/>
        </w:rPr>
        <w:t>of</w:t>
      </w:r>
      <w:r>
        <w:rPr>
          <w:rFonts w:ascii="Calibri"/>
          <w:spacing w:val="-6"/>
          <w:sz w:val="24"/>
        </w:rPr>
        <w:t> </w:t>
      </w:r>
      <w:r>
        <w:rPr>
          <w:rFonts w:ascii="Calibri"/>
          <w:sz w:val="24"/>
        </w:rPr>
        <w:t>TQ</w:t>
      </w:r>
      <w:r>
        <w:rPr>
          <w:rFonts w:ascii="Calibri"/>
          <w:spacing w:val="-27"/>
          <w:position w:val="-3"/>
          <w:sz w:val="24"/>
        </w:rPr>
        <w:drawing>
          <wp:inline distT="0" distB="0" distL="0" distR="0">
            <wp:extent cx="212725" cy="165100"/>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67" cstate="print"/>
                    <a:stretch>
                      <a:fillRect/>
                    </a:stretch>
                  </pic:blipFill>
                  <pic:spPr>
                    <a:xfrm>
                      <a:off x="0" y="0"/>
                      <a:ext cx="212725" cy="165100"/>
                    </a:xfrm>
                    <a:prstGeom prst="rect">
                      <a:avLst/>
                    </a:prstGeom>
                  </pic:spPr>
                </pic:pic>
              </a:graphicData>
            </a:graphic>
          </wp:inline>
        </w:drawing>
      </w:r>
      <w:r>
        <w:rPr>
          <w:rFonts w:ascii="Calibri"/>
          <w:spacing w:val="-27"/>
          <w:position w:val="-3"/>
          <w:sz w:val="24"/>
        </w:rPr>
      </w:r>
      <w:r>
        <w:rPr>
          <w:spacing w:val="19"/>
          <w:sz w:val="24"/>
        </w:rPr>
        <w:t> </w:t>
      </w:r>
      <w:r>
        <w:rPr>
          <w:rFonts w:ascii="Calibri"/>
          <w:sz w:val="24"/>
        </w:rPr>
        <w:t>Please</w:t>
      </w:r>
      <w:r>
        <w:rPr>
          <w:rFonts w:ascii="Calibri"/>
          <w:spacing w:val="-5"/>
          <w:sz w:val="24"/>
        </w:rPr>
        <w:t> </w:t>
      </w:r>
      <w:r>
        <w:rPr>
          <w:rFonts w:ascii="Calibri"/>
          <w:spacing w:val="-4"/>
          <w:sz w:val="24"/>
        </w:rPr>
        <w:t>Tick</w:t>
      </w:r>
      <w:r>
        <w:rPr>
          <w:rFonts w:ascii="Calibri"/>
          <w:spacing w:val="10"/>
          <w:position w:val="-4"/>
          <w:sz w:val="24"/>
        </w:rPr>
        <w:drawing>
          <wp:inline distT="0" distB="0" distL="0" distR="0">
            <wp:extent cx="212725" cy="165100"/>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68" cstate="print"/>
                    <a:stretch>
                      <a:fillRect/>
                    </a:stretch>
                  </pic:blipFill>
                  <pic:spPr>
                    <a:xfrm>
                      <a:off x="0" y="0"/>
                      <a:ext cx="212725" cy="165100"/>
                    </a:xfrm>
                    <a:prstGeom prst="rect">
                      <a:avLst/>
                    </a:prstGeom>
                  </pic:spPr>
                </pic:pic>
              </a:graphicData>
            </a:graphic>
          </wp:inline>
        </w:drawing>
      </w:r>
      <w:r>
        <w:rPr>
          <w:rFonts w:ascii="Calibri"/>
          <w:spacing w:val="10"/>
          <w:position w:val="-4"/>
          <w:sz w:val="24"/>
        </w:rPr>
      </w:r>
      <w:r>
        <w:rPr>
          <w:sz w:val="24"/>
        </w:rPr>
        <w:tab/>
      </w:r>
      <w:r>
        <w:rPr>
          <w:rFonts w:ascii="Calibri"/>
          <w:spacing w:val="-5"/>
          <w:sz w:val="24"/>
        </w:rPr>
        <w:t>YES</w:t>
      </w:r>
      <w:r>
        <w:rPr>
          <w:rFonts w:ascii="Calibri"/>
          <w:sz w:val="24"/>
        </w:rPr>
        <w:tab/>
      </w:r>
      <w:r>
        <w:rPr>
          <w:rFonts w:ascii="Calibri"/>
          <w:spacing w:val="-5"/>
          <w:sz w:val="24"/>
        </w:rPr>
        <w:t>NO</w:t>
      </w:r>
    </w:p>
    <w:p>
      <w:pPr>
        <w:pStyle w:val="ListParagraph"/>
        <w:numPr>
          <w:ilvl w:val="0"/>
          <w:numId w:val="61"/>
        </w:numPr>
        <w:tabs>
          <w:tab w:pos="1119" w:val="left" w:leader="none"/>
          <w:tab w:pos="2785" w:val="left" w:leader="none"/>
        </w:tabs>
        <w:spacing w:line="256" w:lineRule="auto" w:before="23" w:after="8"/>
        <w:ind w:left="1119" w:right="1642" w:hanging="360"/>
        <w:jc w:val="left"/>
        <w:rPr>
          <w:rFonts w:ascii="Calibri" w:hAnsi="Calibri"/>
          <w:sz w:val="24"/>
        </w:rPr>
      </w:pPr>
      <w:r>
        <w:rPr>
          <w:rFonts w:ascii="Calibri" w:hAnsi="Calibri"/>
          <w:sz w:val="24"/>
        </w:rPr>
        <w:tab/>
        <w:t>How</w:t>
      </w:r>
      <w:r>
        <w:rPr>
          <w:rFonts w:ascii="Calibri" w:hAnsi="Calibri"/>
          <w:spacing w:val="-4"/>
          <w:sz w:val="24"/>
        </w:rPr>
        <w:t> </w:t>
      </w:r>
      <w:r>
        <w:rPr>
          <w:rFonts w:ascii="Calibri" w:hAnsi="Calibri"/>
          <w:sz w:val="24"/>
        </w:rPr>
        <w:t>will</w:t>
      </w:r>
      <w:r>
        <w:rPr>
          <w:rFonts w:ascii="Calibri" w:hAnsi="Calibri"/>
          <w:spacing w:val="-2"/>
          <w:sz w:val="24"/>
        </w:rPr>
        <w:t> </w:t>
      </w:r>
      <w:r>
        <w:rPr>
          <w:rFonts w:ascii="Calibri" w:hAnsi="Calibri"/>
          <w:sz w:val="24"/>
        </w:rPr>
        <w:t>you</w:t>
      </w:r>
      <w:r>
        <w:rPr>
          <w:rFonts w:ascii="Calibri" w:hAnsi="Calibri"/>
          <w:spacing w:val="-1"/>
          <w:sz w:val="24"/>
        </w:rPr>
        <w:t> </w:t>
      </w:r>
      <w:r>
        <w:rPr>
          <w:rFonts w:ascii="Calibri" w:hAnsi="Calibri"/>
          <w:sz w:val="24"/>
        </w:rPr>
        <w:t>rate</w:t>
      </w:r>
      <w:r>
        <w:rPr>
          <w:rFonts w:ascii="Calibri" w:hAnsi="Calibri"/>
          <w:spacing w:val="-4"/>
          <w:sz w:val="24"/>
        </w:rPr>
        <w:t> </w:t>
      </w:r>
      <w:r>
        <w:rPr>
          <w:rFonts w:ascii="Calibri" w:hAnsi="Calibri"/>
          <w:sz w:val="24"/>
        </w:rPr>
        <w:t>the</w:t>
      </w:r>
      <w:r>
        <w:rPr>
          <w:rFonts w:ascii="Calibri" w:hAnsi="Calibri"/>
          <w:spacing w:val="-4"/>
          <w:sz w:val="24"/>
        </w:rPr>
        <w:t> </w:t>
      </w:r>
      <w:r>
        <w:rPr>
          <w:rFonts w:ascii="Calibri" w:hAnsi="Calibri"/>
          <w:sz w:val="24"/>
        </w:rPr>
        <w:t>following</w:t>
      </w:r>
      <w:r>
        <w:rPr>
          <w:rFonts w:ascii="Calibri" w:hAnsi="Calibri"/>
          <w:spacing w:val="-3"/>
          <w:sz w:val="24"/>
        </w:rPr>
        <w:t> </w:t>
      </w:r>
      <w:r>
        <w:rPr>
          <w:rFonts w:ascii="Calibri" w:hAnsi="Calibri"/>
          <w:sz w:val="24"/>
        </w:rPr>
        <w:t>on</w:t>
      </w:r>
      <w:r>
        <w:rPr>
          <w:rFonts w:ascii="Calibri" w:hAnsi="Calibri"/>
          <w:spacing w:val="-4"/>
          <w:sz w:val="24"/>
        </w:rPr>
        <w:t> </w:t>
      </w:r>
      <w:r>
        <w:rPr>
          <w:rFonts w:ascii="Calibri" w:hAnsi="Calibri"/>
          <w:sz w:val="24"/>
        </w:rPr>
        <w:t>a</w:t>
      </w:r>
      <w:r>
        <w:rPr>
          <w:rFonts w:ascii="Calibri" w:hAnsi="Calibri"/>
          <w:spacing w:val="-2"/>
          <w:sz w:val="24"/>
        </w:rPr>
        <w:t> </w:t>
      </w:r>
      <w:r>
        <w:rPr>
          <w:rFonts w:ascii="Calibri" w:hAnsi="Calibri"/>
          <w:sz w:val="24"/>
        </w:rPr>
        <w:t>scale</w:t>
      </w:r>
      <w:r>
        <w:rPr>
          <w:rFonts w:ascii="Calibri" w:hAnsi="Calibri"/>
          <w:spacing w:val="-4"/>
          <w:sz w:val="24"/>
        </w:rPr>
        <w:t> </w:t>
      </w:r>
      <w:r>
        <w:rPr>
          <w:rFonts w:ascii="Calibri" w:hAnsi="Calibri"/>
          <w:sz w:val="24"/>
        </w:rPr>
        <w:t>of</w:t>
      </w:r>
      <w:r>
        <w:rPr>
          <w:rFonts w:ascii="Calibri" w:hAnsi="Calibri"/>
          <w:spacing w:val="-4"/>
          <w:sz w:val="24"/>
        </w:rPr>
        <w:t> </w:t>
      </w:r>
      <w:r>
        <w:rPr>
          <w:rFonts w:ascii="Calibri" w:hAnsi="Calibri"/>
          <w:sz w:val="24"/>
        </w:rPr>
        <w:t>1</w:t>
      </w:r>
      <w:r>
        <w:rPr>
          <w:rFonts w:ascii="Calibri" w:hAnsi="Calibri"/>
          <w:spacing w:val="-2"/>
          <w:sz w:val="24"/>
        </w:rPr>
        <w:t> </w:t>
      </w:r>
      <w:r>
        <w:rPr>
          <w:rFonts w:ascii="Calibri" w:hAnsi="Calibri"/>
          <w:sz w:val="24"/>
        </w:rPr>
        <w:t>(don’t</w:t>
      </w:r>
      <w:r>
        <w:rPr>
          <w:rFonts w:ascii="Calibri" w:hAnsi="Calibri"/>
          <w:spacing w:val="-1"/>
          <w:sz w:val="24"/>
        </w:rPr>
        <w:t> </w:t>
      </w:r>
      <w:r>
        <w:rPr>
          <w:rFonts w:ascii="Calibri" w:hAnsi="Calibri"/>
          <w:sz w:val="24"/>
        </w:rPr>
        <w:t>know</w:t>
      </w:r>
      <w:r>
        <w:rPr>
          <w:rFonts w:ascii="Calibri" w:hAnsi="Calibri"/>
          <w:spacing w:val="-4"/>
          <w:sz w:val="24"/>
        </w:rPr>
        <w:t> </w:t>
      </w:r>
      <w:r>
        <w:rPr>
          <w:rFonts w:ascii="Calibri" w:hAnsi="Calibri"/>
          <w:sz w:val="24"/>
        </w:rPr>
        <w:t>[DN])</w:t>
      </w:r>
      <w:r>
        <w:rPr>
          <w:rFonts w:ascii="Calibri" w:hAnsi="Calibri"/>
          <w:spacing w:val="-3"/>
          <w:sz w:val="24"/>
        </w:rPr>
        <w:t> </w:t>
      </w:r>
      <w:r>
        <w:rPr>
          <w:rFonts w:ascii="Calibri" w:hAnsi="Calibri"/>
          <w:sz w:val="24"/>
        </w:rPr>
        <w:t>–</w:t>
      </w:r>
      <w:r>
        <w:rPr>
          <w:rFonts w:ascii="Calibri" w:hAnsi="Calibri"/>
          <w:spacing w:val="-4"/>
          <w:sz w:val="24"/>
        </w:rPr>
        <w:t> </w:t>
      </w:r>
      <w:r>
        <w:rPr>
          <w:rFonts w:ascii="Calibri" w:hAnsi="Calibri"/>
          <w:sz w:val="24"/>
        </w:rPr>
        <w:t>5 (strongly agree [SA])?</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76"/>
        <w:gridCol w:w="470"/>
        <w:gridCol w:w="448"/>
        <w:gridCol w:w="479"/>
        <w:gridCol w:w="369"/>
        <w:gridCol w:w="530"/>
      </w:tblGrid>
      <w:tr>
        <w:trPr>
          <w:trHeight w:val="537" w:hRule="atLeast"/>
        </w:trPr>
        <w:tc>
          <w:tcPr>
            <w:tcW w:w="7176" w:type="dxa"/>
          </w:tcPr>
          <w:p>
            <w:pPr>
              <w:pStyle w:val="TableParagraph"/>
              <w:rPr>
                <w:sz w:val="22"/>
              </w:rPr>
            </w:pPr>
          </w:p>
        </w:tc>
        <w:tc>
          <w:tcPr>
            <w:tcW w:w="470" w:type="dxa"/>
          </w:tcPr>
          <w:p>
            <w:pPr>
              <w:pStyle w:val="TableParagraph"/>
              <w:spacing w:line="265" w:lineRule="exact"/>
              <w:ind w:left="107"/>
              <w:rPr>
                <w:rFonts w:ascii="Calibri"/>
                <w:sz w:val="22"/>
              </w:rPr>
            </w:pPr>
            <w:r>
              <w:rPr>
                <w:rFonts w:ascii="Calibri"/>
                <w:spacing w:val="-5"/>
                <w:sz w:val="22"/>
              </w:rPr>
              <w:t>SA</w:t>
            </w:r>
          </w:p>
          <w:p>
            <w:pPr>
              <w:pStyle w:val="TableParagraph"/>
              <w:spacing w:line="252" w:lineRule="exact"/>
              <w:ind w:left="107"/>
              <w:rPr>
                <w:rFonts w:ascii="Calibri"/>
                <w:sz w:val="22"/>
              </w:rPr>
            </w:pPr>
            <w:r>
              <w:rPr>
                <w:rFonts w:ascii="Calibri"/>
                <w:spacing w:val="-10"/>
                <w:sz w:val="22"/>
              </w:rPr>
              <w:t>5</w:t>
            </w:r>
          </w:p>
        </w:tc>
        <w:tc>
          <w:tcPr>
            <w:tcW w:w="448" w:type="dxa"/>
          </w:tcPr>
          <w:p>
            <w:pPr>
              <w:pStyle w:val="TableParagraph"/>
              <w:spacing w:line="265" w:lineRule="exact"/>
              <w:ind w:left="108"/>
              <w:rPr>
                <w:rFonts w:ascii="Calibri"/>
                <w:sz w:val="22"/>
              </w:rPr>
            </w:pPr>
            <w:r>
              <w:rPr>
                <w:rFonts w:ascii="Calibri"/>
                <w:spacing w:val="-10"/>
                <w:sz w:val="22"/>
              </w:rPr>
              <w:t>A</w:t>
            </w:r>
          </w:p>
          <w:p>
            <w:pPr>
              <w:pStyle w:val="TableParagraph"/>
              <w:spacing w:line="252" w:lineRule="exact"/>
              <w:ind w:left="108"/>
              <w:rPr>
                <w:rFonts w:ascii="Calibri"/>
                <w:sz w:val="22"/>
              </w:rPr>
            </w:pPr>
            <w:r>
              <w:rPr>
                <w:rFonts w:ascii="Calibri"/>
                <w:spacing w:val="-10"/>
                <w:sz w:val="22"/>
              </w:rPr>
              <w:t>4</w:t>
            </w:r>
          </w:p>
        </w:tc>
        <w:tc>
          <w:tcPr>
            <w:tcW w:w="479" w:type="dxa"/>
          </w:tcPr>
          <w:p>
            <w:pPr>
              <w:pStyle w:val="TableParagraph"/>
              <w:spacing w:line="265" w:lineRule="exact"/>
              <w:ind w:left="108"/>
              <w:rPr>
                <w:rFonts w:ascii="Calibri"/>
                <w:sz w:val="22"/>
              </w:rPr>
            </w:pPr>
            <w:r>
              <w:rPr>
                <w:rFonts w:ascii="Calibri"/>
                <w:spacing w:val="-5"/>
                <w:sz w:val="22"/>
              </w:rPr>
              <w:t>SD</w:t>
            </w:r>
          </w:p>
          <w:p>
            <w:pPr>
              <w:pStyle w:val="TableParagraph"/>
              <w:spacing w:line="252" w:lineRule="exact"/>
              <w:ind w:left="108"/>
              <w:rPr>
                <w:rFonts w:ascii="Calibri"/>
                <w:sz w:val="22"/>
              </w:rPr>
            </w:pPr>
            <w:r>
              <w:rPr>
                <w:rFonts w:ascii="Calibri"/>
                <w:spacing w:val="-10"/>
                <w:sz w:val="22"/>
              </w:rPr>
              <w:t>3</w:t>
            </w:r>
          </w:p>
        </w:tc>
        <w:tc>
          <w:tcPr>
            <w:tcW w:w="369" w:type="dxa"/>
          </w:tcPr>
          <w:p>
            <w:pPr>
              <w:pStyle w:val="TableParagraph"/>
              <w:spacing w:line="265" w:lineRule="exact"/>
              <w:ind w:left="110"/>
              <w:rPr>
                <w:rFonts w:ascii="Calibri"/>
                <w:sz w:val="22"/>
              </w:rPr>
            </w:pPr>
            <w:r>
              <w:rPr>
                <w:rFonts w:ascii="Calibri"/>
                <w:spacing w:val="-10"/>
                <w:sz w:val="22"/>
              </w:rPr>
              <w:t>D</w:t>
            </w:r>
          </w:p>
          <w:p>
            <w:pPr>
              <w:pStyle w:val="TableParagraph"/>
              <w:spacing w:line="252" w:lineRule="exact"/>
              <w:ind w:left="110"/>
              <w:rPr>
                <w:rFonts w:ascii="Calibri"/>
                <w:sz w:val="22"/>
              </w:rPr>
            </w:pPr>
            <w:r>
              <w:rPr>
                <w:rFonts w:ascii="Calibri"/>
                <w:spacing w:val="-10"/>
                <w:sz w:val="22"/>
              </w:rPr>
              <w:t>2</w:t>
            </w:r>
          </w:p>
        </w:tc>
        <w:tc>
          <w:tcPr>
            <w:tcW w:w="530" w:type="dxa"/>
          </w:tcPr>
          <w:p>
            <w:pPr>
              <w:pStyle w:val="TableParagraph"/>
              <w:spacing w:line="265" w:lineRule="exact"/>
              <w:ind w:left="110"/>
              <w:rPr>
                <w:rFonts w:ascii="Calibri"/>
                <w:sz w:val="22"/>
              </w:rPr>
            </w:pPr>
            <w:r>
              <w:rPr>
                <w:rFonts w:ascii="Calibri"/>
                <w:spacing w:val="-5"/>
                <w:sz w:val="22"/>
              </w:rPr>
              <w:t>DN</w:t>
            </w:r>
          </w:p>
          <w:p>
            <w:pPr>
              <w:pStyle w:val="TableParagraph"/>
              <w:spacing w:line="252" w:lineRule="exact"/>
              <w:ind w:left="110"/>
              <w:rPr>
                <w:rFonts w:ascii="Calibri"/>
                <w:sz w:val="22"/>
              </w:rPr>
            </w:pPr>
            <w:r>
              <w:rPr>
                <w:rFonts w:ascii="Calibri"/>
                <w:spacing w:val="-10"/>
                <w:sz w:val="22"/>
              </w:rPr>
              <w:t>1</w:t>
            </w:r>
          </w:p>
        </w:tc>
      </w:tr>
      <w:tr>
        <w:trPr>
          <w:trHeight w:val="268" w:hRule="atLeast"/>
        </w:trPr>
        <w:tc>
          <w:tcPr>
            <w:tcW w:w="7176" w:type="dxa"/>
          </w:tcPr>
          <w:p>
            <w:pPr>
              <w:pStyle w:val="TableParagraph"/>
              <w:spacing w:line="248" w:lineRule="exact"/>
              <w:ind w:left="107"/>
              <w:rPr>
                <w:rFonts w:ascii="Calibri"/>
                <w:sz w:val="22"/>
              </w:rPr>
            </w:pPr>
            <w:r>
              <w:rPr>
                <w:rFonts w:ascii="Calibri"/>
                <w:sz w:val="22"/>
              </w:rPr>
              <w:t>Is</w:t>
            </w:r>
            <w:r>
              <w:rPr>
                <w:rFonts w:ascii="Calibri"/>
                <w:spacing w:val="-5"/>
                <w:sz w:val="22"/>
              </w:rPr>
              <w:t> </w:t>
            </w:r>
            <w:r>
              <w:rPr>
                <w:rFonts w:ascii="Calibri"/>
                <w:sz w:val="22"/>
              </w:rPr>
              <w:t>a</w:t>
            </w:r>
            <w:r>
              <w:rPr>
                <w:rFonts w:ascii="Calibri"/>
                <w:spacing w:val="-5"/>
                <w:sz w:val="22"/>
              </w:rPr>
              <w:t> </w:t>
            </w:r>
            <w:r>
              <w:rPr>
                <w:rFonts w:ascii="Calibri"/>
                <w:sz w:val="22"/>
              </w:rPr>
              <w:t>management</w:t>
            </w:r>
            <w:r>
              <w:rPr>
                <w:rFonts w:ascii="Calibri"/>
                <w:spacing w:val="-3"/>
                <w:sz w:val="22"/>
              </w:rPr>
              <w:t> </w:t>
            </w:r>
            <w:r>
              <w:rPr>
                <w:rFonts w:ascii="Calibri"/>
                <w:sz w:val="22"/>
              </w:rPr>
              <w:t>philosophy</w:t>
            </w:r>
            <w:r>
              <w:rPr>
                <w:rFonts w:ascii="Calibri"/>
                <w:spacing w:val="-4"/>
                <w:sz w:val="22"/>
              </w:rPr>
              <w:t> </w:t>
            </w:r>
            <w:r>
              <w:rPr>
                <w:rFonts w:ascii="Calibri"/>
                <w:sz w:val="22"/>
              </w:rPr>
              <w:t>to</w:t>
            </w:r>
            <w:r>
              <w:rPr>
                <w:rFonts w:ascii="Calibri"/>
                <w:spacing w:val="-3"/>
                <w:sz w:val="22"/>
              </w:rPr>
              <w:t> </w:t>
            </w:r>
            <w:r>
              <w:rPr>
                <w:rFonts w:ascii="Calibri"/>
                <w:sz w:val="22"/>
              </w:rPr>
              <w:t>achieve</w:t>
            </w:r>
            <w:r>
              <w:rPr>
                <w:rFonts w:ascii="Calibri"/>
                <w:spacing w:val="-7"/>
                <w:sz w:val="22"/>
              </w:rPr>
              <w:t> </w:t>
            </w:r>
            <w:r>
              <w:rPr>
                <w:rFonts w:ascii="Calibri"/>
                <w:sz w:val="22"/>
              </w:rPr>
              <w:t>the</w:t>
            </w:r>
            <w:r>
              <w:rPr>
                <w:rFonts w:ascii="Calibri"/>
                <w:spacing w:val="-6"/>
                <w:sz w:val="22"/>
              </w:rPr>
              <w:t> </w:t>
            </w:r>
            <w:r>
              <w:rPr>
                <w:rFonts w:ascii="Calibri"/>
                <w:sz w:val="22"/>
              </w:rPr>
              <w:t>organizational</w:t>
            </w:r>
            <w:r>
              <w:rPr>
                <w:rFonts w:ascii="Calibri"/>
                <w:spacing w:val="-4"/>
                <w:sz w:val="22"/>
              </w:rPr>
              <w:t> goal</w:t>
            </w:r>
          </w:p>
        </w:tc>
        <w:tc>
          <w:tcPr>
            <w:tcW w:w="470" w:type="dxa"/>
          </w:tcPr>
          <w:p>
            <w:pPr>
              <w:pStyle w:val="TableParagraph"/>
              <w:rPr>
                <w:sz w:val="18"/>
              </w:rPr>
            </w:pPr>
          </w:p>
        </w:tc>
        <w:tc>
          <w:tcPr>
            <w:tcW w:w="448"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530" w:type="dxa"/>
          </w:tcPr>
          <w:p>
            <w:pPr>
              <w:pStyle w:val="TableParagraph"/>
              <w:rPr>
                <w:sz w:val="18"/>
              </w:rPr>
            </w:pPr>
          </w:p>
        </w:tc>
      </w:tr>
      <w:tr>
        <w:trPr>
          <w:trHeight w:val="537" w:hRule="atLeast"/>
        </w:trPr>
        <w:tc>
          <w:tcPr>
            <w:tcW w:w="7176" w:type="dxa"/>
          </w:tcPr>
          <w:p>
            <w:pPr>
              <w:pStyle w:val="TableParagraph"/>
              <w:spacing w:line="265" w:lineRule="exact"/>
              <w:ind w:left="107"/>
              <w:rPr>
                <w:rFonts w:ascii="Calibri"/>
                <w:sz w:val="22"/>
              </w:rPr>
            </w:pPr>
            <w:r>
              <w:rPr>
                <w:rFonts w:ascii="Calibri"/>
                <w:sz w:val="22"/>
              </w:rPr>
              <w:t>It</w:t>
            </w:r>
            <w:r>
              <w:rPr>
                <w:rFonts w:ascii="Calibri"/>
                <w:spacing w:val="-3"/>
                <w:sz w:val="22"/>
              </w:rPr>
              <w:t> </w:t>
            </w:r>
            <w:r>
              <w:rPr>
                <w:rFonts w:ascii="Calibri"/>
                <w:sz w:val="22"/>
              </w:rPr>
              <w:t>is</w:t>
            </w:r>
            <w:r>
              <w:rPr>
                <w:rFonts w:ascii="Calibri"/>
                <w:spacing w:val="-2"/>
                <w:sz w:val="22"/>
              </w:rPr>
              <w:t> </w:t>
            </w:r>
            <w:r>
              <w:rPr>
                <w:rFonts w:ascii="Calibri"/>
                <w:sz w:val="22"/>
              </w:rPr>
              <w:t>an</w:t>
            </w:r>
            <w:r>
              <w:rPr>
                <w:rFonts w:ascii="Calibri"/>
                <w:spacing w:val="-4"/>
                <w:sz w:val="22"/>
              </w:rPr>
              <w:t> </w:t>
            </w:r>
            <w:r>
              <w:rPr>
                <w:rFonts w:ascii="Calibri"/>
                <w:sz w:val="22"/>
              </w:rPr>
              <w:t>effective</w:t>
            </w:r>
            <w:r>
              <w:rPr>
                <w:rFonts w:ascii="Calibri"/>
                <w:spacing w:val="-5"/>
                <w:sz w:val="22"/>
              </w:rPr>
              <w:t> </w:t>
            </w:r>
            <w:r>
              <w:rPr>
                <w:rFonts w:ascii="Calibri"/>
                <w:sz w:val="22"/>
              </w:rPr>
              <w:t>system</w:t>
            </w:r>
            <w:r>
              <w:rPr>
                <w:rFonts w:ascii="Calibri"/>
                <w:spacing w:val="-2"/>
                <w:sz w:val="22"/>
              </w:rPr>
              <w:t> </w:t>
            </w:r>
            <w:r>
              <w:rPr>
                <w:rFonts w:ascii="Calibri"/>
                <w:sz w:val="22"/>
              </w:rPr>
              <w:t>to</w:t>
            </w:r>
            <w:r>
              <w:rPr>
                <w:rFonts w:ascii="Calibri"/>
                <w:spacing w:val="-4"/>
                <w:sz w:val="22"/>
              </w:rPr>
              <w:t> </w:t>
            </w:r>
            <w:r>
              <w:rPr>
                <w:rFonts w:ascii="Calibri"/>
                <w:sz w:val="22"/>
              </w:rPr>
              <w:t>ensure</w:t>
            </w:r>
            <w:r>
              <w:rPr>
                <w:rFonts w:ascii="Calibri"/>
                <w:spacing w:val="-2"/>
                <w:sz w:val="22"/>
              </w:rPr>
              <w:t> </w:t>
            </w:r>
            <w:r>
              <w:rPr>
                <w:rFonts w:ascii="Calibri"/>
                <w:sz w:val="22"/>
              </w:rPr>
              <w:t>production</w:t>
            </w:r>
            <w:r>
              <w:rPr>
                <w:rFonts w:ascii="Calibri"/>
                <w:spacing w:val="-4"/>
                <w:sz w:val="22"/>
              </w:rPr>
              <w:t> </w:t>
            </w:r>
            <w:r>
              <w:rPr>
                <w:rFonts w:ascii="Calibri"/>
                <w:sz w:val="22"/>
              </w:rPr>
              <w:t>and</w:t>
            </w:r>
            <w:r>
              <w:rPr>
                <w:rFonts w:ascii="Calibri"/>
                <w:spacing w:val="-6"/>
                <w:sz w:val="22"/>
              </w:rPr>
              <w:t> </w:t>
            </w:r>
            <w:r>
              <w:rPr>
                <w:rFonts w:ascii="Calibri"/>
                <w:sz w:val="22"/>
              </w:rPr>
              <w:t>service</w:t>
            </w:r>
            <w:r>
              <w:rPr>
                <w:rFonts w:ascii="Calibri"/>
                <w:spacing w:val="-5"/>
                <w:sz w:val="22"/>
              </w:rPr>
              <w:t> </w:t>
            </w:r>
            <w:r>
              <w:rPr>
                <w:rFonts w:ascii="Calibri"/>
                <w:sz w:val="22"/>
              </w:rPr>
              <w:t>at</w:t>
            </w:r>
            <w:r>
              <w:rPr>
                <w:rFonts w:ascii="Calibri"/>
                <w:spacing w:val="-2"/>
                <w:sz w:val="22"/>
              </w:rPr>
              <w:t> </w:t>
            </w:r>
            <w:r>
              <w:rPr>
                <w:rFonts w:ascii="Calibri"/>
                <w:sz w:val="22"/>
              </w:rPr>
              <w:t>the</w:t>
            </w:r>
            <w:r>
              <w:rPr>
                <w:rFonts w:ascii="Calibri"/>
                <w:spacing w:val="-4"/>
                <w:sz w:val="22"/>
              </w:rPr>
              <w:t> most</w:t>
            </w:r>
          </w:p>
          <w:p>
            <w:pPr>
              <w:pStyle w:val="TableParagraph"/>
              <w:spacing w:line="252" w:lineRule="exact"/>
              <w:ind w:left="107"/>
              <w:rPr>
                <w:rFonts w:ascii="Calibri"/>
                <w:sz w:val="22"/>
              </w:rPr>
            </w:pPr>
            <w:r>
              <w:rPr>
                <w:rFonts w:ascii="Calibri"/>
                <w:sz w:val="22"/>
              </w:rPr>
              <w:t>economical</w:t>
            </w:r>
            <w:r>
              <w:rPr>
                <w:rFonts w:ascii="Calibri"/>
                <w:spacing w:val="-5"/>
                <w:sz w:val="22"/>
              </w:rPr>
              <w:t> </w:t>
            </w:r>
            <w:r>
              <w:rPr>
                <w:rFonts w:ascii="Calibri"/>
                <w:sz w:val="22"/>
              </w:rPr>
              <w:t>levels</w:t>
            </w:r>
            <w:r>
              <w:rPr>
                <w:rFonts w:ascii="Calibri"/>
                <w:spacing w:val="-5"/>
                <w:sz w:val="22"/>
              </w:rPr>
              <w:t> </w:t>
            </w:r>
            <w:r>
              <w:rPr>
                <w:rFonts w:ascii="Calibri"/>
                <w:sz w:val="22"/>
              </w:rPr>
              <w:t>that</w:t>
            </w:r>
            <w:r>
              <w:rPr>
                <w:rFonts w:ascii="Calibri"/>
                <w:spacing w:val="-6"/>
                <w:sz w:val="22"/>
              </w:rPr>
              <w:t> </w:t>
            </w:r>
            <w:r>
              <w:rPr>
                <w:rFonts w:ascii="Calibri"/>
                <w:sz w:val="22"/>
              </w:rPr>
              <w:t>allow</w:t>
            </w:r>
            <w:r>
              <w:rPr>
                <w:rFonts w:ascii="Calibri"/>
                <w:spacing w:val="-4"/>
                <w:sz w:val="22"/>
              </w:rPr>
              <w:t> </w:t>
            </w:r>
            <w:r>
              <w:rPr>
                <w:rFonts w:ascii="Calibri"/>
                <w:sz w:val="22"/>
              </w:rPr>
              <w:t>customer</w:t>
            </w:r>
            <w:r>
              <w:rPr>
                <w:rFonts w:ascii="Calibri"/>
                <w:spacing w:val="-5"/>
                <w:sz w:val="22"/>
              </w:rPr>
              <w:t> </w:t>
            </w:r>
            <w:r>
              <w:rPr>
                <w:rFonts w:ascii="Calibri"/>
                <w:spacing w:val="-2"/>
                <w:sz w:val="22"/>
              </w:rPr>
              <w:t>satisfaction</w:t>
            </w:r>
          </w:p>
        </w:tc>
        <w:tc>
          <w:tcPr>
            <w:tcW w:w="470" w:type="dxa"/>
          </w:tcPr>
          <w:p>
            <w:pPr>
              <w:pStyle w:val="TableParagraph"/>
              <w:rPr>
                <w:sz w:val="22"/>
              </w:rPr>
            </w:pPr>
          </w:p>
        </w:tc>
        <w:tc>
          <w:tcPr>
            <w:tcW w:w="448"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530" w:type="dxa"/>
          </w:tcPr>
          <w:p>
            <w:pPr>
              <w:pStyle w:val="TableParagraph"/>
              <w:rPr>
                <w:sz w:val="22"/>
              </w:rPr>
            </w:pPr>
          </w:p>
        </w:tc>
      </w:tr>
      <w:tr>
        <w:trPr>
          <w:trHeight w:val="268" w:hRule="atLeast"/>
        </w:trPr>
        <w:tc>
          <w:tcPr>
            <w:tcW w:w="7176" w:type="dxa"/>
          </w:tcPr>
          <w:p>
            <w:pPr>
              <w:pStyle w:val="TableParagraph"/>
              <w:spacing w:line="248" w:lineRule="exact"/>
              <w:ind w:left="107"/>
              <w:rPr>
                <w:rFonts w:ascii="Calibri"/>
                <w:sz w:val="22"/>
              </w:rPr>
            </w:pPr>
            <w:r>
              <w:rPr>
                <w:rFonts w:ascii="Calibri"/>
                <w:sz w:val="22"/>
              </w:rPr>
              <w:t>It</w:t>
            </w:r>
            <w:r>
              <w:rPr>
                <w:rFonts w:ascii="Calibri"/>
                <w:spacing w:val="-3"/>
                <w:sz w:val="22"/>
              </w:rPr>
              <w:t> </w:t>
            </w:r>
            <w:r>
              <w:rPr>
                <w:rFonts w:ascii="Calibri"/>
                <w:sz w:val="22"/>
              </w:rPr>
              <w:t>is</w:t>
            </w:r>
            <w:r>
              <w:rPr>
                <w:rFonts w:ascii="Calibri"/>
                <w:spacing w:val="-3"/>
                <w:sz w:val="22"/>
              </w:rPr>
              <w:t> </w:t>
            </w:r>
            <w:r>
              <w:rPr>
                <w:rFonts w:ascii="Calibri"/>
                <w:sz w:val="22"/>
              </w:rPr>
              <w:t>an</w:t>
            </w:r>
            <w:r>
              <w:rPr>
                <w:rFonts w:ascii="Calibri"/>
                <w:spacing w:val="-4"/>
                <w:sz w:val="22"/>
              </w:rPr>
              <w:t> </w:t>
            </w:r>
            <w:r>
              <w:rPr>
                <w:rFonts w:ascii="Calibri"/>
                <w:sz w:val="22"/>
              </w:rPr>
              <w:t>approach</w:t>
            </w:r>
            <w:r>
              <w:rPr>
                <w:rFonts w:ascii="Calibri"/>
                <w:spacing w:val="-5"/>
                <w:sz w:val="22"/>
              </w:rPr>
              <w:t> </w:t>
            </w:r>
            <w:r>
              <w:rPr>
                <w:rFonts w:ascii="Calibri"/>
                <w:sz w:val="22"/>
              </w:rPr>
              <w:t>of</w:t>
            </w:r>
            <w:r>
              <w:rPr>
                <w:rFonts w:ascii="Calibri"/>
                <w:spacing w:val="-4"/>
                <w:sz w:val="22"/>
              </w:rPr>
              <w:t> </w:t>
            </w:r>
            <w:r>
              <w:rPr>
                <w:rFonts w:ascii="Calibri"/>
                <w:sz w:val="22"/>
              </w:rPr>
              <w:t>continuous</w:t>
            </w:r>
            <w:r>
              <w:rPr>
                <w:rFonts w:ascii="Calibri"/>
                <w:spacing w:val="-3"/>
                <w:sz w:val="22"/>
              </w:rPr>
              <w:t> </w:t>
            </w:r>
            <w:r>
              <w:rPr>
                <w:rFonts w:ascii="Calibri"/>
                <w:sz w:val="22"/>
              </w:rPr>
              <w:t>improvement</w:t>
            </w:r>
            <w:r>
              <w:rPr>
                <w:rFonts w:ascii="Calibri"/>
                <w:spacing w:val="-4"/>
                <w:sz w:val="22"/>
              </w:rPr>
              <w:t> </w:t>
            </w:r>
            <w:r>
              <w:rPr>
                <w:rFonts w:ascii="Calibri"/>
                <w:sz w:val="22"/>
              </w:rPr>
              <w:t>in</w:t>
            </w:r>
            <w:r>
              <w:rPr>
                <w:rFonts w:ascii="Calibri"/>
                <w:spacing w:val="-4"/>
                <w:sz w:val="22"/>
              </w:rPr>
              <w:t> </w:t>
            </w:r>
            <w:r>
              <w:rPr>
                <w:rFonts w:ascii="Calibri"/>
                <w:sz w:val="22"/>
              </w:rPr>
              <w:t>all</w:t>
            </w:r>
            <w:r>
              <w:rPr>
                <w:rFonts w:ascii="Calibri"/>
                <w:spacing w:val="-3"/>
                <w:sz w:val="22"/>
              </w:rPr>
              <w:t> </w:t>
            </w:r>
            <w:r>
              <w:rPr>
                <w:rFonts w:ascii="Calibri"/>
                <w:spacing w:val="-2"/>
                <w:sz w:val="22"/>
              </w:rPr>
              <w:t>quality</w:t>
            </w:r>
          </w:p>
        </w:tc>
        <w:tc>
          <w:tcPr>
            <w:tcW w:w="470" w:type="dxa"/>
          </w:tcPr>
          <w:p>
            <w:pPr>
              <w:pStyle w:val="TableParagraph"/>
              <w:rPr>
                <w:sz w:val="18"/>
              </w:rPr>
            </w:pPr>
          </w:p>
        </w:tc>
        <w:tc>
          <w:tcPr>
            <w:tcW w:w="448"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530" w:type="dxa"/>
          </w:tcPr>
          <w:p>
            <w:pPr>
              <w:pStyle w:val="TableParagraph"/>
              <w:rPr>
                <w:sz w:val="18"/>
              </w:rPr>
            </w:pPr>
          </w:p>
        </w:tc>
      </w:tr>
      <w:tr>
        <w:trPr>
          <w:trHeight w:val="806" w:hRule="atLeast"/>
        </w:trPr>
        <w:tc>
          <w:tcPr>
            <w:tcW w:w="7176" w:type="dxa"/>
          </w:tcPr>
          <w:p>
            <w:pPr>
              <w:pStyle w:val="TableParagraph"/>
              <w:spacing w:line="265" w:lineRule="exact"/>
              <w:ind w:left="107"/>
              <w:rPr>
                <w:rFonts w:ascii="Calibri"/>
                <w:sz w:val="22"/>
              </w:rPr>
            </w:pPr>
            <w:r>
              <w:rPr>
                <w:rFonts w:ascii="Calibri"/>
                <w:sz w:val="22"/>
              </w:rPr>
              <w:t>It</w:t>
            </w:r>
            <w:r>
              <w:rPr>
                <w:rFonts w:ascii="Calibri"/>
                <w:spacing w:val="-5"/>
                <w:sz w:val="22"/>
              </w:rPr>
              <w:t> </w:t>
            </w:r>
            <w:r>
              <w:rPr>
                <w:rFonts w:ascii="Calibri"/>
                <w:sz w:val="22"/>
              </w:rPr>
              <w:t>is</w:t>
            </w:r>
            <w:r>
              <w:rPr>
                <w:rFonts w:ascii="Calibri"/>
                <w:spacing w:val="-3"/>
                <w:sz w:val="22"/>
              </w:rPr>
              <w:t> </w:t>
            </w:r>
            <w:r>
              <w:rPr>
                <w:rFonts w:ascii="Calibri"/>
                <w:sz w:val="22"/>
              </w:rPr>
              <w:t>a</w:t>
            </w:r>
            <w:r>
              <w:rPr>
                <w:rFonts w:ascii="Calibri"/>
                <w:spacing w:val="-3"/>
                <w:sz w:val="22"/>
              </w:rPr>
              <w:t> </w:t>
            </w:r>
            <w:r>
              <w:rPr>
                <w:rFonts w:ascii="Calibri"/>
                <w:sz w:val="22"/>
              </w:rPr>
              <w:t>quest</w:t>
            </w:r>
            <w:r>
              <w:rPr>
                <w:rFonts w:ascii="Calibri"/>
                <w:spacing w:val="-2"/>
                <w:sz w:val="22"/>
              </w:rPr>
              <w:t> </w:t>
            </w:r>
            <w:r>
              <w:rPr>
                <w:rFonts w:ascii="Calibri"/>
                <w:sz w:val="22"/>
              </w:rPr>
              <w:t>for</w:t>
            </w:r>
            <w:r>
              <w:rPr>
                <w:rFonts w:ascii="Calibri"/>
                <w:spacing w:val="-4"/>
                <w:sz w:val="22"/>
              </w:rPr>
              <w:t> </w:t>
            </w:r>
            <w:r>
              <w:rPr>
                <w:rFonts w:ascii="Calibri"/>
                <w:sz w:val="22"/>
              </w:rPr>
              <w:t>excellence,</w:t>
            </w:r>
            <w:r>
              <w:rPr>
                <w:rFonts w:ascii="Calibri"/>
                <w:spacing w:val="-5"/>
                <w:sz w:val="22"/>
              </w:rPr>
              <w:t> </w:t>
            </w:r>
            <w:r>
              <w:rPr>
                <w:rFonts w:ascii="Calibri"/>
                <w:sz w:val="22"/>
              </w:rPr>
              <w:t>creating</w:t>
            </w:r>
            <w:r>
              <w:rPr>
                <w:rFonts w:ascii="Calibri"/>
                <w:spacing w:val="-4"/>
                <w:sz w:val="22"/>
              </w:rPr>
              <w:t> </w:t>
            </w:r>
            <w:r>
              <w:rPr>
                <w:rFonts w:ascii="Calibri"/>
                <w:sz w:val="22"/>
              </w:rPr>
              <w:t>the</w:t>
            </w:r>
            <w:r>
              <w:rPr>
                <w:rFonts w:ascii="Calibri"/>
                <w:spacing w:val="-5"/>
                <w:sz w:val="22"/>
              </w:rPr>
              <w:t> </w:t>
            </w:r>
            <w:r>
              <w:rPr>
                <w:rFonts w:ascii="Calibri"/>
                <w:sz w:val="22"/>
              </w:rPr>
              <w:t>right</w:t>
            </w:r>
            <w:r>
              <w:rPr>
                <w:rFonts w:ascii="Calibri"/>
                <w:spacing w:val="-2"/>
                <w:sz w:val="22"/>
              </w:rPr>
              <w:t> </w:t>
            </w:r>
            <w:r>
              <w:rPr>
                <w:rFonts w:ascii="Calibri"/>
                <w:sz w:val="22"/>
              </w:rPr>
              <w:t>attitudes</w:t>
            </w:r>
            <w:r>
              <w:rPr>
                <w:rFonts w:ascii="Calibri"/>
                <w:spacing w:val="-5"/>
                <w:sz w:val="22"/>
              </w:rPr>
              <w:t> </w:t>
            </w:r>
            <w:r>
              <w:rPr>
                <w:rFonts w:ascii="Calibri"/>
                <w:sz w:val="22"/>
              </w:rPr>
              <w:t>and</w:t>
            </w:r>
            <w:r>
              <w:rPr>
                <w:rFonts w:ascii="Calibri"/>
                <w:spacing w:val="-4"/>
                <w:sz w:val="22"/>
              </w:rPr>
              <w:t> </w:t>
            </w:r>
            <w:r>
              <w:rPr>
                <w:rFonts w:ascii="Calibri"/>
                <w:sz w:val="22"/>
              </w:rPr>
              <w:t>quality</w:t>
            </w:r>
            <w:r>
              <w:rPr>
                <w:rFonts w:ascii="Calibri"/>
                <w:spacing w:val="-2"/>
                <w:sz w:val="22"/>
              </w:rPr>
              <w:t> control</w:t>
            </w:r>
          </w:p>
          <w:p>
            <w:pPr>
              <w:pStyle w:val="TableParagraph"/>
              <w:spacing w:line="270" w:lineRule="atLeast"/>
              <w:ind w:left="107"/>
              <w:rPr>
                <w:rFonts w:ascii="Calibri"/>
                <w:sz w:val="22"/>
              </w:rPr>
            </w:pPr>
            <w:r>
              <w:rPr>
                <w:rFonts w:ascii="Calibri"/>
                <w:sz w:val="22"/>
              </w:rPr>
              <w:t>management</w:t>
            </w:r>
            <w:r>
              <w:rPr>
                <w:rFonts w:ascii="Calibri"/>
                <w:spacing w:val="-7"/>
                <w:sz w:val="22"/>
              </w:rPr>
              <w:t> </w:t>
            </w:r>
            <w:r>
              <w:rPr>
                <w:rFonts w:ascii="Calibri"/>
                <w:sz w:val="22"/>
              </w:rPr>
              <w:t>philosophy</w:t>
            </w:r>
            <w:r>
              <w:rPr>
                <w:rFonts w:ascii="Calibri"/>
                <w:spacing w:val="-4"/>
                <w:sz w:val="22"/>
              </w:rPr>
              <w:t> </w:t>
            </w:r>
            <w:r>
              <w:rPr>
                <w:rFonts w:ascii="Calibri"/>
                <w:sz w:val="22"/>
              </w:rPr>
              <w:t>that</w:t>
            </w:r>
            <w:r>
              <w:rPr>
                <w:rFonts w:ascii="Calibri"/>
                <w:spacing w:val="-4"/>
                <w:sz w:val="22"/>
              </w:rPr>
              <w:t> </w:t>
            </w:r>
            <w:r>
              <w:rPr>
                <w:rFonts w:ascii="Calibri"/>
                <w:sz w:val="22"/>
              </w:rPr>
              <w:t>promotes</w:t>
            </w:r>
            <w:r>
              <w:rPr>
                <w:rFonts w:ascii="Calibri"/>
                <w:spacing w:val="-7"/>
                <w:sz w:val="22"/>
              </w:rPr>
              <w:t> </w:t>
            </w:r>
            <w:r>
              <w:rPr>
                <w:rFonts w:ascii="Calibri"/>
                <w:sz w:val="22"/>
              </w:rPr>
              <w:t>cost</w:t>
            </w:r>
            <w:r>
              <w:rPr>
                <w:rFonts w:ascii="Calibri"/>
                <w:spacing w:val="-7"/>
                <w:sz w:val="22"/>
              </w:rPr>
              <w:t> </w:t>
            </w:r>
            <w:r>
              <w:rPr>
                <w:rFonts w:ascii="Calibri"/>
                <w:sz w:val="22"/>
              </w:rPr>
              <w:t>effectiveness</w:t>
            </w:r>
            <w:r>
              <w:rPr>
                <w:rFonts w:ascii="Calibri"/>
                <w:spacing w:val="-5"/>
                <w:sz w:val="22"/>
              </w:rPr>
              <w:t> </w:t>
            </w:r>
            <w:r>
              <w:rPr>
                <w:rFonts w:ascii="Calibri"/>
                <w:sz w:val="22"/>
              </w:rPr>
              <w:t>and</w:t>
            </w:r>
            <w:r>
              <w:rPr>
                <w:rFonts w:ascii="Calibri"/>
                <w:spacing w:val="-6"/>
                <w:sz w:val="22"/>
              </w:rPr>
              <w:t> </w:t>
            </w:r>
            <w:r>
              <w:rPr>
                <w:rFonts w:ascii="Calibri"/>
                <w:sz w:val="22"/>
              </w:rPr>
              <w:t>sustainable project quality to client satisfaction</w:t>
            </w:r>
          </w:p>
        </w:tc>
        <w:tc>
          <w:tcPr>
            <w:tcW w:w="470" w:type="dxa"/>
          </w:tcPr>
          <w:p>
            <w:pPr>
              <w:pStyle w:val="TableParagraph"/>
              <w:rPr>
                <w:sz w:val="22"/>
              </w:rPr>
            </w:pPr>
          </w:p>
        </w:tc>
        <w:tc>
          <w:tcPr>
            <w:tcW w:w="448"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530" w:type="dxa"/>
          </w:tcPr>
          <w:p>
            <w:pPr>
              <w:pStyle w:val="TableParagraph"/>
              <w:rPr>
                <w:sz w:val="22"/>
              </w:rPr>
            </w:pPr>
          </w:p>
        </w:tc>
      </w:tr>
      <w:tr>
        <w:trPr>
          <w:trHeight w:val="856" w:hRule="atLeast"/>
        </w:trPr>
        <w:tc>
          <w:tcPr>
            <w:tcW w:w="7176" w:type="dxa"/>
          </w:tcPr>
          <w:p>
            <w:pPr>
              <w:pStyle w:val="TableParagraph"/>
              <w:ind w:left="107"/>
              <w:rPr>
                <w:rFonts w:ascii="Calibri"/>
                <w:sz w:val="22"/>
              </w:rPr>
            </w:pPr>
            <w:r>
              <w:rPr>
                <w:rFonts w:ascii="Calibri"/>
                <w:sz w:val="22"/>
              </w:rPr>
              <w:t>Is</w:t>
            </w:r>
            <w:r>
              <w:rPr>
                <w:rFonts w:ascii="Calibri"/>
                <w:spacing w:val="-3"/>
                <w:sz w:val="22"/>
              </w:rPr>
              <w:t> </w:t>
            </w:r>
            <w:r>
              <w:rPr>
                <w:rFonts w:ascii="Calibri"/>
                <w:sz w:val="22"/>
              </w:rPr>
              <w:t>a</w:t>
            </w:r>
            <w:r>
              <w:rPr>
                <w:rFonts w:ascii="Calibri"/>
                <w:spacing w:val="-3"/>
                <w:sz w:val="22"/>
              </w:rPr>
              <w:t> </w:t>
            </w:r>
            <w:r>
              <w:rPr>
                <w:rFonts w:ascii="Calibri"/>
                <w:sz w:val="22"/>
              </w:rPr>
              <w:t>management</w:t>
            </w:r>
            <w:r>
              <w:rPr>
                <w:rFonts w:ascii="Calibri"/>
                <w:spacing w:val="-2"/>
                <w:sz w:val="22"/>
              </w:rPr>
              <w:t> </w:t>
            </w:r>
            <w:r>
              <w:rPr>
                <w:rFonts w:ascii="Calibri"/>
                <w:sz w:val="22"/>
              </w:rPr>
              <w:t>practice</w:t>
            </w:r>
            <w:r>
              <w:rPr>
                <w:rFonts w:ascii="Calibri"/>
                <w:spacing w:val="-5"/>
                <w:sz w:val="22"/>
              </w:rPr>
              <w:t> </w:t>
            </w:r>
            <w:r>
              <w:rPr>
                <w:rFonts w:ascii="Calibri"/>
                <w:sz w:val="22"/>
              </w:rPr>
              <w:t>through</w:t>
            </w:r>
            <w:r>
              <w:rPr>
                <w:rFonts w:ascii="Calibri"/>
                <w:spacing w:val="-4"/>
                <w:sz w:val="22"/>
              </w:rPr>
              <w:t> </w:t>
            </w:r>
            <w:r>
              <w:rPr>
                <w:rFonts w:ascii="Calibri"/>
                <w:sz w:val="22"/>
              </w:rPr>
              <w:t>the</w:t>
            </w:r>
            <w:r>
              <w:rPr>
                <w:rFonts w:ascii="Calibri"/>
                <w:spacing w:val="-5"/>
                <w:sz w:val="22"/>
              </w:rPr>
              <w:t> </w:t>
            </w:r>
            <w:r>
              <w:rPr>
                <w:rFonts w:ascii="Calibri"/>
                <w:sz w:val="22"/>
              </w:rPr>
              <w:t>organization</w:t>
            </w:r>
            <w:r>
              <w:rPr>
                <w:rFonts w:ascii="Calibri"/>
                <w:spacing w:val="-4"/>
                <w:sz w:val="22"/>
              </w:rPr>
              <w:t> </w:t>
            </w:r>
            <w:r>
              <w:rPr>
                <w:rFonts w:ascii="Calibri"/>
                <w:sz w:val="22"/>
              </w:rPr>
              <w:t>geared</w:t>
            </w:r>
            <w:r>
              <w:rPr>
                <w:rFonts w:ascii="Calibri"/>
                <w:spacing w:val="-4"/>
                <w:sz w:val="22"/>
              </w:rPr>
              <w:t> </w:t>
            </w:r>
            <w:r>
              <w:rPr>
                <w:rFonts w:ascii="Calibri"/>
                <w:sz w:val="22"/>
              </w:rPr>
              <w:t>to</w:t>
            </w:r>
            <w:r>
              <w:rPr>
                <w:rFonts w:ascii="Calibri"/>
                <w:spacing w:val="-2"/>
                <w:sz w:val="22"/>
              </w:rPr>
              <w:t> </w:t>
            </w:r>
            <w:r>
              <w:rPr>
                <w:rFonts w:ascii="Calibri"/>
                <w:sz w:val="22"/>
              </w:rPr>
              <w:t>ensure</w:t>
            </w:r>
            <w:r>
              <w:rPr>
                <w:rFonts w:ascii="Calibri"/>
                <w:spacing w:val="-5"/>
                <w:sz w:val="22"/>
              </w:rPr>
              <w:t> </w:t>
            </w:r>
            <w:r>
              <w:rPr>
                <w:rFonts w:ascii="Calibri"/>
                <w:sz w:val="22"/>
              </w:rPr>
              <w:t>the organization consistently meets or exceeds customer requirements</w:t>
            </w:r>
          </w:p>
        </w:tc>
        <w:tc>
          <w:tcPr>
            <w:tcW w:w="470" w:type="dxa"/>
          </w:tcPr>
          <w:p>
            <w:pPr>
              <w:pStyle w:val="TableParagraph"/>
              <w:rPr>
                <w:sz w:val="22"/>
              </w:rPr>
            </w:pPr>
          </w:p>
        </w:tc>
        <w:tc>
          <w:tcPr>
            <w:tcW w:w="448"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530" w:type="dxa"/>
          </w:tcPr>
          <w:p>
            <w:pPr>
              <w:pStyle w:val="TableParagraph"/>
              <w:rPr>
                <w:sz w:val="22"/>
              </w:rPr>
            </w:pPr>
          </w:p>
        </w:tc>
      </w:tr>
      <w:tr>
        <w:trPr>
          <w:trHeight w:val="484" w:hRule="atLeast"/>
        </w:trPr>
        <w:tc>
          <w:tcPr>
            <w:tcW w:w="9472" w:type="dxa"/>
            <w:gridSpan w:val="6"/>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5"/>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5"/>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SD</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strongly</w:t>
            </w:r>
            <w:r>
              <w:rPr>
                <w:rFonts w:ascii="Calibri" w:hAnsi="Calibri"/>
                <w:spacing w:val="-5"/>
                <w:sz w:val="20"/>
              </w:rPr>
              <w:t> </w:t>
            </w:r>
            <w:r>
              <w:rPr>
                <w:rFonts w:ascii="Calibri" w:hAnsi="Calibri"/>
                <w:sz w:val="20"/>
              </w:rPr>
              <w:t>disagree;</w:t>
            </w:r>
            <w:r>
              <w:rPr>
                <w:rFonts w:ascii="Calibri" w:hAnsi="Calibri"/>
                <w:spacing w:val="-6"/>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6"/>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don’t</w:t>
            </w:r>
            <w:r>
              <w:rPr>
                <w:rFonts w:ascii="Calibri" w:hAnsi="Calibri"/>
                <w:spacing w:val="-5"/>
                <w:sz w:val="20"/>
              </w:rPr>
              <w:t> </w:t>
            </w:r>
            <w:r>
              <w:rPr>
                <w:rFonts w:ascii="Calibri" w:hAnsi="Calibri"/>
                <w:spacing w:val="-4"/>
                <w:sz w:val="20"/>
              </w:rPr>
              <w:t>know</w:t>
            </w:r>
          </w:p>
        </w:tc>
      </w:tr>
    </w:tbl>
    <w:p>
      <w:pPr>
        <w:pStyle w:val="BodyText"/>
        <w:rPr>
          <w:rFonts w:ascii="Calibri"/>
        </w:rPr>
      </w:pPr>
    </w:p>
    <w:p>
      <w:pPr>
        <w:pStyle w:val="BodyText"/>
        <w:spacing w:before="3"/>
        <w:rPr>
          <w:rFonts w:ascii="Calibri"/>
        </w:rPr>
      </w:pPr>
    </w:p>
    <w:p>
      <w:pPr>
        <w:pStyle w:val="ListParagraph"/>
        <w:numPr>
          <w:ilvl w:val="0"/>
          <w:numId w:val="61"/>
        </w:numPr>
        <w:tabs>
          <w:tab w:pos="2785" w:val="left" w:leader="none"/>
        </w:tabs>
        <w:spacing w:line="240" w:lineRule="auto" w:before="0" w:after="27"/>
        <w:ind w:left="2785" w:right="0" w:hanging="2025"/>
        <w:jc w:val="left"/>
        <w:rPr>
          <w:rFonts w:ascii="Calibri"/>
          <w:sz w:val="24"/>
        </w:rPr>
      </w:pPr>
      <w:r>
        <w:rPr>
          <w:rFonts w:ascii="Calibri"/>
          <w:sz w:val="24"/>
        </w:rPr>
        <w:t>To</w:t>
      </w:r>
      <w:r>
        <w:rPr>
          <w:rFonts w:ascii="Calibri"/>
          <w:spacing w:val="-3"/>
          <w:sz w:val="24"/>
        </w:rPr>
        <w:t> </w:t>
      </w:r>
      <w:r>
        <w:rPr>
          <w:rFonts w:ascii="Calibri"/>
          <w:sz w:val="24"/>
        </w:rPr>
        <w:t>what</w:t>
      </w:r>
      <w:r>
        <w:rPr>
          <w:rFonts w:ascii="Calibri"/>
          <w:spacing w:val="-2"/>
          <w:sz w:val="24"/>
        </w:rPr>
        <w:t> </w:t>
      </w:r>
      <w:r>
        <w:rPr>
          <w:rFonts w:ascii="Calibri"/>
          <w:sz w:val="24"/>
        </w:rPr>
        <w:t>extent</w:t>
      </w:r>
      <w:r>
        <w:rPr>
          <w:rFonts w:ascii="Calibri"/>
          <w:spacing w:val="-2"/>
          <w:sz w:val="24"/>
        </w:rPr>
        <w:t> </w:t>
      </w:r>
      <w:r>
        <w:rPr>
          <w:rFonts w:ascii="Calibri"/>
          <w:sz w:val="24"/>
        </w:rPr>
        <w:t>do you</w:t>
      </w:r>
      <w:r>
        <w:rPr>
          <w:rFonts w:ascii="Calibri"/>
          <w:spacing w:val="-2"/>
          <w:sz w:val="24"/>
        </w:rPr>
        <w:t> </w:t>
      </w:r>
      <w:r>
        <w:rPr>
          <w:rFonts w:ascii="Calibri"/>
          <w:sz w:val="24"/>
        </w:rPr>
        <w:t>rate</w:t>
      </w:r>
      <w:r>
        <w:rPr>
          <w:rFonts w:ascii="Calibri"/>
          <w:spacing w:val="-2"/>
          <w:sz w:val="24"/>
        </w:rPr>
        <w:t> </w:t>
      </w:r>
      <w:r>
        <w:rPr>
          <w:rFonts w:ascii="Calibri"/>
          <w:sz w:val="24"/>
        </w:rPr>
        <w:t>the</w:t>
      </w:r>
      <w:r>
        <w:rPr>
          <w:rFonts w:ascii="Calibri"/>
          <w:spacing w:val="-2"/>
          <w:sz w:val="24"/>
        </w:rPr>
        <w:t> </w:t>
      </w:r>
      <w:r>
        <w:rPr>
          <w:rFonts w:ascii="Calibri"/>
          <w:sz w:val="24"/>
        </w:rPr>
        <w:t>following</w:t>
      </w:r>
      <w:r>
        <w:rPr>
          <w:rFonts w:ascii="Calibri"/>
          <w:spacing w:val="-3"/>
          <w:sz w:val="24"/>
        </w:rPr>
        <w:t> </w:t>
      </w:r>
      <w:r>
        <w:rPr>
          <w:rFonts w:ascii="Calibri"/>
          <w:sz w:val="24"/>
        </w:rPr>
        <w:t>features</w:t>
      </w:r>
      <w:r>
        <w:rPr>
          <w:rFonts w:ascii="Calibri"/>
          <w:spacing w:val="-6"/>
          <w:sz w:val="24"/>
        </w:rPr>
        <w:t> </w:t>
      </w:r>
      <w:r>
        <w:rPr>
          <w:rFonts w:ascii="Calibri"/>
          <w:sz w:val="24"/>
        </w:rPr>
        <w:t>of</w:t>
      </w:r>
      <w:r>
        <w:rPr>
          <w:rFonts w:ascii="Calibri"/>
          <w:spacing w:val="1"/>
          <w:sz w:val="24"/>
        </w:rPr>
        <w:t> </w:t>
      </w:r>
      <w:r>
        <w:rPr>
          <w:rFonts w:ascii="Calibri"/>
          <w:sz w:val="24"/>
        </w:rPr>
        <w:t>TQM</w:t>
      </w:r>
      <w:r>
        <w:rPr>
          <w:rFonts w:ascii="Calibri"/>
          <w:spacing w:val="1"/>
          <w:sz w:val="24"/>
        </w:rPr>
        <w:t> </w:t>
      </w:r>
      <w:r>
        <w:rPr>
          <w:rFonts w:ascii="Calibri"/>
          <w:spacing w:val="-2"/>
          <w:sz w:val="24"/>
        </w:rPr>
        <w:t>Concept?</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6"/>
        <w:gridCol w:w="540"/>
        <w:gridCol w:w="446"/>
        <w:gridCol w:w="475"/>
        <w:gridCol w:w="365"/>
        <w:gridCol w:w="519"/>
      </w:tblGrid>
      <w:tr>
        <w:trPr>
          <w:trHeight w:val="537" w:hRule="atLeast"/>
        </w:trPr>
        <w:tc>
          <w:tcPr>
            <w:tcW w:w="7006" w:type="dxa"/>
          </w:tcPr>
          <w:p>
            <w:pPr>
              <w:pStyle w:val="TableParagraph"/>
              <w:rPr>
                <w:sz w:val="22"/>
              </w:rPr>
            </w:pPr>
          </w:p>
        </w:tc>
        <w:tc>
          <w:tcPr>
            <w:tcW w:w="540" w:type="dxa"/>
          </w:tcPr>
          <w:p>
            <w:pPr>
              <w:pStyle w:val="TableParagraph"/>
              <w:spacing w:line="265" w:lineRule="exact"/>
              <w:ind w:left="107"/>
              <w:rPr>
                <w:rFonts w:ascii="Calibri"/>
                <w:sz w:val="22"/>
              </w:rPr>
            </w:pPr>
            <w:r>
              <w:rPr>
                <w:rFonts w:ascii="Calibri"/>
                <w:spacing w:val="-5"/>
                <w:sz w:val="22"/>
              </w:rPr>
              <w:t>SA</w:t>
            </w:r>
          </w:p>
          <w:p>
            <w:pPr>
              <w:pStyle w:val="TableParagraph"/>
              <w:spacing w:line="252" w:lineRule="exact"/>
              <w:ind w:left="107"/>
              <w:rPr>
                <w:rFonts w:ascii="Calibri"/>
                <w:sz w:val="22"/>
              </w:rPr>
            </w:pPr>
            <w:r>
              <w:rPr>
                <w:rFonts w:ascii="Calibri"/>
                <w:spacing w:val="-10"/>
                <w:sz w:val="22"/>
              </w:rPr>
              <w:t>5</w:t>
            </w:r>
          </w:p>
        </w:tc>
        <w:tc>
          <w:tcPr>
            <w:tcW w:w="446" w:type="dxa"/>
          </w:tcPr>
          <w:p>
            <w:pPr>
              <w:pStyle w:val="TableParagraph"/>
              <w:spacing w:line="265" w:lineRule="exact"/>
              <w:ind w:left="107"/>
              <w:rPr>
                <w:rFonts w:ascii="Calibri"/>
                <w:sz w:val="22"/>
              </w:rPr>
            </w:pPr>
            <w:r>
              <w:rPr>
                <w:rFonts w:ascii="Calibri"/>
                <w:spacing w:val="-10"/>
                <w:sz w:val="22"/>
              </w:rPr>
              <w:t>A</w:t>
            </w:r>
          </w:p>
          <w:p>
            <w:pPr>
              <w:pStyle w:val="TableParagraph"/>
              <w:spacing w:line="252" w:lineRule="exact"/>
              <w:ind w:left="107"/>
              <w:rPr>
                <w:rFonts w:ascii="Calibri"/>
                <w:sz w:val="22"/>
              </w:rPr>
            </w:pPr>
            <w:r>
              <w:rPr>
                <w:rFonts w:ascii="Calibri"/>
                <w:spacing w:val="-10"/>
                <w:sz w:val="22"/>
              </w:rPr>
              <w:t>4</w:t>
            </w:r>
          </w:p>
        </w:tc>
        <w:tc>
          <w:tcPr>
            <w:tcW w:w="475" w:type="dxa"/>
          </w:tcPr>
          <w:p>
            <w:pPr>
              <w:pStyle w:val="TableParagraph"/>
              <w:spacing w:line="265" w:lineRule="exact"/>
              <w:ind w:left="107"/>
              <w:rPr>
                <w:rFonts w:ascii="Calibri"/>
                <w:sz w:val="22"/>
              </w:rPr>
            </w:pPr>
            <w:r>
              <w:rPr>
                <w:rFonts w:ascii="Calibri"/>
                <w:spacing w:val="-5"/>
                <w:sz w:val="22"/>
              </w:rPr>
              <w:t>SD</w:t>
            </w:r>
          </w:p>
          <w:p>
            <w:pPr>
              <w:pStyle w:val="TableParagraph"/>
              <w:spacing w:line="252" w:lineRule="exact"/>
              <w:ind w:left="107"/>
              <w:rPr>
                <w:rFonts w:ascii="Calibri"/>
                <w:sz w:val="22"/>
              </w:rPr>
            </w:pPr>
            <w:r>
              <w:rPr>
                <w:rFonts w:ascii="Calibri"/>
                <w:spacing w:val="-10"/>
                <w:sz w:val="22"/>
              </w:rPr>
              <w:t>3</w:t>
            </w:r>
          </w:p>
        </w:tc>
        <w:tc>
          <w:tcPr>
            <w:tcW w:w="365" w:type="dxa"/>
          </w:tcPr>
          <w:p>
            <w:pPr>
              <w:pStyle w:val="TableParagraph"/>
              <w:spacing w:line="265" w:lineRule="exact"/>
              <w:ind w:left="108"/>
              <w:rPr>
                <w:rFonts w:ascii="Calibri"/>
                <w:sz w:val="22"/>
              </w:rPr>
            </w:pPr>
            <w:r>
              <w:rPr>
                <w:rFonts w:ascii="Calibri"/>
                <w:spacing w:val="-10"/>
                <w:sz w:val="22"/>
              </w:rPr>
              <w:t>D</w:t>
            </w:r>
          </w:p>
          <w:p>
            <w:pPr>
              <w:pStyle w:val="TableParagraph"/>
              <w:spacing w:line="252" w:lineRule="exact"/>
              <w:ind w:left="108"/>
              <w:rPr>
                <w:rFonts w:ascii="Calibri"/>
                <w:sz w:val="22"/>
              </w:rPr>
            </w:pPr>
            <w:r>
              <w:rPr>
                <w:rFonts w:ascii="Calibri"/>
                <w:spacing w:val="-10"/>
                <w:sz w:val="22"/>
              </w:rPr>
              <w:t>2</w:t>
            </w:r>
          </w:p>
        </w:tc>
        <w:tc>
          <w:tcPr>
            <w:tcW w:w="519" w:type="dxa"/>
          </w:tcPr>
          <w:p>
            <w:pPr>
              <w:pStyle w:val="TableParagraph"/>
              <w:spacing w:line="265" w:lineRule="exact"/>
              <w:ind w:left="105"/>
              <w:rPr>
                <w:rFonts w:ascii="Calibri"/>
                <w:sz w:val="22"/>
              </w:rPr>
            </w:pPr>
            <w:r>
              <w:rPr>
                <w:rFonts w:ascii="Calibri"/>
                <w:spacing w:val="-5"/>
                <w:sz w:val="22"/>
              </w:rPr>
              <w:t>DN</w:t>
            </w:r>
          </w:p>
          <w:p>
            <w:pPr>
              <w:pStyle w:val="TableParagraph"/>
              <w:spacing w:line="252" w:lineRule="exact"/>
              <w:ind w:left="105"/>
              <w:rPr>
                <w:rFonts w:ascii="Calibri"/>
                <w:sz w:val="22"/>
              </w:rPr>
            </w:pPr>
            <w:r>
              <w:rPr>
                <w:rFonts w:ascii="Calibri"/>
                <w:spacing w:val="-10"/>
                <w:sz w:val="22"/>
              </w:rPr>
              <w:t>1</w:t>
            </w:r>
          </w:p>
        </w:tc>
      </w:tr>
      <w:tr>
        <w:trPr>
          <w:trHeight w:val="268" w:hRule="atLeast"/>
        </w:trPr>
        <w:tc>
          <w:tcPr>
            <w:tcW w:w="7006" w:type="dxa"/>
          </w:tcPr>
          <w:p>
            <w:pPr>
              <w:pStyle w:val="TableParagraph"/>
              <w:spacing w:line="248" w:lineRule="exact"/>
              <w:ind w:left="107"/>
              <w:rPr>
                <w:rFonts w:ascii="Calibri"/>
                <w:sz w:val="22"/>
              </w:rPr>
            </w:pPr>
            <w:r>
              <w:rPr>
                <w:rFonts w:ascii="Calibri"/>
                <w:sz w:val="22"/>
              </w:rPr>
              <w:t>It</w:t>
            </w:r>
            <w:r>
              <w:rPr>
                <w:rFonts w:ascii="Calibri"/>
                <w:spacing w:val="-2"/>
                <w:sz w:val="22"/>
              </w:rPr>
              <w:t> </w:t>
            </w:r>
            <w:r>
              <w:rPr>
                <w:rFonts w:ascii="Calibri"/>
                <w:sz w:val="22"/>
              </w:rPr>
              <w:t>enhances</w:t>
            </w:r>
            <w:r>
              <w:rPr>
                <w:rFonts w:ascii="Calibri"/>
                <w:spacing w:val="-4"/>
                <w:sz w:val="22"/>
              </w:rPr>
              <w:t> </w:t>
            </w:r>
            <w:r>
              <w:rPr>
                <w:rFonts w:ascii="Calibri"/>
                <w:spacing w:val="-2"/>
                <w:sz w:val="22"/>
              </w:rPr>
              <w:t>flexibility</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268" w:hRule="atLeast"/>
        </w:trPr>
        <w:tc>
          <w:tcPr>
            <w:tcW w:w="7006" w:type="dxa"/>
          </w:tcPr>
          <w:p>
            <w:pPr>
              <w:pStyle w:val="TableParagraph"/>
              <w:spacing w:line="248" w:lineRule="exact"/>
              <w:ind w:left="107"/>
              <w:rPr>
                <w:rFonts w:ascii="Calibri"/>
                <w:sz w:val="22"/>
              </w:rPr>
            </w:pPr>
            <w:r>
              <w:rPr>
                <w:rFonts w:ascii="Calibri"/>
                <w:sz w:val="22"/>
              </w:rPr>
              <w:t>It</w:t>
            </w:r>
            <w:r>
              <w:rPr>
                <w:rFonts w:ascii="Calibri"/>
                <w:spacing w:val="-3"/>
                <w:sz w:val="22"/>
              </w:rPr>
              <w:t> </w:t>
            </w:r>
            <w:r>
              <w:rPr>
                <w:rFonts w:ascii="Calibri"/>
                <w:sz w:val="22"/>
              </w:rPr>
              <w:t>promotes</w:t>
            </w:r>
            <w:r>
              <w:rPr>
                <w:rFonts w:ascii="Calibri"/>
                <w:spacing w:val="-4"/>
                <w:sz w:val="22"/>
              </w:rPr>
              <w:t> </w:t>
            </w:r>
            <w:r>
              <w:rPr>
                <w:rFonts w:ascii="Calibri"/>
                <w:spacing w:val="-2"/>
                <w:sz w:val="22"/>
              </w:rPr>
              <w:t>effectiveness</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268" w:hRule="atLeast"/>
        </w:trPr>
        <w:tc>
          <w:tcPr>
            <w:tcW w:w="7006" w:type="dxa"/>
          </w:tcPr>
          <w:p>
            <w:pPr>
              <w:pStyle w:val="TableParagraph"/>
              <w:spacing w:line="248" w:lineRule="exact"/>
              <w:ind w:left="107"/>
              <w:rPr>
                <w:rFonts w:ascii="Calibri"/>
                <w:sz w:val="22"/>
              </w:rPr>
            </w:pPr>
            <w:r>
              <w:rPr>
                <w:rFonts w:ascii="Calibri"/>
                <w:sz w:val="22"/>
              </w:rPr>
              <w:t>Ensures</w:t>
            </w:r>
            <w:r>
              <w:rPr>
                <w:rFonts w:ascii="Calibri"/>
                <w:spacing w:val="-5"/>
                <w:sz w:val="22"/>
              </w:rPr>
              <w:t> </w:t>
            </w:r>
            <w:r>
              <w:rPr>
                <w:rFonts w:ascii="Calibri"/>
                <w:sz w:val="22"/>
              </w:rPr>
              <w:t>continuous</w:t>
            </w:r>
            <w:r>
              <w:rPr>
                <w:rFonts w:ascii="Calibri"/>
                <w:spacing w:val="-4"/>
                <w:sz w:val="22"/>
              </w:rPr>
              <w:t> </w:t>
            </w:r>
            <w:r>
              <w:rPr>
                <w:rFonts w:ascii="Calibri"/>
                <w:spacing w:val="-2"/>
                <w:sz w:val="22"/>
              </w:rPr>
              <w:t>improvement</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268" w:hRule="atLeast"/>
        </w:trPr>
        <w:tc>
          <w:tcPr>
            <w:tcW w:w="7006" w:type="dxa"/>
          </w:tcPr>
          <w:p>
            <w:pPr>
              <w:pStyle w:val="TableParagraph"/>
              <w:spacing w:line="248" w:lineRule="exact"/>
              <w:ind w:left="107"/>
              <w:rPr>
                <w:rFonts w:ascii="Calibri"/>
                <w:sz w:val="22"/>
              </w:rPr>
            </w:pPr>
            <w:r>
              <w:rPr>
                <w:rFonts w:ascii="Calibri"/>
                <w:sz w:val="22"/>
              </w:rPr>
              <w:t>Improves</w:t>
            </w:r>
            <w:r>
              <w:rPr>
                <w:rFonts w:ascii="Calibri"/>
                <w:spacing w:val="-6"/>
                <w:sz w:val="22"/>
              </w:rPr>
              <w:t> </w:t>
            </w:r>
            <w:r>
              <w:rPr>
                <w:rFonts w:ascii="Calibri"/>
                <w:sz w:val="22"/>
              </w:rPr>
              <w:t>material</w:t>
            </w:r>
            <w:r>
              <w:rPr>
                <w:rFonts w:ascii="Calibri"/>
                <w:spacing w:val="-7"/>
                <w:sz w:val="22"/>
              </w:rPr>
              <w:t> </w:t>
            </w:r>
            <w:r>
              <w:rPr>
                <w:rFonts w:ascii="Calibri"/>
                <w:sz w:val="22"/>
              </w:rPr>
              <w:t>and</w:t>
            </w:r>
            <w:r>
              <w:rPr>
                <w:rFonts w:ascii="Calibri"/>
                <w:spacing w:val="-5"/>
                <w:sz w:val="22"/>
              </w:rPr>
              <w:t> </w:t>
            </w:r>
            <w:r>
              <w:rPr>
                <w:rFonts w:ascii="Calibri"/>
                <w:sz w:val="22"/>
              </w:rPr>
              <w:t>service</w:t>
            </w:r>
            <w:r>
              <w:rPr>
                <w:rFonts w:ascii="Calibri"/>
                <w:spacing w:val="-3"/>
                <w:sz w:val="22"/>
              </w:rPr>
              <w:t> </w:t>
            </w:r>
            <w:r>
              <w:rPr>
                <w:rFonts w:ascii="Calibri"/>
                <w:spacing w:val="-2"/>
                <w:sz w:val="22"/>
              </w:rPr>
              <w:t>input</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268" w:hRule="atLeast"/>
        </w:trPr>
        <w:tc>
          <w:tcPr>
            <w:tcW w:w="7006" w:type="dxa"/>
          </w:tcPr>
          <w:p>
            <w:pPr>
              <w:pStyle w:val="TableParagraph"/>
              <w:spacing w:line="248" w:lineRule="exact"/>
              <w:ind w:left="107"/>
              <w:rPr>
                <w:rFonts w:ascii="Calibri"/>
                <w:sz w:val="22"/>
              </w:rPr>
            </w:pPr>
            <w:r>
              <w:rPr>
                <w:rFonts w:ascii="Calibri"/>
                <w:sz w:val="22"/>
              </w:rPr>
              <w:t>Clients</w:t>
            </w:r>
            <w:r>
              <w:rPr>
                <w:rFonts w:ascii="Calibri"/>
                <w:spacing w:val="-4"/>
                <w:sz w:val="22"/>
              </w:rPr>
              <w:t> </w:t>
            </w:r>
            <w:r>
              <w:rPr>
                <w:rFonts w:ascii="Calibri"/>
                <w:spacing w:val="-2"/>
                <w:sz w:val="22"/>
              </w:rPr>
              <w:t>satisfaction</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268" w:hRule="atLeast"/>
        </w:trPr>
        <w:tc>
          <w:tcPr>
            <w:tcW w:w="7006" w:type="dxa"/>
          </w:tcPr>
          <w:p>
            <w:pPr>
              <w:pStyle w:val="TableParagraph"/>
              <w:spacing w:line="248" w:lineRule="exact"/>
              <w:ind w:left="107"/>
              <w:rPr>
                <w:rFonts w:ascii="Calibri"/>
                <w:sz w:val="22"/>
              </w:rPr>
            </w:pPr>
            <w:r>
              <w:rPr>
                <w:rFonts w:ascii="Calibri"/>
                <w:sz w:val="22"/>
              </w:rPr>
              <w:t>Enhances</w:t>
            </w:r>
            <w:r>
              <w:rPr>
                <w:rFonts w:ascii="Calibri"/>
                <w:spacing w:val="-4"/>
                <w:sz w:val="22"/>
              </w:rPr>
              <w:t> </w:t>
            </w:r>
            <w:r>
              <w:rPr>
                <w:rFonts w:ascii="Calibri"/>
                <w:spacing w:val="-2"/>
                <w:sz w:val="22"/>
              </w:rPr>
              <w:t>efficiency</w:t>
            </w:r>
          </w:p>
        </w:tc>
        <w:tc>
          <w:tcPr>
            <w:tcW w:w="540" w:type="dxa"/>
          </w:tcPr>
          <w:p>
            <w:pPr>
              <w:pStyle w:val="TableParagraph"/>
              <w:rPr>
                <w:sz w:val="18"/>
              </w:rPr>
            </w:pPr>
          </w:p>
        </w:tc>
        <w:tc>
          <w:tcPr>
            <w:tcW w:w="446" w:type="dxa"/>
          </w:tcPr>
          <w:p>
            <w:pPr>
              <w:pStyle w:val="TableParagraph"/>
              <w:rPr>
                <w:sz w:val="18"/>
              </w:rPr>
            </w:pPr>
          </w:p>
        </w:tc>
        <w:tc>
          <w:tcPr>
            <w:tcW w:w="475" w:type="dxa"/>
          </w:tcPr>
          <w:p>
            <w:pPr>
              <w:pStyle w:val="TableParagraph"/>
              <w:rPr>
                <w:sz w:val="18"/>
              </w:rPr>
            </w:pPr>
          </w:p>
        </w:tc>
        <w:tc>
          <w:tcPr>
            <w:tcW w:w="365" w:type="dxa"/>
          </w:tcPr>
          <w:p>
            <w:pPr>
              <w:pStyle w:val="TableParagraph"/>
              <w:rPr>
                <w:sz w:val="18"/>
              </w:rPr>
            </w:pPr>
          </w:p>
        </w:tc>
        <w:tc>
          <w:tcPr>
            <w:tcW w:w="519" w:type="dxa"/>
          </w:tcPr>
          <w:p>
            <w:pPr>
              <w:pStyle w:val="TableParagraph"/>
              <w:rPr>
                <w:sz w:val="18"/>
              </w:rPr>
            </w:pPr>
          </w:p>
        </w:tc>
      </w:tr>
      <w:tr>
        <w:trPr>
          <w:trHeight w:val="484" w:hRule="atLeast"/>
        </w:trPr>
        <w:tc>
          <w:tcPr>
            <w:tcW w:w="9351" w:type="dxa"/>
            <w:gridSpan w:val="6"/>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5"/>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5"/>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SD</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strongly</w:t>
            </w:r>
            <w:r>
              <w:rPr>
                <w:rFonts w:ascii="Calibri" w:hAnsi="Calibri"/>
                <w:spacing w:val="-5"/>
                <w:sz w:val="20"/>
              </w:rPr>
              <w:t> </w:t>
            </w:r>
            <w:r>
              <w:rPr>
                <w:rFonts w:ascii="Calibri" w:hAnsi="Calibri"/>
                <w:sz w:val="20"/>
              </w:rPr>
              <w:t>disagree;</w:t>
            </w:r>
            <w:r>
              <w:rPr>
                <w:rFonts w:ascii="Calibri" w:hAnsi="Calibri"/>
                <w:spacing w:val="-6"/>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6"/>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don’t</w:t>
            </w:r>
            <w:r>
              <w:rPr>
                <w:rFonts w:ascii="Calibri" w:hAnsi="Calibri"/>
                <w:spacing w:val="-5"/>
                <w:sz w:val="20"/>
              </w:rPr>
              <w:t> </w:t>
            </w:r>
            <w:r>
              <w:rPr>
                <w:rFonts w:ascii="Calibri" w:hAnsi="Calibri"/>
                <w:spacing w:val="-4"/>
                <w:sz w:val="20"/>
              </w:rPr>
              <w:t>know</w:t>
            </w:r>
          </w:p>
        </w:tc>
      </w:tr>
    </w:tbl>
    <w:p>
      <w:pPr>
        <w:pStyle w:val="BodyText"/>
        <w:rPr>
          <w:rFonts w:ascii="Calibri"/>
        </w:rPr>
      </w:pPr>
    </w:p>
    <w:p>
      <w:pPr>
        <w:pStyle w:val="BodyText"/>
        <w:spacing w:before="6"/>
        <w:rPr>
          <w:rFonts w:ascii="Calibri"/>
        </w:rPr>
      </w:pPr>
    </w:p>
    <w:p>
      <w:pPr>
        <w:pStyle w:val="ListParagraph"/>
        <w:numPr>
          <w:ilvl w:val="0"/>
          <w:numId w:val="61"/>
        </w:numPr>
        <w:tabs>
          <w:tab w:pos="1120" w:val="left" w:leader="none"/>
          <w:tab w:pos="2785" w:val="left" w:leader="none"/>
        </w:tabs>
        <w:spacing w:line="256" w:lineRule="auto" w:before="0" w:after="0"/>
        <w:ind w:left="1120" w:right="4331" w:hanging="360"/>
        <w:jc w:val="left"/>
        <w:rPr>
          <w:rFonts w:ascii="Calibri"/>
          <w:sz w:val="24"/>
        </w:rPr>
      </w:pPr>
      <w:r>
        <w:rPr/>
        <mc:AlternateContent>
          <mc:Choice Requires="wps">
            <w:drawing>
              <wp:anchor distT="0" distB="0" distL="0" distR="0" allowOverlap="1" layoutInCell="1" locked="0" behindDoc="1" simplePos="0" relativeHeight="481975808">
                <wp:simplePos x="0" y="0"/>
                <wp:positionH relativeFrom="page">
                  <wp:posOffset>4300808</wp:posOffset>
                </wp:positionH>
                <wp:positionV relativeFrom="paragraph">
                  <wp:posOffset>31154</wp:posOffset>
                </wp:positionV>
                <wp:extent cx="227965" cy="15240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27965" cy="152400"/>
                        </a:xfrm>
                        <a:prstGeom prst="rect">
                          <a:avLst/>
                        </a:prstGeom>
                      </wps:spPr>
                      <wps:txbx>
                        <w:txbxContent>
                          <w:p>
                            <w:pPr>
                              <w:pStyle w:val="BodyText"/>
                              <w:spacing w:line="240" w:lineRule="exact"/>
                              <w:rPr>
                                <w:rFonts w:ascii="Calibri"/>
                              </w:rPr>
                            </w:pPr>
                            <w:r>
                              <w:rPr>
                                <w:rFonts w:ascii="Calibri"/>
                                <w:spacing w:val="-6"/>
                              </w:rPr>
                              <w:t>you</w:t>
                            </w:r>
                          </w:p>
                        </w:txbxContent>
                      </wps:txbx>
                      <wps:bodyPr wrap="square" lIns="0" tIns="0" rIns="0" bIns="0" rtlCol="0">
                        <a:noAutofit/>
                      </wps:bodyPr>
                    </wps:wsp>
                  </a:graphicData>
                </a:graphic>
              </wp:anchor>
            </w:drawing>
          </mc:Choice>
          <mc:Fallback>
            <w:pict>
              <v:shape style="position:absolute;margin-left:338.646362pt;margin-top:2.453125pt;width:17.95pt;height:12pt;mso-position-horizontal-relative:page;mso-position-vertical-relative:paragraph;z-index:-21340672" type="#_x0000_t202" id="docshape287" filled="false" stroked="false">
                <v:textbox inset="0,0,0,0">
                  <w:txbxContent>
                    <w:p>
                      <w:pPr>
                        <w:pStyle w:val="BodyText"/>
                        <w:spacing w:line="240" w:lineRule="exact"/>
                        <w:rPr>
                          <w:rFonts w:ascii="Calibri"/>
                        </w:rPr>
                      </w:pPr>
                      <w:r>
                        <w:rPr>
                          <w:rFonts w:ascii="Calibri"/>
                          <w:spacing w:val="-6"/>
                        </w:rPr>
                        <w:t>you</w:t>
                      </w: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5485765</wp:posOffset>
                </wp:positionH>
                <wp:positionV relativeFrom="paragraph">
                  <wp:posOffset>7278</wp:posOffset>
                </wp:positionV>
                <wp:extent cx="401320" cy="17653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401320" cy="176530"/>
                          <a:chExt cx="401320" cy="176530"/>
                        </a:xfrm>
                      </wpg:grpSpPr>
                      <wps:wsp>
                        <wps:cNvPr id="351" name="Graphic 351"/>
                        <wps:cNvSpPr/>
                        <wps:spPr>
                          <a:xfrm>
                            <a:off x="6350" y="6350"/>
                            <a:ext cx="200025" cy="152400"/>
                          </a:xfrm>
                          <a:custGeom>
                            <a:avLst/>
                            <a:gdLst/>
                            <a:ahLst/>
                            <a:cxnLst/>
                            <a:rect l="l" t="t" r="r" b="b"/>
                            <a:pathLst>
                              <a:path w="200025" h="152400">
                                <a:moveTo>
                                  <a:pt x="200025" y="0"/>
                                </a:moveTo>
                                <a:lnTo>
                                  <a:pt x="0" y="0"/>
                                </a:lnTo>
                                <a:lnTo>
                                  <a:pt x="0" y="152400"/>
                                </a:lnTo>
                                <a:lnTo>
                                  <a:pt x="200025" y="152400"/>
                                </a:lnTo>
                                <a:lnTo>
                                  <a:pt x="200025"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6350" y="635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wps:wsp>
                        <wps:cNvPr id="353" name="Textbox 353"/>
                        <wps:cNvSpPr txBox="1"/>
                        <wps:spPr>
                          <a:xfrm>
                            <a:off x="0" y="0"/>
                            <a:ext cx="401320" cy="176530"/>
                          </a:xfrm>
                          <a:prstGeom prst="rect">
                            <a:avLst/>
                          </a:prstGeom>
                        </wps:spPr>
                        <wps:txbx>
                          <w:txbxContent>
                            <w:p>
                              <w:pPr>
                                <w:spacing w:line="278" w:lineRule="exact" w:before="0"/>
                                <w:ind w:left="286" w:right="0" w:firstLine="0"/>
                                <w:jc w:val="left"/>
                                <w:rPr>
                                  <w:rFonts w:ascii="Calibri"/>
                                  <w:sz w:val="24"/>
                                </w:rPr>
                              </w:pPr>
                              <w:r>
                                <w:rPr>
                                  <w:rFonts w:ascii="Calibri"/>
                                  <w:spacing w:val="-5"/>
                                  <w:sz w:val="24"/>
                                </w:rPr>
                                <w:t>YES</w:t>
                              </w:r>
                            </w:p>
                          </w:txbxContent>
                        </wps:txbx>
                        <wps:bodyPr wrap="square" lIns="0" tIns="0" rIns="0" bIns="0" rtlCol="0">
                          <a:noAutofit/>
                        </wps:bodyPr>
                      </wps:wsp>
                    </wpg:wgp>
                  </a:graphicData>
                </a:graphic>
              </wp:anchor>
            </w:drawing>
          </mc:Choice>
          <mc:Fallback>
            <w:pict>
              <v:group style="position:absolute;margin-left:431.950012pt;margin-top:.573125pt;width:31.6pt;height:13.9pt;mso-position-horizontal-relative:page;mso-position-vertical-relative:paragraph;z-index:15771136" id="docshapegroup288" coordorigin="8639,11" coordsize="632,278">
                <v:rect style="position:absolute;left:8649;top:21;width:315;height:240" id="docshape289" filled="true" fillcolor="#ffffff" stroked="false">
                  <v:fill type="solid"/>
                </v:rect>
                <v:rect style="position:absolute;left:8649;top:21;width:315;height:240" id="docshape290" filled="false" stroked="true" strokeweight="1pt" strokecolor="#41719c">
                  <v:stroke dashstyle="solid"/>
                </v:rect>
                <v:shape style="position:absolute;left:8639;top:11;width:632;height:278" type="#_x0000_t202" id="docshape291" filled="false" stroked="false">
                  <v:textbox inset="0,0,0,0">
                    <w:txbxContent>
                      <w:p>
                        <w:pPr>
                          <w:spacing w:line="278" w:lineRule="exact" w:before="0"/>
                          <w:ind w:left="286" w:right="0" w:firstLine="0"/>
                          <w:jc w:val="left"/>
                          <w:rPr>
                            <w:rFonts w:ascii="Calibri"/>
                            <w:sz w:val="24"/>
                          </w:rPr>
                        </w:pPr>
                        <w:r>
                          <w:rPr>
                            <w:rFonts w:ascii="Calibri"/>
                            <w:spacing w:val="-5"/>
                            <w:sz w:val="24"/>
                          </w:rPr>
                          <w:t>YES</w:t>
                        </w:r>
                      </w:p>
                    </w:txbxContent>
                  </v:textbox>
                  <w10:wrap type="none"/>
                </v:shape>
                <w10:wrap type="none"/>
              </v:group>
            </w:pict>
          </mc:Fallback>
        </mc:AlternateContent>
      </w:r>
      <w:r>
        <w:rPr>
          <w:rFonts w:ascii="Calibri"/>
          <w:sz w:val="24"/>
        </w:rPr>
        <w:tab/>
        <w:t>Is</w:t>
      </w:r>
      <w:r>
        <w:rPr>
          <w:rFonts w:ascii="Calibri"/>
          <w:spacing w:val="-8"/>
          <w:sz w:val="24"/>
        </w:rPr>
        <w:t> </w:t>
      </w:r>
      <w:r>
        <w:rPr>
          <w:rFonts w:ascii="Calibri"/>
          <w:sz w:val="24"/>
        </w:rPr>
        <w:t>there</w:t>
      </w:r>
      <w:r>
        <w:rPr>
          <w:rFonts w:ascii="Calibri"/>
          <w:spacing w:val="-7"/>
          <w:sz w:val="24"/>
        </w:rPr>
        <w:t> </w:t>
      </w:r>
      <w:r>
        <w:rPr>
          <w:rFonts w:ascii="Calibri"/>
          <w:sz w:val="24"/>
        </w:rPr>
        <w:t>quality</w:t>
      </w:r>
      <w:r>
        <w:rPr>
          <w:rFonts w:ascii="Calibri"/>
          <w:spacing w:val="-8"/>
          <w:sz w:val="24"/>
        </w:rPr>
        <w:t> </w:t>
      </w:r>
      <w:r>
        <w:rPr>
          <w:rFonts w:ascii="Calibri"/>
          <w:sz w:val="24"/>
        </w:rPr>
        <w:t>control</w:t>
      </w:r>
      <w:r>
        <w:rPr>
          <w:rFonts w:ascii="Calibri"/>
          <w:spacing w:val="-10"/>
          <w:sz w:val="24"/>
        </w:rPr>
        <w:t> </w:t>
      </w:r>
      <w:r>
        <w:rPr>
          <w:rFonts w:ascii="Calibri"/>
          <w:sz w:val="24"/>
        </w:rPr>
        <w:t>unit</w:t>
      </w:r>
      <w:r>
        <w:rPr>
          <w:rFonts w:ascii="Calibri"/>
          <w:spacing w:val="-6"/>
          <w:sz w:val="24"/>
        </w:rPr>
        <w:t> </w:t>
      </w:r>
      <w:r>
        <w:rPr>
          <w:rFonts w:ascii="Calibri"/>
          <w:sz w:val="24"/>
        </w:rPr>
        <w:t>in</w:t>
      </w:r>
      <w:r>
        <w:rPr>
          <w:rFonts w:ascii="Calibri"/>
          <w:spacing w:val="37"/>
          <w:sz w:val="24"/>
        </w:rPr>
        <w:t> </w:t>
      </w:r>
      <w:r>
        <w:rPr>
          <w:rFonts w:ascii="Calibri"/>
          <w:spacing w:val="-2"/>
          <w:position w:val="-3"/>
          <w:sz w:val="24"/>
        </w:rPr>
        <w:drawing>
          <wp:inline distT="0" distB="0" distL="0" distR="0">
            <wp:extent cx="212725" cy="165100"/>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67" cstate="print"/>
                    <a:stretch>
                      <a:fillRect/>
                    </a:stretch>
                  </pic:blipFill>
                  <pic:spPr>
                    <a:xfrm>
                      <a:off x="0" y="0"/>
                      <a:ext cx="212725" cy="165100"/>
                    </a:xfrm>
                    <a:prstGeom prst="rect">
                      <a:avLst/>
                    </a:prstGeom>
                  </pic:spPr>
                </pic:pic>
              </a:graphicData>
            </a:graphic>
          </wp:inline>
        </w:drawing>
      </w:r>
      <w:r>
        <w:rPr>
          <w:rFonts w:ascii="Calibri"/>
          <w:spacing w:val="-2"/>
          <w:position w:val="-3"/>
          <w:sz w:val="24"/>
        </w:rPr>
      </w:r>
      <w:r>
        <w:rPr>
          <w:rFonts w:ascii="Calibri"/>
          <w:sz w:val="24"/>
        </w:rPr>
        <w:t>r</w:t>
      </w:r>
      <w:r>
        <w:rPr>
          <w:rFonts w:ascii="Calibri"/>
          <w:spacing w:val="-10"/>
          <w:sz w:val="24"/>
        </w:rPr>
        <w:t> </w:t>
      </w:r>
      <w:r>
        <w:rPr>
          <w:rFonts w:ascii="Calibri"/>
          <w:sz w:val="24"/>
        </w:rPr>
        <w:t>firm? </w:t>
      </w:r>
      <w:r>
        <w:rPr>
          <w:rFonts w:ascii="Calibri"/>
          <w:spacing w:val="-6"/>
          <w:sz w:val="24"/>
        </w:rPr>
        <w:t>NO</w:t>
      </w:r>
    </w:p>
    <w:p>
      <w:pPr>
        <w:pStyle w:val="ListParagraph"/>
        <w:numPr>
          <w:ilvl w:val="0"/>
          <w:numId w:val="61"/>
        </w:numPr>
        <w:tabs>
          <w:tab w:pos="1120" w:val="left" w:leader="none"/>
          <w:tab w:pos="2785" w:val="left" w:leader="none"/>
        </w:tabs>
        <w:spacing w:line="259" w:lineRule="auto" w:before="4" w:after="0"/>
        <w:ind w:left="1120" w:right="1410" w:hanging="360"/>
        <w:jc w:val="left"/>
        <w:rPr>
          <w:rFonts w:ascii="Calibri"/>
          <w:sz w:val="24"/>
        </w:rPr>
      </w:pPr>
      <w:r>
        <w:rPr>
          <w:rFonts w:ascii="Calibri"/>
          <w:sz w:val="24"/>
        </w:rPr>
        <w:tab/>
        <w:t>If</w:t>
      </w:r>
      <w:r>
        <w:rPr>
          <w:rFonts w:ascii="Calibri"/>
          <w:spacing w:val="-2"/>
          <w:sz w:val="24"/>
        </w:rPr>
        <w:t> </w:t>
      </w:r>
      <w:r>
        <w:rPr>
          <w:rFonts w:ascii="Calibri"/>
          <w:sz w:val="24"/>
        </w:rPr>
        <w:t>not</w:t>
      </w:r>
      <w:r>
        <w:rPr>
          <w:rFonts w:ascii="Calibri"/>
          <w:spacing w:val="-4"/>
          <w:sz w:val="24"/>
        </w:rPr>
        <w:t> </w:t>
      </w:r>
      <w:r>
        <w:rPr>
          <w:rFonts w:ascii="Calibri"/>
          <w:sz w:val="24"/>
        </w:rPr>
        <w:t>how</w:t>
      </w:r>
      <w:r>
        <w:rPr>
          <w:rFonts w:ascii="Calibri"/>
          <w:spacing w:val="-4"/>
          <w:sz w:val="24"/>
        </w:rPr>
        <w:t> </w:t>
      </w:r>
      <w:r>
        <w:rPr>
          <w:rFonts w:ascii="Calibri"/>
          <w:sz w:val="24"/>
        </w:rPr>
        <w:t>have</w:t>
      </w:r>
      <w:r>
        <w:rPr>
          <w:rFonts w:ascii="Calibri"/>
          <w:spacing w:val="-3"/>
          <w:sz w:val="24"/>
        </w:rPr>
        <w:t> </w:t>
      </w:r>
      <w:r>
        <w:rPr>
          <w:rFonts w:ascii="Calibri"/>
          <w:sz w:val="24"/>
        </w:rPr>
        <w:t>you</w:t>
      </w:r>
      <w:r>
        <w:rPr>
          <w:rFonts w:ascii="Calibri"/>
          <w:spacing w:val="-4"/>
          <w:sz w:val="24"/>
        </w:rPr>
        <w:t> </w:t>
      </w:r>
      <w:r>
        <w:rPr>
          <w:rFonts w:ascii="Calibri"/>
          <w:sz w:val="24"/>
        </w:rPr>
        <w:t>been</w:t>
      </w:r>
      <w:r>
        <w:rPr>
          <w:rFonts w:ascii="Calibri"/>
          <w:spacing w:val="-2"/>
          <w:sz w:val="24"/>
        </w:rPr>
        <w:t> </w:t>
      </w:r>
      <w:r>
        <w:rPr>
          <w:rFonts w:ascii="Calibri"/>
          <w:sz w:val="24"/>
        </w:rPr>
        <w:t>controlling</w:t>
      </w:r>
      <w:r>
        <w:rPr>
          <w:rFonts w:ascii="Calibri"/>
          <w:spacing w:val="-4"/>
          <w:sz w:val="24"/>
        </w:rPr>
        <w:t> </w:t>
      </w:r>
      <w:r>
        <w:rPr>
          <w:rFonts w:ascii="Calibri"/>
          <w:sz w:val="24"/>
        </w:rPr>
        <w:t>your</w:t>
      </w:r>
      <w:r>
        <w:rPr>
          <w:rFonts w:ascii="Calibri"/>
          <w:spacing w:val="-3"/>
          <w:sz w:val="24"/>
        </w:rPr>
        <w:t> </w:t>
      </w:r>
      <w:r>
        <w:rPr>
          <w:rFonts w:ascii="Calibri"/>
          <w:sz w:val="24"/>
        </w:rPr>
        <w:t>work?</w:t>
      </w:r>
      <w:r>
        <w:rPr>
          <w:rFonts w:ascii="Calibri"/>
          <w:spacing w:val="-6"/>
          <w:sz w:val="24"/>
        </w:rPr>
        <w:t> </w:t>
      </w:r>
      <w:r>
        <w:rPr>
          <w:rFonts w:ascii="Calibri"/>
          <w:sz w:val="24"/>
        </w:rPr>
        <w:t>(Tick</w:t>
      </w:r>
      <w:r>
        <w:rPr>
          <w:rFonts w:ascii="Calibri"/>
          <w:spacing w:val="-4"/>
          <w:sz w:val="24"/>
        </w:rPr>
        <w:t> </w:t>
      </w:r>
      <w:r>
        <w:rPr>
          <w:rFonts w:ascii="Calibri"/>
          <w:sz w:val="24"/>
        </w:rPr>
        <w:t>one</w:t>
      </w:r>
      <w:r>
        <w:rPr>
          <w:rFonts w:ascii="Calibri"/>
          <w:spacing w:val="-3"/>
          <w:sz w:val="24"/>
        </w:rPr>
        <w:t> </w:t>
      </w:r>
      <w:r>
        <w:rPr>
          <w:rFonts w:ascii="Calibri"/>
          <w:sz w:val="24"/>
        </w:rPr>
        <w:t>that</w:t>
      </w:r>
      <w:r>
        <w:rPr>
          <w:rFonts w:ascii="Calibri"/>
          <w:spacing w:val="-2"/>
          <w:sz w:val="24"/>
        </w:rPr>
        <w:t> </w:t>
      </w:r>
      <w:r>
        <w:rPr>
          <w:rFonts w:ascii="Calibri"/>
          <w:sz w:val="24"/>
        </w:rPr>
        <w:t>applies </w:t>
      </w:r>
      <w:r>
        <w:rPr>
          <w:rFonts w:ascii="Calibri"/>
          <w:spacing w:val="-2"/>
          <w:sz w:val="24"/>
        </w:rPr>
        <w:t>most)</w:t>
      </w:r>
    </w:p>
    <w:p>
      <w:pPr>
        <w:pStyle w:val="BodyText"/>
        <w:tabs>
          <w:tab w:pos="3824" w:val="left" w:leader="none"/>
        </w:tabs>
        <w:spacing w:before="1"/>
        <w:ind w:left="836"/>
        <w:rPr>
          <w:rFonts w:ascii="Calibri"/>
        </w:rPr>
      </w:pPr>
      <w:r>
        <w:rPr/>
        <mc:AlternateContent>
          <mc:Choice Requires="wps">
            <w:drawing>
              <wp:anchor distT="0" distB="0" distL="0" distR="0" allowOverlap="1" layoutInCell="1" locked="0" behindDoc="0" simplePos="0" relativeHeight="15771648">
                <wp:simplePos x="0" y="0"/>
                <wp:positionH relativeFrom="page">
                  <wp:posOffset>923925</wp:posOffset>
                </wp:positionH>
                <wp:positionV relativeFrom="paragraph">
                  <wp:posOffset>30287</wp:posOffset>
                </wp:positionV>
                <wp:extent cx="200025" cy="152400"/>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200025" cy="152400"/>
                        </a:xfrm>
                        <a:custGeom>
                          <a:avLst/>
                          <a:gdLst/>
                          <a:ahLst/>
                          <a:cxnLst/>
                          <a:rect l="l" t="t" r="r" b="b"/>
                          <a:pathLst>
                            <a:path w="200025" h="152400">
                              <a:moveTo>
                                <a:pt x="0" y="152400"/>
                              </a:moveTo>
                              <a:lnTo>
                                <a:pt x="200025" y="152400"/>
                              </a:lnTo>
                              <a:lnTo>
                                <a:pt x="200025" y="0"/>
                              </a:lnTo>
                              <a:lnTo>
                                <a:pt x="0" y="0"/>
                              </a:lnTo>
                              <a:lnTo>
                                <a:pt x="0" y="152400"/>
                              </a:lnTo>
                              <a:close/>
                            </a:path>
                          </a:pathLst>
                        </a:custGeom>
                        <a:ln w="12700">
                          <a:solidFill>
                            <a:srgbClr val="41719C"/>
                          </a:solidFill>
                          <a:prstDash val="solid"/>
                        </a:ln>
                      </wps:spPr>
                      <wps:bodyPr wrap="square" lIns="0" tIns="0" rIns="0" bIns="0" rtlCol="0">
                        <a:prstTxWarp prst="textNoShape">
                          <a:avLst/>
                        </a:prstTxWarp>
                        <a:noAutofit/>
                      </wps:bodyPr>
                    </wps:wsp>
                  </a:graphicData>
                </a:graphic>
              </wp:anchor>
            </w:drawing>
          </mc:Choice>
          <mc:Fallback>
            <w:pict>
              <v:rect style="position:absolute;margin-left:72.75pt;margin-top:2.384844pt;width:15.75pt;height:12pt;mso-position-horizontal-relative:page;mso-position-vertical-relative:paragraph;z-index:15771648" id="docshape292" filled="false" stroked="true" strokeweight="1pt" strokecolor="#41719c">
                <v:stroke dashstyle="solid"/>
                <w10:wrap type="none"/>
              </v:rect>
            </w:pict>
          </mc:Fallback>
        </mc:AlternateContent>
      </w:r>
      <w:r>
        <w:rPr>
          <w:rFonts w:ascii="Calibri"/>
        </w:rPr>
        <w:t>Always</w:t>
      </w:r>
      <w:r>
        <w:rPr>
          <w:rFonts w:ascii="Calibri"/>
          <w:spacing w:val="-2"/>
        </w:rPr>
        <w:t> </w:t>
      </w:r>
      <w:r>
        <w:rPr>
          <w:rFonts w:ascii="Calibri"/>
        </w:rPr>
        <w:t>execute</w:t>
      </w:r>
      <w:r>
        <w:rPr>
          <w:rFonts w:ascii="Calibri"/>
          <w:spacing w:val="-3"/>
        </w:rPr>
        <w:t> </w:t>
      </w:r>
      <w:r>
        <w:rPr>
          <w:rFonts w:ascii="Calibri"/>
        </w:rPr>
        <w:t>to</w:t>
      </w:r>
      <w:r>
        <w:rPr>
          <w:rFonts w:ascii="Calibri"/>
          <w:spacing w:val="-2"/>
        </w:rPr>
        <w:t> standard</w:t>
      </w:r>
      <w:r>
        <w:rPr>
          <w:rFonts w:ascii="Calibri"/>
        </w:rPr>
        <w:tab/>
      </w:r>
      <w:r>
        <w:rPr>
          <w:rFonts w:ascii="Calibri"/>
          <w:position w:val="-4"/>
        </w:rPr>
        <w:drawing>
          <wp:inline distT="0" distB="0" distL="0" distR="0">
            <wp:extent cx="212725" cy="165100"/>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69" cstate="print"/>
                    <a:stretch>
                      <a:fillRect/>
                    </a:stretch>
                  </pic:blipFill>
                  <pic:spPr>
                    <a:xfrm>
                      <a:off x="0" y="0"/>
                      <a:ext cx="212725" cy="165100"/>
                    </a:xfrm>
                    <a:prstGeom prst="rect">
                      <a:avLst/>
                    </a:prstGeom>
                  </pic:spPr>
                </pic:pic>
              </a:graphicData>
            </a:graphic>
          </wp:inline>
        </w:drawing>
      </w:r>
      <w:r>
        <w:rPr>
          <w:rFonts w:ascii="Calibri"/>
          <w:position w:val="-4"/>
        </w:rPr>
      </w:r>
      <w:r>
        <w:rPr>
          <w:spacing w:val="80"/>
        </w:rPr>
        <w:t> </w:t>
      </w:r>
      <w:r>
        <w:rPr>
          <w:rFonts w:ascii="Calibri"/>
        </w:rPr>
        <w:t>Always test our material in approved organization</w:t>
      </w:r>
    </w:p>
    <w:p>
      <w:pPr>
        <w:spacing w:after="0"/>
        <w:rPr>
          <w:rFonts w:ascii="Calibri"/>
        </w:rPr>
        <w:sectPr>
          <w:pgSz w:w="12240" w:h="15840"/>
          <w:pgMar w:header="0" w:footer="1017" w:top="1400" w:bottom="1200" w:left="1040" w:right="120"/>
        </w:sectPr>
      </w:pPr>
    </w:p>
    <w:p>
      <w:pPr>
        <w:pStyle w:val="Heading2"/>
        <w:spacing w:before="37"/>
        <w:jc w:val="left"/>
        <w:rPr>
          <w:rFonts w:ascii="Calibri"/>
        </w:rPr>
      </w:pPr>
      <w:r>
        <w:rPr>
          <w:rFonts w:ascii="Calibri"/>
        </w:rPr>
        <w:t>Questions</w:t>
      </w:r>
      <w:r>
        <w:rPr>
          <w:rFonts w:ascii="Calibri"/>
          <w:spacing w:val="-3"/>
        </w:rPr>
        <w:t> </w:t>
      </w:r>
      <w:r>
        <w:rPr>
          <w:rFonts w:ascii="Calibri"/>
        </w:rPr>
        <w:t>related</w:t>
      </w:r>
      <w:r>
        <w:rPr>
          <w:rFonts w:ascii="Calibri"/>
          <w:spacing w:val="-2"/>
        </w:rPr>
        <w:t> </w:t>
      </w:r>
      <w:r>
        <w:rPr>
          <w:rFonts w:ascii="Calibri"/>
        </w:rPr>
        <w:t>to</w:t>
      </w:r>
      <w:r>
        <w:rPr>
          <w:rFonts w:ascii="Calibri"/>
          <w:spacing w:val="-2"/>
        </w:rPr>
        <w:t> </w:t>
      </w:r>
      <w:r>
        <w:rPr>
          <w:rFonts w:ascii="Calibri"/>
        </w:rPr>
        <w:t>level</w:t>
      </w:r>
      <w:r>
        <w:rPr>
          <w:rFonts w:ascii="Calibri"/>
          <w:spacing w:val="1"/>
        </w:rPr>
        <w:t> </w:t>
      </w:r>
      <w:r>
        <w:rPr>
          <w:rFonts w:ascii="Calibri"/>
        </w:rPr>
        <w:t>of</w:t>
      </w:r>
      <w:r>
        <w:rPr>
          <w:rFonts w:ascii="Calibri"/>
          <w:spacing w:val="-2"/>
        </w:rPr>
        <w:t> implementation</w:t>
      </w:r>
    </w:p>
    <w:p>
      <w:pPr>
        <w:pStyle w:val="ListParagraph"/>
        <w:numPr>
          <w:ilvl w:val="0"/>
          <w:numId w:val="61"/>
        </w:numPr>
        <w:tabs>
          <w:tab w:pos="1120" w:val="left" w:leader="none"/>
          <w:tab w:pos="2785" w:val="left" w:leader="none"/>
        </w:tabs>
        <w:spacing w:line="259" w:lineRule="auto" w:before="182" w:after="0"/>
        <w:ind w:left="1120" w:right="1385" w:hanging="360"/>
        <w:jc w:val="left"/>
        <w:rPr>
          <w:rFonts w:ascii="Calibri" w:hAnsi="Calibri"/>
          <w:sz w:val="24"/>
        </w:rPr>
      </w:pPr>
      <w:r>
        <w:rPr>
          <w:rFonts w:ascii="Calibri" w:hAnsi="Calibri"/>
          <w:sz w:val="24"/>
        </w:rPr>
        <w:tab/>
        <w:t>On the scale of 1 (Don’t Know) – 5 (Strongly Agree), rate the extent to which</w:t>
      </w:r>
      <w:r>
        <w:rPr>
          <w:rFonts w:ascii="Calibri" w:hAnsi="Calibri"/>
          <w:spacing w:val="-1"/>
          <w:sz w:val="24"/>
        </w:rPr>
        <w:t> </w:t>
      </w:r>
      <w:r>
        <w:rPr>
          <w:rFonts w:ascii="Calibri" w:hAnsi="Calibri"/>
          <w:sz w:val="24"/>
        </w:rPr>
        <w:t>you</w:t>
      </w:r>
      <w:r>
        <w:rPr>
          <w:rFonts w:ascii="Calibri" w:hAnsi="Calibri"/>
          <w:spacing w:val="-3"/>
          <w:sz w:val="24"/>
        </w:rPr>
        <w:t> </w:t>
      </w:r>
      <w:r>
        <w:rPr>
          <w:rFonts w:ascii="Calibri" w:hAnsi="Calibri"/>
          <w:sz w:val="24"/>
        </w:rPr>
        <w:t>agree</w:t>
      </w:r>
      <w:r>
        <w:rPr>
          <w:rFonts w:ascii="Calibri" w:hAnsi="Calibri"/>
          <w:spacing w:val="-3"/>
          <w:sz w:val="24"/>
        </w:rPr>
        <w:t> </w:t>
      </w:r>
      <w:r>
        <w:rPr>
          <w:rFonts w:ascii="Calibri" w:hAnsi="Calibri"/>
          <w:sz w:val="24"/>
        </w:rPr>
        <w:t>to</w:t>
      </w:r>
      <w:r>
        <w:rPr>
          <w:rFonts w:ascii="Calibri" w:hAnsi="Calibri"/>
          <w:spacing w:val="-3"/>
          <w:sz w:val="24"/>
        </w:rPr>
        <w:t> </w:t>
      </w:r>
      <w:r>
        <w:rPr>
          <w:rFonts w:ascii="Calibri" w:hAnsi="Calibri"/>
          <w:sz w:val="24"/>
        </w:rPr>
        <w:t>the</w:t>
      </w:r>
      <w:r>
        <w:rPr>
          <w:rFonts w:ascii="Calibri" w:hAnsi="Calibri"/>
          <w:spacing w:val="-2"/>
          <w:sz w:val="24"/>
        </w:rPr>
        <w:t> </w:t>
      </w:r>
      <w:r>
        <w:rPr>
          <w:rFonts w:ascii="Calibri" w:hAnsi="Calibri"/>
          <w:sz w:val="24"/>
        </w:rPr>
        <w:t>level</w:t>
      </w:r>
      <w:r>
        <w:rPr>
          <w:rFonts w:ascii="Calibri" w:hAnsi="Calibri"/>
          <w:spacing w:val="-2"/>
          <w:sz w:val="24"/>
        </w:rPr>
        <w:t> </w:t>
      </w:r>
      <w:r>
        <w:rPr>
          <w:rFonts w:ascii="Calibri" w:hAnsi="Calibri"/>
          <w:sz w:val="24"/>
        </w:rPr>
        <w:t>of</w:t>
      </w:r>
      <w:r>
        <w:rPr>
          <w:rFonts w:ascii="Calibri" w:hAnsi="Calibri"/>
          <w:spacing w:val="-3"/>
          <w:sz w:val="24"/>
        </w:rPr>
        <w:t> </w:t>
      </w:r>
      <w:r>
        <w:rPr>
          <w:rFonts w:ascii="Calibri" w:hAnsi="Calibri"/>
          <w:sz w:val="24"/>
        </w:rPr>
        <w:t>implementation</w:t>
      </w:r>
      <w:r>
        <w:rPr>
          <w:rFonts w:ascii="Calibri" w:hAnsi="Calibri"/>
          <w:spacing w:val="-5"/>
          <w:sz w:val="24"/>
        </w:rPr>
        <w:t> </w:t>
      </w:r>
      <w:r>
        <w:rPr>
          <w:rFonts w:ascii="Calibri" w:hAnsi="Calibri"/>
          <w:sz w:val="24"/>
        </w:rPr>
        <w:t>of</w:t>
      </w:r>
      <w:r>
        <w:rPr>
          <w:rFonts w:ascii="Calibri" w:hAnsi="Calibri"/>
          <w:spacing w:val="-3"/>
          <w:sz w:val="24"/>
        </w:rPr>
        <w:t> </w:t>
      </w:r>
      <w:r>
        <w:rPr>
          <w:rFonts w:ascii="Calibri" w:hAnsi="Calibri"/>
          <w:sz w:val="24"/>
        </w:rPr>
        <w:t>the</w:t>
      </w:r>
      <w:r>
        <w:rPr>
          <w:rFonts w:ascii="Calibri" w:hAnsi="Calibri"/>
          <w:spacing w:val="-3"/>
          <w:sz w:val="24"/>
        </w:rPr>
        <w:t> </w:t>
      </w:r>
      <w:r>
        <w:rPr>
          <w:rFonts w:ascii="Calibri" w:hAnsi="Calibri"/>
          <w:sz w:val="24"/>
        </w:rPr>
        <w:t>following</w:t>
      </w:r>
      <w:r>
        <w:rPr>
          <w:rFonts w:ascii="Calibri" w:hAnsi="Calibri"/>
          <w:spacing w:val="-2"/>
          <w:sz w:val="24"/>
        </w:rPr>
        <w:t> </w:t>
      </w:r>
      <w:r>
        <w:rPr>
          <w:rFonts w:ascii="Calibri" w:hAnsi="Calibri"/>
          <w:sz w:val="24"/>
        </w:rPr>
        <w:t>in</w:t>
      </w:r>
      <w:r>
        <w:rPr>
          <w:rFonts w:ascii="Calibri" w:hAnsi="Calibri"/>
          <w:spacing w:val="-1"/>
          <w:sz w:val="24"/>
        </w:rPr>
        <w:t> </w:t>
      </w:r>
      <w:r>
        <w:rPr>
          <w:rFonts w:ascii="Calibri" w:hAnsi="Calibri"/>
          <w:sz w:val="24"/>
        </w:rPr>
        <w:t>your</w:t>
      </w:r>
      <w:r>
        <w:rPr>
          <w:rFonts w:ascii="Calibri" w:hAnsi="Calibri"/>
          <w:spacing w:val="-4"/>
          <w:sz w:val="24"/>
        </w:rPr>
        <w:t> </w:t>
      </w:r>
      <w:r>
        <w:rPr>
          <w:rFonts w:ascii="Calibri" w:hAnsi="Calibri"/>
          <w:sz w:val="24"/>
        </w:rPr>
        <w:t>firm</w:t>
      </w:r>
      <w:r>
        <w:rPr>
          <w:rFonts w:ascii="Calibri" w:hAnsi="Calibri"/>
          <w:spacing w:val="-2"/>
          <w:sz w:val="24"/>
        </w:rPr>
        <w:t> </w:t>
      </w:r>
      <w:r>
        <w:rPr>
          <w:rFonts w:ascii="Calibri" w:hAnsi="Calibri"/>
          <w:sz w:val="24"/>
        </w:rPr>
        <w:t>(please</w:t>
      </w:r>
      <w:r>
        <w:rPr>
          <w:rFonts w:ascii="Calibri" w:hAnsi="Calibri"/>
          <w:spacing w:val="-3"/>
          <w:sz w:val="24"/>
        </w:rPr>
        <w:t> </w:t>
      </w:r>
      <w:r>
        <w:rPr>
          <w:rFonts w:ascii="Calibri" w:hAnsi="Calibri"/>
          <w:sz w:val="24"/>
        </w:rPr>
        <w:t>tick </w:t>
      </w:r>
      <w:r>
        <w:rPr>
          <w:rFonts w:ascii="Calibri" w:hAnsi="Calibri"/>
          <w:spacing w:val="-2"/>
          <w:sz w:val="24"/>
        </w:rPr>
        <w:t>appropriately)</w:t>
      </w:r>
    </w:p>
    <w:p>
      <w:pPr>
        <w:pStyle w:val="BodyText"/>
        <w:rPr>
          <w:rFonts w:ascii="Calibri"/>
          <w:sz w:val="20"/>
        </w:rPr>
      </w:pPr>
    </w:p>
    <w:p>
      <w:pPr>
        <w:pStyle w:val="BodyText"/>
        <w:spacing w:before="147"/>
        <w:rPr>
          <w:rFonts w:ascii="Calibri"/>
          <w:sz w:val="20"/>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8"/>
        <w:gridCol w:w="6372"/>
        <w:gridCol w:w="475"/>
        <w:gridCol w:w="429"/>
        <w:gridCol w:w="479"/>
        <w:gridCol w:w="369"/>
        <w:gridCol w:w="499"/>
      </w:tblGrid>
      <w:tr>
        <w:trPr>
          <w:trHeight w:val="537" w:hRule="atLeast"/>
        </w:trPr>
        <w:tc>
          <w:tcPr>
            <w:tcW w:w="588" w:type="dxa"/>
          </w:tcPr>
          <w:p>
            <w:pPr>
              <w:pStyle w:val="TableParagraph"/>
              <w:spacing w:line="265" w:lineRule="exact"/>
              <w:ind w:left="107"/>
              <w:rPr>
                <w:rFonts w:ascii="Calibri"/>
                <w:b/>
                <w:sz w:val="22"/>
              </w:rPr>
            </w:pPr>
            <w:r>
              <w:rPr>
                <w:rFonts w:ascii="Calibri"/>
                <w:b/>
                <w:spacing w:val="-5"/>
                <w:sz w:val="22"/>
              </w:rPr>
              <w:t>S/N</w:t>
            </w:r>
          </w:p>
        </w:tc>
        <w:tc>
          <w:tcPr>
            <w:tcW w:w="6372" w:type="dxa"/>
          </w:tcPr>
          <w:p>
            <w:pPr>
              <w:pStyle w:val="TableParagraph"/>
              <w:spacing w:line="265" w:lineRule="exact"/>
              <w:ind w:left="107"/>
              <w:rPr>
                <w:rFonts w:ascii="Calibri"/>
                <w:b/>
                <w:sz w:val="22"/>
              </w:rPr>
            </w:pPr>
            <w:r>
              <w:rPr>
                <w:rFonts w:ascii="Calibri"/>
                <w:b/>
                <w:sz w:val="22"/>
                <w:u w:val="single"/>
              </w:rPr>
              <w:t>Leadership</w:t>
            </w:r>
            <w:r>
              <w:rPr>
                <w:rFonts w:ascii="Calibri"/>
                <w:b/>
                <w:spacing w:val="-6"/>
                <w:sz w:val="22"/>
                <w:u w:val="single"/>
              </w:rPr>
              <w:t> </w:t>
            </w:r>
            <w:r>
              <w:rPr>
                <w:rFonts w:ascii="Calibri"/>
                <w:b/>
                <w:sz w:val="22"/>
                <w:u w:val="single"/>
              </w:rPr>
              <w:t>and</w:t>
            </w:r>
            <w:r>
              <w:rPr>
                <w:rFonts w:ascii="Calibri"/>
                <w:b/>
                <w:spacing w:val="-6"/>
                <w:sz w:val="22"/>
                <w:u w:val="single"/>
              </w:rPr>
              <w:t> </w:t>
            </w:r>
            <w:r>
              <w:rPr>
                <w:rFonts w:ascii="Calibri"/>
                <w:b/>
                <w:sz w:val="22"/>
                <w:u w:val="single"/>
              </w:rPr>
              <w:t>top</w:t>
            </w:r>
            <w:r>
              <w:rPr>
                <w:rFonts w:ascii="Calibri"/>
                <w:b/>
                <w:spacing w:val="-5"/>
                <w:sz w:val="22"/>
                <w:u w:val="single"/>
              </w:rPr>
              <w:t> </w:t>
            </w:r>
            <w:r>
              <w:rPr>
                <w:rFonts w:ascii="Calibri"/>
                <w:b/>
                <w:sz w:val="22"/>
                <w:u w:val="single"/>
              </w:rPr>
              <w:t>management</w:t>
            </w:r>
            <w:r>
              <w:rPr>
                <w:rFonts w:ascii="Calibri"/>
                <w:b/>
                <w:spacing w:val="-5"/>
                <w:sz w:val="22"/>
                <w:u w:val="single"/>
              </w:rPr>
              <w:t> </w:t>
            </w:r>
            <w:r>
              <w:rPr>
                <w:rFonts w:ascii="Calibri"/>
                <w:b/>
                <w:sz w:val="22"/>
                <w:u w:val="single"/>
              </w:rPr>
              <w:t>commitment</w:t>
            </w:r>
            <w:r>
              <w:rPr>
                <w:rFonts w:ascii="Calibri"/>
                <w:b/>
                <w:spacing w:val="-5"/>
                <w:sz w:val="22"/>
                <w:u w:val="single"/>
              </w:rPr>
              <w:t> </w:t>
            </w:r>
            <w:r>
              <w:rPr>
                <w:rFonts w:ascii="Calibri"/>
                <w:b/>
                <w:sz w:val="22"/>
                <w:u w:val="single"/>
              </w:rPr>
              <w:t>and</w:t>
            </w:r>
            <w:r>
              <w:rPr>
                <w:rFonts w:ascii="Calibri"/>
                <w:b/>
                <w:spacing w:val="-5"/>
                <w:sz w:val="22"/>
                <w:u w:val="single"/>
              </w:rPr>
              <w:t> </w:t>
            </w:r>
            <w:r>
              <w:rPr>
                <w:rFonts w:ascii="Calibri"/>
                <w:b/>
                <w:spacing w:val="-2"/>
                <w:sz w:val="22"/>
                <w:u w:val="single"/>
              </w:rPr>
              <w:t>leadership</w:t>
            </w:r>
          </w:p>
        </w:tc>
        <w:tc>
          <w:tcPr>
            <w:tcW w:w="475" w:type="dxa"/>
          </w:tcPr>
          <w:p>
            <w:pPr>
              <w:pStyle w:val="TableParagraph"/>
              <w:spacing w:line="265" w:lineRule="exact"/>
              <w:ind w:left="107"/>
              <w:rPr>
                <w:rFonts w:ascii="Calibri"/>
                <w:b/>
                <w:sz w:val="22"/>
              </w:rPr>
            </w:pPr>
            <w:r>
              <w:rPr>
                <w:rFonts w:ascii="Calibri"/>
                <w:b/>
                <w:spacing w:val="-5"/>
                <w:sz w:val="22"/>
              </w:rPr>
              <w:t>SA</w:t>
            </w:r>
          </w:p>
          <w:p>
            <w:pPr>
              <w:pStyle w:val="TableParagraph"/>
              <w:spacing w:line="252" w:lineRule="exact"/>
              <w:ind w:left="107"/>
              <w:rPr>
                <w:rFonts w:ascii="Calibri"/>
                <w:b/>
                <w:sz w:val="22"/>
              </w:rPr>
            </w:pPr>
            <w:r>
              <w:rPr>
                <w:rFonts w:ascii="Calibri"/>
                <w:b/>
                <w:spacing w:val="-10"/>
                <w:sz w:val="22"/>
              </w:rPr>
              <w:t>5</w:t>
            </w:r>
          </w:p>
        </w:tc>
        <w:tc>
          <w:tcPr>
            <w:tcW w:w="429" w:type="dxa"/>
          </w:tcPr>
          <w:p>
            <w:pPr>
              <w:pStyle w:val="TableParagraph"/>
              <w:spacing w:line="265" w:lineRule="exact"/>
              <w:ind w:left="108"/>
              <w:rPr>
                <w:rFonts w:ascii="Calibri"/>
                <w:b/>
                <w:sz w:val="22"/>
              </w:rPr>
            </w:pPr>
            <w:r>
              <w:rPr>
                <w:rFonts w:ascii="Calibri"/>
                <w:b/>
                <w:spacing w:val="-10"/>
                <w:sz w:val="22"/>
              </w:rPr>
              <w:t>A</w:t>
            </w:r>
          </w:p>
          <w:p>
            <w:pPr>
              <w:pStyle w:val="TableParagraph"/>
              <w:spacing w:line="252" w:lineRule="exact"/>
              <w:ind w:left="108"/>
              <w:rPr>
                <w:rFonts w:ascii="Calibri"/>
                <w:b/>
                <w:sz w:val="22"/>
              </w:rPr>
            </w:pPr>
            <w:r>
              <w:rPr>
                <w:rFonts w:ascii="Calibri"/>
                <w:b/>
                <w:spacing w:val="-10"/>
                <w:sz w:val="22"/>
              </w:rPr>
              <w:t>4</w:t>
            </w:r>
          </w:p>
        </w:tc>
        <w:tc>
          <w:tcPr>
            <w:tcW w:w="479" w:type="dxa"/>
          </w:tcPr>
          <w:p>
            <w:pPr>
              <w:pStyle w:val="TableParagraph"/>
              <w:spacing w:line="265" w:lineRule="exact"/>
              <w:ind w:left="108"/>
              <w:rPr>
                <w:rFonts w:ascii="Calibri"/>
                <w:b/>
                <w:sz w:val="22"/>
              </w:rPr>
            </w:pPr>
            <w:r>
              <w:rPr>
                <w:rFonts w:ascii="Calibri"/>
                <w:b/>
                <w:spacing w:val="-5"/>
                <w:sz w:val="22"/>
              </w:rPr>
              <w:t>SD</w:t>
            </w:r>
          </w:p>
          <w:p>
            <w:pPr>
              <w:pStyle w:val="TableParagraph"/>
              <w:spacing w:line="252" w:lineRule="exact"/>
              <w:ind w:left="108"/>
              <w:rPr>
                <w:rFonts w:ascii="Calibri"/>
                <w:b/>
                <w:sz w:val="22"/>
              </w:rPr>
            </w:pPr>
            <w:r>
              <w:rPr>
                <w:rFonts w:ascii="Calibri"/>
                <w:b/>
                <w:spacing w:val="-10"/>
                <w:sz w:val="22"/>
              </w:rPr>
              <w:t>3</w:t>
            </w:r>
          </w:p>
        </w:tc>
        <w:tc>
          <w:tcPr>
            <w:tcW w:w="369" w:type="dxa"/>
          </w:tcPr>
          <w:p>
            <w:pPr>
              <w:pStyle w:val="TableParagraph"/>
              <w:spacing w:line="265" w:lineRule="exact"/>
              <w:ind w:left="109"/>
              <w:rPr>
                <w:rFonts w:ascii="Calibri"/>
                <w:b/>
                <w:sz w:val="22"/>
              </w:rPr>
            </w:pPr>
            <w:r>
              <w:rPr>
                <w:rFonts w:ascii="Calibri"/>
                <w:b/>
                <w:spacing w:val="-10"/>
                <w:sz w:val="22"/>
              </w:rPr>
              <w:t>D</w:t>
            </w:r>
          </w:p>
          <w:p>
            <w:pPr>
              <w:pStyle w:val="TableParagraph"/>
              <w:spacing w:line="252" w:lineRule="exact"/>
              <w:ind w:left="109"/>
              <w:rPr>
                <w:rFonts w:ascii="Calibri"/>
                <w:b/>
                <w:sz w:val="22"/>
              </w:rPr>
            </w:pPr>
            <w:r>
              <w:rPr>
                <w:rFonts w:ascii="Calibri"/>
                <w:b/>
                <w:spacing w:val="-10"/>
                <w:sz w:val="22"/>
              </w:rPr>
              <w:t>2</w:t>
            </w:r>
          </w:p>
        </w:tc>
        <w:tc>
          <w:tcPr>
            <w:tcW w:w="499" w:type="dxa"/>
          </w:tcPr>
          <w:p>
            <w:pPr>
              <w:pStyle w:val="TableParagraph"/>
              <w:spacing w:line="265" w:lineRule="exact"/>
              <w:ind w:left="110"/>
              <w:rPr>
                <w:rFonts w:ascii="Calibri"/>
                <w:b/>
                <w:sz w:val="22"/>
              </w:rPr>
            </w:pPr>
            <w:r>
              <w:rPr>
                <w:rFonts w:ascii="Calibri"/>
                <w:b/>
                <w:spacing w:val="-5"/>
                <w:sz w:val="22"/>
              </w:rPr>
              <w:t>DN</w:t>
            </w:r>
          </w:p>
          <w:p>
            <w:pPr>
              <w:pStyle w:val="TableParagraph"/>
              <w:spacing w:line="252" w:lineRule="exact"/>
              <w:ind w:left="110"/>
              <w:rPr>
                <w:rFonts w:ascii="Calibri"/>
                <w:b/>
                <w:sz w:val="22"/>
              </w:rPr>
            </w:pPr>
            <w:r>
              <w:rPr>
                <w:rFonts w:ascii="Calibri"/>
                <w:b/>
                <w:spacing w:val="-10"/>
                <w:sz w:val="22"/>
              </w:rPr>
              <w:t>1</w:t>
            </w:r>
          </w:p>
        </w:tc>
      </w:tr>
      <w:tr>
        <w:trPr>
          <w:trHeight w:val="537" w:hRule="atLeast"/>
        </w:trPr>
        <w:tc>
          <w:tcPr>
            <w:tcW w:w="588" w:type="dxa"/>
          </w:tcPr>
          <w:p>
            <w:pPr>
              <w:pStyle w:val="TableParagraph"/>
              <w:spacing w:line="265" w:lineRule="exact"/>
              <w:ind w:left="107"/>
              <w:rPr>
                <w:rFonts w:ascii="Calibri"/>
                <w:sz w:val="22"/>
              </w:rPr>
            </w:pPr>
            <w:r>
              <w:rPr>
                <w:rFonts w:ascii="Calibri"/>
                <w:spacing w:val="-10"/>
                <w:sz w:val="22"/>
              </w:rPr>
              <w:t>1</w:t>
            </w:r>
          </w:p>
        </w:tc>
        <w:tc>
          <w:tcPr>
            <w:tcW w:w="6372" w:type="dxa"/>
          </w:tcPr>
          <w:p>
            <w:pPr>
              <w:pStyle w:val="TableParagraph"/>
              <w:spacing w:line="265" w:lineRule="exact"/>
              <w:ind w:left="107"/>
              <w:rPr>
                <w:rFonts w:ascii="Calibri"/>
                <w:sz w:val="22"/>
              </w:rPr>
            </w:pPr>
            <w:r>
              <w:rPr>
                <w:rFonts w:ascii="Calibri"/>
                <w:sz w:val="22"/>
              </w:rPr>
              <w:t>Top</w:t>
            </w:r>
            <w:r>
              <w:rPr>
                <w:rFonts w:ascii="Calibri"/>
                <w:spacing w:val="-9"/>
                <w:sz w:val="22"/>
              </w:rPr>
              <w:t> </w:t>
            </w:r>
            <w:r>
              <w:rPr>
                <w:rFonts w:ascii="Calibri"/>
                <w:sz w:val="22"/>
              </w:rPr>
              <w:t>management</w:t>
            </w:r>
            <w:r>
              <w:rPr>
                <w:rFonts w:ascii="Calibri"/>
                <w:spacing w:val="-6"/>
                <w:sz w:val="22"/>
              </w:rPr>
              <w:t> </w:t>
            </w:r>
            <w:r>
              <w:rPr>
                <w:rFonts w:ascii="Calibri"/>
                <w:sz w:val="22"/>
              </w:rPr>
              <w:t>actively</w:t>
            </w:r>
            <w:r>
              <w:rPr>
                <w:rFonts w:ascii="Calibri"/>
                <w:spacing w:val="-5"/>
                <w:sz w:val="22"/>
              </w:rPr>
              <w:t> </w:t>
            </w:r>
            <w:r>
              <w:rPr>
                <w:rFonts w:ascii="Calibri"/>
                <w:sz w:val="22"/>
              </w:rPr>
              <w:t>participates</w:t>
            </w:r>
            <w:r>
              <w:rPr>
                <w:rFonts w:ascii="Calibri"/>
                <w:spacing w:val="-4"/>
                <w:sz w:val="22"/>
              </w:rPr>
              <w:t> </w:t>
            </w:r>
            <w:r>
              <w:rPr>
                <w:rFonts w:ascii="Calibri"/>
                <w:sz w:val="22"/>
              </w:rPr>
              <w:t>in</w:t>
            </w:r>
            <w:r>
              <w:rPr>
                <w:rFonts w:ascii="Calibri"/>
                <w:spacing w:val="-7"/>
                <w:sz w:val="22"/>
              </w:rPr>
              <w:t> </w:t>
            </w:r>
            <w:r>
              <w:rPr>
                <w:rFonts w:ascii="Calibri"/>
                <w:sz w:val="22"/>
              </w:rPr>
              <w:t>quality</w:t>
            </w:r>
            <w:r>
              <w:rPr>
                <w:rFonts w:ascii="Calibri"/>
                <w:spacing w:val="-4"/>
                <w:sz w:val="22"/>
              </w:rPr>
              <w:t> </w:t>
            </w:r>
            <w:r>
              <w:rPr>
                <w:rFonts w:ascii="Calibri"/>
                <w:spacing w:val="-2"/>
                <w:sz w:val="22"/>
              </w:rPr>
              <w:t>management</w:t>
            </w:r>
          </w:p>
          <w:p>
            <w:pPr>
              <w:pStyle w:val="TableParagraph"/>
              <w:spacing w:line="252" w:lineRule="exact"/>
              <w:ind w:left="107"/>
              <w:rPr>
                <w:rFonts w:ascii="Calibri"/>
                <w:sz w:val="22"/>
              </w:rPr>
            </w:pPr>
            <w:r>
              <w:rPr>
                <w:rFonts w:ascii="Calibri"/>
                <w:spacing w:val="-2"/>
                <w:sz w:val="22"/>
              </w:rPr>
              <w:t>activities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10"/>
                <w:sz w:val="22"/>
              </w:rPr>
              <w:t>2</w:t>
            </w:r>
          </w:p>
        </w:tc>
        <w:tc>
          <w:tcPr>
            <w:tcW w:w="6372" w:type="dxa"/>
          </w:tcPr>
          <w:p>
            <w:pPr>
              <w:pStyle w:val="TableParagraph"/>
              <w:spacing w:line="248" w:lineRule="exact"/>
              <w:ind w:left="107"/>
              <w:rPr>
                <w:rFonts w:ascii="Calibri"/>
                <w:sz w:val="22"/>
              </w:rPr>
            </w:pPr>
            <w:r>
              <w:rPr>
                <w:rFonts w:ascii="Calibri"/>
                <w:sz w:val="22"/>
              </w:rPr>
              <w:t>Top</w:t>
            </w:r>
            <w:r>
              <w:rPr>
                <w:rFonts w:ascii="Calibri"/>
                <w:spacing w:val="-10"/>
                <w:sz w:val="22"/>
              </w:rPr>
              <w:t> </w:t>
            </w:r>
            <w:r>
              <w:rPr>
                <w:rFonts w:ascii="Calibri"/>
                <w:sz w:val="22"/>
              </w:rPr>
              <w:t>management</w:t>
            </w:r>
            <w:r>
              <w:rPr>
                <w:rFonts w:ascii="Calibri"/>
                <w:spacing w:val="-7"/>
                <w:sz w:val="22"/>
              </w:rPr>
              <w:t> </w:t>
            </w:r>
            <w:r>
              <w:rPr>
                <w:rFonts w:ascii="Calibri"/>
                <w:sz w:val="22"/>
              </w:rPr>
              <w:t>learn</w:t>
            </w:r>
            <w:r>
              <w:rPr>
                <w:rFonts w:ascii="Calibri"/>
                <w:spacing w:val="-5"/>
                <w:sz w:val="22"/>
              </w:rPr>
              <w:t> </w:t>
            </w:r>
            <w:r>
              <w:rPr>
                <w:rFonts w:ascii="Calibri"/>
                <w:sz w:val="22"/>
              </w:rPr>
              <w:t>quality-related</w:t>
            </w:r>
            <w:r>
              <w:rPr>
                <w:rFonts w:ascii="Calibri"/>
                <w:spacing w:val="-6"/>
                <w:sz w:val="22"/>
              </w:rPr>
              <w:t> </w:t>
            </w:r>
            <w:r>
              <w:rPr>
                <w:rFonts w:ascii="Calibri"/>
                <w:sz w:val="22"/>
              </w:rPr>
              <w:t>concepts</w:t>
            </w:r>
            <w:r>
              <w:rPr>
                <w:rFonts w:ascii="Calibri"/>
                <w:spacing w:val="-5"/>
                <w:sz w:val="22"/>
              </w:rPr>
              <w:t> </w:t>
            </w:r>
            <w:r>
              <w:rPr>
                <w:rFonts w:ascii="Calibri"/>
                <w:sz w:val="22"/>
              </w:rPr>
              <w:t>and</w:t>
            </w:r>
            <w:r>
              <w:rPr>
                <w:rFonts w:ascii="Calibri"/>
                <w:spacing w:val="-7"/>
                <w:sz w:val="22"/>
              </w:rPr>
              <w:t> </w:t>
            </w:r>
            <w:r>
              <w:rPr>
                <w:rFonts w:ascii="Calibri"/>
                <w:spacing w:val="-2"/>
                <w:sz w:val="22"/>
              </w:rPr>
              <w:t>skills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10"/>
                <w:sz w:val="22"/>
              </w:rPr>
              <w:t>3</w:t>
            </w:r>
          </w:p>
        </w:tc>
        <w:tc>
          <w:tcPr>
            <w:tcW w:w="6372" w:type="dxa"/>
          </w:tcPr>
          <w:p>
            <w:pPr>
              <w:pStyle w:val="TableParagraph"/>
              <w:spacing w:line="248" w:lineRule="exact"/>
              <w:ind w:left="107"/>
              <w:rPr>
                <w:rFonts w:ascii="Calibri"/>
                <w:sz w:val="22"/>
              </w:rPr>
            </w:pPr>
            <w:r>
              <w:rPr>
                <w:rFonts w:ascii="Calibri"/>
                <w:sz w:val="22"/>
              </w:rPr>
              <w:t>Top</w:t>
            </w:r>
            <w:r>
              <w:rPr>
                <w:rFonts w:ascii="Calibri"/>
                <w:spacing w:val="-8"/>
                <w:sz w:val="22"/>
              </w:rPr>
              <w:t> </w:t>
            </w:r>
            <w:r>
              <w:rPr>
                <w:rFonts w:ascii="Calibri"/>
                <w:sz w:val="22"/>
              </w:rPr>
              <w:t>management</w:t>
            </w:r>
            <w:r>
              <w:rPr>
                <w:rFonts w:ascii="Calibri"/>
                <w:spacing w:val="-6"/>
                <w:sz w:val="22"/>
              </w:rPr>
              <w:t> </w:t>
            </w:r>
            <w:r>
              <w:rPr>
                <w:rFonts w:ascii="Calibri"/>
                <w:sz w:val="22"/>
              </w:rPr>
              <w:t>empowers</w:t>
            </w:r>
            <w:r>
              <w:rPr>
                <w:rFonts w:ascii="Calibri"/>
                <w:spacing w:val="-4"/>
                <w:sz w:val="22"/>
              </w:rPr>
              <w:t> </w:t>
            </w:r>
            <w:r>
              <w:rPr>
                <w:rFonts w:ascii="Calibri"/>
                <w:sz w:val="22"/>
              </w:rPr>
              <w:t>employees</w:t>
            </w:r>
            <w:r>
              <w:rPr>
                <w:rFonts w:ascii="Calibri"/>
                <w:spacing w:val="-6"/>
                <w:sz w:val="22"/>
              </w:rPr>
              <w:t> </w:t>
            </w:r>
            <w:r>
              <w:rPr>
                <w:rFonts w:ascii="Calibri"/>
                <w:sz w:val="22"/>
              </w:rPr>
              <w:t>to</w:t>
            </w:r>
            <w:r>
              <w:rPr>
                <w:rFonts w:ascii="Calibri"/>
                <w:spacing w:val="-4"/>
                <w:sz w:val="22"/>
              </w:rPr>
              <w:t> </w:t>
            </w:r>
            <w:r>
              <w:rPr>
                <w:rFonts w:ascii="Calibri"/>
                <w:sz w:val="22"/>
              </w:rPr>
              <w:t>solve</w:t>
            </w:r>
            <w:r>
              <w:rPr>
                <w:rFonts w:ascii="Calibri"/>
                <w:spacing w:val="-3"/>
                <w:sz w:val="22"/>
              </w:rPr>
              <w:t> </w:t>
            </w:r>
            <w:r>
              <w:rPr>
                <w:rFonts w:ascii="Calibri"/>
                <w:sz w:val="22"/>
              </w:rPr>
              <w:t>quality</w:t>
            </w:r>
            <w:r>
              <w:rPr>
                <w:rFonts w:ascii="Calibri"/>
                <w:spacing w:val="-3"/>
                <w:sz w:val="22"/>
              </w:rPr>
              <w:t> </w:t>
            </w:r>
            <w:r>
              <w:rPr>
                <w:rFonts w:ascii="Calibri"/>
                <w:spacing w:val="-2"/>
                <w:sz w:val="22"/>
              </w:rPr>
              <w:t>problems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5" w:lineRule="exact"/>
              <w:ind w:left="107"/>
              <w:rPr>
                <w:rFonts w:ascii="Calibri"/>
                <w:sz w:val="22"/>
              </w:rPr>
            </w:pPr>
            <w:r>
              <w:rPr>
                <w:rFonts w:ascii="Calibri"/>
                <w:spacing w:val="-10"/>
                <w:sz w:val="22"/>
              </w:rPr>
              <w:t>4</w:t>
            </w:r>
          </w:p>
        </w:tc>
        <w:tc>
          <w:tcPr>
            <w:tcW w:w="6372" w:type="dxa"/>
          </w:tcPr>
          <w:p>
            <w:pPr>
              <w:pStyle w:val="TableParagraph"/>
              <w:spacing w:line="265" w:lineRule="exact"/>
              <w:ind w:left="107"/>
              <w:rPr>
                <w:rFonts w:ascii="Calibri"/>
                <w:sz w:val="22"/>
              </w:rPr>
            </w:pPr>
            <w:r>
              <w:rPr>
                <w:rFonts w:ascii="Calibri"/>
                <w:sz w:val="22"/>
              </w:rPr>
              <w:t>Top</w:t>
            </w:r>
            <w:r>
              <w:rPr>
                <w:rFonts w:ascii="Calibri"/>
                <w:spacing w:val="-9"/>
                <w:sz w:val="22"/>
              </w:rPr>
              <w:t> </w:t>
            </w:r>
            <w:r>
              <w:rPr>
                <w:rFonts w:ascii="Calibri"/>
                <w:sz w:val="22"/>
              </w:rPr>
              <w:t>management</w:t>
            </w:r>
            <w:r>
              <w:rPr>
                <w:rFonts w:ascii="Calibri"/>
                <w:spacing w:val="-6"/>
                <w:sz w:val="22"/>
              </w:rPr>
              <w:t> </w:t>
            </w:r>
            <w:r>
              <w:rPr>
                <w:rFonts w:ascii="Calibri"/>
                <w:sz w:val="22"/>
              </w:rPr>
              <w:t>discusses</w:t>
            </w:r>
            <w:r>
              <w:rPr>
                <w:rFonts w:ascii="Calibri"/>
                <w:spacing w:val="-6"/>
                <w:sz w:val="22"/>
              </w:rPr>
              <w:t> </w:t>
            </w:r>
            <w:r>
              <w:rPr>
                <w:rFonts w:ascii="Calibri"/>
                <w:sz w:val="22"/>
              </w:rPr>
              <w:t>many</w:t>
            </w:r>
            <w:r>
              <w:rPr>
                <w:rFonts w:ascii="Calibri"/>
                <w:spacing w:val="-5"/>
                <w:sz w:val="22"/>
              </w:rPr>
              <w:t> </w:t>
            </w:r>
            <w:r>
              <w:rPr>
                <w:rFonts w:ascii="Calibri"/>
                <w:sz w:val="22"/>
              </w:rPr>
              <w:t>quality-related</w:t>
            </w:r>
            <w:r>
              <w:rPr>
                <w:rFonts w:ascii="Calibri"/>
                <w:spacing w:val="-5"/>
                <w:sz w:val="22"/>
              </w:rPr>
              <w:t> </w:t>
            </w:r>
            <w:r>
              <w:rPr>
                <w:rFonts w:ascii="Calibri"/>
                <w:sz w:val="22"/>
              </w:rPr>
              <w:t>issues</w:t>
            </w:r>
            <w:r>
              <w:rPr>
                <w:rFonts w:ascii="Calibri"/>
                <w:spacing w:val="-4"/>
                <w:sz w:val="22"/>
              </w:rPr>
              <w:t> </w:t>
            </w:r>
            <w:r>
              <w:rPr>
                <w:rFonts w:ascii="Calibri"/>
                <w:sz w:val="22"/>
              </w:rPr>
              <w:t>in</w:t>
            </w:r>
            <w:r>
              <w:rPr>
                <w:rFonts w:ascii="Calibri"/>
                <w:spacing w:val="-4"/>
                <w:sz w:val="22"/>
              </w:rPr>
              <w:t> </w:t>
            </w:r>
            <w:r>
              <w:rPr>
                <w:rFonts w:ascii="Calibri"/>
                <w:spacing w:val="-5"/>
                <w:sz w:val="22"/>
              </w:rPr>
              <w:t>top</w:t>
            </w:r>
          </w:p>
          <w:p>
            <w:pPr>
              <w:pStyle w:val="TableParagraph"/>
              <w:spacing w:line="252" w:lineRule="exact"/>
              <w:ind w:left="107"/>
              <w:rPr>
                <w:rFonts w:ascii="Calibri"/>
                <w:sz w:val="22"/>
              </w:rPr>
            </w:pPr>
            <w:r>
              <w:rPr>
                <w:rFonts w:ascii="Calibri"/>
                <w:sz w:val="22"/>
              </w:rPr>
              <w:t>management</w:t>
            </w:r>
            <w:r>
              <w:rPr>
                <w:rFonts w:ascii="Calibri"/>
                <w:spacing w:val="-7"/>
                <w:sz w:val="22"/>
              </w:rPr>
              <w:t> </w:t>
            </w:r>
            <w:r>
              <w:rPr>
                <w:rFonts w:ascii="Calibri"/>
                <w:spacing w:val="-2"/>
                <w:sz w:val="22"/>
              </w:rPr>
              <w:t>meetings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10"/>
                <w:sz w:val="22"/>
              </w:rPr>
              <w:t>5</w:t>
            </w:r>
          </w:p>
        </w:tc>
        <w:tc>
          <w:tcPr>
            <w:tcW w:w="6372" w:type="dxa"/>
          </w:tcPr>
          <w:p>
            <w:pPr>
              <w:pStyle w:val="TableParagraph"/>
              <w:spacing w:line="248" w:lineRule="exact"/>
              <w:ind w:left="107"/>
              <w:rPr>
                <w:rFonts w:ascii="Calibri"/>
                <w:sz w:val="22"/>
              </w:rPr>
            </w:pPr>
            <w:r>
              <w:rPr>
                <w:rFonts w:ascii="Calibri"/>
                <w:sz w:val="22"/>
              </w:rPr>
              <w:t>Top</w:t>
            </w:r>
            <w:r>
              <w:rPr>
                <w:rFonts w:ascii="Calibri"/>
                <w:spacing w:val="-6"/>
                <w:sz w:val="22"/>
              </w:rPr>
              <w:t> </w:t>
            </w:r>
            <w:r>
              <w:rPr>
                <w:rFonts w:ascii="Calibri"/>
                <w:sz w:val="22"/>
              </w:rPr>
              <w:t>management</w:t>
            </w:r>
            <w:r>
              <w:rPr>
                <w:rFonts w:ascii="Calibri"/>
                <w:spacing w:val="-5"/>
                <w:sz w:val="22"/>
              </w:rPr>
              <w:t> </w:t>
            </w:r>
            <w:r>
              <w:rPr>
                <w:rFonts w:ascii="Calibri"/>
                <w:sz w:val="22"/>
              </w:rPr>
              <w:t>focuses</w:t>
            </w:r>
            <w:r>
              <w:rPr>
                <w:rFonts w:ascii="Calibri"/>
                <w:spacing w:val="-5"/>
                <w:sz w:val="22"/>
              </w:rPr>
              <w:t> </w:t>
            </w:r>
            <w:r>
              <w:rPr>
                <w:rFonts w:ascii="Calibri"/>
                <w:sz w:val="22"/>
              </w:rPr>
              <w:t>on</w:t>
            </w:r>
            <w:r>
              <w:rPr>
                <w:rFonts w:ascii="Calibri"/>
                <w:spacing w:val="-3"/>
                <w:sz w:val="22"/>
              </w:rPr>
              <w:t> </w:t>
            </w:r>
            <w:r>
              <w:rPr>
                <w:rFonts w:ascii="Calibri"/>
                <w:sz w:val="22"/>
              </w:rPr>
              <w:t>product</w:t>
            </w:r>
            <w:r>
              <w:rPr>
                <w:rFonts w:ascii="Calibri"/>
                <w:spacing w:val="-5"/>
                <w:sz w:val="22"/>
              </w:rPr>
              <w:t> </w:t>
            </w:r>
            <w:r>
              <w:rPr>
                <w:rFonts w:ascii="Calibri"/>
                <w:sz w:val="22"/>
              </w:rPr>
              <w:t>quality</w:t>
            </w:r>
            <w:r>
              <w:rPr>
                <w:rFonts w:ascii="Calibri"/>
                <w:spacing w:val="-4"/>
                <w:sz w:val="22"/>
              </w:rPr>
              <w:t> </w:t>
            </w:r>
            <w:r>
              <w:rPr>
                <w:rFonts w:ascii="Calibri"/>
                <w:sz w:val="22"/>
              </w:rPr>
              <w:t>rather</w:t>
            </w:r>
            <w:r>
              <w:rPr>
                <w:rFonts w:ascii="Calibri"/>
                <w:spacing w:val="-5"/>
                <w:sz w:val="22"/>
              </w:rPr>
              <w:t> </w:t>
            </w:r>
            <w:r>
              <w:rPr>
                <w:rFonts w:ascii="Calibri"/>
                <w:sz w:val="22"/>
              </w:rPr>
              <w:t>than</w:t>
            </w:r>
            <w:r>
              <w:rPr>
                <w:rFonts w:ascii="Calibri"/>
                <w:spacing w:val="-3"/>
                <w:sz w:val="22"/>
              </w:rPr>
              <w:t> </w:t>
            </w:r>
            <w:r>
              <w:rPr>
                <w:rFonts w:ascii="Calibri"/>
                <w:spacing w:val="-2"/>
                <w:sz w:val="22"/>
              </w:rPr>
              <w:t>yields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Customer</w:t>
            </w:r>
            <w:r>
              <w:rPr>
                <w:rFonts w:ascii="Calibri"/>
                <w:b/>
                <w:spacing w:val="-6"/>
                <w:sz w:val="22"/>
                <w:u w:val="single"/>
              </w:rPr>
              <w:t> </w:t>
            </w:r>
            <w:r>
              <w:rPr>
                <w:rFonts w:ascii="Calibri"/>
                <w:b/>
                <w:spacing w:val="-2"/>
                <w:sz w:val="22"/>
                <w:u w:val="single"/>
              </w:rPr>
              <w:t>Focus</w:t>
            </w:r>
          </w:p>
        </w:tc>
      </w:tr>
      <w:tr>
        <w:trPr>
          <w:trHeight w:val="537" w:hRule="atLeast"/>
        </w:trPr>
        <w:tc>
          <w:tcPr>
            <w:tcW w:w="588" w:type="dxa"/>
          </w:tcPr>
          <w:p>
            <w:pPr>
              <w:pStyle w:val="TableParagraph"/>
              <w:spacing w:line="265" w:lineRule="exact"/>
              <w:ind w:left="107"/>
              <w:rPr>
                <w:rFonts w:ascii="Calibri"/>
                <w:sz w:val="22"/>
              </w:rPr>
            </w:pPr>
            <w:r>
              <w:rPr>
                <w:rFonts w:ascii="Calibri"/>
                <w:spacing w:val="-10"/>
                <w:sz w:val="22"/>
              </w:rPr>
              <w:t>6</w:t>
            </w:r>
          </w:p>
        </w:tc>
        <w:tc>
          <w:tcPr>
            <w:tcW w:w="6372" w:type="dxa"/>
          </w:tcPr>
          <w:p>
            <w:pPr>
              <w:pStyle w:val="TableParagraph"/>
              <w:spacing w:line="265" w:lineRule="exact"/>
              <w:ind w:left="107"/>
              <w:rPr>
                <w:rFonts w:ascii="Calibri"/>
                <w:sz w:val="22"/>
              </w:rPr>
            </w:pPr>
            <w:r>
              <w:rPr>
                <w:rFonts w:ascii="Calibri"/>
                <w:sz w:val="22"/>
              </w:rPr>
              <w:t>We</w:t>
            </w:r>
            <w:r>
              <w:rPr>
                <w:rFonts w:ascii="Calibri"/>
                <w:spacing w:val="-4"/>
                <w:sz w:val="22"/>
              </w:rPr>
              <w:t> </w:t>
            </w:r>
            <w:r>
              <w:rPr>
                <w:rFonts w:ascii="Calibri"/>
                <w:sz w:val="22"/>
              </w:rPr>
              <w:t>actively</w:t>
            </w:r>
            <w:r>
              <w:rPr>
                <w:rFonts w:ascii="Calibri"/>
                <w:spacing w:val="-3"/>
                <w:sz w:val="22"/>
              </w:rPr>
              <w:t> </w:t>
            </w:r>
            <w:r>
              <w:rPr>
                <w:rFonts w:ascii="Calibri"/>
                <w:sz w:val="22"/>
              </w:rPr>
              <w:t>and</w:t>
            </w:r>
            <w:r>
              <w:rPr>
                <w:rFonts w:ascii="Calibri"/>
                <w:spacing w:val="-5"/>
                <w:sz w:val="22"/>
              </w:rPr>
              <w:t> </w:t>
            </w:r>
            <w:r>
              <w:rPr>
                <w:rFonts w:ascii="Calibri"/>
                <w:sz w:val="22"/>
              </w:rPr>
              <w:t>regularly</w:t>
            </w:r>
            <w:r>
              <w:rPr>
                <w:rFonts w:ascii="Calibri"/>
                <w:spacing w:val="-4"/>
                <w:sz w:val="22"/>
              </w:rPr>
              <w:t> </w:t>
            </w:r>
            <w:r>
              <w:rPr>
                <w:rFonts w:ascii="Calibri"/>
                <w:sz w:val="22"/>
              </w:rPr>
              <w:t>seek</w:t>
            </w:r>
            <w:r>
              <w:rPr>
                <w:rFonts w:ascii="Calibri"/>
                <w:spacing w:val="-6"/>
                <w:sz w:val="22"/>
              </w:rPr>
              <w:t> </w:t>
            </w:r>
            <w:r>
              <w:rPr>
                <w:rFonts w:ascii="Calibri"/>
                <w:sz w:val="22"/>
              </w:rPr>
              <w:t>customers</w:t>
            </w:r>
            <w:r>
              <w:rPr>
                <w:rFonts w:ascii="Calibri"/>
                <w:spacing w:val="-4"/>
                <w:sz w:val="22"/>
              </w:rPr>
              <w:t> </w:t>
            </w:r>
            <w:r>
              <w:rPr>
                <w:rFonts w:ascii="Calibri"/>
                <w:sz w:val="22"/>
              </w:rPr>
              <w:t>input</w:t>
            </w:r>
            <w:r>
              <w:rPr>
                <w:rFonts w:ascii="Calibri"/>
                <w:spacing w:val="-3"/>
                <w:sz w:val="22"/>
              </w:rPr>
              <w:t> </w:t>
            </w:r>
            <w:r>
              <w:rPr>
                <w:rFonts w:ascii="Calibri"/>
                <w:sz w:val="22"/>
              </w:rPr>
              <w:t>to</w:t>
            </w:r>
            <w:r>
              <w:rPr>
                <w:rFonts w:ascii="Calibri"/>
                <w:spacing w:val="41"/>
                <w:sz w:val="22"/>
              </w:rPr>
              <w:t> </w:t>
            </w:r>
            <w:r>
              <w:rPr>
                <w:rFonts w:ascii="Calibri"/>
                <w:sz w:val="22"/>
              </w:rPr>
              <w:t>identify</w:t>
            </w:r>
            <w:r>
              <w:rPr>
                <w:rFonts w:ascii="Calibri"/>
                <w:spacing w:val="-3"/>
                <w:sz w:val="22"/>
              </w:rPr>
              <w:t> </w:t>
            </w:r>
            <w:r>
              <w:rPr>
                <w:rFonts w:ascii="Calibri"/>
                <w:spacing w:val="-2"/>
                <w:sz w:val="22"/>
              </w:rPr>
              <w:t>their</w:t>
            </w:r>
          </w:p>
          <w:p>
            <w:pPr>
              <w:pStyle w:val="TableParagraph"/>
              <w:spacing w:line="252" w:lineRule="exact"/>
              <w:ind w:left="107"/>
              <w:rPr>
                <w:rFonts w:ascii="Calibri"/>
                <w:sz w:val="22"/>
              </w:rPr>
            </w:pPr>
            <w:r>
              <w:rPr>
                <w:rFonts w:ascii="Calibri"/>
                <w:sz w:val="22"/>
              </w:rPr>
              <w:t>needs</w:t>
            </w:r>
            <w:r>
              <w:rPr>
                <w:rFonts w:ascii="Calibri"/>
                <w:spacing w:val="-3"/>
                <w:sz w:val="22"/>
              </w:rPr>
              <w:t> </w:t>
            </w:r>
            <w:r>
              <w:rPr>
                <w:rFonts w:ascii="Calibri"/>
                <w:sz w:val="22"/>
              </w:rPr>
              <w:t>and</w:t>
            </w:r>
            <w:r>
              <w:rPr>
                <w:rFonts w:ascii="Calibri"/>
                <w:spacing w:val="-2"/>
                <w:sz w:val="22"/>
              </w:rPr>
              <w:t> expectations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5" w:lineRule="exact"/>
              <w:ind w:left="107"/>
              <w:rPr>
                <w:rFonts w:ascii="Calibri"/>
                <w:sz w:val="22"/>
              </w:rPr>
            </w:pPr>
            <w:r>
              <w:rPr>
                <w:rFonts w:ascii="Calibri"/>
                <w:spacing w:val="-10"/>
                <w:sz w:val="22"/>
              </w:rPr>
              <w:t>7</w:t>
            </w:r>
          </w:p>
        </w:tc>
        <w:tc>
          <w:tcPr>
            <w:tcW w:w="6372" w:type="dxa"/>
          </w:tcPr>
          <w:p>
            <w:pPr>
              <w:pStyle w:val="TableParagraph"/>
              <w:spacing w:line="265" w:lineRule="exact"/>
              <w:ind w:left="107"/>
              <w:rPr>
                <w:rFonts w:ascii="Calibri"/>
                <w:sz w:val="22"/>
              </w:rPr>
            </w:pPr>
            <w:r>
              <w:rPr>
                <w:rFonts w:ascii="Calibri"/>
                <w:sz w:val="22"/>
              </w:rPr>
              <w:t>Customer</w:t>
            </w:r>
            <w:r>
              <w:rPr>
                <w:rFonts w:ascii="Calibri"/>
                <w:spacing w:val="-7"/>
                <w:sz w:val="22"/>
              </w:rPr>
              <w:t> </w:t>
            </w:r>
            <w:r>
              <w:rPr>
                <w:rFonts w:ascii="Calibri"/>
                <w:sz w:val="22"/>
              </w:rPr>
              <w:t>needs</w:t>
            </w:r>
            <w:r>
              <w:rPr>
                <w:rFonts w:ascii="Calibri"/>
                <w:spacing w:val="-6"/>
                <w:sz w:val="22"/>
              </w:rPr>
              <w:t> </w:t>
            </w:r>
            <w:r>
              <w:rPr>
                <w:rFonts w:ascii="Calibri"/>
                <w:sz w:val="22"/>
              </w:rPr>
              <w:t>and</w:t>
            </w:r>
            <w:r>
              <w:rPr>
                <w:rFonts w:ascii="Calibri"/>
                <w:spacing w:val="-7"/>
                <w:sz w:val="22"/>
              </w:rPr>
              <w:t> </w:t>
            </w:r>
            <w:r>
              <w:rPr>
                <w:rFonts w:ascii="Calibri"/>
                <w:sz w:val="22"/>
              </w:rPr>
              <w:t>expectations</w:t>
            </w:r>
            <w:r>
              <w:rPr>
                <w:rFonts w:ascii="Calibri"/>
                <w:spacing w:val="-7"/>
                <w:sz w:val="22"/>
              </w:rPr>
              <w:t> </w:t>
            </w:r>
            <w:r>
              <w:rPr>
                <w:rFonts w:ascii="Calibri"/>
                <w:sz w:val="22"/>
              </w:rPr>
              <w:t>are</w:t>
            </w:r>
            <w:r>
              <w:rPr>
                <w:rFonts w:ascii="Calibri"/>
                <w:spacing w:val="-7"/>
                <w:sz w:val="22"/>
              </w:rPr>
              <w:t> </w:t>
            </w:r>
            <w:r>
              <w:rPr>
                <w:rFonts w:ascii="Calibri"/>
                <w:sz w:val="22"/>
              </w:rPr>
              <w:t>effectively</w:t>
            </w:r>
            <w:r>
              <w:rPr>
                <w:rFonts w:ascii="Calibri"/>
                <w:spacing w:val="-5"/>
                <w:sz w:val="22"/>
              </w:rPr>
              <w:t> </w:t>
            </w:r>
            <w:r>
              <w:rPr>
                <w:rFonts w:ascii="Calibri"/>
                <w:sz w:val="22"/>
              </w:rPr>
              <w:t>disseminated</w:t>
            </w:r>
            <w:r>
              <w:rPr>
                <w:rFonts w:ascii="Calibri"/>
                <w:spacing w:val="-7"/>
                <w:sz w:val="22"/>
              </w:rPr>
              <w:t> </w:t>
            </w:r>
            <w:r>
              <w:rPr>
                <w:rFonts w:ascii="Calibri"/>
                <w:spacing w:val="-5"/>
                <w:sz w:val="22"/>
              </w:rPr>
              <w:t>and</w:t>
            </w:r>
          </w:p>
          <w:p>
            <w:pPr>
              <w:pStyle w:val="TableParagraph"/>
              <w:spacing w:line="252" w:lineRule="exact"/>
              <w:ind w:left="107"/>
              <w:rPr>
                <w:rFonts w:ascii="Calibri"/>
                <w:sz w:val="22"/>
              </w:rPr>
            </w:pPr>
            <w:r>
              <w:rPr>
                <w:rFonts w:ascii="Calibri"/>
                <w:sz w:val="22"/>
              </w:rPr>
              <w:t>understood</w:t>
            </w:r>
            <w:r>
              <w:rPr>
                <w:rFonts w:ascii="Calibri"/>
                <w:spacing w:val="-6"/>
                <w:sz w:val="22"/>
              </w:rPr>
              <w:t> </w:t>
            </w:r>
            <w:r>
              <w:rPr>
                <w:rFonts w:ascii="Calibri"/>
                <w:sz w:val="22"/>
              </w:rPr>
              <w:t>throughout</w:t>
            </w:r>
            <w:r>
              <w:rPr>
                <w:rFonts w:ascii="Calibri"/>
                <w:spacing w:val="-4"/>
                <w:sz w:val="22"/>
              </w:rPr>
              <w:t> </w:t>
            </w:r>
            <w:r>
              <w:rPr>
                <w:rFonts w:ascii="Calibri"/>
                <w:sz w:val="22"/>
              </w:rPr>
              <w:t>the</w:t>
            </w:r>
            <w:r>
              <w:rPr>
                <w:rFonts w:ascii="Calibri"/>
                <w:spacing w:val="-4"/>
                <w:sz w:val="22"/>
              </w:rPr>
              <w:t> </w:t>
            </w:r>
            <w:r>
              <w:rPr>
                <w:rFonts w:ascii="Calibri"/>
                <w:spacing w:val="-2"/>
                <w:sz w:val="22"/>
              </w:rPr>
              <w:t>workforce</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10"/>
                <w:sz w:val="22"/>
              </w:rPr>
              <w:t>8</w:t>
            </w:r>
          </w:p>
        </w:tc>
        <w:tc>
          <w:tcPr>
            <w:tcW w:w="6372" w:type="dxa"/>
          </w:tcPr>
          <w:p>
            <w:pPr>
              <w:pStyle w:val="TableParagraph"/>
              <w:spacing w:line="248" w:lineRule="exact"/>
              <w:ind w:left="107"/>
              <w:rPr>
                <w:rFonts w:ascii="Calibri"/>
                <w:sz w:val="22"/>
              </w:rPr>
            </w:pPr>
            <w:r>
              <w:rPr>
                <w:rFonts w:ascii="Calibri"/>
                <w:sz w:val="22"/>
              </w:rPr>
              <w:t>Our</w:t>
            </w:r>
            <w:r>
              <w:rPr>
                <w:rFonts w:ascii="Calibri"/>
                <w:spacing w:val="-4"/>
                <w:sz w:val="22"/>
              </w:rPr>
              <w:t> </w:t>
            </w:r>
            <w:r>
              <w:rPr>
                <w:rFonts w:ascii="Calibri"/>
                <w:sz w:val="22"/>
              </w:rPr>
              <w:t>firm</w:t>
            </w:r>
            <w:r>
              <w:rPr>
                <w:rFonts w:ascii="Calibri"/>
                <w:spacing w:val="-4"/>
                <w:sz w:val="22"/>
              </w:rPr>
              <w:t> </w:t>
            </w:r>
            <w:r>
              <w:rPr>
                <w:rFonts w:ascii="Calibri"/>
                <w:sz w:val="22"/>
              </w:rPr>
              <w:t>involves</w:t>
            </w:r>
            <w:r>
              <w:rPr>
                <w:rFonts w:ascii="Calibri"/>
                <w:spacing w:val="-3"/>
                <w:sz w:val="22"/>
              </w:rPr>
              <w:t> </w:t>
            </w:r>
            <w:r>
              <w:rPr>
                <w:rFonts w:ascii="Calibri"/>
                <w:sz w:val="22"/>
              </w:rPr>
              <w:t>customer</w:t>
            </w:r>
            <w:r>
              <w:rPr>
                <w:rFonts w:ascii="Calibri"/>
                <w:spacing w:val="-5"/>
                <w:sz w:val="22"/>
              </w:rPr>
              <w:t> </w:t>
            </w:r>
            <w:r>
              <w:rPr>
                <w:rFonts w:ascii="Calibri"/>
                <w:sz w:val="22"/>
              </w:rPr>
              <w:t>in</w:t>
            </w:r>
            <w:r>
              <w:rPr>
                <w:rFonts w:ascii="Calibri"/>
                <w:spacing w:val="-4"/>
                <w:sz w:val="22"/>
              </w:rPr>
              <w:t> </w:t>
            </w:r>
            <w:r>
              <w:rPr>
                <w:rFonts w:ascii="Calibri"/>
                <w:sz w:val="22"/>
              </w:rPr>
              <w:t>our</w:t>
            </w:r>
            <w:r>
              <w:rPr>
                <w:rFonts w:ascii="Calibri"/>
                <w:spacing w:val="-3"/>
                <w:sz w:val="22"/>
              </w:rPr>
              <w:t> </w:t>
            </w:r>
            <w:r>
              <w:rPr>
                <w:rFonts w:ascii="Calibri"/>
                <w:sz w:val="22"/>
              </w:rPr>
              <w:t>product</w:t>
            </w:r>
            <w:r>
              <w:rPr>
                <w:rFonts w:ascii="Calibri"/>
                <w:spacing w:val="-2"/>
                <w:sz w:val="22"/>
              </w:rPr>
              <w:t> </w:t>
            </w:r>
            <w:r>
              <w:rPr>
                <w:rFonts w:ascii="Calibri"/>
                <w:sz w:val="22"/>
              </w:rPr>
              <w:t>design</w:t>
            </w:r>
            <w:r>
              <w:rPr>
                <w:rFonts w:ascii="Calibri"/>
                <w:spacing w:val="-4"/>
                <w:sz w:val="22"/>
              </w:rPr>
              <w:t> </w:t>
            </w:r>
            <w:r>
              <w:rPr>
                <w:rFonts w:ascii="Calibri"/>
                <w:spacing w:val="-2"/>
                <w:sz w:val="22"/>
              </w:rPr>
              <w:t>processes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10"/>
                <w:sz w:val="22"/>
              </w:rPr>
              <w:t>9</w:t>
            </w:r>
          </w:p>
        </w:tc>
        <w:tc>
          <w:tcPr>
            <w:tcW w:w="6372" w:type="dxa"/>
          </w:tcPr>
          <w:p>
            <w:pPr>
              <w:pStyle w:val="TableParagraph"/>
              <w:spacing w:line="248" w:lineRule="exact"/>
              <w:ind w:left="107"/>
              <w:rPr>
                <w:rFonts w:ascii="Calibri"/>
                <w:sz w:val="22"/>
              </w:rPr>
            </w:pPr>
            <w:r>
              <w:rPr>
                <w:rFonts w:ascii="Calibri"/>
                <w:sz w:val="22"/>
              </w:rPr>
              <w:t>We</w:t>
            </w:r>
            <w:r>
              <w:rPr>
                <w:rFonts w:ascii="Calibri"/>
                <w:spacing w:val="-5"/>
                <w:sz w:val="22"/>
              </w:rPr>
              <w:t> </w:t>
            </w:r>
            <w:r>
              <w:rPr>
                <w:rFonts w:ascii="Calibri"/>
                <w:sz w:val="22"/>
              </w:rPr>
              <w:t>systematically</w:t>
            </w:r>
            <w:r>
              <w:rPr>
                <w:rFonts w:ascii="Calibri"/>
                <w:spacing w:val="-5"/>
                <w:sz w:val="22"/>
              </w:rPr>
              <w:t> </w:t>
            </w:r>
            <w:r>
              <w:rPr>
                <w:rFonts w:ascii="Calibri"/>
                <w:sz w:val="22"/>
              </w:rPr>
              <w:t>and</w:t>
            </w:r>
            <w:r>
              <w:rPr>
                <w:rFonts w:ascii="Calibri"/>
                <w:spacing w:val="-6"/>
                <w:sz w:val="22"/>
              </w:rPr>
              <w:t> </w:t>
            </w:r>
            <w:r>
              <w:rPr>
                <w:rFonts w:ascii="Calibri"/>
                <w:sz w:val="22"/>
              </w:rPr>
              <w:t>regularly</w:t>
            </w:r>
            <w:r>
              <w:rPr>
                <w:rFonts w:ascii="Calibri"/>
                <w:spacing w:val="-6"/>
                <w:sz w:val="22"/>
              </w:rPr>
              <w:t> </w:t>
            </w:r>
            <w:r>
              <w:rPr>
                <w:rFonts w:ascii="Calibri"/>
                <w:sz w:val="22"/>
              </w:rPr>
              <w:t>measure</w:t>
            </w:r>
            <w:r>
              <w:rPr>
                <w:rFonts w:ascii="Calibri"/>
                <w:spacing w:val="-7"/>
                <w:sz w:val="22"/>
              </w:rPr>
              <w:t> </w:t>
            </w:r>
            <w:r>
              <w:rPr>
                <w:rFonts w:ascii="Calibri"/>
                <w:sz w:val="22"/>
              </w:rPr>
              <w:t>customer</w:t>
            </w:r>
            <w:r>
              <w:rPr>
                <w:rFonts w:ascii="Calibri"/>
                <w:spacing w:val="-6"/>
                <w:sz w:val="22"/>
              </w:rPr>
              <w:t> </w:t>
            </w:r>
            <w:r>
              <w:rPr>
                <w:rFonts w:ascii="Calibri"/>
                <w:spacing w:val="-2"/>
                <w:sz w:val="22"/>
              </w:rPr>
              <w:t>satisfaction</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10</w:t>
            </w:r>
          </w:p>
        </w:tc>
        <w:tc>
          <w:tcPr>
            <w:tcW w:w="6372" w:type="dxa"/>
          </w:tcPr>
          <w:p>
            <w:pPr>
              <w:pStyle w:val="TableParagraph"/>
              <w:spacing w:line="248" w:lineRule="exact"/>
              <w:ind w:left="107"/>
              <w:rPr>
                <w:rFonts w:ascii="Calibri"/>
                <w:sz w:val="22"/>
              </w:rPr>
            </w:pPr>
            <w:r>
              <w:rPr>
                <w:rFonts w:ascii="Calibri"/>
                <w:sz w:val="22"/>
              </w:rPr>
              <w:t>Quality-related</w:t>
            </w:r>
            <w:r>
              <w:rPr>
                <w:rFonts w:ascii="Calibri"/>
                <w:spacing w:val="-6"/>
                <w:sz w:val="22"/>
              </w:rPr>
              <w:t> </w:t>
            </w:r>
            <w:r>
              <w:rPr>
                <w:rFonts w:ascii="Calibri"/>
                <w:sz w:val="22"/>
              </w:rPr>
              <w:t>customer</w:t>
            </w:r>
            <w:r>
              <w:rPr>
                <w:rFonts w:ascii="Calibri"/>
                <w:spacing w:val="-5"/>
                <w:sz w:val="22"/>
              </w:rPr>
              <w:t> </w:t>
            </w:r>
            <w:r>
              <w:rPr>
                <w:rFonts w:ascii="Calibri"/>
                <w:sz w:val="22"/>
              </w:rPr>
              <w:t>complaints</w:t>
            </w:r>
            <w:r>
              <w:rPr>
                <w:rFonts w:ascii="Calibri"/>
                <w:spacing w:val="-4"/>
                <w:sz w:val="22"/>
              </w:rPr>
              <w:t> </w:t>
            </w:r>
            <w:r>
              <w:rPr>
                <w:rFonts w:ascii="Calibri"/>
                <w:sz w:val="22"/>
              </w:rPr>
              <w:t>are</w:t>
            </w:r>
            <w:r>
              <w:rPr>
                <w:rFonts w:ascii="Calibri"/>
                <w:spacing w:val="-6"/>
                <w:sz w:val="22"/>
              </w:rPr>
              <w:t> </w:t>
            </w:r>
            <w:r>
              <w:rPr>
                <w:rFonts w:ascii="Calibri"/>
                <w:sz w:val="22"/>
              </w:rPr>
              <w:t>treated</w:t>
            </w:r>
            <w:r>
              <w:rPr>
                <w:rFonts w:ascii="Calibri"/>
                <w:spacing w:val="-8"/>
                <w:sz w:val="22"/>
              </w:rPr>
              <w:t> </w:t>
            </w:r>
            <w:r>
              <w:rPr>
                <w:rFonts w:ascii="Calibri"/>
                <w:sz w:val="22"/>
              </w:rPr>
              <w:t>with</w:t>
            </w:r>
            <w:r>
              <w:rPr>
                <w:rFonts w:ascii="Calibri"/>
                <w:spacing w:val="-7"/>
                <w:sz w:val="22"/>
              </w:rPr>
              <w:t> </w:t>
            </w:r>
            <w:r>
              <w:rPr>
                <w:rFonts w:ascii="Calibri"/>
                <w:sz w:val="22"/>
              </w:rPr>
              <w:t>top</w:t>
            </w:r>
            <w:r>
              <w:rPr>
                <w:rFonts w:ascii="Calibri"/>
                <w:spacing w:val="-5"/>
                <w:sz w:val="22"/>
              </w:rPr>
              <w:t> </w:t>
            </w:r>
            <w:r>
              <w:rPr>
                <w:rFonts w:ascii="Calibri"/>
                <w:spacing w:val="-2"/>
                <w:sz w:val="22"/>
              </w:rPr>
              <w:t>priority</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Continuous</w:t>
            </w:r>
            <w:r>
              <w:rPr>
                <w:rFonts w:ascii="Calibri"/>
                <w:b/>
                <w:spacing w:val="-7"/>
                <w:sz w:val="22"/>
                <w:u w:val="single"/>
              </w:rPr>
              <w:t> </w:t>
            </w:r>
            <w:r>
              <w:rPr>
                <w:rFonts w:ascii="Calibri"/>
                <w:b/>
                <w:spacing w:val="-2"/>
                <w:sz w:val="22"/>
                <w:u w:val="single"/>
              </w:rPr>
              <w:t>Improvement</w:t>
            </w: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11</w:t>
            </w:r>
          </w:p>
        </w:tc>
        <w:tc>
          <w:tcPr>
            <w:tcW w:w="6372" w:type="dxa"/>
          </w:tcPr>
          <w:p>
            <w:pPr>
              <w:pStyle w:val="TableParagraph"/>
              <w:spacing w:line="248" w:lineRule="exact"/>
              <w:ind w:left="107"/>
              <w:rPr>
                <w:rFonts w:ascii="Calibri"/>
                <w:sz w:val="22"/>
              </w:rPr>
            </w:pPr>
            <w:r>
              <w:rPr>
                <w:rFonts w:ascii="Calibri"/>
                <w:sz w:val="22"/>
              </w:rPr>
              <w:t>Company</w:t>
            </w:r>
            <w:r>
              <w:rPr>
                <w:rFonts w:ascii="Calibri"/>
                <w:spacing w:val="-5"/>
                <w:sz w:val="22"/>
              </w:rPr>
              <w:t> </w:t>
            </w:r>
            <w:r>
              <w:rPr>
                <w:rFonts w:ascii="Calibri"/>
                <w:sz w:val="22"/>
              </w:rPr>
              <w:t>emphasizes</w:t>
            </w:r>
            <w:r>
              <w:rPr>
                <w:rFonts w:ascii="Calibri"/>
                <w:spacing w:val="-7"/>
                <w:sz w:val="22"/>
              </w:rPr>
              <w:t> </w:t>
            </w:r>
            <w:r>
              <w:rPr>
                <w:rFonts w:ascii="Calibri"/>
                <w:sz w:val="22"/>
              </w:rPr>
              <w:t>improvement</w:t>
            </w:r>
            <w:r>
              <w:rPr>
                <w:rFonts w:ascii="Calibri"/>
                <w:spacing w:val="-4"/>
                <w:sz w:val="22"/>
              </w:rPr>
              <w:t> </w:t>
            </w:r>
            <w:r>
              <w:rPr>
                <w:rFonts w:ascii="Calibri"/>
                <w:sz w:val="22"/>
              </w:rPr>
              <w:t>rather</w:t>
            </w:r>
            <w:r>
              <w:rPr>
                <w:rFonts w:ascii="Calibri"/>
                <w:spacing w:val="-6"/>
                <w:sz w:val="22"/>
              </w:rPr>
              <w:t> </w:t>
            </w:r>
            <w:r>
              <w:rPr>
                <w:rFonts w:ascii="Calibri"/>
                <w:sz w:val="22"/>
              </w:rPr>
              <w:t>than</w:t>
            </w:r>
            <w:r>
              <w:rPr>
                <w:rFonts w:ascii="Calibri"/>
                <w:spacing w:val="-7"/>
                <w:sz w:val="22"/>
              </w:rPr>
              <w:t> </w:t>
            </w:r>
            <w:r>
              <w:rPr>
                <w:rFonts w:ascii="Calibri"/>
                <w:spacing w:val="-2"/>
                <w:sz w:val="22"/>
              </w:rPr>
              <w:t>maintenance</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12</w:t>
            </w:r>
          </w:p>
        </w:tc>
        <w:tc>
          <w:tcPr>
            <w:tcW w:w="6372" w:type="dxa"/>
          </w:tcPr>
          <w:p>
            <w:pPr>
              <w:pStyle w:val="TableParagraph"/>
              <w:spacing w:line="268" w:lineRule="exact"/>
              <w:ind w:left="107"/>
              <w:rPr>
                <w:rFonts w:ascii="Calibri"/>
                <w:sz w:val="22"/>
              </w:rPr>
            </w:pPr>
            <w:r>
              <w:rPr>
                <w:rFonts w:ascii="Calibri"/>
                <w:sz w:val="22"/>
              </w:rPr>
              <w:t>My</w:t>
            </w:r>
            <w:r>
              <w:rPr>
                <w:rFonts w:ascii="Calibri"/>
                <w:spacing w:val="-4"/>
                <w:sz w:val="22"/>
              </w:rPr>
              <w:t> </w:t>
            </w:r>
            <w:r>
              <w:rPr>
                <w:rFonts w:ascii="Calibri"/>
                <w:sz w:val="22"/>
              </w:rPr>
              <w:t>company</w:t>
            </w:r>
            <w:r>
              <w:rPr>
                <w:rFonts w:ascii="Calibri"/>
                <w:spacing w:val="-4"/>
                <w:sz w:val="22"/>
              </w:rPr>
              <w:t> </w:t>
            </w:r>
            <w:r>
              <w:rPr>
                <w:rFonts w:ascii="Calibri"/>
                <w:sz w:val="22"/>
              </w:rPr>
              <w:t>emphasise</w:t>
            </w:r>
            <w:r>
              <w:rPr>
                <w:rFonts w:ascii="Calibri"/>
                <w:spacing w:val="-5"/>
                <w:sz w:val="22"/>
              </w:rPr>
              <w:t> </w:t>
            </w:r>
            <w:r>
              <w:rPr>
                <w:rFonts w:ascii="Calibri"/>
                <w:sz w:val="22"/>
              </w:rPr>
              <w:t>the</w:t>
            </w:r>
            <w:r>
              <w:rPr>
                <w:rFonts w:ascii="Calibri"/>
                <w:spacing w:val="-2"/>
                <w:sz w:val="22"/>
              </w:rPr>
              <w:t> </w:t>
            </w:r>
            <w:r>
              <w:rPr>
                <w:rFonts w:ascii="Calibri"/>
                <w:sz w:val="22"/>
              </w:rPr>
              <w:t>best</w:t>
            </w:r>
            <w:r>
              <w:rPr>
                <w:rFonts w:ascii="Calibri"/>
                <w:spacing w:val="-5"/>
                <w:sz w:val="22"/>
              </w:rPr>
              <w:t> </w:t>
            </w:r>
            <w:r>
              <w:rPr>
                <w:rFonts w:ascii="Calibri"/>
                <w:sz w:val="22"/>
              </w:rPr>
              <w:t>implementation</w:t>
            </w:r>
            <w:r>
              <w:rPr>
                <w:rFonts w:ascii="Calibri"/>
                <w:spacing w:val="-6"/>
                <w:sz w:val="22"/>
              </w:rPr>
              <w:t> </w:t>
            </w:r>
            <w:r>
              <w:rPr>
                <w:rFonts w:ascii="Calibri"/>
                <w:sz w:val="22"/>
              </w:rPr>
              <w:t>of</w:t>
            </w:r>
            <w:r>
              <w:rPr>
                <w:rFonts w:ascii="Calibri"/>
                <w:spacing w:val="42"/>
                <w:sz w:val="22"/>
              </w:rPr>
              <w:t> </w:t>
            </w:r>
            <w:r>
              <w:rPr>
                <w:rFonts w:ascii="Calibri"/>
                <w:spacing w:val="-2"/>
                <w:sz w:val="22"/>
              </w:rPr>
              <w:t>continuous</w:t>
            </w:r>
          </w:p>
          <w:p>
            <w:pPr>
              <w:pStyle w:val="TableParagraph"/>
              <w:spacing w:line="249" w:lineRule="exact"/>
              <w:ind w:left="107"/>
              <w:rPr>
                <w:rFonts w:ascii="Calibri"/>
                <w:sz w:val="22"/>
              </w:rPr>
            </w:pPr>
            <w:r>
              <w:rPr>
                <w:rFonts w:ascii="Calibri"/>
                <w:sz w:val="22"/>
              </w:rPr>
              <w:t>improvement</w:t>
            </w:r>
            <w:r>
              <w:rPr>
                <w:rFonts w:ascii="Calibri"/>
                <w:spacing w:val="-2"/>
                <w:sz w:val="22"/>
              </w:rPr>
              <w:t> </w:t>
            </w:r>
            <w:r>
              <w:rPr>
                <w:rFonts w:ascii="Calibri"/>
                <w:sz w:val="22"/>
              </w:rPr>
              <w:t>process</w:t>
            </w:r>
            <w:r>
              <w:rPr>
                <w:rFonts w:ascii="Calibri"/>
                <w:spacing w:val="-5"/>
                <w:sz w:val="22"/>
              </w:rPr>
              <w:t> </w:t>
            </w:r>
            <w:r>
              <w:rPr>
                <w:rFonts w:ascii="Calibri"/>
                <w:sz w:val="22"/>
              </w:rPr>
              <w:t>for</w:t>
            </w:r>
            <w:r>
              <w:rPr>
                <w:rFonts w:ascii="Calibri"/>
                <w:spacing w:val="-5"/>
                <w:sz w:val="22"/>
              </w:rPr>
              <w:t> </w:t>
            </w:r>
            <w:r>
              <w:rPr>
                <w:rFonts w:ascii="Calibri"/>
                <w:sz w:val="22"/>
              </w:rPr>
              <w:t>all</w:t>
            </w:r>
            <w:r>
              <w:rPr>
                <w:rFonts w:ascii="Calibri"/>
                <w:spacing w:val="-3"/>
                <w:sz w:val="22"/>
              </w:rPr>
              <w:t> </w:t>
            </w:r>
            <w:r>
              <w:rPr>
                <w:rFonts w:ascii="Calibri"/>
                <w:sz w:val="22"/>
              </w:rPr>
              <w:t>tasks</w:t>
            </w:r>
            <w:r>
              <w:rPr>
                <w:rFonts w:ascii="Calibri"/>
                <w:spacing w:val="-5"/>
                <w:sz w:val="22"/>
              </w:rPr>
              <w:t> </w:t>
            </w:r>
            <w:r>
              <w:rPr>
                <w:rFonts w:ascii="Calibri"/>
                <w:sz w:val="22"/>
              </w:rPr>
              <w:t>at</w:t>
            </w:r>
            <w:r>
              <w:rPr>
                <w:rFonts w:ascii="Calibri"/>
                <w:spacing w:val="-2"/>
                <w:sz w:val="22"/>
              </w:rPr>
              <w:t> </w:t>
            </w:r>
            <w:r>
              <w:rPr>
                <w:rFonts w:ascii="Calibri"/>
                <w:sz w:val="22"/>
              </w:rPr>
              <w:t>all</w:t>
            </w:r>
            <w:r>
              <w:rPr>
                <w:rFonts w:ascii="Calibri"/>
                <w:spacing w:val="-2"/>
                <w:sz w:val="22"/>
              </w:rPr>
              <w:t> levels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13</w:t>
            </w:r>
          </w:p>
        </w:tc>
        <w:tc>
          <w:tcPr>
            <w:tcW w:w="6372" w:type="dxa"/>
          </w:tcPr>
          <w:p>
            <w:pPr>
              <w:pStyle w:val="TableParagraph"/>
              <w:spacing w:line="267" w:lineRule="exact"/>
              <w:ind w:left="107"/>
              <w:rPr>
                <w:rFonts w:ascii="Calibri"/>
                <w:sz w:val="22"/>
              </w:rPr>
            </w:pPr>
            <w:r>
              <w:rPr>
                <w:rFonts w:ascii="Calibri"/>
                <w:sz w:val="22"/>
              </w:rPr>
              <w:t>The</w:t>
            </w:r>
            <w:r>
              <w:rPr>
                <w:rFonts w:ascii="Calibri"/>
                <w:spacing w:val="-6"/>
                <w:sz w:val="22"/>
              </w:rPr>
              <w:t> </w:t>
            </w:r>
            <w:r>
              <w:rPr>
                <w:rFonts w:ascii="Calibri"/>
                <w:sz w:val="22"/>
              </w:rPr>
              <w:t>company</w:t>
            </w:r>
            <w:r>
              <w:rPr>
                <w:rFonts w:ascii="Calibri"/>
                <w:spacing w:val="-4"/>
                <w:sz w:val="22"/>
              </w:rPr>
              <w:t> </w:t>
            </w:r>
            <w:r>
              <w:rPr>
                <w:rFonts w:ascii="Calibri"/>
                <w:sz w:val="22"/>
              </w:rPr>
              <w:t>compare</w:t>
            </w:r>
            <w:r>
              <w:rPr>
                <w:rFonts w:ascii="Calibri"/>
                <w:spacing w:val="-7"/>
                <w:sz w:val="22"/>
              </w:rPr>
              <w:t> </w:t>
            </w:r>
            <w:r>
              <w:rPr>
                <w:rFonts w:ascii="Calibri"/>
                <w:sz w:val="22"/>
              </w:rPr>
              <w:t>customer</w:t>
            </w:r>
            <w:r>
              <w:rPr>
                <w:rFonts w:ascii="Calibri"/>
                <w:spacing w:val="-7"/>
                <w:sz w:val="22"/>
              </w:rPr>
              <w:t> </w:t>
            </w:r>
            <w:r>
              <w:rPr>
                <w:rFonts w:ascii="Calibri"/>
                <w:sz w:val="22"/>
              </w:rPr>
              <w:t>satisfaction</w:t>
            </w:r>
            <w:r>
              <w:rPr>
                <w:rFonts w:ascii="Calibri"/>
                <w:spacing w:val="-5"/>
                <w:sz w:val="22"/>
              </w:rPr>
              <w:t> </w:t>
            </w:r>
            <w:r>
              <w:rPr>
                <w:rFonts w:ascii="Calibri"/>
                <w:sz w:val="22"/>
              </w:rPr>
              <w:t>levels</w:t>
            </w:r>
            <w:r>
              <w:rPr>
                <w:rFonts w:ascii="Calibri"/>
                <w:spacing w:val="-7"/>
                <w:sz w:val="22"/>
              </w:rPr>
              <w:t> </w:t>
            </w:r>
            <w:r>
              <w:rPr>
                <w:rFonts w:ascii="Calibri"/>
                <w:sz w:val="22"/>
              </w:rPr>
              <w:t>with</w:t>
            </w:r>
            <w:r>
              <w:rPr>
                <w:rFonts w:ascii="Calibri"/>
                <w:spacing w:val="-6"/>
                <w:sz w:val="22"/>
              </w:rPr>
              <w:t> </w:t>
            </w:r>
            <w:r>
              <w:rPr>
                <w:rFonts w:ascii="Calibri"/>
                <w:sz w:val="22"/>
              </w:rPr>
              <w:t>that</w:t>
            </w:r>
            <w:r>
              <w:rPr>
                <w:rFonts w:ascii="Calibri"/>
                <w:spacing w:val="-6"/>
                <w:sz w:val="22"/>
              </w:rPr>
              <w:t> </w:t>
            </w:r>
            <w:r>
              <w:rPr>
                <w:rFonts w:ascii="Calibri"/>
                <w:spacing w:val="-5"/>
                <w:sz w:val="22"/>
              </w:rPr>
              <w:t>of</w:t>
            </w:r>
          </w:p>
          <w:p>
            <w:pPr>
              <w:pStyle w:val="TableParagraph"/>
              <w:spacing w:line="251" w:lineRule="exact"/>
              <w:ind w:left="107"/>
              <w:rPr>
                <w:rFonts w:ascii="Calibri"/>
                <w:sz w:val="22"/>
              </w:rPr>
            </w:pPr>
            <w:r>
              <w:rPr>
                <w:rFonts w:ascii="Calibri"/>
                <w:spacing w:val="-2"/>
                <w:sz w:val="22"/>
              </w:rPr>
              <w:t>competitors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806" w:hRule="atLeast"/>
        </w:trPr>
        <w:tc>
          <w:tcPr>
            <w:tcW w:w="588" w:type="dxa"/>
          </w:tcPr>
          <w:p>
            <w:pPr>
              <w:pStyle w:val="TableParagraph"/>
              <w:spacing w:line="268" w:lineRule="exact"/>
              <w:ind w:left="107"/>
              <w:rPr>
                <w:rFonts w:ascii="Calibri"/>
                <w:sz w:val="22"/>
              </w:rPr>
            </w:pPr>
            <w:r>
              <w:rPr>
                <w:rFonts w:ascii="Calibri"/>
                <w:spacing w:val="-5"/>
                <w:sz w:val="22"/>
              </w:rPr>
              <w:t>14</w:t>
            </w:r>
          </w:p>
        </w:tc>
        <w:tc>
          <w:tcPr>
            <w:tcW w:w="6372" w:type="dxa"/>
          </w:tcPr>
          <w:p>
            <w:pPr>
              <w:pStyle w:val="TableParagraph"/>
              <w:spacing w:line="237" w:lineRule="auto" w:before="1"/>
              <w:ind w:left="107"/>
              <w:rPr>
                <w:rFonts w:ascii="Calibri"/>
                <w:sz w:val="22"/>
              </w:rPr>
            </w:pPr>
            <w:r>
              <w:rPr>
                <w:rFonts w:ascii="Calibri"/>
                <w:sz w:val="22"/>
              </w:rPr>
              <w:t>Company records are kept for future decision making and for the purpose</w:t>
            </w:r>
            <w:r>
              <w:rPr>
                <w:rFonts w:ascii="Calibri"/>
                <w:spacing w:val="-6"/>
                <w:sz w:val="22"/>
              </w:rPr>
              <w:t> </w:t>
            </w:r>
            <w:r>
              <w:rPr>
                <w:rFonts w:ascii="Calibri"/>
                <w:sz w:val="22"/>
              </w:rPr>
              <w:t>of</w:t>
            </w:r>
            <w:r>
              <w:rPr>
                <w:rFonts w:ascii="Calibri"/>
                <w:spacing w:val="-4"/>
                <w:sz w:val="22"/>
              </w:rPr>
              <w:t> </w:t>
            </w:r>
            <w:r>
              <w:rPr>
                <w:rFonts w:ascii="Calibri"/>
                <w:sz w:val="22"/>
              </w:rPr>
              <w:t>efficiency</w:t>
            </w:r>
            <w:r>
              <w:rPr>
                <w:rFonts w:ascii="Calibri"/>
                <w:spacing w:val="-3"/>
                <w:sz w:val="22"/>
              </w:rPr>
              <w:t> </w:t>
            </w:r>
            <w:r>
              <w:rPr>
                <w:rFonts w:ascii="Calibri"/>
                <w:sz w:val="22"/>
              </w:rPr>
              <w:t>(learning</w:t>
            </w:r>
            <w:r>
              <w:rPr>
                <w:rFonts w:ascii="Calibri"/>
                <w:spacing w:val="-5"/>
                <w:sz w:val="22"/>
              </w:rPr>
              <w:t> </w:t>
            </w:r>
            <w:r>
              <w:rPr>
                <w:rFonts w:ascii="Calibri"/>
                <w:sz w:val="22"/>
              </w:rPr>
              <w:t>from</w:t>
            </w:r>
            <w:r>
              <w:rPr>
                <w:rFonts w:ascii="Calibri"/>
                <w:spacing w:val="-5"/>
                <w:sz w:val="22"/>
              </w:rPr>
              <w:t> </w:t>
            </w:r>
            <w:r>
              <w:rPr>
                <w:rFonts w:ascii="Calibri"/>
                <w:sz w:val="22"/>
              </w:rPr>
              <w:t>mistakes</w:t>
            </w:r>
            <w:r>
              <w:rPr>
                <w:rFonts w:ascii="Calibri"/>
                <w:spacing w:val="-4"/>
                <w:sz w:val="22"/>
              </w:rPr>
              <w:t> </w:t>
            </w:r>
            <w:r>
              <w:rPr>
                <w:rFonts w:ascii="Calibri"/>
                <w:sz w:val="22"/>
              </w:rPr>
              <w:t>and</w:t>
            </w:r>
            <w:r>
              <w:rPr>
                <w:rFonts w:ascii="Calibri"/>
                <w:spacing w:val="-5"/>
                <w:sz w:val="22"/>
              </w:rPr>
              <w:t> </w:t>
            </w:r>
            <w:r>
              <w:rPr>
                <w:rFonts w:ascii="Calibri"/>
                <w:sz w:val="22"/>
              </w:rPr>
              <w:t>identification</w:t>
            </w:r>
            <w:r>
              <w:rPr>
                <w:rFonts w:ascii="Calibri"/>
                <w:spacing w:val="-6"/>
                <w:sz w:val="22"/>
              </w:rPr>
              <w:t> </w:t>
            </w:r>
            <w:r>
              <w:rPr>
                <w:rFonts w:ascii="Calibri"/>
                <w:sz w:val="22"/>
              </w:rPr>
              <w:t>of</w:t>
            </w:r>
          </w:p>
          <w:p>
            <w:pPr>
              <w:pStyle w:val="TableParagraph"/>
              <w:spacing w:line="252" w:lineRule="exact" w:before="1"/>
              <w:ind w:left="107"/>
              <w:rPr>
                <w:rFonts w:ascii="Calibri"/>
                <w:sz w:val="22"/>
              </w:rPr>
            </w:pPr>
            <w:r>
              <w:rPr>
                <w:rFonts w:ascii="Calibri"/>
                <w:sz w:val="22"/>
              </w:rPr>
              <w:t>successful</w:t>
            </w:r>
            <w:r>
              <w:rPr>
                <w:rFonts w:ascii="Calibri"/>
                <w:spacing w:val="-5"/>
                <w:sz w:val="22"/>
              </w:rPr>
              <w:t> </w:t>
            </w:r>
            <w:r>
              <w:rPr>
                <w:rFonts w:ascii="Calibri"/>
                <w:sz w:val="22"/>
              </w:rPr>
              <w:t>activities)</w:t>
            </w:r>
            <w:r>
              <w:rPr>
                <w:rFonts w:ascii="Calibri"/>
                <w:spacing w:val="-5"/>
                <w:sz w:val="22"/>
              </w:rPr>
              <w:t> </w:t>
            </w:r>
            <w:r>
              <w:rPr>
                <w:rFonts w:ascii="Calibri"/>
                <w:sz w:val="22"/>
              </w:rPr>
              <w:t>and</w:t>
            </w:r>
            <w:r>
              <w:rPr>
                <w:rFonts w:ascii="Calibri"/>
                <w:spacing w:val="-5"/>
                <w:sz w:val="22"/>
              </w:rPr>
              <w:t> </w:t>
            </w:r>
            <w:r>
              <w:rPr>
                <w:rFonts w:ascii="Calibri"/>
                <w:spacing w:val="-2"/>
                <w:sz w:val="22"/>
              </w:rPr>
              <w:t>continuity</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Employee</w:t>
            </w:r>
            <w:r>
              <w:rPr>
                <w:rFonts w:ascii="Calibri"/>
                <w:b/>
                <w:spacing w:val="-4"/>
                <w:sz w:val="22"/>
                <w:u w:val="single"/>
              </w:rPr>
              <w:t> </w:t>
            </w:r>
            <w:r>
              <w:rPr>
                <w:rFonts w:ascii="Calibri"/>
                <w:b/>
                <w:spacing w:val="-2"/>
                <w:sz w:val="22"/>
                <w:u w:val="single"/>
              </w:rPr>
              <w:t>Participation</w:t>
            </w: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15</w:t>
            </w:r>
          </w:p>
        </w:tc>
        <w:tc>
          <w:tcPr>
            <w:tcW w:w="6372" w:type="dxa"/>
          </w:tcPr>
          <w:p>
            <w:pPr>
              <w:pStyle w:val="TableParagraph"/>
              <w:spacing w:line="265" w:lineRule="exact"/>
              <w:ind w:left="107"/>
              <w:rPr>
                <w:rFonts w:ascii="Calibri"/>
                <w:sz w:val="22"/>
              </w:rPr>
            </w:pPr>
            <w:r>
              <w:rPr>
                <w:rFonts w:ascii="Calibri"/>
                <w:sz w:val="22"/>
              </w:rPr>
              <w:t>There</w:t>
            </w:r>
            <w:r>
              <w:rPr>
                <w:rFonts w:ascii="Calibri"/>
                <w:spacing w:val="-2"/>
                <w:sz w:val="22"/>
              </w:rPr>
              <w:t> </w:t>
            </w:r>
            <w:r>
              <w:rPr>
                <w:rFonts w:ascii="Calibri"/>
                <w:sz w:val="22"/>
              </w:rPr>
              <w:t>is</w:t>
            </w:r>
            <w:r>
              <w:rPr>
                <w:rFonts w:ascii="Calibri"/>
                <w:spacing w:val="-5"/>
                <w:sz w:val="22"/>
              </w:rPr>
              <w:t> </w:t>
            </w:r>
            <w:r>
              <w:rPr>
                <w:rFonts w:ascii="Calibri"/>
                <w:sz w:val="22"/>
              </w:rPr>
              <w:t>a</w:t>
            </w:r>
            <w:r>
              <w:rPr>
                <w:rFonts w:ascii="Calibri"/>
                <w:spacing w:val="-3"/>
                <w:sz w:val="22"/>
              </w:rPr>
              <w:t> </w:t>
            </w:r>
            <w:r>
              <w:rPr>
                <w:rFonts w:ascii="Calibri"/>
                <w:sz w:val="22"/>
              </w:rPr>
              <w:t>sense</w:t>
            </w:r>
            <w:r>
              <w:rPr>
                <w:rFonts w:ascii="Calibri"/>
                <w:spacing w:val="-5"/>
                <w:sz w:val="22"/>
              </w:rPr>
              <w:t> </w:t>
            </w:r>
            <w:r>
              <w:rPr>
                <w:rFonts w:ascii="Calibri"/>
                <w:sz w:val="22"/>
              </w:rPr>
              <w:t>of</w:t>
            </w:r>
            <w:r>
              <w:rPr>
                <w:rFonts w:ascii="Calibri"/>
                <w:spacing w:val="-3"/>
                <w:sz w:val="22"/>
              </w:rPr>
              <w:t> </w:t>
            </w:r>
            <w:r>
              <w:rPr>
                <w:rFonts w:ascii="Calibri"/>
                <w:sz w:val="22"/>
              </w:rPr>
              <w:t>commitment</w:t>
            </w:r>
            <w:r>
              <w:rPr>
                <w:rFonts w:ascii="Calibri"/>
                <w:spacing w:val="-4"/>
                <w:sz w:val="22"/>
              </w:rPr>
              <w:t> </w:t>
            </w:r>
            <w:r>
              <w:rPr>
                <w:rFonts w:ascii="Calibri"/>
                <w:sz w:val="22"/>
              </w:rPr>
              <w:t>among</w:t>
            </w:r>
            <w:r>
              <w:rPr>
                <w:rFonts w:ascii="Calibri"/>
                <w:spacing w:val="-4"/>
                <w:sz w:val="22"/>
              </w:rPr>
              <w:t> </w:t>
            </w:r>
            <w:r>
              <w:rPr>
                <w:rFonts w:ascii="Calibri"/>
                <w:sz w:val="22"/>
              </w:rPr>
              <w:t>workers</w:t>
            </w:r>
            <w:r>
              <w:rPr>
                <w:rFonts w:ascii="Calibri"/>
                <w:spacing w:val="-3"/>
                <w:sz w:val="22"/>
              </w:rPr>
              <w:t> </w:t>
            </w:r>
            <w:r>
              <w:rPr>
                <w:rFonts w:ascii="Calibri"/>
                <w:sz w:val="22"/>
              </w:rPr>
              <w:t>for</w:t>
            </w:r>
            <w:r>
              <w:rPr>
                <w:rFonts w:ascii="Calibri"/>
                <w:spacing w:val="-5"/>
                <w:sz w:val="22"/>
              </w:rPr>
              <w:t> </w:t>
            </w:r>
            <w:r>
              <w:rPr>
                <w:rFonts w:ascii="Calibri"/>
                <w:sz w:val="22"/>
              </w:rPr>
              <w:t>the</w:t>
            </w:r>
            <w:r>
              <w:rPr>
                <w:rFonts w:ascii="Calibri"/>
                <w:spacing w:val="-1"/>
                <w:sz w:val="22"/>
              </w:rPr>
              <w:t> </w:t>
            </w:r>
            <w:r>
              <w:rPr>
                <w:rFonts w:ascii="Calibri"/>
                <w:spacing w:val="-2"/>
                <w:sz w:val="22"/>
              </w:rPr>
              <w:t>common</w:t>
            </w:r>
          </w:p>
          <w:p>
            <w:pPr>
              <w:pStyle w:val="TableParagraph"/>
              <w:spacing w:line="252" w:lineRule="exact"/>
              <w:ind w:left="107"/>
              <w:rPr>
                <w:rFonts w:ascii="Calibri"/>
                <w:sz w:val="22"/>
              </w:rPr>
            </w:pPr>
            <w:r>
              <w:rPr>
                <w:rFonts w:ascii="Calibri"/>
                <w:sz w:val="22"/>
              </w:rPr>
              <w:t>good</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2"/>
                <w:sz w:val="22"/>
              </w:rPr>
              <w:t> </w:t>
            </w:r>
            <w:r>
              <w:rPr>
                <w:rFonts w:ascii="Calibri"/>
                <w:spacing w:val="-2"/>
                <w:sz w:val="22"/>
              </w:rPr>
              <w:t>company</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16</w:t>
            </w:r>
          </w:p>
        </w:tc>
        <w:tc>
          <w:tcPr>
            <w:tcW w:w="6372" w:type="dxa"/>
          </w:tcPr>
          <w:p>
            <w:pPr>
              <w:pStyle w:val="TableParagraph"/>
              <w:spacing w:line="265" w:lineRule="exact"/>
              <w:ind w:left="107"/>
              <w:rPr>
                <w:rFonts w:ascii="Calibri"/>
                <w:sz w:val="22"/>
              </w:rPr>
            </w:pPr>
            <w:r>
              <w:rPr>
                <w:rFonts w:ascii="Calibri"/>
                <w:sz w:val="22"/>
              </w:rPr>
              <w:t>Management</w:t>
            </w:r>
            <w:r>
              <w:rPr>
                <w:rFonts w:ascii="Calibri"/>
                <w:spacing w:val="-6"/>
                <w:sz w:val="22"/>
              </w:rPr>
              <w:t> </w:t>
            </w:r>
            <w:r>
              <w:rPr>
                <w:rFonts w:ascii="Calibri"/>
                <w:sz w:val="22"/>
              </w:rPr>
              <w:t>meet</w:t>
            </w:r>
            <w:r>
              <w:rPr>
                <w:rFonts w:ascii="Calibri"/>
                <w:spacing w:val="-6"/>
                <w:sz w:val="22"/>
              </w:rPr>
              <w:t> </w:t>
            </w:r>
            <w:r>
              <w:rPr>
                <w:rFonts w:ascii="Calibri"/>
                <w:sz w:val="22"/>
              </w:rPr>
              <w:t>employee</w:t>
            </w:r>
            <w:r>
              <w:rPr>
                <w:rFonts w:ascii="Calibri"/>
                <w:spacing w:val="-3"/>
                <w:sz w:val="22"/>
              </w:rPr>
              <w:t> </w:t>
            </w:r>
            <w:r>
              <w:rPr>
                <w:rFonts w:ascii="Calibri"/>
                <w:sz w:val="22"/>
              </w:rPr>
              <w:t>regularly</w:t>
            </w:r>
            <w:r>
              <w:rPr>
                <w:rFonts w:ascii="Calibri"/>
                <w:spacing w:val="-4"/>
                <w:sz w:val="22"/>
              </w:rPr>
              <w:t> </w:t>
            </w:r>
            <w:r>
              <w:rPr>
                <w:rFonts w:ascii="Calibri"/>
                <w:sz w:val="22"/>
              </w:rPr>
              <w:t>to</w:t>
            </w:r>
            <w:r>
              <w:rPr>
                <w:rFonts w:ascii="Calibri"/>
                <w:spacing w:val="-3"/>
                <w:sz w:val="22"/>
              </w:rPr>
              <w:t> </w:t>
            </w:r>
            <w:r>
              <w:rPr>
                <w:rFonts w:ascii="Calibri"/>
                <w:sz w:val="22"/>
              </w:rPr>
              <w:t>update</w:t>
            </w:r>
            <w:r>
              <w:rPr>
                <w:rFonts w:ascii="Calibri"/>
                <w:spacing w:val="-6"/>
                <w:sz w:val="22"/>
              </w:rPr>
              <w:t> </w:t>
            </w:r>
            <w:r>
              <w:rPr>
                <w:rFonts w:ascii="Calibri"/>
                <w:sz w:val="22"/>
              </w:rPr>
              <w:t>them</w:t>
            </w:r>
            <w:r>
              <w:rPr>
                <w:rFonts w:ascii="Calibri"/>
                <w:spacing w:val="-5"/>
                <w:sz w:val="22"/>
              </w:rPr>
              <w:t> </w:t>
            </w:r>
            <w:r>
              <w:rPr>
                <w:rFonts w:ascii="Calibri"/>
                <w:sz w:val="22"/>
              </w:rPr>
              <w:t>on</w:t>
            </w:r>
            <w:r>
              <w:rPr>
                <w:rFonts w:ascii="Calibri"/>
                <w:spacing w:val="-4"/>
                <w:sz w:val="22"/>
              </w:rPr>
              <w:t> </w:t>
            </w:r>
            <w:r>
              <w:rPr>
                <w:rFonts w:ascii="Calibri"/>
                <w:spacing w:val="-5"/>
                <w:sz w:val="22"/>
              </w:rPr>
              <w:t>the</w:t>
            </w:r>
          </w:p>
          <w:p>
            <w:pPr>
              <w:pStyle w:val="TableParagraph"/>
              <w:spacing w:line="252" w:lineRule="exact"/>
              <w:ind w:left="107"/>
              <w:rPr>
                <w:rFonts w:ascii="Calibri"/>
                <w:sz w:val="22"/>
              </w:rPr>
            </w:pPr>
            <w:r>
              <w:rPr>
                <w:rFonts w:ascii="Calibri"/>
                <w:sz w:val="22"/>
              </w:rPr>
              <w:t>progress</w:t>
            </w:r>
            <w:r>
              <w:rPr>
                <w:rFonts w:ascii="Calibri"/>
                <w:spacing w:val="-5"/>
                <w:sz w:val="22"/>
              </w:rPr>
              <w:t> </w:t>
            </w:r>
            <w:r>
              <w:rPr>
                <w:rFonts w:ascii="Calibri"/>
                <w:sz w:val="22"/>
              </w:rPr>
              <w:t>or</w:t>
            </w:r>
            <w:r>
              <w:rPr>
                <w:rFonts w:ascii="Calibri"/>
                <w:spacing w:val="-5"/>
                <w:sz w:val="22"/>
              </w:rPr>
              <w:t> </w:t>
            </w:r>
            <w:r>
              <w:rPr>
                <w:rFonts w:ascii="Calibri"/>
                <w:sz w:val="22"/>
              </w:rPr>
              <w:t>otherwise</w:t>
            </w:r>
            <w:r>
              <w:rPr>
                <w:rFonts w:ascii="Calibri"/>
                <w:spacing w:val="-1"/>
                <w:sz w:val="22"/>
              </w:rPr>
              <w:t> </w:t>
            </w:r>
            <w:r>
              <w:rPr>
                <w:rFonts w:ascii="Calibri"/>
                <w:sz w:val="22"/>
              </w:rPr>
              <w:t>of</w:t>
            </w:r>
            <w:r>
              <w:rPr>
                <w:rFonts w:ascii="Calibri"/>
                <w:spacing w:val="-5"/>
                <w:sz w:val="22"/>
              </w:rPr>
              <w:t> </w:t>
            </w:r>
            <w:r>
              <w:rPr>
                <w:rFonts w:ascii="Calibri"/>
                <w:sz w:val="22"/>
              </w:rPr>
              <w:t>the</w:t>
            </w:r>
            <w:r>
              <w:rPr>
                <w:rFonts w:ascii="Calibri"/>
                <w:spacing w:val="-1"/>
                <w:sz w:val="22"/>
              </w:rPr>
              <w:t> </w:t>
            </w:r>
            <w:r>
              <w:rPr>
                <w:rFonts w:ascii="Calibri"/>
                <w:spacing w:val="-2"/>
                <w:sz w:val="22"/>
              </w:rPr>
              <w:t>company</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17</w:t>
            </w:r>
          </w:p>
        </w:tc>
        <w:tc>
          <w:tcPr>
            <w:tcW w:w="6372" w:type="dxa"/>
          </w:tcPr>
          <w:p>
            <w:pPr>
              <w:pStyle w:val="TableParagraph"/>
              <w:spacing w:line="248" w:lineRule="exact"/>
              <w:ind w:left="107"/>
              <w:rPr>
                <w:rFonts w:ascii="Calibri"/>
                <w:sz w:val="22"/>
              </w:rPr>
            </w:pPr>
            <w:r>
              <w:rPr>
                <w:rFonts w:ascii="Calibri"/>
                <w:sz w:val="22"/>
              </w:rPr>
              <w:t>Employees</w:t>
            </w:r>
            <w:r>
              <w:rPr>
                <w:rFonts w:ascii="Calibri"/>
                <w:spacing w:val="-7"/>
                <w:sz w:val="22"/>
              </w:rPr>
              <w:t> </w:t>
            </w:r>
            <w:r>
              <w:rPr>
                <w:rFonts w:ascii="Calibri"/>
                <w:sz w:val="22"/>
              </w:rPr>
              <w:t>are</w:t>
            </w:r>
            <w:r>
              <w:rPr>
                <w:rFonts w:ascii="Calibri"/>
                <w:spacing w:val="-5"/>
                <w:sz w:val="22"/>
              </w:rPr>
              <w:t> </w:t>
            </w:r>
            <w:r>
              <w:rPr>
                <w:rFonts w:ascii="Calibri"/>
                <w:sz w:val="22"/>
              </w:rPr>
              <w:t>actively</w:t>
            </w:r>
            <w:r>
              <w:rPr>
                <w:rFonts w:ascii="Calibri"/>
                <w:spacing w:val="-6"/>
                <w:sz w:val="22"/>
              </w:rPr>
              <w:t> </w:t>
            </w:r>
            <w:r>
              <w:rPr>
                <w:rFonts w:ascii="Calibri"/>
                <w:sz w:val="22"/>
              </w:rPr>
              <w:t>involved</w:t>
            </w:r>
            <w:r>
              <w:rPr>
                <w:rFonts w:ascii="Calibri"/>
                <w:spacing w:val="-7"/>
                <w:sz w:val="22"/>
              </w:rPr>
              <w:t> </w:t>
            </w:r>
            <w:r>
              <w:rPr>
                <w:rFonts w:ascii="Calibri"/>
                <w:sz w:val="22"/>
              </w:rPr>
              <w:t>in</w:t>
            </w:r>
            <w:r>
              <w:rPr>
                <w:rFonts w:ascii="Calibri"/>
                <w:spacing w:val="-7"/>
                <w:sz w:val="22"/>
              </w:rPr>
              <w:t> </w:t>
            </w:r>
            <w:r>
              <w:rPr>
                <w:rFonts w:ascii="Calibri"/>
                <w:sz w:val="22"/>
              </w:rPr>
              <w:t>quality-related</w:t>
            </w:r>
            <w:r>
              <w:rPr>
                <w:rFonts w:ascii="Calibri"/>
                <w:spacing w:val="-9"/>
                <w:sz w:val="22"/>
              </w:rPr>
              <w:t> </w:t>
            </w:r>
            <w:r>
              <w:rPr>
                <w:rFonts w:ascii="Calibri"/>
                <w:spacing w:val="-2"/>
                <w:sz w:val="22"/>
              </w:rPr>
              <w:t>activities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18</w:t>
            </w:r>
          </w:p>
        </w:tc>
        <w:tc>
          <w:tcPr>
            <w:tcW w:w="6372" w:type="dxa"/>
          </w:tcPr>
          <w:p>
            <w:pPr>
              <w:pStyle w:val="TableParagraph"/>
              <w:spacing w:line="265" w:lineRule="exact"/>
              <w:ind w:left="107"/>
              <w:rPr>
                <w:rFonts w:ascii="Calibri"/>
                <w:sz w:val="22"/>
              </w:rPr>
            </w:pPr>
            <w:r>
              <w:rPr>
                <w:rFonts w:ascii="Calibri"/>
                <w:sz w:val="22"/>
              </w:rPr>
              <w:t>There</w:t>
            </w:r>
            <w:r>
              <w:rPr>
                <w:rFonts w:ascii="Calibri"/>
                <w:spacing w:val="-4"/>
                <w:sz w:val="22"/>
              </w:rPr>
              <w:t> </w:t>
            </w:r>
            <w:r>
              <w:rPr>
                <w:rFonts w:ascii="Calibri"/>
                <w:sz w:val="22"/>
              </w:rPr>
              <w:t>is</w:t>
            </w:r>
            <w:r>
              <w:rPr>
                <w:rFonts w:ascii="Calibri"/>
                <w:spacing w:val="-5"/>
                <w:sz w:val="22"/>
              </w:rPr>
              <w:t> </w:t>
            </w:r>
            <w:r>
              <w:rPr>
                <w:rFonts w:ascii="Calibri"/>
                <w:sz w:val="22"/>
              </w:rPr>
              <w:t>a</w:t>
            </w:r>
            <w:r>
              <w:rPr>
                <w:rFonts w:ascii="Calibri"/>
                <w:spacing w:val="-3"/>
                <w:sz w:val="22"/>
              </w:rPr>
              <w:t> </w:t>
            </w:r>
            <w:r>
              <w:rPr>
                <w:rFonts w:ascii="Calibri"/>
                <w:sz w:val="22"/>
              </w:rPr>
              <w:t>conscious</w:t>
            </w:r>
            <w:r>
              <w:rPr>
                <w:rFonts w:ascii="Calibri"/>
                <w:spacing w:val="-2"/>
                <w:sz w:val="22"/>
              </w:rPr>
              <w:t> </w:t>
            </w:r>
            <w:r>
              <w:rPr>
                <w:rFonts w:ascii="Calibri"/>
                <w:sz w:val="22"/>
              </w:rPr>
              <w:t>policy</w:t>
            </w:r>
            <w:r>
              <w:rPr>
                <w:rFonts w:ascii="Calibri"/>
                <w:spacing w:val="-4"/>
                <w:sz w:val="22"/>
              </w:rPr>
              <w:t> </w:t>
            </w:r>
            <w:r>
              <w:rPr>
                <w:rFonts w:ascii="Calibri"/>
                <w:sz w:val="22"/>
              </w:rPr>
              <w:t>by</w:t>
            </w:r>
            <w:r>
              <w:rPr>
                <w:rFonts w:ascii="Calibri"/>
                <w:spacing w:val="-2"/>
                <w:sz w:val="22"/>
              </w:rPr>
              <w:t> </w:t>
            </w:r>
            <w:r>
              <w:rPr>
                <w:rFonts w:ascii="Calibri"/>
                <w:sz w:val="22"/>
              </w:rPr>
              <w:t>management</w:t>
            </w:r>
            <w:r>
              <w:rPr>
                <w:rFonts w:ascii="Calibri"/>
                <w:spacing w:val="-2"/>
                <w:sz w:val="22"/>
              </w:rPr>
              <w:t> </w:t>
            </w:r>
            <w:r>
              <w:rPr>
                <w:rFonts w:ascii="Calibri"/>
                <w:sz w:val="22"/>
              </w:rPr>
              <w:t>to</w:t>
            </w:r>
            <w:r>
              <w:rPr>
                <w:rFonts w:ascii="Calibri"/>
                <w:spacing w:val="-3"/>
                <w:sz w:val="22"/>
              </w:rPr>
              <w:t> </w:t>
            </w:r>
            <w:r>
              <w:rPr>
                <w:rFonts w:ascii="Calibri"/>
                <w:sz w:val="22"/>
              </w:rPr>
              <w:t>ensure</w:t>
            </w:r>
            <w:r>
              <w:rPr>
                <w:rFonts w:ascii="Calibri"/>
                <w:spacing w:val="-5"/>
                <w:sz w:val="22"/>
              </w:rPr>
              <w:t> </w:t>
            </w:r>
            <w:r>
              <w:rPr>
                <w:rFonts w:ascii="Calibri"/>
                <w:sz w:val="22"/>
              </w:rPr>
              <w:t>good</w:t>
            </w:r>
            <w:r>
              <w:rPr>
                <w:rFonts w:ascii="Calibri"/>
                <w:spacing w:val="-5"/>
                <w:sz w:val="22"/>
              </w:rPr>
              <w:t> </w:t>
            </w:r>
            <w:r>
              <w:rPr>
                <w:rFonts w:ascii="Calibri"/>
                <w:spacing w:val="-2"/>
                <w:sz w:val="22"/>
              </w:rPr>
              <w:t>working</w:t>
            </w:r>
          </w:p>
          <w:p>
            <w:pPr>
              <w:pStyle w:val="TableParagraph"/>
              <w:spacing w:line="252" w:lineRule="exact"/>
              <w:ind w:left="107"/>
              <w:rPr>
                <w:rFonts w:ascii="Calibri"/>
                <w:sz w:val="22"/>
              </w:rPr>
            </w:pPr>
            <w:r>
              <w:rPr>
                <w:rFonts w:ascii="Calibri"/>
                <w:sz w:val="22"/>
              </w:rPr>
              <w:t>condition</w:t>
            </w:r>
            <w:r>
              <w:rPr>
                <w:rFonts w:ascii="Calibri"/>
                <w:spacing w:val="-4"/>
                <w:sz w:val="22"/>
              </w:rPr>
              <w:t> </w:t>
            </w:r>
            <w:r>
              <w:rPr>
                <w:rFonts w:ascii="Calibri"/>
                <w:sz w:val="22"/>
              </w:rPr>
              <w:t>for</w:t>
            </w:r>
            <w:r>
              <w:rPr>
                <w:rFonts w:ascii="Calibri"/>
                <w:spacing w:val="-3"/>
                <w:sz w:val="22"/>
              </w:rPr>
              <w:t> </w:t>
            </w:r>
            <w:r>
              <w:rPr>
                <w:rFonts w:ascii="Calibri"/>
                <w:spacing w:val="-2"/>
                <w:sz w:val="22"/>
              </w:rPr>
              <w:t>employees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19</w:t>
            </w:r>
          </w:p>
        </w:tc>
        <w:tc>
          <w:tcPr>
            <w:tcW w:w="6372" w:type="dxa"/>
          </w:tcPr>
          <w:p>
            <w:pPr>
              <w:pStyle w:val="TableParagraph"/>
              <w:spacing w:line="248" w:lineRule="exact"/>
              <w:ind w:left="107"/>
              <w:rPr>
                <w:rFonts w:ascii="Calibri"/>
                <w:sz w:val="22"/>
              </w:rPr>
            </w:pPr>
            <w:r>
              <w:rPr>
                <w:rFonts w:ascii="Calibri"/>
                <w:sz w:val="22"/>
              </w:rPr>
              <w:t>Most</w:t>
            </w:r>
            <w:r>
              <w:rPr>
                <w:rFonts w:ascii="Calibri"/>
                <w:spacing w:val="-6"/>
                <w:sz w:val="22"/>
              </w:rPr>
              <w:t> </w:t>
            </w:r>
            <w:r>
              <w:rPr>
                <w:rFonts w:ascii="Calibri"/>
                <w:sz w:val="22"/>
              </w:rPr>
              <w:t>employees</w:t>
            </w:r>
            <w:r>
              <w:rPr>
                <w:rFonts w:ascii="Calibri"/>
                <w:spacing w:val="-5"/>
                <w:sz w:val="22"/>
              </w:rPr>
              <w:t> </w:t>
            </w:r>
            <w:r>
              <w:rPr>
                <w:rFonts w:ascii="Calibri"/>
                <w:sz w:val="22"/>
              </w:rPr>
              <w:t>suggestions</w:t>
            </w:r>
            <w:r>
              <w:rPr>
                <w:rFonts w:ascii="Calibri"/>
                <w:spacing w:val="-5"/>
                <w:sz w:val="22"/>
              </w:rPr>
              <w:t> </w:t>
            </w:r>
            <w:r>
              <w:rPr>
                <w:rFonts w:ascii="Calibri"/>
                <w:sz w:val="22"/>
              </w:rPr>
              <w:t>are</w:t>
            </w:r>
            <w:r>
              <w:rPr>
                <w:rFonts w:ascii="Calibri"/>
                <w:spacing w:val="-4"/>
                <w:sz w:val="22"/>
              </w:rPr>
              <w:t> </w:t>
            </w:r>
            <w:r>
              <w:rPr>
                <w:rFonts w:ascii="Calibri"/>
                <w:sz w:val="22"/>
              </w:rPr>
              <w:t>implemented</w:t>
            </w:r>
            <w:r>
              <w:rPr>
                <w:rFonts w:ascii="Calibri"/>
                <w:spacing w:val="-6"/>
                <w:sz w:val="22"/>
              </w:rPr>
              <w:t> </w:t>
            </w:r>
            <w:r>
              <w:rPr>
                <w:rFonts w:ascii="Calibri"/>
                <w:sz w:val="22"/>
              </w:rPr>
              <w:t>after</w:t>
            </w:r>
            <w:r>
              <w:rPr>
                <w:rFonts w:ascii="Calibri"/>
                <w:spacing w:val="-5"/>
                <w:sz w:val="22"/>
              </w:rPr>
              <w:t> </w:t>
            </w:r>
            <w:r>
              <w:rPr>
                <w:rFonts w:ascii="Calibri"/>
                <w:sz w:val="22"/>
              </w:rPr>
              <w:t>an</w:t>
            </w:r>
            <w:r>
              <w:rPr>
                <w:rFonts w:ascii="Calibri"/>
                <w:spacing w:val="-5"/>
                <w:sz w:val="22"/>
              </w:rPr>
              <w:t> </w:t>
            </w:r>
            <w:r>
              <w:rPr>
                <w:rFonts w:ascii="Calibri"/>
                <w:spacing w:val="-2"/>
                <w:sz w:val="22"/>
              </w:rPr>
              <w:t>evaluation</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Recognition</w:t>
            </w:r>
            <w:r>
              <w:rPr>
                <w:rFonts w:ascii="Calibri"/>
                <w:b/>
                <w:spacing w:val="-6"/>
                <w:sz w:val="22"/>
                <w:u w:val="single"/>
              </w:rPr>
              <w:t> </w:t>
            </w:r>
            <w:r>
              <w:rPr>
                <w:rFonts w:ascii="Calibri"/>
                <w:b/>
                <w:sz w:val="22"/>
                <w:u w:val="single"/>
              </w:rPr>
              <w:t>and</w:t>
            </w:r>
            <w:r>
              <w:rPr>
                <w:rFonts w:ascii="Calibri"/>
                <w:b/>
                <w:spacing w:val="-5"/>
                <w:sz w:val="22"/>
                <w:u w:val="single"/>
              </w:rPr>
              <w:t> </w:t>
            </w:r>
            <w:r>
              <w:rPr>
                <w:rFonts w:ascii="Calibri"/>
                <w:b/>
                <w:spacing w:val="-2"/>
                <w:sz w:val="22"/>
                <w:u w:val="single"/>
              </w:rPr>
              <w:t>Reward</w:t>
            </w: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20</w:t>
            </w:r>
          </w:p>
        </w:tc>
        <w:tc>
          <w:tcPr>
            <w:tcW w:w="6372" w:type="dxa"/>
          </w:tcPr>
          <w:p>
            <w:pPr>
              <w:pStyle w:val="TableParagraph"/>
              <w:spacing w:line="267" w:lineRule="exact"/>
              <w:ind w:left="107"/>
              <w:rPr>
                <w:rFonts w:ascii="Calibri"/>
                <w:sz w:val="22"/>
              </w:rPr>
            </w:pPr>
            <w:r>
              <w:rPr>
                <w:rFonts w:ascii="Calibri"/>
                <w:sz w:val="22"/>
              </w:rPr>
              <w:t>Our</w:t>
            </w:r>
            <w:r>
              <w:rPr>
                <w:rFonts w:ascii="Calibri"/>
                <w:spacing w:val="-3"/>
                <w:sz w:val="22"/>
              </w:rPr>
              <w:t> </w:t>
            </w:r>
            <w:r>
              <w:rPr>
                <w:rFonts w:ascii="Calibri"/>
                <w:sz w:val="22"/>
              </w:rPr>
              <w:t>firm</w:t>
            </w:r>
            <w:r>
              <w:rPr>
                <w:rFonts w:ascii="Calibri"/>
                <w:spacing w:val="-4"/>
                <w:sz w:val="22"/>
              </w:rPr>
              <w:t> </w:t>
            </w:r>
            <w:r>
              <w:rPr>
                <w:rFonts w:ascii="Calibri"/>
                <w:sz w:val="22"/>
              </w:rPr>
              <w:t>improves</w:t>
            </w:r>
            <w:r>
              <w:rPr>
                <w:rFonts w:ascii="Calibri"/>
                <w:spacing w:val="-5"/>
                <w:sz w:val="22"/>
              </w:rPr>
              <w:t> </w:t>
            </w:r>
            <w:r>
              <w:rPr>
                <w:rFonts w:ascii="Calibri"/>
                <w:sz w:val="22"/>
              </w:rPr>
              <w:t>working</w:t>
            </w:r>
            <w:r>
              <w:rPr>
                <w:rFonts w:ascii="Calibri"/>
                <w:spacing w:val="-6"/>
                <w:sz w:val="22"/>
              </w:rPr>
              <w:t> </w:t>
            </w:r>
            <w:r>
              <w:rPr>
                <w:rFonts w:ascii="Calibri"/>
                <w:sz w:val="22"/>
              </w:rPr>
              <w:t>conditions</w:t>
            </w:r>
            <w:r>
              <w:rPr>
                <w:rFonts w:ascii="Calibri"/>
                <w:spacing w:val="-5"/>
                <w:sz w:val="22"/>
              </w:rPr>
              <w:t> </w:t>
            </w:r>
            <w:r>
              <w:rPr>
                <w:rFonts w:ascii="Calibri"/>
                <w:sz w:val="22"/>
              </w:rPr>
              <w:t>in</w:t>
            </w:r>
            <w:r>
              <w:rPr>
                <w:rFonts w:ascii="Calibri"/>
                <w:spacing w:val="-4"/>
                <w:sz w:val="22"/>
              </w:rPr>
              <w:t> </w:t>
            </w:r>
            <w:r>
              <w:rPr>
                <w:rFonts w:ascii="Calibri"/>
                <w:sz w:val="22"/>
              </w:rPr>
              <w:t>order</w:t>
            </w:r>
            <w:r>
              <w:rPr>
                <w:rFonts w:ascii="Calibri"/>
                <w:spacing w:val="-2"/>
                <w:sz w:val="22"/>
              </w:rPr>
              <w:t> </w:t>
            </w:r>
            <w:r>
              <w:rPr>
                <w:rFonts w:ascii="Calibri"/>
                <w:sz w:val="22"/>
              </w:rPr>
              <w:t>to</w:t>
            </w:r>
            <w:r>
              <w:rPr>
                <w:rFonts w:ascii="Calibri"/>
                <w:spacing w:val="-2"/>
                <w:sz w:val="22"/>
              </w:rPr>
              <w:t> recognize</w:t>
            </w:r>
          </w:p>
          <w:p>
            <w:pPr>
              <w:pStyle w:val="TableParagraph"/>
              <w:spacing w:line="251" w:lineRule="exact"/>
              <w:ind w:left="107"/>
              <w:rPr>
                <w:rFonts w:ascii="Calibri"/>
                <w:sz w:val="22"/>
              </w:rPr>
            </w:pPr>
            <w:r>
              <w:rPr>
                <w:rFonts w:ascii="Calibri"/>
                <w:sz w:val="22"/>
              </w:rPr>
              <w:t>employee</w:t>
            </w:r>
            <w:r>
              <w:rPr>
                <w:rFonts w:ascii="Calibri"/>
                <w:spacing w:val="-5"/>
                <w:sz w:val="22"/>
              </w:rPr>
              <w:t> </w:t>
            </w:r>
            <w:r>
              <w:rPr>
                <w:rFonts w:ascii="Calibri"/>
                <w:sz w:val="22"/>
              </w:rPr>
              <w:t>quality</w:t>
            </w:r>
            <w:r>
              <w:rPr>
                <w:rFonts w:ascii="Calibri"/>
                <w:spacing w:val="-6"/>
                <w:sz w:val="22"/>
              </w:rPr>
              <w:t> </w:t>
            </w:r>
            <w:r>
              <w:rPr>
                <w:rFonts w:ascii="Calibri"/>
                <w:sz w:val="22"/>
              </w:rPr>
              <w:t>management</w:t>
            </w:r>
            <w:r>
              <w:rPr>
                <w:rFonts w:ascii="Calibri"/>
                <w:spacing w:val="-7"/>
                <w:sz w:val="22"/>
              </w:rPr>
              <w:t> </w:t>
            </w:r>
            <w:r>
              <w:rPr>
                <w:rFonts w:ascii="Calibri"/>
                <w:spacing w:val="-2"/>
                <w:sz w:val="22"/>
              </w:rPr>
              <w:t>efforts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70" w:hRule="atLeast"/>
        </w:trPr>
        <w:tc>
          <w:tcPr>
            <w:tcW w:w="588" w:type="dxa"/>
          </w:tcPr>
          <w:p>
            <w:pPr>
              <w:pStyle w:val="TableParagraph"/>
              <w:spacing w:line="251" w:lineRule="exact"/>
              <w:ind w:left="107"/>
              <w:rPr>
                <w:rFonts w:ascii="Calibri"/>
                <w:sz w:val="22"/>
              </w:rPr>
            </w:pPr>
            <w:r>
              <w:rPr>
                <w:rFonts w:ascii="Calibri"/>
                <w:spacing w:val="-5"/>
                <w:sz w:val="22"/>
              </w:rPr>
              <w:t>21</w:t>
            </w:r>
          </w:p>
        </w:tc>
        <w:tc>
          <w:tcPr>
            <w:tcW w:w="6372" w:type="dxa"/>
          </w:tcPr>
          <w:p>
            <w:pPr>
              <w:pStyle w:val="TableParagraph"/>
              <w:spacing w:line="251" w:lineRule="exact"/>
              <w:ind w:left="107"/>
              <w:rPr>
                <w:rFonts w:ascii="Calibri"/>
                <w:sz w:val="22"/>
              </w:rPr>
            </w:pPr>
            <w:r>
              <w:rPr>
                <w:rFonts w:ascii="Calibri"/>
                <w:sz w:val="22"/>
              </w:rPr>
              <w:t>Our</w:t>
            </w:r>
            <w:r>
              <w:rPr>
                <w:rFonts w:ascii="Calibri"/>
                <w:spacing w:val="-4"/>
                <w:sz w:val="22"/>
              </w:rPr>
              <w:t> </w:t>
            </w:r>
            <w:r>
              <w:rPr>
                <w:rFonts w:ascii="Calibri"/>
                <w:sz w:val="22"/>
              </w:rPr>
              <w:t>firm</w:t>
            </w:r>
            <w:r>
              <w:rPr>
                <w:rFonts w:ascii="Calibri"/>
                <w:spacing w:val="-4"/>
                <w:sz w:val="22"/>
              </w:rPr>
              <w:t> </w:t>
            </w:r>
            <w:r>
              <w:rPr>
                <w:rFonts w:ascii="Calibri"/>
                <w:sz w:val="22"/>
              </w:rPr>
              <w:t>has</w:t>
            </w:r>
            <w:r>
              <w:rPr>
                <w:rFonts w:ascii="Calibri"/>
                <w:spacing w:val="-4"/>
                <w:sz w:val="22"/>
              </w:rPr>
              <w:t> </w:t>
            </w:r>
            <w:r>
              <w:rPr>
                <w:rFonts w:ascii="Calibri"/>
                <w:sz w:val="22"/>
              </w:rPr>
              <w:t>salary</w:t>
            </w:r>
            <w:r>
              <w:rPr>
                <w:rFonts w:ascii="Calibri"/>
                <w:spacing w:val="-2"/>
                <w:sz w:val="22"/>
              </w:rPr>
              <w:t> </w:t>
            </w:r>
            <w:r>
              <w:rPr>
                <w:rFonts w:ascii="Calibri"/>
                <w:sz w:val="22"/>
              </w:rPr>
              <w:t>promotion</w:t>
            </w:r>
            <w:r>
              <w:rPr>
                <w:rFonts w:ascii="Calibri"/>
                <w:spacing w:val="-4"/>
                <w:sz w:val="22"/>
              </w:rPr>
              <w:t> </w:t>
            </w:r>
            <w:r>
              <w:rPr>
                <w:rFonts w:ascii="Calibri"/>
                <w:sz w:val="22"/>
              </w:rPr>
              <w:t>scheme</w:t>
            </w:r>
            <w:r>
              <w:rPr>
                <w:rFonts w:ascii="Calibri"/>
                <w:spacing w:val="-6"/>
                <w:sz w:val="22"/>
              </w:rPr>
              <w:t> </w:t>
            </w:r>
            <w:r>
              <w:rPr>
                <w:rFonts w:ascii="Calibri"/>
                <w:sz w:val="22"/>
              </w:rPr>
              <w:t>to</w:t>
            </w:r>
            <w:r>
              <w:rPr>
                <w:rFonts w:ascii="Calibri"/>
                <w:spacing w:val="43"/>
                <w:sz w:val="22"/>
              </w:rPr>
              <w:t> </w:t>
            </w:r>
            <w:r>
              <w:rPr>
                <w:rFonts w:ascii="Calibri"/>
                <w:sz w:val="22"/>
              </w:rPr>
              <w:t>encourage</w:t>
            </w:r>
            <w:r>
              <w:rPr>
                <w:rFonts w:ascii="Calibri"/>
                <w:spacing w:val="-5"/>
                <w:sz w:val="22"/>
              </w:rPr>
              <w:t> </w:t>
            </w:r>
            <w:r>
              <w:rPr>
                <w:rFonts w:ascii="Calibri"/>
                <w:spacing w:val="-2"/>
                <w:sz w:val="22"/>
              </w:rPr>
              <w:t>employee</w:t>
            </w:r>
          </w:p>
        </w:tc>
        <w:tc>
          <w:tcPr>
            <w:tcW w:w="475" w:type="dxa"/>
          </w:tcPr>
          <w:p>
            <w:pPr>
              <w:pStyle w:val="TableParagraph"/>
              <w:rPr>
                <w:sz w:val="20"/>
              </w:rPr>
            </w:pPr>
          </w:p>
        </w:tc>
        <w:tc>
          <w:tcPr>
            <w:tcW w:w="429" w:type="dxa"/>
          </w:tcPr>
          <w:p>
            <w:pPr>
              <w:pStyle w:val="TableParagraph"/>
              <w:rPr>
                <w:sz w:val="20"/>
              </w:rPr>
            </w:pPr>
          </w:p>
        </w:tc>
        <w:tc>
          <w:tcPr>
            <w:tcW w:w="479" w:type="dxa"/>
          </w:tcPr>
          <w:p>
            <w:pPr>
              <w:pStyle w:val="TableParagraph"/>
              <w:rPr>
                <w:sz w:val="20"/>
              </w:rPr>
            </w:pPr>
          </w:p>
        </w:tc>
        <w:tc>
          <w:tcPr>
            <w:tcW w:w="369" w:type="dxa"/>
          </w:tcPr>
          <w:p>
            <w:pPr>
              <w:pStyle w:val="TableParagraph"/>
              <w:rPr>
                <w:sz w:val="20"/>
              </w:rPr>
            </w:pPr>
          </w:p>
        </w:tc>
        <w:tc>
          <w:tcPr>
            <w:tcW w:w="499" w:type="dxa"/>
          </w:tcPr>
          <w:p>
            <w:pPr>
              <w:pStyle w:val="TableParagraph"/>
              <w:rPr>
                <w:sz w:val="20"/>
              </w:rPr>
            </w:pPr>
          </w:p>
        </w:tc>
      </w:tr>
    </w:tbl>
    <w:p>
      <w:pPr>
        <w:spacing w:after="0"/>
        <w:rPr>
          <w:sz w:val="20"/>
        </w:rPr>
        <w:sectPr>
          <w:pgSz w:w="12240" w:h="15840"/>
          <w:pgMar w:header="0" w:footer="1017" w:top="1400" w:bottom="1472" w:left="1040" w:right="120"/>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8"/>
        <w:gridCol w:w="6372"/>
        <w:gridCol w:w="475"/>
        <w:gridCol w:w="429"/>
        <w:gridCol w:w="479"/>
        <w:gridCol w:w="369"/>
        <w:gridCol w:w="499"/>
      </w:tblGrid>
      <w:tr>
        <w:trPr>
          <w:trHeight w:val="268" w:hRule="atLeast"/>
        </w:trPr>
        <w:tc>
          <w:tcPr>
            <w:tcW w:w="588" w:type="dxa"/>
          </w:tcPr>
          <w:p>
            <w:pPr>
              <w:pStyle w:val="TableParagraph"/>
              <w:rPr>
                <w:sz w:val="18"/>
              </w:rPr>
            </w:pPr>
          </w:p>
        </w:tc>
        <w:tc>
          <w:tcPr>
            <w:tcW w:w="6372" w:type="dxa"/>
          </w:tcPr>
          <w:p>
            <w:pPr>
              <w:pStyle w:val="TableParagraph"/>
              <w:spacing w:line="248" w:lineRule="exact"/>
              <w:ind w:left="107"/>
              <w:rPr>
                <w:rFonts w:ascii="Calibri"/>
                <w:sz w:val="22"/>
              </w:rPr>
            </w:pPr>
            <w:r>
              <w:rPr>
                <w:rFonts w:ascii="Calibri"/>
                <w:sz w:val="22"/>
              </w:rPr>
              <w:t>participation</w:t>
            </w:r>
            <w:r>
              <w:rPr>
                <w:rFonts w:ascii="Calibri"/>
                <w:spacing w:val="-6"/>
                <w:sz w:val="22"/>
              </w:rPr>
              <w:t> </w:t>
            </w:r>
            <w:r>
              <w:rPr>
                <w:rFonts w:ascii="Calibri"/>
                <w:sz w:val="22"/>
              </w:rPr>
              <w:t>in</w:t>
            </w:r>
            <w:r>
              <w:rPr>
                <w:rFonts w:ascii="Calibri"/>
                <w:spacing w:val="-6"/>
                <w:sz w:val="22"/>
              </w:rPr>
              <w:t> </w:t>
            </w:r>
            <w:r>
              <w:rPr>
                <w:rFonts w:ascii="Calibri"/>
                <w:sz w:val="22"/>
              </w:rPr>
              <w:t>quality</w:t>
            </w:r>
            <w:r>
              <w:rPr>
                <w:rFonts w:ascii="Calibri"/>
                <w:spacing w:val="-6"/>
                <w:sz w:val="22"/>
              </w:rPr>
              <w:t> </w:t>
            </w:r>
            <w:r>
              <w:rPr>
                <w:rFonts w:ascii="Calibri"/>
                <w:spacing w:val="-2"/>
                <w:sz w:val="22"/>
              </w:rPr>
              <w:t>management</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22</w:t>
            </w:r>
          </w:p>
        </w:tc>
        <w:tc>
          <w:tcPr>
            <w:tcW w:w="6372" w:type="dxa"/>
          </w:tcPr>
          <w:p>
            <w:pPr>
              <w:pStyle w:val="TableParagraph"/>
              <w:spacing w:line="248" w:lineRule="exact"/>
              <w:ind w:left="107"/>
              <w:rPr>
                <w:rFonts w:ascii="Calibri"/>
                <w:sz w:val="22"/>
              </w:rPr>
            </w:pPr>
            <w:r>
              <w:rPr>
                <w:rFonts w:ascii="Calibri"/>
                <w:sz w:val="22"/>
              </w:rPr>
              <w:t>Position</w:t>
            </w:r>
            <w:r>
              <w:rPr>
                <w:rFonts w:ascii="Calibri"/>
                <w:spacing w:val="-6"/>
                <w:sz w:val="22"/>
              </w:rPr>
              <w:t> </w:t>
            </w:r>
            <w:r>
              <w:rPr>
                <w:rFonts w:ascii="Calibri"/>
                <w:sz w:val="22"/>
              </w:rPr>
              <w:t>promotions</w:t>
            </w:r>
            <w:r>
              <w:rPr>
                <w:rFonts w:ascii="Calibri"/>
                <w:spacing w:val="-5"/>
                <w:sz w:val="22"/>
              </w:rPr>
              <w:t> </w:t>
            </w:r>
            <w:r>
              <w:rPr>
                <w:rFonts w:ascii="Calibri"/>
                <w:sz w:val="22"/>
              </w:rPr>
              <w:t>are</w:t>
            </w:r>
            <w:r>
              <w:rPr>
                <w:rFonts w:ascii="Calibri"/>
                <w:spacing w:val="-3"/>
                <w:sz w:val="22"/>
              </w:rPr>
              <w:t> </w:t>
            </w:r>
            <w:r>
              <w:rPr>
                <w:rFonts w:ascii="Calibri"/>
                <w:sz w:val="22"/>
              </w:rPr>
              <w:t>based</w:t>
            </w:r>
            <w:r>
              <w:rPr>
                <w:rFonts w:ascii="Calibri"/>
                <w:spacing w:val="-4"/>
                <w:sz w:val="22"/>
              </w:rPr>
              <w:t> </w:t>
            </w:r>
            <w:r>
              <w:rPr>
                <w:rFonts w:ascii="Calibri"/>
                <w:sz w:val="22"/>
              </w:rPr>
              <w:t>on</w:t>
            </w:r>
            <w:r>
              <w:rPr>
                <w:rFonts w:ascii="Calibri"/>
                <w:spacing w:val="-5"/>
                <w:sz w:val="22"/>
              </w:rPr>
              <w:t> </w:t>
            </w:r>
            <w:r>
              <w:rPr>
                <w:rFonts w:ascii="Calibri"/>
                <w:sz w:val="22"/>
              </w:rPr>
              <w:t>working</w:t>
            </w:r>
            <w:r>
              <w:rPr>
                <w:rFonts w:ascii="Calibri"/>
                <w:spacing w:val="-4"/>
                <w:sz w:val="22"/>
              </w:rPr>
              <w:t> </w:t>
            </w:r>
            <w:r>
              <w:rPr>
                <w:rFonts w:ascii="Calibri"/>
                <w:sz w:val="22"/>
              </w:rPr>
              <w:t>quality</w:t>
            </w:r>
            <w:r>
              <w:rPr>
                <w:rFonts w:ascii="Calibri"/>
                <w:spacing w:val="-4"/>
                <w:sz w:val="22"/>
              </w:rPr>
              <w:t> </w:t>
            </w:r>
            <w:r>
              <w:rPr>
                <w:rFonts w:ascii="Calibri"/>
                <w:sz w:val="22"/>
              </w:rPr>
              <w:t>in</w:t>
            </w:r>
            <w:r>
              <w:rPr>
                <w:rFonts w:ascii="Calibri"/>
                <w:spacing w:val="-4"/>
                <w:sz w:val="22"/>
              </w:rPr>
              <w:t> </w:t>
            </w:r>
            <w:r>
              <w:rPr>
                <w:rFonts w:ascii="Calibri"/>
                <w:sz w:val="22"/>
              </w:rPr>
              <w:t>our</w:t>
            </w:r>
            <w:r>
              <w:rPr>
                <w:rFonts w:ascii="Calibri"/>
                <w:spacing w:val="-3"/>
                <w:sz w:val="22"/>
              </w:rPr>
              <w:t> </w:t>
            </w:r>
            <w:r>
              <w:rPr>
                <w:rFonts w:ascii="Calibri"/>
                <w:spacing w:val="-4"/>
                <w:sz w:val="22"/>
              </w:rPr>
              <w:t>firm</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23</w:t>
            </w:r>
          </w:p>
        </w:tc>
        <w:tc>
          <w:tcPr>
            <w:tcW w:w="6372" w:type="dxa"/>
          </w:tcPr>
          <w:p>
            <w:pPr>
              <w:pStyle w:val="TableParagraph"/>
              <w:spacing w:line="248" w:lineRule="exact"/>
              <w:ind w:left="107"/>
              <w:rPr>
                <w:rFonts w:ascii="Calibri"/>
                <w:sz w:val="22"/>
              </w:rPr>
            </w:pPr>
            <w:r>
              <w:rPr>
                <w:rFonts w:ascii="Calibri"/>
                <w:sz w:val="22"/>
              </w:rPr>
              <w:t>Excellent</w:t>
            </w:r>
            <w:r>
              <w:rPr>
                <w:rFonts w:ascii="Calibri"/>
                <w:spacing w:val="-6"/>
                <w:sz w:val="22"/>
              </w:rPr>
              <w:t> </w:t>
            </w:r>
            <w:r>
              <w:rPr>
                <w:rFonts w:ascii="Calibri"/>
                <w:sz w:val="22"/>
              </w:rPr>
              <w:t>suggestions</w:t>
            </w:r>
            <w:r>
              <w:rPr>
                <w:rFonts w:ascii="Calibri"/>
                <w:spacing w:val="-7"/>
                <w:sz w:val="22"/>
              </w:rPr>
              <w:t> </w:t>
            </w:r>
            <w:r>
              <w:rPr>
                <w:rFonts w:ascii="Calibri"/>
                <w:sz w:val="22"/>
              </w:rPr>
              <w:t>are</w:t>
            </w:r>
            <w:r>
              <w:rPr>
                <w:rFonts w:ascii="Calibri"/>
                <w:spacing w:val="-6"/>
                <w:sz w:val="22"/>
              </w:rPr>
              <w:t> </w:t>
            </w:r>
            <w:r>
              <w:rPr>
                <w:rFonts w:ascii="Calibri"/>
                <w:sz w:val="22"/>
              </w:rPr>
              <w:t>financially</w:t>
            </w:r>
            <w:r>
              <w:rPr>
                <w:rFonts w:ascii="Calibri"/>
                <w:spacing w:val="-5"/>
                <w:sz w:val="22"/>
              </w:rPr>
              <w:t> </w:t>
            </w:r>
            <w:r>
              <w:rPr>
                <w:rFonts w:ascii="Calibri"/>
                <w:spacing w:val="-2"/>
                <w:sz w:val="22"/>
              </w:rPr>
              <w:t>rewarded</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pacing w:val="-2"/>
                <w:sz w:val="22"/>
                <w:u w:val="single"/>
              </w:rPr>
              <w:t>Training</w:t>
            </w: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24</w:t>
            </w:r>
          </w:p>
        </w:tc>
        <w:tc>
          <w:tcPr>
            <w:tcW w:w="6372" w:type="dxa"/>
          </w:tcPr>
          <w:p>
            <w:pPr>
              <w:pStyle w:val="TableParagraph"/>
              <w:spacing w:line="248" w:lineRule="exact"/>
              <w:ind w:left="107"/>
              <w:rPr>
                <w:rFonts w:ascii="Calibri"/>
                <w:sz w:val="22"/>
              </w:rPr>
            </w:pPr>
            <w:r>
              <w:rPr>
                <w:rFonts w:ascii="Calibri"/>
                <w:sz w:val="22"/>
              </w:rPr>
              <w:t>Employees</w:t>
            </w:r>
            <w:r>
              <w:rPr>
                <w:rFonts w:ascii="Calibri"/>
                <w:spacing w:val="-5"/>
                <w:sz w:val="22"/>
              </w:rPr>
              <w:t> </w:t>
            </w:r>
            <w:r>
              <w:rPr>
                <w:rFonts w:ascii="Calibri"/>
                <w:sz w:val="22"/>
              </w:rPr>
              <w:t>get</w:t>
            </w:r>
            <w:r>
              <w:rPr>
                <w:rFonts w:ascii="Calibri"/>
                <w:spacing w:val="-4"/>
                <w:sz w:val="22"/>
              </w:rPr>
              <w:t> </w:t>
            </w:r>
            <w:r>
              <w:rPr>
                <w:rFonts w:ascii="Calibri"/>
                <w:sz w:val="22"/>
              </w:rPr>
              <w:t>training</w:t>
            </w:r>
            <w:r>
              <w:rPr>
                <w:rFonts w:ascii="Calibri"/>
                <w:spacing w:val="-6"/>
                <w:sz w:val="22"/>
              </w:rPr>
              <w:t> </w:t>
            </w:r>
            <w:r>
              <w:rPr>
                <w:rFonts w:ascii="Calibri"/>
                <w:sz w:val="22"/>
              </w:rPr>
              <w:t>regularly</w:t>
            </w:r>
            <w:r>
              <w:rPr>
                <w:rFonts w:ascii="Calibri"/>
                <w:spacing w:val="-4"/>
                <w:sz w:val="22"/>
              </w:rPr>
              <w:t> </w:t>
            </w:r>
            <w:r>
              <w:rPr>
                <w:rFonts w:ascii="Calibri"/>
                <w:sz w:val="22"/>
              </w:rPr>
              <w:t>to</w:t>
            </w:r>
            <w:r>
              <w:rPr>
                <w:rFonts w:ascii="Calibri"/>
                <w:spacing w:val="-4"/>
                <w:sz w:val="22"/>
              </w:rPr>
              <w:t> </w:t>
            </w:r>
            <w:r>
              <w:rPr>
                <w:rFonts w:ascii="Calibri"/>
                <w:sz w:val="22"/>
              </w:rPr>
              <w:t>improve</w:t>
            </w:r>
            <w:r>
              <w:rPr>
                <w:rFonts w:ascii="Calibri"/>
                <w:spacing w:val="-7"/>
                <w:sz w:val="22"/>
              </w:rPr>
              <w:t> </w:t>
            </w:r>
            <w:r>
              <w:rPr>
                <w:rFonts w:ascii="Calibri"/>
                <w:sz w:val="22"/>
              </w:rPr>
              <w:t>company</w:t>
            </w:r>
            <w:r>
              <w:rPr>
                <w:rFonts w:ascii="Calibri"/>
                <w:spacing w:val="-8"/>
                <w:sz w:val="22"/>
              </w:rPr>
              <w:t> </w:t>
            </w:r>
            <w:r>
              <w:rPr>
                <w:rFonts w:ascii="Calibri"/>
                <w:spacing w:val="-2"/>
                <w:sz w:val="22"/>
              </w:rPr>
              <w:t>outputs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25</w:t>
            </w:r>
          </w:p>
        </w:tc>
        <w:tc>
          <w:tcPr>
            <w:tcW w:w="6372" w:type="dxa"/>
          </w:tcPr>
          <w:p>
            <w:pPr>
              <w:pStyle w:val="TableParagraph"/>
              <w:spacing w:line="248" w:lineRule="exact"/>
              <w:ind w:left="107"/>
              <w:rPr>
                <w:rFonts w:ascii="Calibri"/>
                <w:sz w:val="22"/>
              </w:rPr>
            </w:pPr>
            <w:r>
              <w:rPr>
                <w:rFonts w:ascii="Calibri"/>
                <w:sz w:val="22"/>
              </w:rPr>
              <w:t>Employees</w:t>
            </w:r>
            <w:r>
              <w:rPr>
                <w:rFonts w:ascii="Calibri"/>
                <w:spacing w:val="-5"/>
                <w:sz w:val="22"/>
              </w:rPr>
              <w:t> </w:t>
            </w:r>
            <w:r>
              <w:rPr>
                <w:rFonts w:ascii="Calibri"/>
                <w:sz w:val="22"/>
              </w:rPr>
              <w:t>receive</w:t>
            </w:r>
            <w:r>
              <w:rPr>
                <w:rFonts w:ascii="Calibri"/>
                <w:spacing w:val="-3"/>
                <w:sz w:val="22"/>
              </w:rPr>
              <w:t> </w:t>
            </w:r>
            <w:r>
              <w:rPr>
                <w:rFonts w:ascii="Calibri"/>
                <w:sz w:val="22"/>
              </w:rPr>
              <w:t>regular</w:t>
            </w:r>
            <w:r>
              <w:rPr>
                <w:rFonts w:ascii="Calibri"/>
                <w:spacing w:val="-7"/>
                <w:sz w:val="22"/>
              </w:rPr>
              <w:t> </w:t>
            </w:r>
            <w:r>
              <w:rPr>
                <w:rFonts w:ascii="Calibri"/>
                <w:sz w:val="22"/>
              </w:rPr>
              <w:t>health</w:t>
            </w:r>
            <w:r>
              <w:rPr>
                <w:rFonts w:ascii="Calibri"/>
                <w:spacing w:val="-5"/>
                <w:sz w:val="22"/>
              </w:rPr>
              <w:t> </w:t>
            </w:r>
            <w:r>
              <w:rPr>
                <w:rFonts w:ascii="Calibri"/>
                <w:sz w:val="22"/>
              </w:rPr>
              <w:t>and</w:t>
            </w:r>
            <w:r>
              <w:rPr>
                <w:rFonts w:ascii="Calibri"/>
                <w:spacing w:val="-5"/>
                <w:sz w:val="22"/>
              </w:rPr>
              <w:t> </w:t>
            </w:r>
            <w:r>
              <w:rPr>
                <w:rFonts w:ascii="Calibri"/>
                <w:sz w:val="22"/>
              </w:rPr>
              <w:t>safety</w:t>
            </w:r>
            <w:r>
              <w:rPr>
                <w:rFonts w:ascii="Calibri"/>
                <w:spacing w:val="-5"/>
                <w:sz w:val="22"/>
              </w:rPr>
              <w:t> </w:t>
            </w:r>
            <w:r>
              <w:rPr>
                <w:rFonts w:ascii="Calibri"/>
                <w:spacing w:val="-2"/>
                <w:sz w:val="22"/>
              </w:rPr>
              <w:t>training</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26</w:t>
            </w:r>
          </w:p>
        </w:tc>
        <w:tc>
          <w:tcPr>
            <w:tcW w:w="6372" w:type="dxa"/>
          </w:tcPr>
          <w:p>
            <w:pPr>
              <w:pStyle w:val="TableParagraph"/>
              <w:spacing w:line="267" w:lineRule="exact"/>
              <w:ind w:left="107"/>
              <w:rPr>
                <w:rFonts w:ascii="Calibri"/>
                <w:sz w:val="22"/>
              </w:rPr>
            </w:pPr>
            <w:r>
              <w:rPr>
                <w:rFonts w:ascii="Calibri"/>
                <w:sz w:val="22"/>
              </w:rPr>
              <w:t>Adequate</w:t>
            </w:r>
            <w:r>
              <w:rPr>
                <w:rFonts w:ascii="Calibri"/>
                <w:spacing w:val="-7"/>
                <w:sz w:val="22"/>
              </w:rPr>
              <w:t> </w:t>
            </w:r>
            <w:r>
              <w:rPr>
                <w:rFonts w:ascii="Calibri"/>
                <w:sz w:val="22"/>
              </w:rPr>
              <w:t>resources</w:t>
            </w:r>
            <w:r>
              <w:rPr>
                <w:rFonts w:ascii="Calibri"/>
                <w:spacing w:val="-4"/>
                <w:sz w:val="22"/>
              </w:rPr>
              <w:t> </w:t>
            </w:r>
            <w:r>
              <w:rPr>
                <w:rFonts w:ascii="Calibri"/>
                <w:sz w:val="22"/>
              </w:rPr>
              <w:t>are</w:t>
            </w:r>
            <w:r>
              <w:rPr>
                <w:rFonts w:ascii="Calibri"/>
                <w:spacing w:val="-4"/>
                <w:sz w:val="22"/>
              </w:rPr>
              <w:t> </w:t>
            </w:r>
            <w:r>
              <w:rPr>
                <w:rFonts w:ascii="Calibri"/>
                <w:sz w:val="22"/>
              </w:rPr>
              <w:t>arranged</w:t>
            </w:r>
            <w:r>
              <w:rPr>
                <w:rFonts w:ascii="Calibri"/>
                <w:spacing w:val="-6"/>
                <w:sz w:val="22"/>
              </w:rPr>
              <w:t> </w:t>
            </w:r>
            <w:r>
              <w:rPr>
                <w:rFonts w:ascii="Calibri"/>
                <w:sz w:val="22"/>
              </w:rPr>
              <w:t>for</w:t>
            </w:r>
            <w:r>
              <w:rPr>
                <w:rFonts w:ascii="Calibri"/>
                <w:spacing w:val="-7"/>
                <w:sz w:val="22"/>
              </w:rPr>
              <w:t> </w:t>
            </w:r>
            <w:r>
              <w:rPr>
                <w:rFonts w:ascii="Calibri"/>
                <w:sz w:val="22"/>
              </w:rPr>
              <w:t>employee</w:t>
            </w:r>
            <w:r>
              <w:rPr>
                <w:rFonts w:ascii="Calibri"/>
                <w:spacing w:val="-7"/>
                <w:sz w:val="22"/>
              </w:rPr>
              <w:t> </w:t>
            </w:r>
            <w:r>
              <w:rPr>
                <w:rFonts w:ascii="Calibri"/>
                <w:sz w:val="22"/>
              </w:rPr>
              <w:t>education</w:t>
            </w:r>
            <w:r>
              <w:rPr>
                <w:rFonts w:ascii="Calibri"/>
                <w:spacing w:val="-5"/>
                <w:sz w:val="22"/>
              </w:rPr>
              <w:t> and</w:t>
            </w:r>
          </w:p>
          <w:p>
            <w:pPr>
              <w:pStyle w:val="TableParagraph"/>
              <w:spacing w:line="251" w:lineRule="exact"/>
              <w:ind w:left="107"/>
              <w:rPr>
                <w:rFonts w:ascii="Calibri"/>
                <w:sz w:val="22"/>
              </w:rPr>
            </w:pPr>
            <w:r>
              <w:rPr>
                <w:rFonts w:ascii="Calibri"/>
                <w:spacing w:val="-2"/>
                <w:sz w:val="22"/>
              </w:rPr>
              <w:t>training</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27</w:t>
            </w:r>
          </w:p>
        </w:tc>
        <w:tc>
          <w:tcPr>
            <w:tcW w:w="6372" w:type="dxa"/>
          </w:tcPr>
          <w:p>
            <w:pPr>
              <w:pStyle w:val="TableParagraph"/>
              <w:spacing w:line="248" w:lineRule="exact"/>
              <w:ind w:left="107"/>
              <w:rPr>
                <w:rFonts w:ascii="Calibri"/>
                <w:sz w:val="22"/>
              </w:rPr>
            </w:pPr>
            <w:r>
              <w:rPr>
                <w:rFonts w:ascii="Calibri"/>
                <w:sz w:val="22"/>
              </w:rPr>
              <w:t>The</w:t>
            </w:r>
            <w:r>
              <w:rPr>
                <w:rFonts w:ascii="Calibri"/>
                <w:spacing w:val="-4"/>
                <w:sz w:val="22"/>
              </w:rPr>
              <w:t> </w:t>
            </w:r>
            <w:r>
              <w:rPr>
                <w:rFonts w:ascii="Calibri"/>
                <w:sz w:val="22"/>
              </w:rPr>
              <w:t>company</w:t>
            </w:r>
            <w:r>
              <w:rPr>
                <w:rFonts w:ascii="Calibri"/>
                <w:spacing w:val="-3"/>
                <w:sz w:val="22"/>
              </w:rPr>
              <w:t> </w:t>
            </w:r>
            <w:r>
              <w:rPr>
                <w:rFonts w:ascii="Calibri"/>
                <w:sz w:val="22"/>
              </w:rPr>
              <w:t>has</w:t>
            </w:r>
            <w:r>
              <w:rPr>
                <w:rFonts w:ascii="Calibri"/>
                <w:spacing w:val="-6"/>
                <w:sz w:val="22"/>
              </w:rPr>
              <w:t> </w:t>
            </w:r>
            <w:r>
              <w:rPr>
                <w:rFonts w:ascii="Calibri"/>
                <w:sz w:val="22"/>
              </w:rPr>
              <w:t>scheduled</w:t>
            </w:r>
            <w:r>
              <w:rPr>
                <w:rFonts w:ascii="Calibri"/>
                <w:spacing w:val="-5"/>
                <w:sz w:val="22"/>
              </w:rPr>
              <w:t> </w:t>
            </w:r>
            <w:r>
              <w:rPr>
                <w:rFonts w:ascii="Calibri"/>
                <w:sz w:val="22"/>
              </w:rPr>
              <w:t>employee</w:t>
            </w:r>
            <w:r>
              <w:rPr>
                <w:rFonts w:ascii="Calibri"/>
                <w:spacing w:val="-5"/>
                <w:sz w:val="22"/>
              </w:rPr>
              <w:t> </w:t>
            </w:r>
            <w:r>
              <w:rPr>
                <w:rFonts w:ascii="Calibri"/>
                <w:spacing w:val="-2"/>
                <w:sz w:val="22"/>
              </w:rPr>
              <w:t>training</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28</w:t>
            </w:r>
          </w:p>
        </w:tc>
        <w:tc>
          <w:tcPr>
            <w:tcW w:w="6372" w:type="dxa"/>
          </w:tcPr>
          <w:p>
            <w:pPr>
              <w:pStyle w:val="TableParagraph"/>
              <w:spacing w:line="267" w:lineRule="exact"/>
              <w:ind w:left="107"/>
              <w:rPr>
                <w:rFonts w:ascii="Calibri"/>
                <w:sz w:val="22"/>
              </w:rPr>
            </w:pPr>
            <w:r>
              <w:rPr>
                <w:rFonts w:ascii="Calibri"/>
                <w:sz w:val="22"/>
              </w:rPr>
              <w:t>There</w:t>
            </w:r>
            <w:r>
              <w:rPr>
                <w:rFonts w:ascii="Calibri"/>
                <w:spacing w:val="-3"/>
                <w:sz w:val="22"/>
              </w:rPr>
              <w:t> </w:t>
            </w:r>
            <w:r>
              <w:rPr>
                <w:rFonts w:ascii="Calibri"/>
                <w:sz w:val="22"/>
              </w:rPr>
              <w:t>is</w:t>
            </w:r>
            <w:r>
              <w:rPr>
                <w:rFonts w:ascii="Calibri"/>
                <w:spacing w:val="-6"/>
                <w:sz w:val="22"/>
              </w:rPr>
              <w:t> </w:t>
            </w:r>
            <w:r>
              <w:rPr>
                <w:rFonts w:ascii="Calibri"/>
                <w:sz w:val="22"/>
              </w:rPr>
              <w:t>scheduled</w:t>
            </w:r>
            <w:r>
              <w:rPr>
                <w:rFonts w:ascii="Calibri"/>
                <w:spacing w:val="-7"/>
                <w:sz w:val="22"/>
              </w:rPr>
              <w:t> </w:t>
            </w:r>
            <w:r>
              <w:rPr>
                <w:rFonts w:ascii="Calibri"/>
                <w:sz w:val="22"/>
              </w:rPr>
              <w:t>training</w:t>
            </w:r>
            <w:r>
              <w:rPr>
                <w:rFonts w:ascii="Calibri"/>
                <w:spacing w:val="-6"/>
                <w:sz w:val="22"/>
              </w:rPr>
              <w:t> </w:t>
            </w:r>
            <w:r>
              <w:rPr>
                <w:rFonts w:ascii="Calibri"/>
                <w:sz w:val="22"/>
              </w:rPr>
              <w:t>for</w:t>
            </w:r>
            <w:r>
              <w:rPr>
                <w:rFonts w:ascii="Calibri"/>
                <w:spacing w:val="-4"/>
                <w:sz w:val="22"/>
              </w:rPr>
              <w:t> </w:t>
            </w:r>
            <w:r>
              <w:rPr>
                <w:rFonts w:ascii="Calibri"/>
                <w:sz w:val="22"/>
              </w:rPr>
              <w:t>the</w:t>
            </w:r>
            <w:r>
              <w:rPr>
                <w:rFonts w:ascii="Calibri"/>
                <w:spacing w:val="-3"/>
                <w:sz w:val="22"/>
              </w:rPr>
              <w:t> </w:t>
            </w:r>
            <w:r>
              <w:rPr>
                <w:rFonts w:ascii="Calibri"/>
                <w:sz w:val="22"/>
              </w:rPr>
              <w:t>further</w:t>
            </w:r>
            <w:r>
              <w:rPr>
                <w:rFonts w:ascii="Calibri"/>
                <w:spacing w:val="-6"/>
                <w:sz w:val="22"/>
              </w:rPr>
              <w:t> </w:t>
            </w:r>
            <w:r>
              <w:rPr>
                <w:rFonts w:ascii="Calibri"/>
                <w:sz w:val="22"/>
              </w:rPr>
              <w:t>development</w:t>
            </w:r>
            <w:r>
              <w:rPr>
                <w:rFonts w:ascii="Calibri"/>
                <w:spacing w:val="-2"/>
                <w:sz w:val="22"/>
              </w:rPr>
              <w:t> </w:t>
            </w:r>
            <w:r>
              <w:rPr>
                <w:rFonts w:ascii="Calibri"/>
                <w:spacing w:val="-5"/>
                <w:sz w:val="22"/>
              </w:rPr>
              <w:t>of</w:t>
            </w:r>
          </w:p>
          <w:p>
            <w:pPr>
              <w:pStyle w:val="TableParagraph"/>
              <w:spacing w:line="251" w:lineRule="exact"/>
              <w:ind w:left="107"/>
              <w:rPr>
                <w:rFonts w:ascii="Calibri"/>
                <w:sz w:val="22"/>
              </w:rPr>
            </w:pPr>
            <w:r>
              <w:rPr>
                <w:rFonts w:ascii="Calibri"/>
                <w:spacing w:val="-2"/>
                <w:sz w:val="22"/>
              </w:rPr>
              <w:t>management</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Quality</w:t>
            </w:r>
            <w:r>
              <w:rPr>
                <w:rFonts w:ascii="Calibri"/>
                <w:b/>
                <w:spacing w:val="-4"/>
                <w:sz w:val="22"/>
                <w:u w:val="single"/>
              </w:rPr>
              <w:t> </w:t>
            </w:r>
            <w:r>
              <w:rPr>
                <w:rFonts w:ascii="Calibri"/>
                <w:b/>
                <w:spacing w:val="-2"/>
                <w:sz w:val="22"/>
                <w:u w:val="single"/>
              </w:rPr>
              <w:t>Culture</w:t>
            </w:r>
          </w:p>
        </w:tc>
      </w:tr>
      <w:tr>
        <w:trPr>
          <w:trHeight w:val="537" w:hRule="atLeast"/>
        </w:trPr>
        <w:tc>
          <w:tcPr>
            <w:tcW w:w="588" w:type="dxa"/>
          </w:tcPr>
          <w:p>
            <w:pPr>
              <w:pStyle w:val="TableParagraph"/>
              <w:spacing w:line="268" w:lineRule="exact"/>
              <w:ind w:left="107"/>
              <w:rPr>
                <w:rFonts w:ascii="Calibri"/>
                <w:sz w:val="22"/>
              </w:rPr>
            </w:pPr>
            <w:r>
              <w:rPr>
                <w:rFonts w:ascii="Calibri"/>
                <w:spacing w:val="-5"/>
                <w:sz w:val="22"/>
              </w:rPr>
              <w:t>29</w:t>
            </w:r>
          </w:p>
        </w:tc>
        <w:tc>
          <w:tcPr>
            <w:tcW w:w="6372" w:type="dxa"/>
          </w:tcPr>
          <w:p>
            <w:pPr>
              <w:pStyle w:val="TableParagraph"/>
              <w:spacing w:line="268" w:lineRule="exact"/>
              <w:ind w:left="107"/>
              <w:rPr>
                <w:rFonts w:ascii="Calibri"/>
                <w:sz w:val="22"/>
              </w:rPr>
            </w:pPr>
            <w:r>
              <w:rPr>
                <w:rFonts w:ascii="Calibri"/>
                <w:sz w:val="22"/>
              </w:rPr>
              <w:t>Our</w:t>
            </w:r>
            <w:r>
              <w:rPr>
                <w:rFonts w:ascii="Calibri"/>
                <w:spacing w:val="-4"/>
                <w:sz w:val="22"/>
              </w:rPr>
              <w:t> </w:t>
            </w:r>
            <w:r>
              <w:rPr>
                <w:rFonts w:ascii="Calibri"/>
                <w:sz w:val="22"/>
              </w:rPr>
              <w:t>firm</w:t>
            </w:r>
            <w:r>
              <w:rPr>
                <w:rFonts w:ascii="Calibri"/>
                <w:spacing w:val="-3"/>
                <w:sz w:val="22"/>
              </w:rPr>
              <w:t> </w:t>
            </w:r>
            <w:r>
              <w:rPr>
                <w:rFonts w:ascii="Calibri"/>
                <w:sz w:val="22"/>
              </w:rPr>
              <w:t>constantly</w:t>
            </w:r>
            <w:r>
              <w:rPr>
                <w:rFonts w:ascii="Calibri"/>
                <w:spacing w:val="-4"/>
                <w:sz w:val="22"/>
              </w:rPr>
              <w:t> </w:t>
            </w:r>
            <w:r>
              <w:rPr>
                <w:rFonts w:ascii="Calibri"/>
                <w:sz w:val="22"/>
              </w:rPr>
              <w:t>adapt</w:t>
            </w:r>
            <w:r>
              <w:rPr>
                <w:rFonts w:ascii="Calibri"/>
                <w:spacing w:val="-2"/>
                <w:sz w:val="22"/>
              </w:rPr>
              <w:t> </w:t>
            </w:r>
            <w:r>
              <w:rPr>
                <w:rFonts w:ascii="Calibri"/>
                <w:sz w:val="22"/>
              </w:rPr>
              <w:t>to</w:t>
            </w:r>
            <w:r>
              <w:rPr>
                <w:rFonts w:ascii="Calibri"/>
                <w:spacing w:val="-3"/>
                <w:sz w:val="22"/>
              </w:rPr>
              <w:t> </w:t>
            </w:r>
            <w:r>
              <w:rPr>
                <w:rFonts w:ascii="Calibri"/>
                <w:sz w:val="22"/>
              </w:rPr>
              <w:t>cultural</w:t>
            </w:r>
            <w:r>
              <w:rPr>
                <w:rFonts w:ascii="Calibri"/>
                <w:spacing w:val="-5"/>
                <w:sz w:val="22"/>
              </w:rPr>
              <w:t> </w:t>
            </w:r>
            <w:r>
              <w:rPr>
                <w:rFonts w:ascii="Calibri"/>
                <w:sz w:val="22"/>
              </w:rPr>
              <w:t>change</w:t>
            </w:r>
            <w:r>
              <w:rPr>
                <w:rFonts w:ascii="Calibri"/>
                <w:spacing w:val="-2"/>
                <w:sz w:val="22"/>
              </w:rPr>
              <w:t> </w:t>
            </w:r>
            <w:r>
              <w:rPr>
                <w:rFonts w:ascii="Calibri"/>
                <w:sz w:val="22"/>
              </w:rPr>
              <w:t>to</w:t>
            </w:r>
            <w:r>
              <w:rPr>
                <w:rFonts w:ascii="Calibri"/>
                <w:spacing w:val="-3"/>
                <w:sz w:val="22"/>
              </w:rPr>
              <w:t> </w:t>
            </w:r>
            <w:r>
              <w:rPr>
                <w:rFonts w:ascii="Calibri"/>
                <w:sz w:val="22"/>
              </w:rPr>
              <w:t>fit</w:t>
            </w:r>
            <w:r>
              <w:rPr>
                <w:rFonts w:ascii="Calibri"/>
                <w:spacing w:val="-4"/>
                <w:sz w:val="22"/>
              </w:rPr>
              <w:t> </w:t>
            </w:r>
            <w:r>
              <w:rPr>
                <w:rFonts w:ascii="Calibri"/>
                <w:sz w:val="22"/>
              </w:rPr>
              <w:t>with</w:t>
            </w:r>
            <w:r>
              <w:rPr>
                <w:rFonts w:ascii="Calibri"/>
                <w:spacing w:val="-4"/>
                <w:sz w:val="22"/>
              </w:rPr>
              <w:t> </w:t>
            </w:r>
            <w:r>
              <w:rPr>
                <w:rFonts w:ascii="Calibri"/>
                <w:sz w:val="22"/>
              </w:rPr>
              <w:t>the</w:t>
            </w:r>
            <w:r>
              <w:rPr>
                <w:rFonts w:ascii="Calibri"/>
                <w:spacing w:val="-2"/>
                <w:sz w:val="22"/>
              </w:rPr>
              <w:t> changes</w:t>
            </w:r>
          </w:p>
          <w:p>
            <w:pPr>
              <w:pStyle w:val="TableParagraph"/>
              <w:spacing w:line="249" w:lineRule="exact"/>
              <w:ind w:left="107"/>
              <w:rPr>
                <w:rFonts w:ascii="Calibri"/>
                <w:sz w:val="22"/>
              </w:rPr>
            </w:pPr>
            <w:r>
              <w:rPr>
                <w:rFonts w:ascii="Calibri"/>
                <w:sz w:val="22"/>
              </w:rPr>
              <w:t>in</w:t>
            </w:r>
            <w:r>
              <w:rPr>
                <w:rFonts w:ascii="Calibri"/>
                <w:spacing w:val="-3"/>
                <w:sz w:val="22"/>
              </w:rPr>
              <w:t> </w:t>
            </w:r>
            <w:r>
              <w:rPr>
                <w:rFonts w:ascii="Calibri"/>
                <w:sz w:val="22"/>
              </w:rPr>
              <w:t>the</w:t>
            </w:r>
            <w:r>
              <w:rPr>
                <w:rFonts w:ascii="Calibri"/>
                <w:spacing w:val="-2"/>
                <w:sz w:val="22"/>
              </w:rPr>
              <w:t> </w:t>
            </w:r>
            <w:r>
              <w:rPr>
                <w:rFonts w:ascii="Calibri"/>
                <w:sz w:val="22"/>
              </w:rPr>
              <w:t>business</w:t>
            </w:r>
            <w:r>
              <w:rPr>
                <w:rFonts w:ascii="Calibri"/>
                <w:spacing w:val="-3"/>
                <w:sz w:val="22"/>
              </w:rPr>
              <w:t> </w:t>
            </w:r>
            <w:r>
              <w:rPr>
                <w:rFonts w:ascii="Calibri"/>
                <w:spacing w:val="-2"/>
                <w:sz w:val="22"/>
              </w:rPr>
              <w:t>environment</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30</w:t>
            </w:r>
          </w:p>
        </w:tc>
        <w:tc>
          <w:tcPr>
            <w:tcW w:w="6372" w:type="dxa"/>
          </w:tcPr>
          <w:p>
            <w:pPr>
              <w:pStyle w:val="TableParagraph"/>
              <w:spacing w:line="248" w:lineRule="exact"/>
              <w:ind w:left="107"/>
              <w:rPr>
                <w:rFonts w:ascii="Calibri"/>
                <w:sz w:val="22"/>
              </w:rPr>
            </w:pPr>
            <w:r>
              <w:rPr>
                <w:rFonts w:ascii="Calibri"/>
                <w:sz w:val="22"/>
              </w:rPr>
              <w:t>There</w:t>
            </w:r>
            <w:r>
              <w:rPr>
                <w:rFonts w:ascii="Calibri"/>
                <w:spacing w:val="-5"/>
                <w:sz w:val="22"/>
              </w:rPr>
              <w:t> </w:t>
            </w:r>
            <w:r>
              <w:rPr>
                <w:rFonts w:ascii="Calibri"/>
                <w:sz w:val="22"/>
              </w:rPr>
              <w:t>is</w:t>
            </w:r>
            <w:r>
              <w:rPr>
                <w:rFonts w:ascii="Calibri"/>
                <w:spacing w:val="-6"/>
                <w:sz w:val="22"/>
              </w:rPr>
              <w:t> </w:t>
            </w:r>
            <w:r>
              <w:rPr>
                <w:rFonts w:ascii="Calibri"/>
                <w:sz w:val="22"/>
              </w:rPr>
              <w:t>an</w:t>
            </w:r>
            <w:r>
              <w:rPr>
                <w:rFonts w:ascii="Calibri"/>
                <w:spacing w:val="-4"/>
                <w:sz w:val="22"/>
              </w:rPr>
              <w:t> </w:t>
            </w:r>
            <w:r>
              <w:rPr>
                <w:rFonts w:ascii="Calibri"/>
                <w:sz w:val="22"/>
              </w:rPr>
              <w:t>ongoing</w:t>
            </w:r>
            <w:r>
              <w:rPr>
                <w:rFonts w:ascii="Calibri"/>
                <w:spacing w:val="-5"/>
                <w:sz w:val="22"/>
              </w:rPr>
              <w:t> </w:t>
            </w:r>
            <w:r>
              <w:rPr>
                <w:rFonts w:ascii="Calibri"/>
                <w:sz w:val="22"/>
              </w:rPr>
              <w:t>creation</w:t>
            </w:r>
            <w:r>
              <w:rPr>
                <w:rFonts w:ascii="Calibri"/>
                <w:spacing w:val="-5"/>
                <w:sz w:val="22"/>
              </w:rPr>
              <w:t> </w:t>
            </w:r>
            <w:r>
              <w:rPr>
                <w:rFonts w:ascii="Calibri"/>
                <w:sz w:val="22"/>
              </w:rPr>
              <w:t>of</w:t>
            </w:r>
            <w:r>
              <w:rPr>
                <w:rFonts w:ascii="Calibri"/>
                <w:spacing w:val="-3"/>
                <w:sz w:val="22"/>
              </w:rPr>
              <w:t> </w:t>
            </w:r>
            <w:r>
              <w:rPr>
                <w:rFonts w:ascii="Calibri"/>
                <w:sz w:val="22"/>
              </w:rPr>
              <w:t>quality</w:t>
            </w:r>
            <w:r>
              <w:rPr>
                <w:rFonts w:ascii="Calibri"/>
                <w:spacing w:val="-3"/>
                <w:sz w:val="22"/>
              </w:rPr>
              <w:t> </w:t>
            </w:r>
            <w:r>
              <w:rPr>
                <w:rFonts w:ascii="Calibri"/>
                <w:sz w:val="22"/>
              </w:rPr>
              <w:t>awareness</w:t>
            </w:r>
            <w:r>
              <w:rPr>
                <w:rFonts w:ascii="Calibri"/>
                <w:spacing w:val="-6"/>
                <w:sz w:val="22"/>
              </w:rPr>
              <w:t> </w:t>
            </w:r>
            <w:r>
              <w:rPr>
                <w:rFonts w:ascii="Calibri"/>
                <w:sz w:val="22"/>
              </w:rPr>
              <w:t>among</w:t>
            </w:r>
            <w:r>
              <w:rPr>
                <w:rFonts w:ascii="Calibri"/>
                <w:spacing w:val="-4"/>
                <w:sz w:val="22"/>
              </w:rPr>
              <w:t> </w:t>
            </w:r>
            <w:r>
              <w:rPr>
                <w:rFonts w:ascii="Calibri"/>
                <w:spacing w:val="-2"/>
                <w:sz w:val="22"/>
              </w:rPr>
              <w:t>employees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270" w:hRule="atLeast"/>
        </w:trPr>
        <w:tc>
          <w:tcPr>
            <w:tcW w:w="9211" w:type="dxa"/>
            <w:gridSpan w:val="7"/>
          </w:tcPr>
          <w:p>
            <w:pPr>
              <w:pStyle w:val="TableParagraph"/>
              <w:spacing w:line="251" w:lineRule="exact"/>
              <w:ind w:left="695"/>
              <w:rPr>
                <w:rFonts w:ascii="Calibri"/>
                <w:b/>
                <w:sz w:val="22"/>
              </w:rPr>
            </w:pPr>
            <w:r>
              <w:rPr>
                <w:rFonts w:ascii="Calibri"/>
                <w:b/>
                <w:spacing w:val="-2"/>
                <w:sz w:val="22"/>
                <w:u w:val="single"/>
              </w:rPr>
              <w:t>Communication</w:t>
            </w: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31</w:t>
            </w:r>
          </w:p>
        </w:tc>
        <w:tc>
          <w:tcPr>
            <w:tcW w:w="6372" w:type="dxa"/>
          </w:tcPr>
          <w:p>
            <w:pPr>
              <w:pStyle w:val="TableParagraph"/>
              <w:spacing w:line="248" w:lineRule="exact"/>
              <w:ind w:left="107"/>
              <w:rPr>
                <w:rFonts w:ascii="Calibri"/>
                <w:sz w:val="22"/>
              </w:rPr>
            </w:pPr>
            <w:r>
              <w:rPr>
                <w:rFonts w:ascii="Calibri"/>
                <w:sz w:val="22"/>
              </w:rPr>
              <w:t>Our</w:t>
            </w:r>
            <w:r>
              <w:rPr>
                <w:rFonts w:ascii="Calibri"/>
                <w:spacing w:val="-5"/>
                <w:sz w:val="22"/>
              </w:rPr>
              <w:t> </w:t>
            </w:r>
            <w:r>
              <w:rPr>
                <w:rFonts w:ascii="Calibri"/>
                <w:sz w:val="22"/>
              </w:rPr>
              <w:t>company</w:t>
            </w:r>
            <w:r>
              <w:rPr>
                <w:rFonts w:ascii="Calibri"/>
                <w:spacing w:val="-5"/>
                <w:sz w:val="22"/>
              </w:rPr>
              <w:t> </w:t>
            </w:r>
            <w:r>
              <w:rPr>
                <w:rFonts w:ascii="Calibri"/>
                <w:sz w:val="22"/>
              </w:rPr>
              <w:t>continually</w:t>
            </w:r>
            <w:r>
              <w:rPr>
                <w:rFonts w:ascii="Calibri"/>
                <w:spacing w:val="-3"/>
                <w:sz w:val="22"/>
              </w:rPr>
              <w:t> </w:t>
            </w:r>
            <w:r>
              <w:rPr>
                <w:rFonts w:ascii="Calibri"/>
                <w:sz w:val="22"/>
              </w:rPr>
              <w:t>tries</w:t>
            </w:r>
            <w:r>
              <w:rPr>
                <w:rFonts w:ascii="Calibri"/>
                <w:spacing w:val="-4"/>
                <w:sz w:val="22"/>
              </w:rPr>
              <w:t> </w:t>
            </w:r>
            <w:r>
              <w:rPr>
                <w:rFonts w:ascii="Calibri"/>
                <w:sz w:val="22"/>
              </w:rPr>
              <w:t>to</w:t>
            </w:r>
            <w:r>
              <w:rPr>
                <w:rFonts w:ascii="Calibri"/>
                <w:spacing w:val="-3"/>
                <w:sz w:val="22"/>
              </w:rPr>
              <w:t> </w:t>
            </w:r>
            <w:r>
              <w:rPr>
                <w:rFonts w:ascii="Calibri"/>
                <w:sz w:val="22"/>
              </w:rPr>
              <w:t>improve</w:t>
            </w:r>
            <w:r>
              <w:rPr>
                <w:rFonts w:ascii="Calibri"/>
                <w:spacing w:val="-6"/>
                <w:sz w:val="22"/>
              </w:rPr>
              <w:t> </w:t>
            </w:r>
            <w:r>
              <w:rPr>
                <w:rFonts w:ascii="Calibri"/>
                <w:spacing w:val="-2"/>
                <w:sz w:val="22"/>
              </w:rPr>
              <w:t>communication</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32</w:t>
            </w:r>
          </w:p>
        </w:tc>
        <w:tc>
          <w:tcPr>
            <w:tcW w:w="6372" w:type="dxa"/>
          </w:tcPr>
          <w:p>
            <w:pPr>
              <w:pStyle w:val="TableParagraph"/>
              <w:spacing w:line="265" w:lineRule="exact"/>
              <w:ind w:left="107"/>
              <w:rPr>
                <w:rFonts w:ascii="Calibri"/>
                <w:sz w:val="22"/>
              </w:rPr>
            </w:pPr>
            <w:r>
              <w:rPr>
                <w:rFonts w:ascii="Calibri"/>
                <w:sz w:val="22"/>
              </w:rPr>
              <w:t>Our</w:t>
            </w:r>
            <w:r>
              <w:rPr>
                <w:rFonts w:ascii="Calibri"/>
                <w:spacing w:val="-5"/>
                <w:sz w:val="22"/>
              </w:rPr>
              <w:t> </w:t>
            </w:r>
            <w:r>
              <w:rPr>
                <w:rFonts w:ascii="Calibri"/>
                <w:sz w:val="22"/>
              </w:rPr>
              <w:t>company</w:t>
            </w:r>
            <w:r>
              <w:rPr>
                <w:rFonts w:ascii="Calibri"/>
                <w:spacing w:val="-5"/>
                <w:sz w:val="22"/>
              </w:rPr>
              <w:t> </w:t>
            </w:r>
            <w:r>
              <w:rPr>
                <w:rFonts w:ascii="Calibri"/>
                <w:sz w:val="22"/>
              </w:rPr>
              <w:t>clearly</w:t>
            </w:r>
            <w:r>
              <w:rPr>
                <w:rFonts w:ascii="Calibri"/>
                <w:spacing w:val="-4"/>
                <w:sz w:val="22"/>
              </w:rPr>
              <w:t> </w:t>
            </w:r>
            <w:r>
              <w:rPr>
                <w:rFonts w:ascii="Calibri"/>
                <w:sz w:val="22"/>
              </w:rPr>
              <w:t>communicates</w:t>
            </w:r>
            <w:r>
              <w:rPr>
                <w:rFonts w:ascii="Calibri"/>
                <w:spacing w:val="-4"/>
                <w:sz w:val="22"/>
              </w:rPr>
              <w:t> </w:t>
            </w:r>
            <w:r>
              <w:rPr>
                <w:rFonts w:ascii="Calibri"/>
                <w:sz w:val="22"/>
              </w:rPr>
              <w:t>its</w:t>
            </w:r>
            <w:r>
              <w:rPr>
                <w:rFonts w:ascii="Calibri"/>
                <w:spacing w:val="-7"/>
                <w:sz w:val="22"/>
              </w:rPr>
              <w:t> </w:t>
            </w:r>
            <w:r>
              <w:rPr>
                <w:rFonts w:ascii="Calibri"/>
                <w:sz w:val="22"/>
              </w:rPr>
              <w:t>strategies</w:t>
            </w:r>
            <w:r>
              <w:rPr>
                <w:rFonts w:ascii="Calibri"/>
                <w:spacing w:val="-6"/>
                <w:sz w:val="22"/>
              </w:rPr>
              <w:t> </w:t>
            </w:r>
            <w:r>
              <w:rPr>
                <w:rFonts w:ascii="Calibri"/>
                <w:sz w:val="22"/>
              </w:rPr>
              <w:t>and</w:t>
            </w:r>
            <w:r>
              <w:rPr>
                <w:rFonts w:ascii="Calibri"/>
                <w:spacing w:val="-7"/>
                <w:sz w:val="22"/>
              </w:rPr>
              <w:t> </w:t>
            </w:r>
            <w:r>
              <w:rPr>
                <w:rFonts w:ascii="Calibri"/>
                <w:sz w:val="22"/>
              </w:rPr>
              <w:t>goals</w:t>
            </w:r>
            <w:r>
              <w:rPr>
                <w:rFonts w:ascii="Calibri"/>
                <w:spacing w:val="-4"/>
                <w:sz w:val="22"/>
              </w:rPr>
              <w:t> with</w:t>
            </w:r>
          </w:p>
          <w:p>
            <w:pPr>
              <w:pStyle w:val="TableParagraph"/>
              <w:spacing w:line="252" w:lineRule="exact"/>
              <w:ind w:left="107"/>
              <w:rPr>
                <w:rFonts w:ascii="Calibri"/>
                <w:sz w:val="22"/>
              </w:rPr>
            </w:pPr>
            <w:r>
              <w:rPr>
                <w:rFonts w:ascii="Calibri"/>
                <w:spacing w:val="-2"/>
                <w:sz w:val="22"/>
              </w:rPr>
              <w:t>employees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33</w:t>
            </w:r>
          </w:p>
        </w:tc>
        <w:tc>
          <w:tcPr>
            <w:tcW w:w="6372" w:type="dxa"/>
          </w:tcPr>
          <w:p>
            <w:pPr>
              <w:pStyle w:val="TableParagraph"/>
              <w:spacing w:line="265" w:lineRule="exact"/>
              <w:ind w:left="107"/>
              <w:rPr>
                <w:rFonts w:ascii="Calibri"/>
                <w:sz w:val="22"/>
              </w:rPr>
            </w:pPr>
            <w:r>
              <w:rPr>
                <w:rFonts w:ascii="Calibri"/>
                <w:sz w:val="22"/>
              </w:rPr>
              <w:t>Employees</w:t>
            </w:r>
            <w:r>
              <w:rPr>
                <w:rFonts w:ascii="Calibri"/>
                <w:spacing w:val="-4"/>
                <w:sz w:val="22"/>
              </w:rPr>
              <w:t> </w:t>
            </w:r>
            <w:r>
              <w:rPr>
                <w:rFonts w:ascii="Calibri"/>
                <w:sz w:val="22"/>
              </w:rPr>
              <w:t>receive</w:t>
            </w:r>
            <w:r>
              <w:rPr>
                <w:rFonts w:ascii="Calibri"/>
                <w:spacing w:val="-3"/>
                <w:sz w:val="22"/>
              </w:rPr>
              <w:t> </w:t>
            </w:r>
            <w:r>
              <w:rPr>
                <w:rFonts w:ascii="Calibri"/>
                <w:sz w:val="22"/>
              </w:rPr>
              <w:t>regular</w:t>
            </w:r>
            <w:r>
              <w:rPr>
                <w:rFonts w:ascii="Calibri"/>
                <w:spacing w:val="-6"/>
                <w:sz w:val="22"/>
              </w:rPr>
              <w:t> </w:t>
            </w:r>
            <w:r>
              <w:rPr>
                <w:rFonts w:ascii="Calibri"/>
                <w:sz w:val="22"/>
              </w:rPr>
              <w:t>feedback</w:t>
            </w:r>
            <w:r>
              <w:rPr>
                <w:rFonts w:ascii="Calibri"/>
                <w:spacing w:val="-6"/>
                <w:sz w:val="22"/>
              </w:rPr>
              <w:t> </w:t>
            </w:r>
            <w:r>
              <w:rPr>
                <w:rFonts w:ascii="Calibri"/>
                <w:sz w:val="22"/>
              </w:rPr>
              <w:t>to</w:t>
            </w:r>
            <w:r>
              <w:rPr>
                <w:rFonts w:ascii="Calibri"/>
                <w:spacing w:val="-5"/>
                <w:sz w:val="22"/>
              </w:rPr>
              <w:t> </w:t>
            </w:r>
            <w:r>
              <w:rPr>
                <w:rFonts w:ascii="Calibri"/>
                <w:sz w:val="22"/>
              </w:rPr>
              <w:t>make</w:t>
            </w:r>
            <w:r>
              <w:rPr>
                <w:rFonts w:ascii="Calibri"/>
                <w:spacing w:val="-2"/>
                <w:sz w:val="22"/>
              </w:rPr>
              <w:t> performance</w:t>
            </w:r>
          </w:p>
          <w:p>
            <w:pPr>
              <w:pStyle w:val="TableParagraph"/>
              <w:spacing w:line="252" w:lineRule="exact"/>
              <w:ind w:left="107"/>
              <w:rPr>
                <w:rFonts w:ascii="Calibri"/>
                <w:sz w:val="22"/>
              </w:rPr>
            </w:pPr>
            <w:r>
              <w:rPr>
                <w:rFonts w:ascii="Calibri"/>
                <w:spacing w:val="-2"/>
                <w:sz w:val="22"/>
              </w:rPr>
              <w:t>developments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Performance</w:t>
            </w:r>
            <w:r>
              <w:rPr>
                <w:rFonts w:ascii="Calibri"/>
                <w:b/>
                <w:spacing w:val="-6"/>
                <w:sz w:val="22"/>
                <w:u w:val="single"/>
              </w:rPr>
              <w:t> </w:t>
            </w:r>
            <w:r>
              <w:rPr>
                <w:rFonts w:ascii="Calibri"/>
                <w:b/>
                <w:spacing w:val="-2"/>
                <w:sz w:val="22"/>
                <w:u w:val="single"/>
              </w:rPr>
              <w:t>Measurement</w:t>
            </w: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34</w:t>
            </w:r>
          </w:p>
        </w:tc>
        <w:tc>
          <w:tcPr>
            <w:tcW w:w="6372" w:type="dxa"/>
          </w:tcPr>
          <w:p>
            <w:pPr>
              <w:pStyle w:val="TableParagraph"/>
              <w:spacing w:line="265" w:lineRule="exact"/>
              <w:ind w:left="107"/>
              <w:rPr>
                <w:rFonts w:ascii="Calibri"/>
                <w:sz w:val="22"/>
              </w:rPr>
            </w:pPr>
            <w:r>
              <w:rPr>
                <w:rFonts w:ascii="Calibri"/>
                <w:sz w:val="22"/>
              </w:rPr>
              <w:t>My</w:t>
            </w:r>
            <w:r>
              <w:rPr>
                <w:rFonts w:ascii="Calibri"/>
                <w:spacing w:val="-5"/>
                <w:sz w:val="22"/>
              </w:rPr>
              <w:t> </w:t>
            </w:r>
            <w:r>
              <w:rPr>
                <w:rFonts w:ascii="Calibri"/>
                <w:sz w:val="22"/>
              </w:rPr>
              <w:t>company</w:t>
            </w:r>
            <w:r>
              <w:rPr>
                <w:rFonts w:ascii="Calibri"/>
                <w:spacing w:val="-5"/>
                <w:sz w:val="22"/>
              </w:rPr>
              <w:t> </w:t>
            </w:r>
            <w:r>
              <w:rPr>
                <w:rFonts w:ascii="Calibri"/>
                <w:sz w:val="22"/>
              </w:rPr>
              <w:t>adopts</w:t>
            </w:r>
            <w:r>
              <w:rPr>
                <w:rFonts w:ascii="Calibri"/>
                <w:spacing w:val="-5"/>
                <w:sz w:val="22"/>
              </w:rPr>
              <w:t> </w:t>
            </w:r>
            <w:r>
              <w:rPr>
                <w:rFonts w:ascii="Calibri"/>
                <w:sz w:val="22"/>
              </w:rPr>
              <w:t>a</w:t>
            </w:r>
            <w:r>
              <w:rPr>
                <w:rFonts w:ascii="Calibri"/>
                <w:spacing w:val="-4"/>
                <w:sz w:val="22"/>
              </w:rPr>
              <w:t> </w:t>
            </w:r>
            <w:r>
              <w:rPr>
                <w:rFonts w:ascii="Calibri"/>
                <w:sz w:val="22"/>
              </w:rPr>
              <w:t>self-assessment</w:t>
            </w:r>
            <w:r>
              <w:rPr>
                <w:rFonts w:ascii="Calibri"/>
                <w:spacing w:val="-6"/>
                <w:sz w:val="22"/>
              </w:rPr>
              <w:t> </w:t>
            </w:r>
            <w:r>
              <w:rPr>
                <w:rFonts w:ascii="Calibri"/>
                <w:sz w:val="22"/>
              </w:rPr>
              <w:t>system</w:t>
            </w:r>
            <w:r>
              <w:rPr>
                <w:rFonts w:ascii="Calibri"/>
                <w:spacing w:val="-3"/>
                <w:sz w:val="22"/>
              </w:rPr>
              <w:t> </w:t>
            </w:r>
            <w:r>
              <w:rPr>
                <w:rFonts w:ascii="Calibri"/>
                <w:sz w:val="22"/>
              </w:rPr>
              <w:t>to</w:t>
            </w:r>
            <w:r>
              <w:rPr>
                <w:rFonts w:ascii="Calibri"/>
                <w:spacing w:val="-2"/>
                <w:sz w:val="22"/>
              </w:rPr>
              <w:t> improve</w:t>
            </w:r>
          </w:p>
          <w:p>
            <w:pPr>
              <w:pStyle w:val="TableParagraph"/>
              <w:spacing w:line="252" w:lineRule="exact"/>
              <w:ind w:left="107"/>
              <w:rPr>
                <w:rFonts w:ascii="Calibri"/>
                <w:sz w:val="22"/>
              </w:rPr>
            </w:pPr>
            <w:r>
              <w:rPr>
                <w:rFonts w:ascii="Calibri"/>
                <w:spacing w:val="-2"/>
                <w:sz w:val="22"/>
              </w:rPr>
              <w:t>performance</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35</w:t>
            </w:r>
          </w:p>
        </w:tc>
        <w:tc>
          <w:tcPr>
            <w:tcW w:w="6372" w:type="dxa"/>
          </w:tcPr>
          <w:p>
            <w:pPr>
              <w:pStyle w:val="TableParagraph"/>
              <w:spacing w:line="248" w:lineRule="exact"/>
              <w:ind w:left="107"/>
              <w:rPr>
                <w:rFonts w:ascii="Calibri"/>
                <w:sz w:val="22"/>
              </w:rPr>
            </w:pPr>
            <w:r>
              <w:rPr>
                <w:rFonts w:ascii="Calibri"/>
                <w:sz w:val="22"/>
              </w:rPr>
              <w:t>Competitive</w:t>
            </w:r>
            <w:r>
              <w:rPr>
                <w:rFonts w:ascii="Calibri"/>
                <w:spacing w:val="-8"/>
                <w:sz w:val="22"/>
              </w:rPr>
              <w:t> </w:t>
            </w:r>
            <w:r>
              <w:rPr>
                <w:rFonts w:ascii="Calibri"/>
                <w:sz w:val="22"/>
              </w:rPr>
              <w:t>benchmarking</w:t>
            </w:r>
            <w:r>
              <w:rPr>
                <w:rFonts w:ascii="Calibri"/>
                <w:spacing w:val="-7"/>
                <w:sz w:val="22"/>
              </w:rPr>
              <w:t> </w:t>
            </w:r>
            <w:r>
              <w:rPr>
                <w:rFonts w:ascii="Calibri"/>
                <w:sz w:val="22"/>
              </w:rPr>
              <w:t>is</w:t>
            </w:r>
            <w:r>
              <w:rPr>
                <w:rFonts w:ascii="Calibri"/>
                <w:spacing w:val="-6"/>
                <w:sz w:val="22"/>
              </w:rPr>
              <w:t> </w:t>
            </w:r>
            <w:r>
              <w:rPr>
                <w:rFonts w:ascii="Calibri"/>
                <w:sz w:val="22"/>
              </w:rPr>
              <w:t>made</w:t>
            </w:r>
            <w:r>
              <w:rPr>
                <w:rFonts w:ascii="Calibri"/>
                <w:spacing w:val="-4"/>
                <w:sz w:val="22"/>
              </w:rPr>
              <w:t> </w:t>
            </w:r>
            <w:r>
              <w:rPr>
                <w:rFonts w:ascii="Calibri"/>
                <w:sz w:val="22"/>
              </w:rPr>
              <w:t>against</w:t>
            </w:r>
            <w:r>
              <w:rPr>
                <w:rFonts w:ascii="Calibri"/>
                <w:spacing w:val="-7"/>
                <w:sz w:val="22"/>
              </w:rPr>
              <w:t> </w:t>
            </w:r>
            <w:r>
              <w:rPr>
                <w:rFonts w:ascii="Calibri"/>
                <w:sz w:val="22"/>
              </w:rPr>
              <w:t>primary</w:t>
            </w:r>
            <w:r>
              <w:rPr>
                <w:rFonts w:ascii="Calibri"/>
                <w:spacing w:val="-4"/>
                <w:sz w:val="22"/>
              </w:rPr>
              <w:t> </w:t>
            </w:r>
            <w:r>
              <w:rPr>
                <w:rFonts w:ascii="Calibri"/>
                <w:spacing w:val="-2"/>
                <w:sz w:val="22"/>
              </w:rPr>
              <w:t>competitors</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36</w:t>
            </w:r>
          </w:p>
        </w:tc>
        <w:tc>
          <w:tcPr>
            <w:tcW w:w="6372" w:type="dxa"/>
          </w:tcPr>
          <w:p>
            <w:pPr>
              <w:pStyle w:val="TableParagraph"/>
              <w:spacing w:line="265" w:lineRule="exact"/>
              <w:ind w:left="107"/>
              <w:rPr>
                <w:rFonts w:ascii="Calibri"/>
                <w:sz w:val="22"/>
              </w:rPr>
            </w:pPr>
            <w:r>
              <w:rPr>
                <w:rFonts w:ascii="Calibri"/>
                <w:sz w:val="22"/>
              </w:rPr>
              <w:t>My</w:t>
            </w:r>
            <w:r>
              <w:rPr>
                <w:rFonts w:ascii="Calibri"/>
                <w:spacing w:val="-4"/>
                <w:sz w:val="22"/>
              </w:rPr>
              <w:t> </w:t>
            </w:r>
            <w:r>
              <w:rPr>
                <w:rFonts w:ascii="Calibri"/>
                <w:sz w:val="22"/>
              </w:rPr>
              <w:t>company</w:t>
            </w:r>
            <w:r>
              <w:rPr>
                <w:rFonts w:ascii="Calibri"/>
                <w:spacing w:val="-4"/>
                <w:sz w:val="22"/>
              </w:rPr>
              <w:t> </w:t>
            </w:r>
            <w:r>
              <w:rPr>
                <w:rFonts w:ascii="Calibri"/>
                <w:sz w:val="22"/>
              </w:rPr>
              <w:t>is</w:t>
            </w:r>
            <w:r>
              <w:rPr>
                <w:rFonts w:ascii="Calibri"/>
                <w:spacing w:val="42"/>
                <w:sz w:val="22"/>
              </w:rPr>
              <w:t> </w:t>
            </w:r>
            <w:r>
              <w:rPr>
                <w:rFonts w:ascii="Calibri"/>
                <w:sz w:val="22"/>
              </w:rPr>
              <w:t>tracking</w:t>
            </w:r>
            <w:r>
              <w:rPr>
                <w:rFonts w:ascii="Calibri"/>
                <w:spacing w:val="-4"/>
                <w:sz w:val="22"/>
              </w:rPr>
              <w:t> </w:t>
            </w:r>
            <w:r>
              <w:rPr>
                <w:rFonts w:ascii="Calibri"/>
                <w:sz w:val="22"/>
              </w:rPr>
              <w:t>quality</w:t>
            </w:r>
            <w:r>
              <w:rPr>
                <w:rFonts w:ascii="Calibri"/>
                <w:spacing w:val="-1"/>
                <w:sz w:val="22"/>
              </w:rPr>
              <w:t> </w:t>
            </w:r>
            <w:r>
              <w:rPr>
                <w:rFonts w:ascii="Calibri"/>
                <w:sz w:val="22"/>
              </w:rPr>
              <w:t>cost</w:t>
            </w:r>
            <w:r>
              <w:rPr>
                <w:rFonts w:ascii="Calibri"/>
                <w:spacing w:val="-5"/>
                <w:sz w:val="22"/>
              </w:rPr>
              <w:t> </w:t>
            </w:r>
            <w:r>
              <w:rPr>
                <w:rFonts w:ascii="Calibri"/>
                <w:sz w:val="22"/>
              </w:rPr>
              <w:t>to</w:t>
            </w:r>
            <w:r>
              <w:rPr>
                <w:rFonts w:ascii="Calibri"/>
                <w:spacing w:val="-2"/>
                <w:sz w:val="22"/>
              </w:rPr>
              <w:t> </w:t>
            </w:r>
            <w:r>
              <w:rPr>
                <w:rFonts w:ascii="Calibri"/>
                <w:sz w:val="22"/>
              </w:rPr>
              <w:t>reduce</w:t>
            </w:r>
            <w:r>
              <w:rPr>
                <w:rFonts w:ascii="Calibri"/>
                <w:spacing w:val="-2"/>
                <w:sz w:val="22"/>
              </w:rPr>
              <w:t> </w:t>
            </w:r>
            <w:r>
              <w:rPr>
                <w:rFonts w:ascii="Calibri"/>
                <w:sz w:val="22"/>
              </w:rPr>
              <w:t>the</w:t>
            </w:r>
            <w:r>
              <w:rPr>
                <w:rFonts w:ascii="Calibri"/>
                <w:spacing w:val="-4"/>
                <w:sz w:val="22"/>
              </w:rPr>
              <w:t> </w:t>
            </w:r>
            <w:r>
              <w:rPr>
                <w:rFonts w:ascii="Calibri"/>
                <w:sz w:val="22"/>
              </w:rPr>
              <w:t>cost</w:t>
            </w:r>
            <w:r>
              <w:rPr>
                <w:rFonts w:ascii="Calibri"/>
                <w:spacing w:val="-2"/>
                <w:sz w:val="22"/>
              </w:rPr>
              <w:t> </w:t>
            </w:r>
            <w:r>
              <w:rPr>
                <w:rFonts w:ascii="Calibri"/>
                <w:sz w:val="22"/>
              </w:rPr>
              <w:t>of</w:t>
            </w:r>
            <w:r>
              <w:rPr>
                <w:rFonts w:ascii="Calibri"/>
                <w:spacing w:val="-4"/>
                <w:sz w:val="22"/>
              </w:rPr>
              <w:t> </w:t>
            </w:r>
            <w:r>
              <w:rPr>
                <w:rFonts w:ascii="Calibri"/>
                <w:spacing w:val="-2"/>
                <w:sz w:val="22"/>
              </w:rPr>
              <w:t>waste,</w:t>
            </w:r>
          </w:p>
          <w:p>
            <w:pPr>
              <w:pStyle w:val="TableParagraph"/>
              <w:spacing w:line="252" w:lineRule="exact"/>
              <w:ind w:left="107"/>
              <w:rPr>
                <w:rFonts w:ascii="Calibri"/>
                <w:sz w:val="22"/>
              </w:rPr>
            </w:pPr>
            <w:r>
              <w:rPr>
                <w:rFonts w:ascii="Calibri"/>
                <w:sz w:val="22"/>
              </w:rPr>
              <w:t>rework</w:t>
            </w:r>
            <w:r>
              <w:rPr>
                <w:rFonts w:ascii="Calibri"/>
                <w:spacing w:val="-2"/>
                <w:sz w:val="22"/>
              </w:rPr>
              <w:t> </w:t>
            </w:r>
            <w:r>
              <w:rPr>
                <w:rFonts w:ascii="Calibri"/>
                <w:sz w:val="22"/>
              </w:rPr>
              <w:t>and</w:t>
            </w:r>
            <w:r>
              <w:rPr>
                <w:rFonts w:ascii="Calibri"/>
                <w:spacing w:val="-3"/>
                <w:sz w:val="22"/>
              </w:rPr>
              <w:t> </w:t>
            </w:r>
            <w:r>
              <w:rPr>
                <w:rFonts w:ascii="Calibri"/>
                <w:spacing w:val="-2"/>
                <w:sz w:val="22"/>
              </w:rPr>
              <w:t>rejection</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268" w:hRule="atLeast"/>
        </w:trPr>
        <w:tc>
          <w:tcPr>
            <w:tcW w:w="9211" w:type="dxa"/>
            <w:gridSpan w:val="7"/>
          </w:tcPr>
          <w:p>
            <w:pPr>
              <w:pStyle w:val="TableParagraph"/>
              <w:spacing w:line="248" w:lineRule="exact"/>
              <w:ind w:left="695"/>
              <w:rPr>
                <w:rFonts w:ascii="Calibri"/>
                <w:b/>
                <w:sz w:val="22"/>
              </w:rPr>
            </w:pPr>
            <w:r>
              <w:rPr>
                <w:rFonts w:ascii="Calibri"/>
                <w:b/>
                <w:sz w:val="22"/>
                <w:u w:val="single"/>
              </w:rPr>
              <w:t>Strategic</w:t>
            </w:r>
            <w:r>
              <w:rPr>
                <w:rFonts w:ascii="Calibri"/>
                <w:b/>
                <w:spacing w:val="-7"/>
                <w:sz w:val="22"/>
                <w:u w:val="single"/>
              </w:rPr>
              <w:t> </w:t>
            </w:r>
            <w:r>
              <w:rPr>
                <w:rFonts w:ascii="Calibri"/>
                <w:b/>
                <w:spacing w:val="-2"/>
                <w:sz w:val="22"/>
                <w:u w:val="single"/>
              </w:rPr>
              <w:t>Planning</w:t>
            </w:r>
          </w:p>
        </w:tc>
      </w:tr>
      <w:tr>
        <w:trPr>
          <w:trHeight w:val="268" w:hRule="atLeast"/>
        </w:trPr>
        <w:tc>
          <w:tcPr>
            <w:tcW w:w="588" w:type="dxa"/>
          </w:tcPr>
          <w:p>
            <w:pPr>
              <w:pStyle w:val="TableParagraph"/>
              <w:spacing w:line="248" w:lineRule="exact"/>
              <w:ind w:left="107"/>
              <w:rPr>
                <w:rFonts w:ascii="Calibri"/>
                <w:sz w:val="22"/>
              </w:rPr>
            </w:pPr>
            <w:r>
              <w:rPr>
                <w:rFonts w:ascii="Calibri"/>
                <w:spacing w:val="-5"/>
                <w:sz w:val="22"/>
              </w:rPr>
              <w:t>37</w:t>
            </w:r>
          </w:p>
        </w:tc>
        <w:tc>
          <w:tcPr>
            <w:tcW w:w="6372" w:type="dxa"/>
          </w:tcPr>
          <w:p>
            <w:pPr>
              <w:pStyle w:val="TableParagraph"/>
              <w:spacing w:line="248" w:lineRule="exact"/>
              <w:ind w:left="107"/>
              <w:rPr>
                <w:rFonts w:ascii="Calibri"/>
                <w:sz w:val="22"/>
              </w:rPr>
            </w:pPr>
            <w:r>
              <w:rPr>
                <w:rFonts w:ascii="Calibri"/>
                <w:sz w:val="22"/>
              </w:rPr>
              <w:t>We</w:t>
            </w:r>
            <w:r>
              <w:rPr>
                <w:rFonts w:ascii="Calibri"/>
                <w:spacing w:val="-1"/>
                <w:sz w:val="22"/>
              </w:rPr>
              <w:t> </w:t>
            </w:r>
            <w:r>
              <w:rPr>
                <w:rFonts w:ascii="Calibri"/>
                <w:sz w:val="22"/>
              </w:rPr>
              <w:t>know</w:t>
            </w:r>
            <w:r>
              <w:rPr>
                <w:rFonts w:ascii="Calibri"/>
                <w:spacing w:val="-4"/>
                <w:sz w:val="22"/>
              </w:rPr>
              <w:t> </w:t>
            </w:r>
            <w:r>
              <w:rPr>
                <w:rFonts w:ascii="Calibri"/>
                <w:sz w:val="22"/>
              </w:rPr>
              <w:t>our</w:t>
            </w:r>
            <w:r>
              <w:rPr>
                <w:rFonts w:ascii="Calibri"/>
                <w:spacing w:val="-4"/>
                <w:sz w:val="22"/>
              </w:rPr>
              <w:t> </w:t>
            </w:r>
            <w:r>
              <w:rPr>
                <w:rFonts w:ascii="Calibri"/>
                <w:sz w:val="22"/>
              </w:rPr>
              <w:t>company</w:t>
            </w:r>
            <w:r>
              <w:rPr>
                <w:rFonts w:ascii="Calibri"/>
                <w:spacing w:val="-2"/>
                <w:sz w:val="22"/>
              </w:rPr>
              <w:t> mission</w:t>
            </w:r>
          </w:p>
        </w:tc>
        <w:tc>
          <w:tcPr>
            <w:tcW w:w="475" w:type="dxa"/>
          </w:tcPr>
          <w:p>
            <w:pPr>
              <w:pStyle w:val="TableParagraph"/>
              <w:rPr>
                <w:sz w:val="18"/>
              </w:rPr>
            </w:pPr>
          </w:p>
        </w:tc>
        <w:tc>
          <w:tcPr>
            <w:tcW w:w="429" w:type="dxa"/>
          </w:tcPr>
          <w:p>
            <w:pPr>
              <w:pStyle w:val="TableParagraph"/>
              <w:rPr>
                <w:sz w:val="18"/>
              </w:rPr>
            </w:pPr>
          </w:p>
        </w:tc>
        <w:tc>
          <w:tcPr>
            <w:tcW w:w="479" w:type="dxa"/>
          </w:tcPr>
          <w:p>
            <w:pPr>
              <w:pStyle w:val="TableParagraph"/>
              <w:rPr>
                <w:sz w:val="18"/>
              </w:rPr>
            </w:pPr>
          </w:p>
        </w:tc>
        <w:tc>
          <w:tcPr>
            <w:tcW w:w="369" w:type="dxa"/>
          </w:tcPr>
          <w:p>
            <w:pPr>
              <w:pStyle w:val="TableParagraph"/>
              <w:rPr>
                <w:sz w:val="18"/>
              </w:rPr>
            </w:pPr>
          </w:p>
        </w:tc>
        <w:tc>
          <w:tcPr>
            <w:tcW w:w="499" w:type="dxa"/>
          </w:tcPr>
          <w:p>
            <w:pPr>
              <w:pStyle w:val="TableParagraph"/>
              <w:rPr>
                <w:sz w:val="18"/>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38</w:t>
            </w:r>
          </w:p>
        </w:tc>
        <w:tc>
          <w:tcPr>
            <w:tcW w:w="6372" w:type="dxa"/>
          </w:tcPr>
          <w:p>
            <w:pPr>
              <w:pStyle w:val="TableParagraph"/>
              <w:spacing w:line="265" w:lineRule="exact"/>
              <w:ind w:left="107"/>
              <w:rPr>
                <w:rFonts w:ascii="Calibri"/>
                <w:sz w:val="22"/>
              </w:rPr>
            </w:pPr>
            <w:r>
              <w:rPr>
                <w:rFonts w:ascii="Calibri"/>
                <w:sz w:val="22"/>
              </w:rPr>
              <w:t>Our</w:t>
            </w:r>
            <w:r>
              <w:rPr>
                <w:rFonts w:ascii="Calibri"/>
                <w:spacing w:val="-5"/>
                <w:sz w:val="22"/>
              </w:rPr>
              <w:t> </w:t>
            </w:r>
            <w:r>
              <w:rPr>
                <w:rFonts w:ascii="Calibri"/>
                <w:sz w:val="22"/>
              </w:rPr>
              <w:t>firm</w:t>
            </w:r>
            <w:r>
              <w:rPr>
                <w:rFonts w:ascii="Calibri"/>
                <w:spacing w:val="-5"/>
                <w:sz w:val="22"/>
              </w:rPr>
              <w:t> </w:t>
            </w:r>
            <w:r>
              <w:rPr>
                <w:rFonts w:ascii="Calibri"/>
                <w:sz w:val="22"/>
              </w:rPr>
              <w:t>has</w:t>
            </w:r>
            <w:r>
              <w:rPr>
                <w:rFonts w:ascii="Calibri"/>
                <w:spacing w:val="-4"/>
                <w:sz w:val="22"/>
              </w:rPr>
              <w:t> </w:t>
            </w:r>
            <w:r>
              <w:rPr>
                <w:rFonts w:ascii="Calibri"/>
                <w:sz w:val="22"/>
              </w:rPr>
              <w:t>a</w:t>
            </w:r>
            <w:r>
              <w:rPr>
                <w:rFonts w:ascii="Calibri"/>
                <w:spacing w:val="-4"/>
                <w:sz w:val="22"/>
              </w:rPr>
              <w:t> </w:t>
            </w:r>
            <w:r>
              <w:rPr>
                <w:rFonts w:ascii="Calibri"/>
                <w:sz w:val="22"/>
              </w:rPr>
              <w:t>comprehensive</w:t>
            </w:r>
            <w:r>
              <w:rPr>
                <w:rFonts w:ascii="Calibri"/>
                <w:spacing w:val="-3"/>
                <w:sz w:val="22"/>
              </w:rPr>
              <w:t> </w:t>
            </w:r>
            <w:r>
              <w:rPr>
                <w:rFonts w:ascii="Calibri"/>
                <w:sz w:val="22"/>
              </w:rPr>
              <w:t>and</w:t>
            </w:r>
            <w:r>
              <w:rPr>
                <w:rFonts w:ascii="Calibri"/>
                <w:spacing w:val="-5"/>
                <w:sz w:val="22"/>
              </w:rPr>
              <w:t> </w:t>
            </w:r>
            <w:r>
              <w:rPr>
                <w:rFonts w:ascii="Calibri"/>
                <w:sz w:val="22"/>
              </w:rPr>
              <w:t>structured</w:t>
            </w:r>
            <w:r>
              <w:rPr>
                <w:rFonts w:ascii="Calibri"/>
                <w:spacing w:val="-6"/>
                <w:sz w:val="22"/>
              </w:rPr>
              <w:t> </w:t>
            </w:r>
            <w:r>
              <w:rPr>
                <w:rFonts w:ascii="Calibri"/>
                <w:sz w:val="22"/>
              </w:rPr>
              <w:t>planning</w:t>
            </w:r>
            <w:r>
              <w:rPr>
                <w:rFonts w:ascii="Calibri"/>
                <w:spacing w:val="-6"/>
                <w:sz w:val="22"/>
              </w:rPr>
              <w:t> </w:t>
            </w:r>
            <w:r>
              <w:rPr>
                <w:rFonts w:ascii="Calibri"/>
                <w:spacing w:val="-2"/>
                <w:sz w:val="22"/>
              </w:rPr>
              <w:t>process</w:t>
            </w:r>
          </w:p>
          <w:p>
            <w:pPr>
              <w:pStyle w:val="TableParagraph"/>
              <w:spacing w:line="252" w:lineRule="exact"/>
              <w:ind w:left="107"/>
              <w:rPr>
                <w:rFonts w:ascii="Calibri"/>
                <w:sz w:val="22"/>
              </w:rPr>
            </w:pPr>
            <w:r>
              <w:rPr>
                <w:rFonts w:ascii="Calibri"/>
                <w:sz w:val="22"/>
              </w:rPr>
              <w:t>which</w:t>
            </w:r>
            <w:r>
              <w:rPr>
                <w:rFonts w:ascii="Calibri"/>
                <w:spacing w:val="-7"/>
                <w:sz w:val="22"/>
              </w:rPr>
              <w:t> </w:t>
            </w:r>
            <w:r>
              <w:rPr>
                <w:rFonts w:ascii="Calibri"/>
                <w:sz w:val="22"/>
              </w:rPr>
              <w:t>regularly</w:t>
            </w:r>
            <w:r>
              <w:rPr>
                <w:rFonts w:ascii="Calibri"/>
                <w:spacing w:val="-5"/>
                <w:sz w:val="22"/>
              </w:rPr>
              <w:t> </w:t>
            </w:r>
            <w:r>
              <w:rPr>
                <w:rFonts w:ascii="Calibri"/>
                <w:sz w:val="22"/>
              </w:rPr>
              <w:t>sets</w:t>
            </w:r>
            <w:r>
              <w:rPr>
                <w:rFonts w:ascii="Calibri"/>
                <w:spacing w:val="-4"/>
                <w:sz w:val="22"/>
              </w:rPr>
              <w:t> </w:t>
            </w:r>
            <w:r>
              <w:rPr>
                <w:rFonts w:ascii="Calibri"/>
                <w:sz w:val="22"/>
              </w:rPr>
              <w:t>and</w:t>
            </w:r>
            <w:r>
              <w:rPr>
                <w:rFonts w:ascii="Calibri"/>
                <w:spacing w:val="-5"/>
                <w:sz w:val="22"/>
              </w:rPr>
              <w:t> </w:t>
            </w:r>
            <w:r>
              <w:rPr>
                <w:rFonts w:ascii="Calibri"/>
                <w:sz w:val="22"/>
              </w:rPr>
              <w:t>reviews</w:t>
            </w:r>
            <w:r>
              <w:rPr>
                <w:rFonts w:ascii="Calibri"/>
                <w:spacing w:val="-4"/>
                <w:sz w:val="22"/>
              </w:rPr>
              <w:t> </w:t>
            </w:r>
            <w:r>
              <w:rPr>
                <w:rFonts w:ascii="Calibri"/>
                <w:sz w:val="22"/>
              </w:rPr>
              <w:t>short</w:t>
            </w:r>
            <w:r>
              <w:rPr>
                <w:rFonts w:ascii="Calibri"/>
                <w:spacing w:val="-4"/>
                <w:sz w:val="22"/>
              </w:rPr>
              <w:t> </w:t>
            </w:r>
            <w:r>
              <w:rPr>
                <w:rFonts w:ascii="Calibri"/>
                <w:sz w:val="22"/>
              </w:rPr>
              <w:t>and</w:t>
            </w:r>
            <w:r>
              <w:rPr>
                <w:rFonts w:ascii="Calibri"/>
                <w:spacing w:val="-5"/>
                <w:sz w:val="22"/>
              </w:rPr>
              <w:t> </w:t>
            </w:r>
            <w:r>
              <w:rPr>
                <w:rFonts w:ascii="Calibri"/>
                <w:sz w:val="22"/>
              </w:rPr>
              <w:t>long-term</w:t>
            </w:r>
            <w:r>
              <w:rPr>
                <w:rFonts w:ascii="Calibri"/>
                <w:spacing w:val="-4"/>
                <w:sz w:val="22"/>
              </w:rPr>
              <w:t> </w:t>
            </w:r>
            <w:r>
              <w:rPr>
                <w:rFonts w:ascii="Calibri"/>
                <w:spacing w:val="-2"/>
                <w:sz w:val="22"/>
              </w:rPr>
              <w:t>goals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39</w:t>
            </w:r>
          </w:p>
        </w:tc>
        <w:tc>
          <w:tcPr>
            <w:tcW w:w="6372" w:type="dxa"/>
          </w:tcPr>
          <w:p>
            <w:pPr>
              <w:pStyle w:val="TableParagraph"/>
              <w:spacing w:line="265" w:lineRule="exact"/>
              <w:ind w:left="107"/>
              <w:rPr>
                <w:rFonts w:ascii="Calibri"/>
                <w:sz w:val="22"/>
              </w:rPr>
            </w:pPr>
            <w:r>
              <w:rPr>
                <w:rFonts w:ascii="Calibri"/>
                <w:sz w:val="22"/>
              </w:rPr>
              <w:t>Our</w:t>
            </w:r>
            <w:r>
              <w:rPr>
                <w:rFonts w:ascii="Calibri"/>
                <w:spacing w:val="-4"/>
                <w:sz w:val="22"/>
              </w:rPr>
              <w:t> </w:t>
            </w:r>
            <w:r>
              <w:rPr>
                <w:rFonts w:ascii="Calibri"/>
                <w:sz w:val="22"/>
              </w:rPr>
              <w:t>firm</w:t>
            </w:r>
            <w:r>
              <w:rPr>
                <w:rFonts w:ascii="Calibri"/>
                <w:spacing w:val="-5"/>
                <w:sz w:val="22"/>
              </w:rPr>
              <w:t> </w:t>
            </w:r>
            <w:r>
              <w:rPr>
                <w:rFonts w:ascii="Calibri"/>
                <w:sz w:val="22"/>
              </w:rPr>
              <w:t>incorporates</w:t>
            </w:r>
            <w:r>
              <w:rPr>
                <w:rFonts w:ascii="Calibri"/>
                <w:spacing w:val="-4"/>
                <w:sz w:val="22"/>
              </w:rPr>
              <w:t> </w:t>
            </w:r>
            <w:r>
              <w:rPr>
                <w:rFonts w:ascii="Calibri"/>
                <w:sz w:val="22"/>
              </w:rPr>
              <w:t>the</w:t>
            </w:r>
            <w:r>
              <w:rPr>
                <w:rFonts w:ascii="Calibri"/>
                <w:spacing w:val="-5"/>
                <w:sz w:val="22"/>
              </w:rPr>
              <w:t> </w:t>
            </w:r>
            <w:r>
              <w:rPr>
                <w:rFonts w:ascii="Calibri"/>
                <w:sz w:val="22"/>
              </w:rPr>
              <w:t>needs</w:t>
            </w:r>
            <w:r>
              <w:rPr>
                <w:rFonts w:ascii="Calibri"/>
                <w:spacing w:val="-6"/>
                <w:sz w:val="22"/>
              </w:rPr>
              <w:t> </w:t>
            </w:r>
            <w:r>
              <w:rPr>
                <w:rFonts w:ascii="Calibri"/>
                <w:sz w:val="22"/>
              </w:rPr>
              <w:t>of</w:t>
            </w:r>
            <w:r>
              <w:rPr>
                <w:rFonts w:ascii="Calibri"/>
                <w:spacing w:val="-4"/>
                <w:sz w:val="22"/>
              </w:rPr>
              <w:t> </w:t>
            </w:r>
            <w:r>
              <w:rPr>
                <w:rFonts w:ascii="Calibri"/>
                <w:sz w:val="22"/>
              </w:rPr>
              <w:t>all</w:t>
            </w:r>
            <w:r>
              <w:rPr>
                <w:rFonts w:ascii="Calibri"/>
                <w:spacing w:val="-3"/>
                <w:sz w:val="22"/>
              </w:rPr>
              <w:t> </w:t>
            </w:r>
            <w:r>
              <w:rPr>
                <w:rFonts w:ascii="Calibri"/>
                <w:sz w:val="22"/>
              </w:rPr>
              <w:t>stakeholders</w:t>
            </w:r>
            <w:r>
              <w:rPr>
                <w:rFonts w:ascii="Calibri"/>
                <w:spacing w:val="-6"/>
                <w:sz w:val="22"/>
              </w:rPr>
              <w:t> </w:t>
            </w:r>
            <w:r>
              <w:rPr>
                <w:rFonts w:ascii="Calibri"/>
                <w:sz w:val="22"/>
              </w:rPr>
              <w:t>when</w:t>
            </w:r>
            <w:r>
              <w:rPr>
                <w:rFonts w:ascii="Calibri"/>
                <w:spacing w:val="-4"/>
                <w:sz w:val="22"/>
              </w:rPr>
              <w:t> </w:t>
            </w:r>
            <w:r>
              <w:rPr>
                <w:rFonts w:ascii="Calibri"/>
                <w:spacing w:val="-5"/>
                <w:sz w:val="22"/>
              </w:rPr>
              <w:t>we</w:t>
            </w:r>
          </w:p>
          <w:p>
            <w:pPr>
              <w:pStyle w:val="TableParagraph"/>
              <w:spacing w:line="252" w:lineRule="exact"/>
              <w:ind w:left="107"/>
              <w:rPr>
                <w:rFonts w:ascii="Calibri"/>
                <w:sz w:val="22"/>
              </w:rPr>
            </w:pPr>
            <w:r>
              <w:rPr>
                <w:rFonts w:ascii="Calibri"/>
                <w:sz w:val="22"/>
              </w:rPr>
              <w:t>develop</w:t>
            </w:r>
            <w:r>
              <w:rPr>
                <w:rFonts w:ascii="Calibri"/>
                <w:spacing w:val="-6"/>
                <w:sz w:val="22"/>
              </w:rPr>
              <w:t> </w:t>
            </w:r>
            <w:r>
              <w:rPr>
                <w:rFonts w:ascii="Calibri"/>
                <w:sz w:val="22"/>
              </w:rPr>
              <w:t>our</w:t>
            </w:r>
            <w:r>
              <w:rPr>
                <w:rFonts w:ascii="Calibri"/>
                <w:spacing w:val="-3"/>
                <w:sz w:val="22"/>
              </w:rPr>
              <w:t> </w:t>
            </w:r>
            <w:r>
              <w:rPr>
                <w:rFonts w:ascii="Calibri"/>
                <w:sz w:val="22"/>
              </w:rPr>
              <w:t>plans,</w:t>
            </w:r>
            <w:r>
              <w:rPr>
                <w:rFonts w:ascii="Calibri"/>
                <w:spacing w:val="-2"/>
                <w:sz w:val="22"/>
              </w:rPr>
              <w:t> </w:t>
            </w:r>
            <w:r>
              <w:rPr>
                <w:rFonts w:ascii="Calibri"/>
                <w:sz w:val="22"/>
              </w:rPr>
              <w:t>policies</w:t>
            </w:r>
            <w:r>
              <w:rPr>
                <w:rFonts w:ascii="Calibri"/>
                <w:spacing w:val="-5"/>
                <w:sz w:val="22"/>
              </w:rPr>
              <w:t> </w:t>
            </w:r>
            <w:r>
              <w:rPr>
                <w:rFonts w:ascii="Calibri"/>
                <w:sz w:val="22"/>
              </w:rPr>
              <w:t>and</w:t>
            </w:r>
            <w:r>
              <w:rPr>
                <w:rFonts w:ascii="Calibri"/>
                <w:spacing w:val="-3"/>
                <w:sz w:val="22"/>
              </w:rPr>
              <w:t> </w:t>
            </w:r>
            <w:r>
              <w:rPr>
                <w:rFonts w:ascii="Calibri"/>
                <w:spacing w:val="-2"/>
                <w:sz w:val="22"/>
              </w:rPr>
              <w:t>objectives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537" w:hRule="atLeast"/>
        </w:trPr>
        <w:tc>
          <w:tcPr>
            <w:tcW w:w="588" w:type="dxa"/>
          </w:tcPr>
          <w:p>
            <w:pPr>
              <w:pStyle w:val="TableParagraph"/>
              <w:spacing w:line="265" w:lineRule="exact"/>
              <w:ind w:left="107"/>
              <w:rPr>
                <w:rFonts w:ascii="Calibri"/>
                <w:sz w:val="22"/>
              </w:rPr>
            </w:pPr>
            <w:r>
              <w:rPr>
                <w:rFonts w:ascii="Calibri"/>
                <w:spacing w:val="-5"/>
                <w:sz w:val="22"/>
              </w:rPr>
              <w:t>40</w:t>
            </w:r>
          </w:p>
        </w:tc>
        <w:tc>
          <w:tcPr>
            <w:tcW w:w="6372" w:type="dxa"/>
          </w:tcPr>
          <w:p>
            <w:pPr>
              <w:pStyle w:val="TableParagraph"/>
              <w:spacing w:line="265" w:lineRule="exact"/>
              <w:ind w:left="107"/>
              <w:rPr>
                <w:rFonts w:ascii="Calibri"/>
                <w:sz w:val="22"/>
              </w:rPr>
            </w:pPr>
            <w:r>
              <w:rPr>
                <w:rFonts w:ascii="Calibri"/>
                <w:sz w:val="22"/>
              </w:rPr>
              <w:t>There</w:t>
            </w:r>
            <w:r>
              <w:rPr>
                <w:rFonts w:ascii="Calibri"/>
                <w:spacing w:val="-3"/>
                <w:sz w:val="22"/>
              </w:rPr>
              <w:t> </w:t>
            </w:r>
            <w:r>
              <w:rPr>
                <w:rFonts w:ascii="Calibri"/>
                <w:sz w:val="22"/>
              </w:rPr>
              <w:t>is</w:t>
            </w:r>
            <w:r>
              <w:rPr>
                <w:rFonts w:ascii="Calibri"/>
                <w:spacing w:val="-4"/>
                <w:sz w:val="22"/>
              </w:rPr>
              <w:t> </w:t>
            </w:r>
            <w:r>
              <w:rPr>
                <w:rFonts w:ascii="Calibri"/>
                <w:sz w:val="22"/>
              </w:rPr>
              <w:t>a</w:t>
            </w:r>
            <w:r>
              <w:rPr>
                <w:rFonts w:ascii="Calibri"/>
                <w:spacing w:val="-4"/>
                <w:sz w:val="22"/>
              </w:rPr>
              <w:t> </w:t>
            </w:r>
            <w:r>
              <w:rPr>
                <w:rFonts w:ascii="Calibri"/>
                <w:sz w:val="22"/>
              </w:rPr>
              <w:t>written</w:t>
            </w:r>
            <w:r>
              <w:rPr>
                <w:rFonts w:ascii="Calibri"/>
                <w:spacing w:val="-5"/>
                <w:sz w:val="22"/>
              </w:rPr>
              <w:t> </w:t>
            </w:r>
            <w:r>
              <w:rPr>
                <w:rFonts w:ascii="Calibri"/>
                <w:sz w:val="22"/>
              </w:rPr>
              <w:t>statement</w:t>
            </w:r>
            <w:r>
              <w:rPr>
                <w:rFonts w:ascii="Calibri"/>
                <w:spacing w:val="-2"/>
                <w:sz w:val="22"/>
              </w:rPr>
              <w:t> </w:t>
            </w:r>
            <w:r>
              <w:rPr>
                <w:rFonts w:ascii="Calibri"/>
                <w:sz w:val="22"/>
              </w:rPr>
              <w:t>of</w:t>
            </w:r>
            <w:r>
              <w:rPr>
                <w:rFonts w:ascii="Calibri"/>
                <w:spacing w:val="-5"/>
                <w:sz w:val="22"/>
              </w:rPr>
              <w:t> </w:t>
            </w:r>
            <w:r>
              <w:rPr>
                <w:rFonts w:ascii="Calibri"/>
                <w:sz w:val="22"/>
              </w:rPr>
              <w:t>strategy</w:t>
            </w:r>
            <w:r>
              <w:rPr>
                <w:rFonts w:ascii="Calibri"/>
                <w:spacing w:val="-2"/>
                <w:sz w:val="22"/>
              </w:rPr>
              <w:t> </w:t>
            </w:r>
            <w:r>
              <w:rPr>
                <w:rFonts w:ascii="Calibri"/>
                <w:sz w:val="22"/>
              </w:rPr>
              <w:t>covering</w:t>
            </w:r>
            <w:r>
              <w:rPr>
                <w:rFonts w:ascii="Calibri"/>
                <w:spacing w:val="-4"/>
                <w:sz w:val="22"/>
              </w:rPr>
              <w:t> </w:t>
            </w:r>
            <w:r>
              <w:rPr>
                <w:rFonts w:ascii="Calibri"/>
                <w:sz w:val="22"/>
              </w:rPr>
              <w:t>all</w:t>
            </w:r>
            <w:r>
              <w:rPr>
                <w:rFonts w:ascii="Calibri"/>
                <w:spacing w:val="-3"/>
                <w:sz w:val="22"/>
              </w:rPr>
              <w:t> </w:t>
            </w:r>
            <w:r>
              <w:rPr>
                <w:rFonts w:ascii="Calibri"/>
                <w:spacing w:val="-2"/>
                <w:sz w:val="22"/>
              </w:rPr>
              <w:t>business</w:t>
            </w:r>
          </w:p>
          <w:p>
            <w:pPr>
              <w:pStyle w:val="TableParagraph"/>
              <w:spacing w:line="252" w:lineRule="exact"/>
              <w:ind w:left="107"/>
              <w:rPr>
                <w:rFonts w:ascii="Calibri"/>
                <w:sz w:val="22"/>
              </w:rPr>
            </w:pPr>
            <w:r>
              <w:rPr>
                <w:rFonts w:ascii="Calibri"/>
                <w:sz w:val="22"/>
              </w:rPr>
              <w:t>operations</w:t>
            </w:r>
            <w:r>
              <w:rPr>
                <w:rFonts w:ascii="Calibri"/>
                <w:spacing w:val="-8"/>
                <w:sz w:val="22"/>
              </w:rPr>
              <w:t> </w:t>
            </w:r>
            <w:r>
              <w:rPr>
                <w:rFonts w:ascii="Calibri"/>
                <w:sz w:val="22"/>
              </w:rPr>
              <w:t>which</w:t>
            </w:r>
            <w:r>
              <w:rPr>
                <w:rFonts w:ascii="Calibri"/>
                <w:spacing w:val="-4"/>
                <w:sz w:val="22"/>
              </w:rPr>
              <w:t> </w:t>
            </w:r>
            <w:r>
              <w:rPr>
                <w:rFonts w:ascii="Calibri"/>
                <w:sz w:val="22"/>
              </w:rPr>
              <w:t>is</w:t>
            </w:r>
            <w:r>
              <w:rPr>
                <w:rFonts w:ascii="Calibri"/>
                <w:spacing w:val="-3"/>
                <w:sz w:val="22"/>
              </w:rPr>
              <w:t> </w:t>
            </w:r>
            <w:r>
              <w:rPr>
                <w:rFonts w:ascii="Calibri"/>
                <w:sz w:val="22"/>
              </w:rPr>
              <w:t>articulated</w:t>
            </w:r>
            <w:r>
              <w:rPr>
                <w:rFonts w:ascii="Calibri"/>
                <w:spacing w:val="-5"/>
                <w:sz w:val="22"/>
              </w:rPr>
              <w:t> </w:t>
            </w:r>
            <w:r>
              <w:rPr>
                <w:rFonts w:ascii="Calibri"/>
                <w:sz w:val="22"/>
              </w:rPr>
              <w:t>and</w:t>
            </w:r>
            <w:r>
              <w:rPr>
                <w:rFonts w:ascii="Calibri"/>
                <w:spacing w:val="-4"/>
                <w:sz w:val="22"/>
              </w:rPr>
              <w:t> </w:t>
            </w:r>
            <w:r>
              <w:rPr>
                <w:rFonts w:ascii="Calibri"/>
                <w:sz w:val="22"/>
              </w:rPr>
              <w:t>agreed</w:t>
            </w:r>
            <w:r>
              <w:rPr>
                <w:rFonts w:ascii="Calibri"/>
                <w:spacing w:val="-4"/>
                <w:sz w:val="22"/>
              </w:rPr>
              <w:t> </w:t>
            </w:r>
            <w:r>
              <w:rPr>
                <w:rFonts w:ascii="Calibri"/>
                <w:sz w:val="22"/>
              </w:rPr>
              <w:t>by</w:t>
            </w:r>
            <w:r>
              <w:rPr>
                <w:rFonts w:ascii="Calibri"/>
                <w:spacing w:val="-5"/>
                <w:sz w:val="22"/>
              </w:rPr>
              <w:t> </w:t>
            </w:r>
            <w:r>
              <w:rPr>
                <w:rFonts w:ascii="Calibri"/>
                <w:sz w:val="22"/>
              </w:rPr>
              <w:t>our</w:t>
            </w:r>
            <w:r>
              <w:rPr>
                <w:rFonts w:ascii="Calibri"/>
                <w:spacing w:val="-3"/>
                <w:sz w:val="22"/>
              </w:rPr>
              <w:t> </w:t>
            </w:r>
            <w:r>
              <w:rPr>
                <w:rFonts w:ascii="Calibri"/>
                <w:sz w:val="22"/>
              </w:rPr>
              <w:t>senior</w:t>
            </w:r>
            <w:r>
              <w:rPr>
                <w:rFonts w:ascii="Calibri"/>
                <w:spacing w:val="-5"/>
                <w:sz w:val="22"/>
              </w:rPr>
              <w:t> </w:t>
            </w:r>
            <w:r>
              <w:rPr>
                <w:rFonts w:ascii="Calibri"/>
                <w:spacing w:val="-2"/>
                <w:sz w:val="22"/>
              </w:rPr>
              <w:t>managers</w:t>
            </w:r>
          </w:p>
        </w:tc>
        <w:tc>
          <w:tcPr>
            <w:tcW w:w="475" w:type="dxa"/>
          </w:tcPr>
          <w:p>
            <w:pPr>
              <w:pStyle w:val="TableParagraph"/>
              <w:rPr>
                <w:sz w:val="22"/>
              </w:rPr>
            </w:pPr>
          </w:p>
        </w:tc>
        <w:tc>
          <w:tcPr>
            <w:tcW w:w="429" w:type="dxa"/>
          </w:tcPr>
          <w:p>
            <w:pPr>
              <w:pStyle w:val="TableParagraph"/>
              <w:rPr>
                <w:sz w:val="22"/>
              </w:rPr>
            </w:pPr>
          </w:p>
        </w:tc>
        <w:tc>
          <w:tcPr>
            <w:tcW w:w="479" w:type="dxa"/>
          </w:tcPr>
          <w:p>
            <w:pPr>
              <w:pStyle w:val="TableParagraph"/>
              <w:rPr>
                <w:sz w:val="22"/>
              </w:rPr>
            </w:pPr>
          </w:p>
        </w:tc>
        <w:tc>
          <w:tcPr>
            <w:tcW w:w="369" w:type="dxa"/>
          </w:tcPr>
          <w:p>
            <w:pPr>
              <w:pStyle w:val="TableParagraph"/>
              <w:rPr>
                <w:sz w:val="22"/>
              </w:rPr>
            </w:pPr>
          </w:p>
        </w:tc>
        <w:tc>
          <w:tcPr>
            <w:tcW w:w="499" w:type="dxa"/>
          </w:tcPr>
          <w:p>
            <w:pPr>
              <w:pStyle w:val="TableParagraph"/>
              <w:rPr>
                <w:sz w:val="22"/>
              </w:rPr>
            </w:pPr>
          </w:p>
        </w:tc>
      </w:tr>
      <w:tr>
        <w:trPr>
          <w:trHeight w:val="484" w:hRule="atLeast"/>
        </w:trPr>
        <w:tc>
          <w:tcPr>
            <w:tcW w:w="9211" w:type="dxa"/>
            <w:gridSpan w:val="7"/>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5"/>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5"/>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SD</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strongly</w:t>
            </w:r>
            <w:r>
              <w:rPr>
                <w:rFonts w:ascii="Calibri" w:hAnsi="Calibri"/>
                <w:spacing w:val="-5"/>
                <w:sz w:val="20"/>
              </w:rPr>
              <w:t> </w:t>
            </w:r>
            <w:r>
              <w:rPr>
                <w:rFonts w:ascii="Calibri" w:hAnsi="Calibri"/>
                <w:sz w:val="20"/>
              </w:rPr>
              <w:t>disagree;</w:t>
            </w:r>
            <w:r>
              <w:rPr>
                <w:rFonts w:ascii="Calibri" w:hAnsi="Calibri"/>
                <w:spacing w:val="-6"/>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6"/>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don’t</w:t>
            </w:r>
            <w:r>
              <w:rPr>
                <w:rFonts w:ascii="Calibri" w:hAnsi="Calibri"/>
                <w:spacing w:val="-5"/>
                <w:sz w:val="20"/>
              </w:rPr>
              <w:t> </w:t>
            </w:r>
            <w:r>
              <w:rPr>
                <w:rFonts w:ascii="Calibri" w:hAnsi="Calibri"/>
                <w:spacing w:val="-4"/>
                <w:sz w:val="20"/>
              </w:rPr>
              <w:t>know</w:t>
            </w:r>
          </w:p>
        </w:tc>
      </w:tr>
    </w:tbl>
    <w:p>
      <w:pPr>
        <w:pStyle w:val="BodyText"/>
        <w:rPr>
          <w:rFonts w:ascii="Calibri"/>
        </w:rPr>
      </w:pPr>
    </w:p>
    <w:p>
      <w:pPr>
        <w:pStyle w:val="BodyText"/>
        <w:spacing w:before="29"/>
        <w:rPr>
          <w:rFonts w:ascii="Calibri"/>
        </w:rPr>
      </w:pPr>
    </w:p>
    <w:p>
      <w:pPr>
        <w:pStyle w:val="Heading2"/>
        <w:spacing w:before="1"/>
        <w:jc w:val="left"/>
        <w:rPr>
          <w:rFonts w:ascii="Calibri"/>
        </w:rPr>
      </w:pPr>
      <w:r>
        <w:rPr>
          <w:rFonts w:ascii="Calibri"/>
        </w:rPr>
        <w:t>uestions</w:t>
      </w:r>
      <w:r>
        <w:rPr>
          <w:rFonts w:ascii="Calibri"/>
          <w:spacing w:val="-2"/>
        </w:rPr>
        <w:t> </w:t>
      </w:r>
      <w:r>
        <w:rPr>
          <w:rFonts w:ascii="Calibri"/>
        </w:rPr>
        <w:t>related</w:t>
      </w:r>
      <w:r>
        <w:rPr>
          <w:rFonts w:ascii="Calibri"/>
          <w:spacing w:val="-3"/>
        </w:rPr>
        <w:t> </w:t>
      </w:r>
      <w:r>
        <w:rPr>
          <w:rFonts w:ascii="Calibri"/>
        </w:rPr>
        <w:t>to</w:t>
      </w:r>
      <w:r>
        <w:rPr>
          <w:rFonts w:ascii="Calibri"/>
          <w:spacing w:val="-2"/>
        </w:rPr>
        <w:t> </w:t>
      </w:r>
      <w:r>
        <w:rPr>
          <w:rFonts w:ascii="Calibri"/>
        </w:rPr>
        <w:t>critical</w:t>
      </w:r>
      <w:r>
        <w:rPr>
          <w:rFonts w:ascii="Calibri"/>
          <w:spacing w:val="-1"/>
        </w:rPr>
        <w:t> </w:t>
      </w:r>
      <w:r>
        <w:rPr>
          <w:rFonts w:ascii="Calibri"/>
        </w:rPr>
        <w:t>success</w:t>
      </w:r>
      <w:r>
        <w:rPr>
          <w:rFonts w:ascii="Calibri"/>
          <w:spacing w:val="-3"/>
        </w:rPr>
        <w:t> </w:t>
      </w:r>
      <w:r>
        <w:rPr>
          <w:rFonts w:ascii="Calibri"/>
          <w:spacing w:val="-2"/>
        </w:rPr>
        <w:t>factor</w:t>
      </w:r>
    </w:p>
    <w:p>
      <w:pPr>
        <w:pStyle w:val="ListParagraph"/>
        <w:numPr>
          <w:ilvl w:val="0"/>
          <w:numId w:val="61"/>
        </w:numPr>
        <w:tabs>
          <w:tab w:pos="1120" w:val="left" w:leader="none"/>
          <w:tab w:pos="2785" w:val="left" w:leader="none"/>
        </w:tabs>
        <w:spacing w:line="259" w:lineRule="auto" w:before="182" w:after="4"/>
        <w:ind w:left="1120" w:right="1491" w:hanging="360"/>
        <w:jc w:val="left"/>
        <w:rPr>
          <w:rFonts w:ascii="Calibri" w:hAnsi="Calibri"/>
          <w:sz w:val="24"/>
        </w:rPr>
      </w:pPr>
      <w:r>
        <w:rPr>
          <w:rFonts w:ascii="Calibri" w:hAnsi="Calibri"/>
          <w:sz w:val="24"/>
        </w:rPr>
        <w:tab/>
        <w:t>On</w:t>
      </w:r>
      <w:r>
        <w:rPr>
          <w:rFonts w:ascii="Calibri" w:hAnsi="Calibri"/>
          <w:spacing w:val="-1"/>
          <w:sz w:val="24"/>
        </w:rPr>
        <w:t> </w:t>
      </w:r>
      <w:r>
        <w:rPr>
          <w:rFonts w:ascii="Calibri" w:hAnsi="Calibri"/>
          <w:sz w:val="24"/>
        </w:rPr>
        <w:t>the</w:t>
      </w:r>
      <w:r>
        <w:rPr>
          <w:rFonts w:ascii="Calibri" w:hAnsi="Calibri"/>
          <w:spacing w:val="-2"/>
          <w:sz w:val="24"/>
        </w:rPr>
        <w:t> </w:t>
      </w:r>
      <w:r>
        <w:rPr>
          <w:rFonts w:ascii="Calibri" w:hAnsi="Calibri"/>
          <w:sz w:val="24"/>
        </w:rPr>
        <w:t>scale</w:t>
      </w:r>
      <w:r>
        <w:rPr>
          <w:rFonts w:ascii="Calibri" w:hAnsi="Calibri"/>
          <w:spacing w:val="-4"/>
          <w:sz w:val="24"/>
        </w:rPr>
        <w:t> </w:t>
      </w:r>
      <w:r>
        <w:rPr>
          <w:rFonts w:ascii="Calibri" w:hAnsi="Calibri"/>
          <w:sz w:val="24"/>
        </w:rPr>
        <w:t>of</w:t>
      </w:r>
      <w:r>
        <w:rPr>
          <w:rFonts w:ascii="Calibri" w:hAnsi="Calibri"/>
          <w:spacing w:val="-4"/>
          <w:sz w:val="24"/>
        </w:rPr>
        <w:t> </w:t>
      </w:r>
      <w:r>
        <w:rPr>
          <w:rFonts w:ascii="Calibri" w:hAnsi="Calibri"/>
          <w:sz w:val="24"/>
        </w:rPr>
        <w:t>1</w:t>
      </w:r>
      <w:r>
        <w:rPr>
          <w:rFonts w:ascii="Calibri" w:hAnsi="Calibri"/>
          <w:spacing w:val="-2"/>
          <w:sz w:val="24"/>
        </w:rPr>
        <w:t> </w:t>
      </w:r>
      <w:r>
        <w:rPr>
          <w:rFonts w:ascii="Calibri" w:hAnsi="Calibri"/>
          <w:sz w:val="24"/>
        </w:rPr>
        <w:t>(Don’t</w:t>
      </w:r>
      <w:r>
        <w:rPr>
          <w:rFonts w:ascii="Calibri" w:hAnsi="Calibri"/>
          <w:spacing w:val="-4"/>
          <w:sz w:val="24"/>
        </w:rPr>
        <w:t> </w:t>
      </w:r>
      <w:r>
        <w:rPr>
          <w:rFonts w:ascii="Calibri" w:hAnsi="Calibri"/>
          <w:sz w:val="24"/>
        </w:rPr>
        <w:t>Know)</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z w:val="24"/>
        </w:rPr>
        <w:t>5</w:t>
      </w:r>
      <w:r>
        <w:rPr>
          <w:rFonts w:ascii="Calibri" w:hAnsi="Calibri"/>
          <w:spacing w:val="-4"/>
          <w:sz w:val="24"/>
        </w:rPr>
        <w:t> </w:t>
      </w:r>
      <w:r>
        <w:rPr>
          <w:rFonts w:ascii="Calibri" w:hAnsi="Calibri"/>
          <w:sz w:val="24"/>
        </w:rPr>
        <w:t>(Strongly</w:t>
      </w:r>
      <w:r>
        <w:rPr>
          <w:rFonts w:ascii="Calibri" w:hAnsi="Calibri"/>
          <w:spacing w:val="-3"/>
          <w:sz w:val="24"/>
        </w:rPr>
        <w:t> </w:t>
      </w:r>
      <w:r>
        <w:rPr>
          <w:rFonts w:ascii="Calibri" w:hAnsi="Calibri"/>
          <w:sz w:val="24"/>
        </w:rPr>
        <w:t>Agree),</w:t>
      </w:r>
      <w:r>
        <w:rPr>
          <w:rFonts w:ascii="Calibri" w:hAnsi="Calibri"/>
          <w:spacing w:val="-2"/>
          <w:sz w:val="24"/>
        </w:rPr>
        <w:t> </w:t>
      </w:r>
      <w:r>
        <w:rPr>
          <w:rFonts w:ascii="Calibri" w:hAnsi="Calibri"/>
          <w:sz w:val="24"/>
        </w:rPr>
        <w:t>rate</w:t>
      </w:r>
      <w:r>
        <w:rPr>
          <w:rFonts w:ascii="Calibri" w:hAnsi="Calibri"/>
          <w:spacing w:val="-4"/>
          <w:sz w:val="24"/>
        </w:rPr>
        <w:t> </w:t>
      </w:r>
      <w:r>
        <w:rPr>
          <w:rFonts w:ascii="Calibri" w:hAnsi="Calibri"/>
          <w:sz w:val="24"/>
        </w:rPr>
        <w:t>the</w:t>
      </w:r>
      <w:r>
        <w:rPr>
          <w:rFonts w:ascii="Calibri" w:hAnsi="Calibri"/>
          <w:spacing w:val="-4"/>
          <w:sz w:val="24"/>
        </w:rPr>
        <w:t> </w:t>
      </w:r>
      <w:r>
        <w:rPr>
          <w:rFonts w:ascii="Calibri" w:hAnsi="Calibri"/>
          <w:sz w:val="24"/>
        </w:rPr>
        <w:t>extent</w:t>
      </w:r>
      <w:r>
        <w:rPr>
          <w:rFonts w:ascii="Calibri" w:hAnsi="Calibri"/>
          <w:spacing w:val="-4"/>
          <w:sz w:val="24"/>
        </w:rPr>
        <w:t> </w:t>
      </w:r>
      <w:r>
        <w:rPr>
          <w:rFonts w:ascii="Calibri" w:hAnsi="Calibri"/>
          <w:sz w:val="24"/>
        </w:rPr>
        <w:t>to which you agree the following to be the critical success factor of TQM the following (please tick appropriately)</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6477"/>
        <w:gridCol w:w="475"/>
        <w:gridCol w:w="432"/>
        <w:gridCol w:w="480"/>
        <w:gridCol w:w="370"/>
        <w:gridCol w:w="526"/>
      </w:tblGrid>
      <w:tr>
        <w:trPr>
          <w:trHeight w:val="537" w:hRule="atLeast"/>
        </w:trPr>
        <w:tc>
          <w:tcPr>
            <w:tcW w:w="590" w:type="dxa"/>
          </w:tcPr>
          <w:p>
            <w:pPr>
              <w:pStyle w:val="TableParagraph"/>
              <w:spacing w:line="265" w:lineRule="exact"/>
              <w:ind w:left="107"/>
              <w:rPr>
                <w:rFonts w:ascii="Calibri"/>
                <w:b/>
                <w:sz w:val="22"/>
              </w:rPr>
            </w:pPr>
            <w:r>
              <w:rPr>
                <w:rFonts w:ascii="Calibri"/>
                <w:b/>
                <w:spacing w:val="-5"/>
                <w:sz w:val="22"/>
              </w:rPr>
              <w:t>S/N</w:t>
            </w:r>
          </w:p>
        </w:tc>
        <w:tc>
          <w:tcPr>
            <w:tcW w:w="6477" w:type="dxa"/>
          </w:tcPr>
          <w:p>
            <w:pPr>
              <w:pStyle w:val="TableParagraph"/>
              <w:rPr>
                <w:sz w:val="22"/>
              </w:rPr>
            </w:pPr>
          </w:p>
        </w:tc>
        <w:tc>
          <w:tcPr>
            <w:tcW w:w="475" w:type="dxa"/>
          </w:tcPr>
          <w:p>
            <w:pPr>
              <w:pStyle w:val="TableParagraph"/>
              <w:spacing w:line="265" w:lineRule="exact"/>
              <w:ind w:left="108"/>
              <w:rPr>
                <w:rFonts w:ascii="Calibri"/>
                <w:b/>
                <w:sz w:val="22"/>
              </w:rPr>
            </w:pPr>
            <w:r>
              <w:rPr>
                <w:rFonts w:ascii="Calibri"/>
                <w:b/>
                <w:spacing w:val="-5"/>
                <w:sz w:val="22"/>
              </w:rPr>
              <w:t>SA</w:t>
            </w:r>
          </w:p>
          <w:p>
            <w:pPr>
              <w:pStyle w:val="TableParagraph"/>
              <w:spacing w:line="252" w:lineRule="exact"/>
              <w:ind w:left="108"/>
              <w:rPr>
                <w:rFonts w:ascii="Calibri"/>
                <w:b/>
                <w:sz w:val="22"/>
              </w:rPr>
            </w:pPr>
            <w:r>
              <w:rPr>
                <w:rFonts w:ascii="Calibri"/>
                <w:b/>
                <w:spacing w:val="-10"/>
                <w:sz w:val="22"/>
              </w:rPr>
              <w:t>5</w:t>
            </w:r>
          </w:p>
        </w:tc>
        <w:tc>
          <w:tcPr>
            <w:tcW w:w="432" w:type="dxa"/>
          </w:tcPr>
          <w:p>
            <w:pPr>
              <w:pStyle w:val="TableParagraph"/>
              <w:spacing w:line="265" w:lineRule="exact"/>
              <w:ind w:left="109"/>
              <w:rPr>
                <w:rFonts w:ascii="Calibri"/>
                <w:b/>
                <w:sz w:val="22"/>
              </w:rPr>
            </w:pPr>
            <w:r>
              <w:rPr>
                <w:rFonts w:ascii="Calibri"/>
                <w:b/>
                <w:spacing w:val="-10"/>
                <w:sz w:val="22"/>
              </w:rPr>
              <w:t>A</w:t>
            </w:r>
          </w:p>
          <w:p>
            <w:pPr>
              <w:pStyle w:val="TableParagraph"/>
              <w:spacing w:line="252" w:lineRule="exact"/>
              <w:ind w:left="109"/>
              <w:rPr>
                <w:rFonts w:ascii="Calibri"/>
                <w:b/>
                <w:sz w:val="22"/>
              </w:rPr>
            </w:pPr>
            <w:r>
              <w:rPr>
                <w:rFonts w:ascii="Calibri"/>
                <w:b/>
                <w:spacing w:val="-10"/>
                <w:sz w:val="22"/>
              </w:rPr>
              <w:t>4</w:t>
            </w:r>
          </w:p>
        </w:tc>
        <w:tc>
          <w:tcPr>
            <w:tcW w:w="480" w:type="dxa"/>
          </w:tcPr>
          <w:p>
            <w:pPr>
              <w:pStyle w:val="TableParagraph"/>
              <w:spacing w:line="265" w:lineRule="exact"/>
              <w:ind w:left="109"/>
              <w:rPr>
                <w:rFonts w:ascii="Calibri"/>
                <w:b/>
                <w:sz w:val="22"/>
              </w:rPr>
            </w:pPr>
            <w:r>
              <w:rPr>
                <w:rFonts w:ascii="Calibri"/>
                <w:b/>
                <w:spacing w:val="-5"/>
                <w:sz w:val="22"/>
              </w:rPr>
              <w:t>SD</w:t>
            </w:r>
          </w:p>
          <w:p>
            <w:pPr>
              <w:pStyle w:val="TableParagraph"/>
              <w:spacing w:line="252" w:lineRule="exact"/>
              <w:ind w:left="109"/>
              <w:rPr>
                <w:rFonts w:ascii="Calibri"/>
                <w:b/>
                <w:sz w:val="22"/>
              </w:rPr>
            </w:pPr>
            <w:r>
              <w:rPr>
                <w:rFonts w:ascii="Calibri"/>
                <w:b/>
                <w:spacing w:val="-10"/>
                <w:sz w:val="22"/>
              </w:rPr>
              <w:t>3</w:t>
            </w:r>
          </w:p>
        </w:tc>
        <w:tc>
          <w:tcPr>
            <w:tcW w:w="370" w:type="dxa"/>
          </w:tcPr>
          <w:p>
            <w:pPr>
              <w:pStyle w:val="TableParagraph"/>
              <w:spacing w:line="265" w:lineRule="exact"/>
              <w:ind w:left="109"/>
              <w:rPr>
                <w:rFonts w:ascii="Calibri"/>
                <w:b/>
                <w:sz w:val="22"/>
              </w:rPr>
            </w:pPr>
            <w:r>
              <w:rPr>
                <w:rFonts w:ascii="Calibri"/>
                <w:b/>
                <w:spacing w:val="-10"/>
                <w:sz w:val="22"/>
              </w:rPr>
              <w:t>D</w:t>
            </w:r>
          </w:p>
          <w:p>
            <w:pPr>
              <w:pStyle w:val="TableParagraph"/>
              <w:spacing w:line="252" w:lineRule="exact"/>
              <w:ind w:left="109"/>
              <w:rPr>
                <w:rFonts w:ascii="Calibri"/>
                <w:b/>
                <w:sz w:val="22"/>
              </w:rPr>
            </w:pPr>
            <w:r>
              <w:rPr>
                <w:rFonts w:ascii="Calibri"/>
                <w:b/>
                <w:spacing w:val="-10"/>
                <w:sz w:val="22"/>
              </w:rPr>
              <w:t>2</w:t>
            </w:r>
          </w:p>
        </w:tc>
        <w:tc>
          <w:tcPr>
            <w:tcW w:w="526" w:type="dxa"/>
          </w:tcPr>
          <w:p>
            <w:pPr>
              <w:pStyle w:val="TableParagraph"/>
              <w:spacing w:line="265" w:lineRule="exact"/>
              <w:ind w:left="108"/>
              <w:rPr>
                <w:rFonts w:ascii="Calibri"/>
                <w:b/>
                <w:sz w:val="22"/>
              </w:rPr>
            </w:pPr>
            <w:r>
              <w:rPr>
                <w:rFonts w:ascii="Calibri"/>
                <w:b/>
                <w:spacing w:val="-5"/>
                <w:sz w:val="22"/>
              </w:rPr>
              <w:t>DN</w:t>
            </w:r>
          </w:p>
          <w:p>
            <w:pPr>
              <w:pStyle w:val="TableParagraph"/>
              <w:spacing w:line="252" w:lineRule="exact"/>
              <w:ind w:left="108"/>
              <w:rPr>
                <w:rFonts w:ascii="Calibri"/>
                <w:b/>
                <w:sz w:val="22"/>
              </w:rPr>
            </w:pPr>
            <w:r>
              <w:rPr>
                <w:rFonts w:ascii="Calibri"/>
                <w:b/>
                <w:spacing w:val="-10"/>
                <w:sz w:val="22"/>
              </w:rPr>
              <w:t>1</w:t>
            </w:r>
          </w:p>
        </w:tc>
      </w:tr>
    </w:tbl>
    <w:p>
      <w:pPr>
        <w:spacing w:after="0" w:line="252" w:lineRule="exact"/>
        <w:rPr>
          <w:rFonts w:ascii="Calibri"/>
          <w:sz w:val="22"/>
        </w:rPr>
        <w:sectPr>
          <w:type w:val="continuous"/>
          <w:pgSz w:w="12240" w:h="15840"/>
          <w:pgMar w:header="0" w:footer="1017" w:top="1420" w:bottom="1538" w:left="1040" w:right="120"/>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6477"/>
        <w:gridCol w:w="475"/>
        <w:gridCol w:w="432"/>
        <w:gridCol w:w="480"/>
        <w:gridCol w:w="370"/>
        <w:gridCol w:w="526"/>
      </w:tblGrid>
      <w:tr>
        <w:trPr>
          <w:trHeight w:val="268" w:hRule="atLeast"/>
        </w:trPr>
        <w:tc>
          <w:tcPr>
            <w:tcW w:w="590" w:type="dxa"/>
          </w:tcPr>
          <w:p>
            <w:pPr>
              <w:pStyle w:val="TableParagraph"/>
              <w:spacing w:line="248" w:lineRule="exact"/>
              <w:ind w:left="107"/>
              <w:rPr>
                <w:rFonts w:ascii="Calibri"/>
                <w:sz w:val="22"/>
              </w:rPr>
            </w:pPr>
            <w:r>
              <w:rPr>
                <w:rFonts w:ascii="Calibri"/>
                <w:spacing w:val="-10"/>
                <w:sz w:val="22"/>
              </w:rPr>
              <w:t>1</w:t>
            </w:r>
          </w:p>
        </w:tc>
        <w:tc>
          <w:tcPr>
            <w:tcW w:w="6477" w:type="dxa"/>
          </w:tcPr>
          <w:p>
            <w:pPr>
              <w:pStyle w:val="TableParagraph"/>
              <w:spacing w:line="248" w:lineRule="exact"/>
              <w:ind w:left="108"/>
              <w:rPr>
                <w:rFonts w:ascii="Calibri"/>
                <w:sz w:val="22"/>
              </w:rPr>
            </w:pPr>
            <w:r>
              <w:rPr>
                <w:rFonts w:ascii="Calibri"/>
                <w:sz w:val="22"/>
              </w:rPr>
              <w:t>Leadership</w:t>
            </w:r>
            <w:r>
              <w:rPr>
                <w:rFonts w:ascii="Calibri"/>
                <w:spacing w:val="-5"/>
                <w:sz w:val="22"/>
              </w:rPr>
              <w:t> </w:t>
            </w:r>
            <w:r>
              <w:rPr>
                <w:rFonts w:ascii="Calibri"/>
                <w:sz w:val="22"/>
              </w:rPr>
              <w:t>and</w:t>
            </w:r>
            <w:r>
              <w:rPr>
                <w:rFonts w:ascii="Calibri"/>
                <w:spacing w:val="-7"/>
                <w:sz w:val="22"/>
              </w:rPr>
              <w:t> </w:t>
            </w:r>
            <w:r>
              <w:rPr>
                <w:rFonts w:ascii="Calibri"/>
                <w:sz w:val="22"/>
              </w:rPr>
              <w:t>top</w:t>
            </w:r>
            <w:r>
              <w:rPr>
                <w:rFonts w:ascii="Calibri"/>
                <w:spacing w:val="-7"/>
                <w:sz w:val="22"/>
              </w:rPr>
              <w:t> </w:t>
            </w:r>
            <w:r>
              <w:rPr>
                <w:rFonts w:ascii="Calibri"/>
                <w:sz w:val="22"/>
              </w:rPr>
              <w:t>management</w:t>
            </w:r>
            <w:r>
              <w:rPr>
                <w:rFonts w:ascii="Calibri"/>
                <w:spacing w:val="-2"/>
                <w:sz w:val="22"/>
              </w:rPr>
              <w:t> commitment</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2</w:t>
            </w:r>
          </w:p>
        </w:tc>
        <w:tc>
          <w:tcPr>
            <w:tcW w:w="6477" w:type="dxa"/>
          </w:tcPr>
          <w:p>
            <w:pPr>
              <w:pStyle w:val="TableParagraph"/>
              <w:spacing w:line="248" w:lineRule="exact"/>
              <w:ind w:left="108"/>
              <w:rPr>
                <w:rFonts w:ascii="Calibri"/>
                <w:sz w:val="22"/>
              </w:rPr>
            </w:pPr>
            <w:r>
              <w:rPr>
                <w:rFonts w:ascii="Calibri"/>
                <w:sz w:val="22"/>
              </w:rPr>
              <w:t>Customer</w:t>
            </w:r>
            <w:r>
              <w:rPr>
                <w:rFonts w:ascii="Calibri"/>
                <w:spacing w:val="-5"/>
                <w:sz w:val="22"/>
              </w:rPr>
              <w:t> </w:t>
            </w:r>
            <w:r>
              <w:rPr>
                <w:rFonts w:ascii="Calibri"/>
                <w:spacing w:val="-2"/>
                <w:sz w:val="22"/>
              </w:rPr>
              <w:t>Focus</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3</w:t>
            </w:r>
          </w:p>
        </w:tc>
        <w:tc>
          <w:tcPr>
            <w:tcW w:w="6477" w:type="dxa"/>
          </w:tcPr>
          <w:p>
            <w:pPr>
              <w:pStyle w:val="TableParagraph"/>
              <w:spacing w:line="248" w:lineRule="exact"/>
              <w:ind w:left="108"/>
              <w:rPr>
                <w:rFonts w:ascii="Calibri"/>
                <w:sz w:val="22"/>
              </w:rPr>
            </w:pPr>
            <w:r>
              <w:rPr>
                <w:rFonts w:ascii="Calibri"/>
                <w:sz w:val="22"/>
              </w:rPr>
              <w:t>Continuous</w:t>
            </w:r>
            <w:r>
              <w:rPr>
                <w:rFonts w:ascii="Calibri"/>
                <w:spacing w:val="-4"/>
                <w:sz w:val="22"/>
              </w:rPr>
              <w:t> </w:t>
            </w:r>
            <w:r>
              <w:rPr>
                <w:rFonts w:ascii="Calibri"/>
                <w:spacing w:val="-2"/>
                <w:sz w:val="22"/>
              </w:rPr>
              <w:t>Improvement</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4</w:t>
            </w:r>
          </w:p>
        </w:tc>
        <w:tc>
          <w:tcPr>
            <w:tcW w:w="6477" w:type="dxa"/>
          </w:tcPr>
          <w:p>
            <w:pPr>
              <w:pStyle w:val="TableParagraph"/>
              <w:spacing w:line="248" w:lineRule="exact"/>
              <w:ind w:left="108"/>
              <w:rPr>
                <w:rFonts w:ascii="Calibri"/>
                <w:sz w:val="22"/>
              </w:rPr>
            </w:pPr>
            <w:r>
              <w:rPr>
                <w:rFonts w:ascii="Calibri"/>
                <w:sz w:val="22"/>
              </w:rPr>
              <w:t>Employee</w:t>
            </w:r>
            <w:r>
              <w:rPr>
                <w:rFonts w:ascii="Calibri"/>
                <w:spacing w:val="-4"/>
                <w:sz w:val="22"/>
              </w:rPr>
              <w:t> </w:t>
            </w:r>
            <w:r>
              <w:rPr>
                <w:rFonts w:ascii="Calibri"/>
                <w:spacing w:val="-2"/>
                <w:sz w:val="22"/>
              </w:rPr>
              <w:t>participation</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5</w:t>
            </w:r>
          </w:p>
        </w:tc>
        <w:tc>
          <w:tcPr>
            <w:tcW w:w="6477" w:type="dxa"/>
          </w:tcPr>
          <w:p>
            <w:pPr>
              <w:pStyle w:val="TableParagraph"/>
              <w:spacing w:line="248" w:lineRule="exact"/>
              <w:ind w:left="108"/>
              <w:rPr>
                <w:rFonts w:ascii="Calibri"/>
                <w:sz w:val="22"/>
              </w:rPr>
            </w:pPr>
            <w:r>
              <w:rPr>
                <w:rFonts w:ascii="Calibri"/>
                <w:sz w:val="22"/>
              </w:rPr>
              <w:t>Recognition</w:t>
            </w:r>
            <w:r>
              <w:rPr>
                <w:rFonts w:ascii="Calibri"/>
                <w:spacing w:val="-5"/>
                <w:sz w:val="22"/>
              </w:rPr>
              <w:t> </w:t>
            </w:r>
            <w:r>
              <w:rPr>
                <w:rFonts w:ascii="Calibri"/>
                <w:sz w:val="22"/>
              </w:rPr>
              <w:t>and</w:t>
            </w:r>
            <w:r>
              <w:rPr>
                <w:rFonts w:ascii="Calibri"/>
                <w:spacing w:val="-4"/>
                <w:sz w:val="22"/>
              </w:rPr>
              <w:t> </w:t>
            </w:r>
            <w:r>
              <w:rPr>
                <w:rFonts w:ascii="Calibri"/>
                <w:spacing w:val="-2"/>
                <w:sz w:val="22"/>
              </w:rPr>
              <w:t>Reward</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6</w:t>
            </w:r>
          </w:p>
        </w:tc>
        <w:tc>
          <w:tcPr>
            <w:tcW w:w="6477" w:type="dxa"/>
          </w:tcPr>
          <w:p>
            <w:pPr>
              <w:pStyle w:val="TableParagraph"/>
              <w:spacing w:line="248" w:lineRule="exact"/>
              <w:ind w:left="108"/>
              <w:rPr>
                <w:rFonts w:ascii="Calibri"/>
                <w:sz w:val="22"/>
              </w:rPr>
            </w:pPr>
            <w:r>
              <w:rPr>
                <w:rFonts w:ascii="Calibri"/>
                <w:spacing w:val="-2"/>
                <w:sz w:val="22"/>
              </w:rPr>
              <w:t>Training</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7</w:t>
            </w:r>
          </w:p>
        </w:tc>
        <w:tc>
          <w:tcPr>
            <w:tcW w:w="6477" w:type="dxa"/>
          </w:tcPr>
          <w:p>
            <w:pPr>
              <w:pStyle w:val="TableParagraph"/>
              <w:spacing w:line="248" w:lineRule="exact"/>
              <w:ind w:left="108"/>
              <w:rPr>
                <w:rFonts w:ascii="Calibri"/>
                <w:sz w:val="22"/>
              </w:rPr>
            </w:pPr>
            <w:r>
              <w:rPr>
                <w:rFonts w:ascii="Calibri"/>
                <w:sz w:val="22"/>
              </w:rPr>
              <w:t>Quality</w:t>
            </w:r>
            <w:r>
              <w:rPr>
                <w:rFonts w:ascii="Calibri"/>
                <w:spacing w:val="-3"/>
                <w:sz w:val="22"/>
              </w:rPr>
              <w:t> </w:t>
            </w:r>
            <w:r>
              <w:rPr>
                <w:rFonts w:ascii="Calibri"/>
                <w:spacing w:val="-2"/>
                <w:sz w:val="22"/>
              </w:rPr>
              <w:t>Culture</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70" w:hRule="atLeast"/>
        </w:trPr>
        <w:tc>
          <w:tcPr>
            <w:tcW w:w="590" w:type="dxa"/>
          </w:tcPr>
          <w:p>
            <w:pPr>
              <w:pStyle w:val="TableParagraph"/>
              <w:spacing w:line="251" w:lineRule="exact"/>
              <w:ind w:left="107"/>
              <w:rPr>
                <w:rFonts w:ascii="Calibri"/>
                <w:sz w:val="22"/>
              </w:rPr>
            </w:pPr>
            <w:r>
              <w:rPr>
                <w:rFonts w:ascii="Calibri"/>
                <w:spacing w:val="-10"/>
                <w:sz w:val="22"/>
              </w:rPr>
              <w:t>8</w:t>
            </w:r>
          </w:p>
        </w:tc>
        <w:tc>
          <w:tcPr>
            <w:tcW w:w="6477" w:type="dxa"/>
          </w:tcPr>
          <w:p>
            <w:pPr>
              <w:pStyle w:val="TableParagraph"/>
              <w:spacing w:line="251" w:lineRule="exact"/>
              <w:ind w:left="108"/>
              <w:rPr>
                <w:rFonts w:ascii="Calibri"/>
                <w:sz w:val="22"/>
              </w:rPr>
            </w:pPr>
            <w:r>
              <w:rPr>
                <w:rFonts w:ascii="Calibri"/>
                <w:spacing w:val="-2"/>
                <w:sz w:val="22"/>
              </w:rPr>
              <w:t>Communication</w:t>
            </w:r>
          </w:p>
        </w:tc>
        <w:tc>
          <w:tcPr>
            <w:tcW w:w="475" w:type="dxa"/>
          </w:tcPr>
          <w:p>
            <w:pPr>
              <w:pStyle w:val="TableParagraph"/>
              <w:rPr>
                <w:sz w:val="20"/>
              </w:rPr>
            </w:pPr>
          </w:p>
        </w:tc>
        <w:tc>
          <w:tcPr>
            <w:tcW w:w="432" w:type="dxa"/>
          </w:tcPr>
          <w:p>
            <w:pPr>
              <w:pStyle w:val="TableParagraph"/>
              <w:rPr>
                <w:sz w:val="20"/>
              </w:rPr>
            </w:pPr>
          </w:p>
        </w:tc>
        <w:tc>
          <w:tcPr>
            <w:tcW w:w="480" w:type="dxa"/>
          </w:tcPr>
          <w:p>
            <w:pPr>
              <w:pStyle w:val="TableParagraph"/>
              <w:rPr>
                <w:sz w:val="20"/>
              </w:rPr>
            </w:pPr>
          </w:p>
        </w:tc>
        <w:tc>
          <w:tcPr>
            <w:tcW w:w="370" w:type="dxa"/>
          </w:tcPr>
          <w:p>
            <w:pPr>
              <w:pStyle w:val="TableParagraph"/>
              <w:rPr>
                <w:sz w:val="20"/>
              </w:rPr>
            </w:pPr>
          </w:p>
        </w:tc>
        <w:tc>
          <w:tcPr>
            <w:tcW w:w="526" w:type="dxa"/>
          </w:tcPr>
          <w:p>
            <w:pPr>
              <w:pStyle w:val="TableParagraph"/>
              <w:rPr>
                <w:sz w:val="20"/>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9</w:t>
            </w:r>
          </w:p>
        </w:tc>
        <w:tc>
          <w:tcPr>
            <w:tcW w:w="6477" w:type="dxa"/>
          </w:tcPr>
          <w:p>
            <w:pPr>
              <w:pStyle w:val="TableParagraph"/>
              <w:spacing w:line="248" w:lineRule="exact"/>
              <w:ind w:left="108"/>
              <w:rPr>
                <w:rFonts w:ascii="Calibri"/>
                <w:sz w:val="22"/>
              </w:rPr>
            </w:pPr>
            <w:r>
              <w:rPr>
                <w:rFonts w:ascii="Calibri"/>
                <w:sz w:val="22"/>
              </w:rPr>
              <w:t>Performance</w:t>
            </w:r>
            <w:r>
              <w:rPr>
                <w:rFonts w:ascii="Calibri"/>
                <w:spacing w:val="-8"/>
                <w:sz w:val="22"/>
              </w:rPr>
              <w:t> </w:t>
            </w:r>
            <w:r>
              <w:rPr>
                <w:rFonts w:ascii="Calibri"/>
                <w:spacing w:val="-2"/>
                <w:sz w:val="22"/>
              </w:rPr>
              <w:t>Measurement</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5"/>
                <w:sz w:val="22"/>
              </w:rPr>
              <w:t>10</w:t>
            </w:r>
          </w:p>
        </w:tc>
        <w:tc>
          <w:tcPr>
            <w:tcW w:w="6477" w:type="dxa"/>
          </w:tcPr>
          <w:p>
            <w:pPr>
              <w:pStyle w:val="TableParagraph"/>
              <w:spacing w:line="248" w:lineRule="exact"/>
              <w:ind w:left="108"/>
              <w:rPr>
                <w:rFonts w:ascii="Calibri"/>
                <w:sz w:val="22"/>
              </w:rPr>
            </w:pPr>
            <w:r>
              <w:rPr>
                <w:rFonts w:ascii="Calibri"/>
                <w:sz w:val="22"/>
              </w:rPr>
              <w:t>Strategic</w:t>
            </w:r>
            <w:r>
              <w:rPr>
                <w:rFonts w:ascii="Calibri"/>
                <w:spacing w:val="-7"/>
                <w:sz w:val="22"/>
              </w:rPr>
              <w:t> </w:t>
            </w:r>
            <w:r>
              <w:rPr>
                <w:rFonts w:ascii="Calibri"/>
                <w:spacing w:val="-2"/>
                <w:sz w:val="22"/>
              </w:rPr>
              <w:t>Planning</w:t>
            </w:r>
          </w:p>
        </w:tc>
        <w:tc>
          <w:tcPr>
            <w:tcW w:w="475" w:type="dxa"/>
          </w:tcPr>
          <w:p>
            <w:pPr>
              <w:pStyle w:val="TableParagraph"/>
              <w:rPr>
                <w:sz w:val="18"/>
              </w:rPr>
            </w:pPr>
          </w:p>
        </w:tc>
        <w:tc>
          <w:tcPr>
            <w:tcW w:w="432" w:type="dxa"/>
          </w:tcPr>
          <w:p>
            <w:pPr>
              <w:pStyle w:val="TableParagraph"/>
              <w:rPr>
                <w:sz w:val="18"/>
              </w:rPr>
            </w:pPr>
          </w:p>
        </w:tc>
        <w:tc>
          <w:tcPr>
            <w:tcW w:w="480" w:type="dxa"/>
          </w:tcPr>
          <w:p>
            <w:pPr>
              <w:pStyle w:val="TableParagraph"/>
              <w:rPr>
                <w:sz w:val="18"/>
              </w:rPr>
            </w:pPr>
          </w:p>
        </w:tc>
        <w:tc>
          <w:tcPr>
            <w:tcW w:w="370" w:type="dxa"/>
          </w:tcPr>
          <w:p>
            <w:pPr>
              <w:pStyle w:val="TableParagraph"/>
              <w:rPr>
                <w:sz w:val="18"/>
              </w:rPr>
            </w:pPr>
          </w:p>
        </w:tc>
        <w:tc>
          <w:tcPr>
            <w:tcW w:w="526" w:type="dxa"/>
          </w:tcPr>
          <w:p>
            <w:pPr>
              <w:pStyle w:val="TableParagraph"/>
              <w:rPr>
                <w:sz w:val="18"/>
              </w:rPr>
            </w:pPr>
          </w:p>
        </w:tc>
      </w:tr>
      <w:tr>
        <w:trPr>
          <w:trHeight w:val="484" w:hRule="atLeast"/>
        </w:trPr>
        <w:tc>
          <w:tcPr>
            <w:tcW w:w="9350" w:type="dxa"/>
            <w:gridSpan w:val="7"/>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5"/>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5"/>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SD</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strongly</w:t>
            </w:r>
            <w:r>
              <w:rPr>
                <w:rFonts w:ascii="Calibri" w:hAnsi="Calibri"/>
                <w:spacing w:val="-5"/>
                <w:sz w:val="20"/>
              </w:rPr>
              <w:t> </w:t>
            </w:r>
            <w:r>
              <w:rPr>
                <w:rFonts w:ascii="Calibri" w:hAnsi="Calibri"/>
                <w:sz w:val="20"/>
              </w:rPr>
              <w:t>disagree;</w:t>
            </w:r>
            <w:r>
              <w:rPr>
                <w:rFonts w:ascii="Calibri" w:hAnsi="Calibri"/>
                <w:spacing w:val="-6"/>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6"/>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don’t</w:t>
            </w:r>
            <w:r>
              <w:rPr>
                <w:rFonts w:ascii="Calibri" w:hAnsi="Calibri"/>
                <w:spacing w:val="-5"/>
                <w:sz w:val="20"/>
              </w:rPr>
              <w:t> </w:t>
            </w:r>
            <w:r>
              <w:rPr>
                <w:rFonts w:ascii="Calibri" w:hAnsi="Calibri"/>
                <w:spacing w:val="-4"/>
                <w:sz w:val="20"/>
              </w:rPr>
              <w:t>know</w:t>
            </w:r>
          </w:p>
        </w:tc>
      </w:tr>
    </w:tbl>
    <w:p>
      <w:pPr>
        <w:pStyle w:val="BodyText"/>
        <w:rPr>
          <w:rFonts w:ascii="Calibri"/>
          <w:sz w:val="22"/>
        </w:rPr>
      </w:pPr>
    </w:p>
    <w:p>
      <w:pPr>
        <w:pStyle w:val="BodyText"/>
        <w:spacing w:before="28"/>
        <w:rPr>
          <w:rFonts w:ascii="Calibri"/>
          <w:sz w:val="22"/>
        </w:rPr>
      </w:pPr>
    </w:p>
    <w:p>
      <w:pPr>
        <w:pStyle w:val="ListParagraph"/>
        <w:numPr>
          <w:ilvl w:val="0"/>
          <w:numId w:val="61"/>
        </w:numPr>
        <w:tabs>
          <w:tab w:pos="2785" w:val="left" w:leader="none"/>
        </w:tabs>
        <w:spacing w:line="240" w:lineRule="auto" w:before="0" w:after="0"/>
        <w:ind w:left="2785" w:right="0" w:hanging="1961"/>
        <w:jc w:val="left"/>
        <w:rPr>
          <w:sz w:val="22"/>
        </w:rPr>
      </w:pPr>
      <w:r>
        <w:rPr>
          <w:sz w:val="22"/>
        </w:rPr>
        <w:t>Are</w:t>
      </w:r>
      <w:r>
        <w:rPr>
          <w:spacing w:val="-3"/>
          <w:sz w:val="22"/>
        </w:rPr>
        <w:t> </w:t>
      </w:r>
      <w:r>
        <w:rPr>
          <w:sz w:val="22"/>
        </w:rPr>
        <w:t>there</w:t>
      </w:r>
      <w:r>
        <w:rPr>
          <w:spacing w:val="-5"/>
          <w:sz w:val="22"/>
        </w:rPr>
        <w:t> </w:t>
      </w:r>
      <w:r>
        <w:rPr>
          <w:sz w:val="22"/>
        </w:rPr>
        <w:t>other</w:t>
      </w:r>
      <w:r>
        <w:rPr>
          <w:spacing w:val="-4"/>
          <w:sz w:val="22"/>
        </w:rPr>
        <w:t> </w:t>
      </w:r>
      <w:r>
        <w:rPr>
          <w:sz w:val="22"/>
        </w:rPr>
        <w:t>success</w:t>
      </w:r>
      <w:r>
        <w:rPr>
          <w:spacing w:val="-5"/>
          <w:sz w:val="22"/>
        </w:rPr>
        <w:t> </w:t>
      </w:r>
      <w:r>
        <w:rPr>
          <w:sz w:val="22"/>
        </w:rPr>
        <w:t>factors</w:t>
      </w:r>
      <w:r>
        <w:rPr>
          <w:spacing w:val="-5"/>
          <w:sz w:val="22"/>
        </w:rPr>
        <w:t> </w:t>
      </w:r>
      <w:r>
        <w:rPr>
          <w:sz w:val="22"/>
        </w:rPr>
        <w:t>that</w:t>
      </w:r>
      <w:r>
        <w:rPr>
          <w:spacing w:val="-1"/>
          <w:sz w:val="22"/>
        </w:rPr>
        <w:t> </w:t>
      </w:r>
      <w:r>
        <w:rPr>
          <w:sz w:val="22"/>
        </w:rPr>
        <w:t>your</w:t>
      </w:r>
      <w:r>
        <w:rPr>
          <w:spacing w:val="-2"/>
          <w:sz w:val="22"/>
        </w:rPr>
        <w:t> </w:t>
      </w:r>
      <w:r>
        <w:rPr>
          <w:sz w:val="22"/>
        </w:rPr>
        <w:t>firm</w:t>
      </w:r>
      <w:r>
        <w:rPr>
          <w:spacing w:val="-7"/>
          <w:sz w:val="22"/>
        </w:rPr>
        <w:t> </w:t>
      </w:r>
      <w:r>
        <w:rPr>
          <w:sz w:val="22"/>
        </w:rPr>
        <w:t>has</w:t>
      </w:r>
      <w:r>
        <w:rPr>
          <w:spacing w:val="-2"/>
          <w:sz w:val="22"/>
        </w:rPr>
        <w:t> </w:t>
      </w:r>
      <w:r>
        <w:rPr>
          <w:sz w:val="22"/>
        </w:rPr>
        <w:t>witnessed?</w:t>
      </w:r>
      <w:r>
        <w:rPr>
          <w:spacing w:val="-5"/>
          <w:sz w:val="22"/>
        </w:rPr>
        <w:t> </w:t>
      </w:r>
      <w:r>
        <w:rPr>
          <w:sz w:val="22"/>
        </w:rPr>
        <w:t>Please</w:t>
      </w:r>
      <w:r>
        <w:rPr>
          <w:spacing w:val="-2"/>
          <w:sz w:val="22"/>
        </w:rPr>
        <w:t> Indicate</w:t>
      </w:r>
    </w:p>
    <w:p>
      <w:pPr>
        <w:pStyle w:val="BodyText"/>
        <w:spacing w:before="41"/>
        <w:rPr>
          <w:sz w:val="22"/>
        </w:rPr>
      </w:pPr>
    </w:p>
    <w:p>
      <w:pPr>
        <w:spacing w:before="0"/>
        <w:ind w:left="824" w:right="0" w:firstLine="0"/>
        <w:jc w:val="left"/>
        <w:rPr>
          <w:sz w:val="22"/>
        </w:rPr>
      </w:pPr>
      <w:r>
        <w:rPr>
          <w:spacing w:val="-2"/>
          <w:sz w:val="22"/>
        </w:rPr>
        <w:t>…………………………………………………………………………………………………</w:t>
      </w:r>
    </w:p>
    <w:p>
      <w:pPr>
        <w:spacing w:before="184"/>
        <w:ind w:left="400" w:right="0" w:firstLine="0"/>
        <w:jc w:val="left"/>
        <w:rPr>
          <w:b/>
          <w:sz w:val="22"/>
        </w:rPr>
      </w:pPr>
      <w:r>
        <w:rPr>
          <w:b/>
          <w:sz w:val="22"/>
        </w:rPr>
        <w:t>Questions</w:t>
      </w:r>
      <w:r>
        <w:rPr>
          <w:b/>
          <w:spacing w:val="-6"/>
          <w:sz w:val="22"/>
        </w:rPr>
        <w:t> </w:t>
      </w:r>
      <w:r>
        <w:rPr>
          <w:b/>
          <w:sz w:val="22"/>
        </w:rPr>
        <w:t>related</w:t>
      </w:r>
      <w:r>
        <w:rPr>
          <w:b/>
          <w:spacing w:val="-6"/>
          <w:sz w:val="22"/>
        </w:rPr>
        <w:t> </w:t>
      </w:r>
      <w:r>
        <w:rPr>
          <w:b/>
          <w:sz w:val="22"/>
        </w:rPr>
        <w:t>to</w:t>
      </w:r>
      <w:r>
        <w:rPr>
          <w:b/>
          <w:spacing w:val="-3"/>
          <w:sz w:val="22"/>
        </w:rPr>
        <w:t> </w:t>
      </w:r>
      <w:r>
        <w:rPr>
          <w:b/>
          <w:spacing w:val="-4"/>
          <w:sz w:val="22"/>
        </w:rPr>
        <w:t>SWOT</w:t>
      </w:r>
    </w:p>
    <w:p>
      <w:pPr>
        <w:pStyle w:val="ListParagraph"/>
        <w:numPr>
          <w:ilvl w:val="0"/>
          <w:numId w:val="61"/>
        </w:numPr>
        <w:tabs>
          <w:tab w:pos="2785" w:val="left" w:leader="none"/>
        </w:tabs>
        <w:spacing w:line="240" w:lineRule="auto" w:before="174" w:after="27"/>
        <w:ind w:left="2785" w:right="0" w:hanging="1961"/>
        <w:jc w:val="left"/>
        <w:rPr>
          <w:sz w:val="22"/>
        </w:rPr>
      </w:pPr>
      <w:r>
        <w:rPr>
          <w:sz w:val="22"/>
        </w:rPr>
        <w:t>Which</w:t>
      </w:r>
      <w:r>
        <w:rPr>
          <w:spacing w:val="52"/>
          <w:sz w:val="22"/>
        </w:rPr>
        <w:t> </w:t>
      </w:r>
      <w:r>
        <w:rPr>
          <w:sz w:val="22"/>
        </w:rPr>
        <w:t>of</w:t>
      </w:r>
      <w:r>
        <w:rPr>
          <w:spacing w:val="51"/>
          <w:sz w:val="22"/>
        </w:rPr>
        <w:t> </w:t>
      </w:r>
      <w:r>
        <w:rPr>
          <w:sz w:val="22"/>
        </w:rPr>
        <w:t>the</w:t>
      </w:r>
      <w:r>
        <w:rPr>
          <w:spacing w:val="52"/>
          <w:sz w:val="22"/>
        </w:rPr>
        <w:t> </w:t>
      </w:r>
      <w:r>
        <w:rPr>
          <w:sz w:val="22"/>
        </w:rPr>
        <w:t>following</w:t>
      </w:r>
      <w:r>
        <w:rPr>
          <w:spacing w:val="51"/>
          <w:sz w:val="22"/>
        </w:rPr>
        <w:t> </w:t>
      </w:r>
      <w:r>
        <w:rPr>
          <w:sz w:val="22"/>
        </w:rPr>
        <w:t>do</w:t>
      </w:r>
      <w:r>
        <w:rPr>
          <w:spacing w:val="52"/>
          <w:sz w:val="22"/>
        </w:rPr>
        <w:t> </w:t>
      </w:r>
      <w:r>
        <w:rPr>
          <w:sz w:val="22"/>
        </w:rPr>
        <w:t>you</w:t>
      </w:r>
      <w:r>
        <w:rPr>
          <w:spacing w:val="53"/>
          <w:sz w:val="22"/>
        </w:rPr>
        <w:t> </w:t>
      </w:r>
      <w:r>
        <w:rPr>
          <w:sz w:val="22"/>
        </w:rPr>
        <w:t>consider</w:t>
      </w:r>
      <w:r>
        <w:rPr>
          <w:spacing w:val="51"/>
          <w:sz w:val="22"/>
        </w:rPr>
        <w:t> </w:t>
      </w:r>
      <w:r>
        <w:rPr>
          <w:sz w:val="22"/>
        </w:rPr>
        <w:t>to</w:t>
      </w:r>
      <w:r>
        <w:rPr>
          <w:spacing w:val="50"/>
          <w:sz w:val="22"/>
        </w:rPr>
        <w:t> </w:t>
      </w:r>
      <w:r>
        <w:rPr>
          <w:sz w:val="22"/>
        </w:rPr>
        <w:t>be</w:t>
      </w:r>
      <w:r>
        <w:rPr>
          <w:spacing w:val="-1"/>
          <w:sz w:val="22"/>
        </w:rPr>
        <w:t> </w:t>
      </w:r>
      <w:r>
        <w:rPr>
          <w:sz w:val="22"/>
        </w:rPr>
        <w:t>of</w:t>
      </w:r>
      <w:r>
        <w:rPr>
          <w:spacing w:val="54"/>
          <w:sz w:val="22"/>
        </w:rPr>
        <w:t> </w:t>
      </w:r>
      <w:r>
        <w:rPr>
          <w:sz w:val="22"/>
        </w:rPr>
        <w:t>advantage</w:t>
      </w:r>
      <w:r>
        <w:rPr>
          <w:spacing w:val="52"/>
          <w:sz w:val="22"/>
        </w:rPr>
        <w:t> </w:t>
      </w:r>
      <w:r>
        <w:rPr>
          <w:sz w:val="22"/>
        </w:rPr>
        <w:t>to</w:t>
      </w:r>
      <w:r>
        <w:rPr>
          <w:spacing w:val="53"/>
          <w:sz w:val="22"/>
        </w:rPr>
        <w:t> </w:t>
      </w:r>
      <w:r>
        <w:rPr>
          <w:sz w:val="22"/>
        </w:rPr>
        <w:t>your</w:t>
      </w:r>
      <w:r>
        <w:rPr>
          <w:spacing w:val="-3"/>
          <w:sz w:val="22"/>
        </w:rPr>
        <w:t> </w:t>
      </w:r>
      <w:r>
        <w:rPr>
          <w:spacing w:val="-4"/>
          <w:sz w:val="22"/>
        </w:rPr>
        <w:t>firm</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6422"/>
        <w:gridCol w:w="496"/>
        <w:gridCol w:w="431"/>
        <w:gridCol w:w="498"/>
        <w:gridCol w:w="373"/>
        <w:gridCol w:w="534"/>
      </w:tblGrid>
      <w:tr>
        <w:trPr>
          <w:trHeight w:val="537" w:hRule="atLeast"/>
        </w:trPr>
        <w:tc>
          <w:tcPr>
            <w:tcW w:w="590" w:type="dxa"/>
          </w:tcPr>
          <w:p>
            <w:pPr>
              <w:pStyle w:val="TableParagraph"/>
              <w:spacing w:line="265" w:lineRule="exact"/>
              <w:ind w:left="107"/>
              <w:rPr>
                <w:rFonts w:ascii="Calibri"/>
                <w:b/>
                <w:sz w:val="22"/>
              </w:rPr>
            </w:pPr>
            <w:r>
              <w:rPr>
                <w:rFonts w:ascii="Calibri"/>
                <w:b/>
                <w:spacing w:val="-5"/>
                <w:sz w:val="22"/>
              </w:rPr>
              <w:t>S/N</w:t>
            </w:r>
          </w:p>
        </w:tc>
        <w:tc>
          <w:tcPr>
            <w:tcW w:w="6422" w:type="dxa"/>
          </w:tcPr>
          <w:p>
            <w:pPr>
              <w:pStyle w:val="TableParagraph"/>
              <w:rPr>
                <w:sz w:val="20"/>
              </w:rPr>
            </w:pPr>
          </w:p>
        </w:tc>
        <w:tc>
          <w:tcPr>
            <w:tcW w:w="496" w:type="dxa"/>
          </w:tcPr>
          <w:p>
            <w:pPr>
              <w:pStyle w:val="TableParagraph"/>
              <w:spacing w:line="265" w:lineRule="exact"/>
              <w:ind w:left="108"/>
              <w:rPr>
                <w:rFonts w:ascii="Calibri"/>
                <w:b/>
                <w:sz w:val="22"/>
              </w:rPr>
            </w:pPr>
            <w:r>
              <w:rPr>
                <w:rFonts w:ascii="Calibri"/>
                <w:b/>
                <w:spacing w:val="-5"/>
                <w:sz w:val="22"/>
              </w:rPr>
              <w:t>SA</w:t>
            </w:r>
          </w:p>
          <w:p>
            <w:pPr>
              <w:pStyle w:val="TableParagraph"/>
              <w:spacing w:line="252" w:lineRule="exact"/>
              <w:ind w:left="108"/>
              <w:rPr>
                <w:rFonts w:ascii="Calibri"/>
                <w:b/>
                <w:sz w:val="22"/>
              </w:rPr>
            </w:pPr>
            <w:r>
              <w:rPr>
                <w:rFonts w:ascii="Calibri"/>
                <w:b/>
                <w:spacing w:val="-10"/>
                <w:sz w:val="22"/>
              </w:rPr>
              <w:t>5</w:t>
            </w:r>
          </w:p>
        </w:tc>
        <w:tc>
          <w:tcPr>
            <w:tcW w:w="431" w:type="dxa"/>
          </w:tcPr>
          <w:p>
            <w:pPr>
              <w:pStyle w:val="TableParagraph"/>
              <w:spacing w:line="265" w:lineRule="exact"/>
              <w:ind w:left="109"/>
              <w:rPr>
                <w:rFonts w:ascii="Calibri"/>
                <w:b/>
                <w:sz w:val="22"/>
              </w:rPr>
            </w:pPr>
            <w:r>
              <w:rPr>
                <w:rFonts w:ascii="Calibri"/>
                <w:b/>
                <w:spacing w:val="-10"/>
                <w:sz w:val="22"/>
              </w:rPr>
              <w:t>A</w:t>
            </w:r>
          </w:p>
          <w:p>
            <w:pPr>
              <w:pStyle w:val="TableParagraph"/>
              <w:spacing w:line="252" w:lineRule="exact"/>
              <w:ind w:left="109"/>
              <w:rPr>
                <w:rFonts w:ascii="Calibri"/>
                <w:b/>
                <w:sz w:val="22"/>
              </w:rPr>
            </w:pPr>
            <w:r>
              <w:rPr>
                <w:rFonts w:ascii="Calibri"/>
                <w:b/>
                <w:spacing w:val="-10"/>
                <w:sz w:val="22"/>
              </w:rPr>
              <w:t>4</w:t>
            </w:r>
          </w:p>
        </w:tc>
        <w:tc>
          <w:tcPr>
            <w:tcW w:w="498" w:type="dxa"/>
          </w:tcPr>
          <w:p>
            <w:pPr>
              <w:pStyle w:val="TableParagraph"/>
              <w:spacing w:line="265" w:lineRule="exact"/>
              <w:ind w:left="110"/>
              <w:rPr>
                <w:rFonts w:ascii="Calibri"/>
                <w:b/>
                <w:sz w:val="22"/>
              </w:rPr>
            </w:pPr>
            <w:r>
              <w:rPr>
                <w:rFonts w:ascii="Calibri"/>
                <w:b/>
                <w:spacing w:val="-5"/>
                <w:sz w:val="22"/>
              </w:rPr>
              <w:t>DN</w:t>
            </w:r>
          </w:p>
          <w:p>
            <w:pPr>
              <w:pStyle w:val="TableParagraph"/>
              <w:spacing w:line="252" w:lineRule="exact"/>
              <w:ind w:left="110"/>
              <w:rPr>
                <w:rFonts w:ascii="Calibri"/>
                <w:b/>
                <w:sz w:val="22"/>
              </w:rPr>
            </w:pPr>
            <w:r>
              <w:rPr>
                <w:rFonts w:ascii="Calibri"/>
                <w:b/>
                <w:spacing w:val="-10"/>
                <w:sz w:val="22"/>
              </w:rPr>
              <w:t>3</w:t>
            </w:r>
          </w:p>
        </w:tc>
        <w:tc>
          <w:tcPr>
            <w:tcW w:w="373" w:type="dxa"/>
          </w:tcPr>
          <w:p>
            <w:pPr>
              <w:pStyle w:val="TableParagraph"/>
              <w:spacing w:line="265" w:lineRule="exact"/>
              <w:ind w:left="111"/>
              <w:rPr>
                <w:rFonts w:ascii="Calibri"/>
                <w:b/>
                <w:sz w:val="22"/>
              </w:rPr>
            </w:pPr>
            <w:r>
              <w:rPr>
                <w:rFonts w:ascii="Calibri"/>
                <w:b/>
                <w:spacing w:val="-10"/>
                <w:sz w:val="22"/>
              </w:rPr>
              <w:t>D</w:t>
            </w:r>
          </w:p>
          <w:p>
            <w:pPr>
              <w:pStyle w:val="TableParagraph"/>
              <w:spacing w:line="252" w:lineRule="exact"/>
              <w:ind w:left="111"/>
              <w:rPr>
                <w:rFonts w:ascii="Calibri"/>
                <w:b/>
                <w:sz w:val="22"/>
              </w:rPr>
            </w:pPr>
            <w:r>
              <w:rPr>
                <w:rFonts w:ascii="Calibri"/>
                <w:b/>
                <w:spacing w:val="-10"/>
                <w:sz w:val="22"/>
              </w:rPr>
              <w:t>2</w:t>
            </w:r>
          </w:p>
        </w:tc>
        <w:tc>
          <w:tcPr>
            <w:tcW w:w="534" w:type="dxa"/>
          </w:tcPr>
          <w:p>
            <w:pPr>
              <w:pStyle w:val="TableParagraph"/>
              <w:spacing w:line="265" w:lineRule="exact"/>
              <w:ind w:left="113"/>
              <w:rPr>
                <w:rFonts w:ascii="Calibri"/>
                <w:b/>
                <w:sz w:val="22"/>
              </w:rPr>
            </w:pPr>
            <w:r>
              <w:rPr>
                <w:rFonts w:ascii="Calibri"/>
                <w:b/>
                <w:spacing w:val="-5"/>
                <w:sz w:val="22"/>
              </w:rPr>
              <w:t>SD</w:t>
            </w:r>
          </w:p>
          <w:p>
            <w:pPr>
              <w:pStyle w:val="TableParagraph"/>
              <w:spacing w:line="252" w:lineRule="exact"/>
              <w:ind w:left="113"/>
              <w:rPr>
                <w:rFonts w:ascii="Calibri"/>
                <w:b/>
                <w:sz w:val="22"/>
              </w:rPr>
            </w:pPr>
            <w:r>
              <w:rPr>
                <w:rFonts w:ascii="Calibri"/>
                <w:b/>
                <w:spacing w:val="-10"/>
                <w:sz w:val="22"/>
              </w:rPr>
              <w:t>1</w:t>
            </w:r>
          </w:p>
        </w:tc>
      </w:tr>
      <w:tr>
        <w:trPr>
          <w:trHeight w:val="268" w:hRule="atLeast"/>
        </w:trPr>
        <w:tc>
          <w:tcPr>
            <w:tcW w:w="590" w:type="dxa"/>
          </w:tcPr>
          <w:p>
            <w:pPr>
              <w:pStyle w:val="TableParagraph"/>
              <w:rPr>
                <w:sz w:val="18"/>
              </w:rPr>
            </w:pPr>
          </w:p>
        </w:tc>
        <w:tc>
          <w:tcPr>
            <w:tcW w:w="6422" w:type="dxa"/>
          </w:tcPr>
          <w:p>
            <w:pPr>
              <w:pStyle w:val="TableParagraph"/>
              <w:spacing w:line="248" w:lineRule="exact"/>
              <w:ind w:left="108"/>
              <w:rPr>
                <w:rFonts w:ascii="Calibri"/>
                <w:b/>
                <w:sz w:val="22"/>
              </w:rPr>
            </w:pPr>
            <w:r>
              <w:rPr>
                <w:rFonts w:ascii="Calibri"/>
                <w:b/>
                <w:spacing w:val="-2"/>
                <w:sz w:val="22"/>
                <w:u w:val="single"/>
              </w:rPr>
              <w:t>Strength</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1</w:t>
            </w:r>
          </w:p>
        </w:tc>
        <w:tc>
          <w:tcPr>
            <w:tcW w:w="6422" w:type="dxa"/>
          </w:tcPr>
          <w:p>
            <w:pPr>
              <w:pStyle w:val="TableParagraph"/>
              <w:spacing w:line="248" w:lineRule="exact"/>
              <w:ind w:left="108"/>
              <w:rPr>
                <w:rFonts w:ascii="Calibri"/>
                <w:sz w:val="22"/>
              </w:rPr>
            </w:pPr>
            <w:r>
              <w:rPr>
                <w:rFonts w:ascii="Calibri"/>
                <w:sz w:val="22"/>
              </w:rPr>
              <w:t>Small</w:t>
            </w:r>
            <w:r>
              <w:rPr>
                <w:rFonts w:ascii="Calibri"/>
                <w:spacing w:val="-5"/>
                <w:sz w:val="22"/>
              </w:rPr>
              <w:t> </w:t>
            </w:r>
            <w:r>
              <w:rPr>
                <w:rFonts w:ascii="Calibri"/>
                <w:sz w:val="22"/>
              </w:rPr>
              <w:t>startup</w:t>
            </w:r>
            <w:r>
              <w:rPr>
                <w:rFonts w:ascii="Calibri"/>
                <w:spacing w:val="-6"/>
                <w:sz w:val="22"/>
              </w:rPr>
              <w:t> </w:t>
            </w:r>
            <w:r>
              <w:rPr>
                <w:rFonts w:ascii="Calibri"/>
                <w:sz w:val="22"/>
              </w:rPr>
              <w:t>and</w:t>
            </w:r>
            <w:r>
              <w:rPr>
                <w:rFonts w:ascii="Calibri"/>
                <w:spacing w:val="-6"/>
                <w:sz w:val="22"/>
              </w:rPr>
              <w:t> </w:t>
            </w:r>
            <w:r>
              <w:rPr>
                <w:rFonts w:ascii="Calibri"/>
                <w:sz w:val="22"/>
              </w:rPr>
              <w:t>operating</w:t>
            </w:r>
            <w:r>
              <w:rPr>
                <w:rFonts w:ascii="Calibri"/>
                <w:spacing w:val="-5"/>
                <w:sz w:val="22"/>
              </w:rPr>
              <w:t> </w:t>
            </w:r>
            <w:r>
              <w:rPr>
                <w:rFonts w:ascii="Calibri"/>
                <w:spacing w:val="-2"/>
                <w:sz w:val="22"/>
              </w:rPr>
              <w:t>capital</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2</w:t>
            </w:r>
          </w:p>
        </w:tc>
        <w:tc>
          <w:tcPr>
            <w:tcW w:w="6422" w:type="dxa"/>
          </w:tcPr>
          <w:p>
            <w:pPr>
              <w:pStyle w:val="TableParagraph"/>
              <w:spacing w:line="248" w:lineRule="exact"/>
              <w:ind w:left="108"/>
              <w:rPr>
                <w:rFonts w:ascii="Calibri"/>
                <w:sz w:val="22"/>
              </w:rPr>
            </w:pPr>
            <w:r>
              <w:rPr>
                <w:rFonts w:ascii="Calibri"/>
                <w:sz w:val="22"/>
              </w:rPr>
              <w:t>Locational</w:t>
            </w:r>
            <w:r>
              <w:rPr>
                <w:rFonts w:ascii="Calibri"/>
                <w:spacing w:val="-7"/>
                <w:sz w:val="22"/>
              </w:rPr>
              <w:t> </w:t>
            </w:r>
            <w:r>
              <w:rPr>
                <w:rFonts w:ascii="Calibri"/>
                <w:spacing w:val="-2"/>
                <w:sz w:val="22"/>
              </w:rPr>
              <w:t>Flexibility</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3</w:t>
            </w:r>
          </w:p>
        </w:tc>
        <w:tc>
          <w:tcPr>
            <w:tcW w:w="6422" w:type="dxa"/>
          </w:tcPr>
          <w:p>
            <w:pPr>
              <w:pStyle w:val="TableParagraph"/>
              <w:spacing w:line="248" w:lineRule="exact"/>
              <w:ind w:left="108"/>
              <w:rPr>
                <w:rFonts w:ascii="Calibri"/>
                <w:sz w:val="22"/>
              </w:rPr>
            </w:pPr>
            <w:r>
              <w:rPr>
                <w:rFonts w:ascii="Calibri"/>
                <w:sz w:val="22"/>
              </w:rPr>
              <w:t>Lower</w:t>
            </w:r>
            <w:r>
              <w:rPr>
                <w:rFonts w:ascii="Calibri"/>
                <w:spacing w:val="-4"/>
                <w:sz w:val="22"/>
              </w:rPr>
              <w:t> </w:t>
            </w:r>
            <w:r>
              <w:rPr>
                <w:rFonts w:ascii="Calibri"/>
                <w:spacing w:val="-2"/>
                <w:sz w:val="22"/>
              </w:rPr>
              <w:t>overhead</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4</w:t>
            </w:r>
          </w:p>
        </w:tc>
        <w:tc>
          <w:tcPr>
            <w:tcW w:w="6422" w:type="dxa"/>
          </w:tcPr>
          <w:p>
            <w:pPr>
              <w:pStyle w:val="TableParagraph"/>
              <w:spacing w:line="248" w:lineRule="exact"/>
              <w:ind w:left="108"/>
              <w:rPr>
                <w:rFonts w:ascii="Calibri"/>
                <w:sz w:val="22"/>
              </w:rPr>
            </w:pPr>
            <w:r>
              <w:rPr>
                <w:rFonts w:ascii="Calibri"/>
                <w:sz w:val="22"/>
              </w:rPr>
              <w:t>Quickly</w:t>
            </w:r>
            <w:r>
              <w:rPr>
                <w:rFonts w:ascii="Calibri"/>
                <w:spacing w:val="-5"/>
                <w:sz w:val="22"/>
              </w:rPr>
              <w:t> </w:t>
            </w:r>
            <w:r>
              <w:rPr>
                <w:rFonts w:ascii="Calibri"/>
                <w:sz w:val="22"/>
              </w:rPr>
              <w:t>respond</w:t>
            </w:r>
            <w:r>
              <w:rPr>
                <w:rFonts w:ascii="Calibri"/>
                <w:spacing w:val="-6"/>
                <w:sz w:val="22"/>
              </w:rPr>
              <w:t> </w:t>
            </w:r>
            <w:r>
              <w:rPr>
                <w:rFonts w:ascii="Calibri"/>
                <w:sz w:val="22"/>
              </w:rPr>
              <w:t>to</w:t>
            </w:r>
            <w:r>
              <w:rPr>
                <w:rFonts w:ascii="Calibri"/>
                <w:spacing w:val="-4"/>
                <w:sz w:val="22"/>
              </w:rPr>
              <w:t> </w:t>
            </w:r>
            <w:r>
              <w:rPr>
                <w:rFonts w:ascii="Calibri"/>
                <w:sz w:val="22"/>
              </w:rPr>
              <w:t>customers</w:t>
            </w:r>
            <w:r>
              <w:rPr>
                <w:rFonts w:ascii="Calibri"/>
                <w:spacing w:val="-3"/>
                <w:sz w:val="22"/>
              </w:rPr>
              <w:t> </w:t>
            </w:r>
            <w:r>
              <w:rPr>
                <w:rFonts w:ascii="Calibri"/>
                <w:sz w:val="22"/>
              </w:rPr>
              <w:t>need</w:t>
            </w:r>
            <w:r>
              <w:rPr>
                <w:rFonts w:ascii="Calibri"/>
                <w:spacing w:val="-5"/>
                <w:sz w:val="22"/>
              </w:rPr>
              <w:t> </w:t>
            </w:r>
            <w:r>
              <w:rPr>
                <w:rFonts w:ascii="Calibri"/>
                <w:sz w:val="22"/>
              </w:rPr>
              <w:t>in</w:t>
            </w:r>
            <w:r>
              <w:rPr>
                <w:rFonts w:ascii="Calibri"/>
                <w:spacing w:val="-4"/>
                <w:sz w:val="22"/>
              </w:rPr>
              <w:t> </w:t>
            </w:r>
            <w:r>
              <w:rPr>
                <w:rFonts w:ascii="Calibri"/>
                <w:sz w:val="22"/>
              </w:rPr>
              <w:t>a</w:t>
            </w:r>
            <w:r>
              <w:rPr>
                <w:rFonts w:ascii="Calibri"/>
                <w:spacing w:val="-4"/>
                <w:sz w:val="22"/>
              </w:rPr>
              <w:t> </w:t>
            </w:r>
            <w:r>
              <w:rPr>
                <w:rFonts w:ascii="Calibri"/>
                <w:sz w:val="22"/>
              </w:rPr>
              <w:t>flexible</w:t>
            </w:r>
            <w:r>
              <w:rPr>
                <w:rFonts w:ascii="Calibri"/>
                <w:spacing w:val="-4"/>
                <w:sz w:val="22"/>
              </w:rPr>
              <w:t> </w:t>
            </w:r>
            <w:r>
              <w:rPr>
                <w:rFonts w:ascii="Calibri"/>
                <w:spacing w:val="-5"/>
                <w:sz w:val="22"/>
              </w:rPr>
              <w:t>way</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5</w:t>
            </w:r>
          </w:p>
        </w:tc>
        <w:tc>
          <w:tcPr>
            <w:tcW w:w="6422" w:type="dxa"/>
          </w:tcPr>
          <w:p>
            <w:pPr>
              <w:pStyle w:val="TableParagraph"/>
              <w:spacing w:line="248" w:lineRule="exact"/>
              <w:ind w:left="108"/>
              <w:rPr>
                <w:rFonts w:ascii="Calibri"/>
                <w:sz w:val="22"/>
              </w:rPr>
            </w:pPr>
            <w:r>
              <w:rPr>
                <w:rFonts w:ascii="Calibri"/>
                <w:sz w:val="22"/>
              </w:rPr>
              <w:t>High</w:t>
            </w:r>
            <w:r>
              <w:rPr>
                <w:rFonts w:ascii="Calibri"/>
                <w:spacing w:val="-5"/>
                <w:sz w:val="22"/>
              </w:rPr>
              <w:t> </w:t>
            </w:r>
            <w:r>
              <w:rPr>
                <w:rFonts w:ascii="Calibri"/>
                <w:sz w:val="22"/>
              </w:rPr>
              <w:t>return</w:t>
            </w:r>
            <w:r>
              <w:rPr>
                <w:rFonts w:ascii="Calibri"/>
                <w:spacing w:val="-4"/>
                <w:sz w:val="22"/>
              </w:rPr>
              <w:t> </w:t>
            </w:r>
            <w:r>
              <w:rPr>
                <w:rFonts w:ascii="Calibri"/>
                <w:sz w:val="22"/>
              </w:rPr>
              <w:t>of</w:t>
            </w:r>
            <w:r>
              <w:rPr>
                <w:rFonts w:ascii="Calibri"/>
                <w:spacing w:val="-4"/>
                <w:sz w:val="22"/>
              </w:rPr>
              <w:t> </w:t>
            </w:r>
            <w:r>
              <w:rPr>
                <w:rFonts w:ascii="Calibri"/>
                <w:sz w:val="22"/>
              </w:rPr>
              <w:t>investment</w:t>
            </w:r>
            <w:r>
              <w:rPr>
                <w:rFonts w:ascii="Calibri"/>
                <w:spacing w:val="-5"/>
                <w:sz w:val="22"/>
              </w:rPr>
              <w:t> </w:t>
            </w:r>
            <w:r>
              <w:rPr>
                <w:rFonts w:ascii="Calibri"/>
                <w:sz w:val="22"/>
              </w:rPr>
              <w:t>on</w:t>
            </w:r>
            <w:r>
              <w:rPr>
                <w:rFonts w:ascii="Calibri"/>
                <w:spacing w:val="-4"/>
                <w:sz w:val="22"/>
              </w:rPr>
              <w:t> </w:t>
            </w:r>
            <w:r>
              <w:rPr>
                <w:rFonts w:ascii="Calibri"/>
                <w:sz w:val="22"/>
              </w:rPr>
              <w:t>successful</w:t>
            </w:r>
            <w:r>
              <w:rPr>
                <w:rFonts w:ascii="Calibri"/>
                <w:spacing w:val="-3"/>
                <w:sz w:val="22"/>
              </w:rPr>
              <w:t> </w:t>
            </w:r>
            <w:r>
              <w:rPr>
                <w:rFonts w:ascii="Calibri"/>
                <w:spacing w:val="-2"/>
                <w:sz w:val="22"/>
              </w:rPr>
              <w:t>project</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70" w:hRule="atLeast"/>
        </w:trPr>
        <w:tc>
          <w:tcPr>
            <w:tcW w:w="9344" w:type="dxa"/>
            <w:gridSpan w:val="7"/>
          </w:tcPr>
          <w:p>
            <w:pPr>
              <w:pStyle w:val="TableParagraph"/>
              <w:spacing w:line="251" w:lineRule="exact"/>
              <w:ind w:left="698"/>
              <w:rPr>
                <w:rFonts w:ascii="Calibri"/>
                <w:b/>
                <w:sz w:val="22"/>
              </w:rPr>
            </w:pPr>
            <w:r>
              <w:rPr>
                <w:rFonts w:ascii="Calibri"/>
                <w:b/>
                <w:spacing w:val="-2"/>
                <w:sz w:val="22"/>
                <w:u w:val="single"/>
              </w:rPr>
              <w:t>Opportunities</w:t>
            </w: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6</w:t>
            </w:r>
          </w:p>
        </w:tc>
        <w:tc>
          <w:tcPr>
            <w:tcW w:w="6422" w:type="dxa"/>
          </w:tcPr>
          <w:p>
            <w:pPr>
              <w:pStyle w:val="TableParagraph"/>
              <w:spacing w:line="248" w:lineRule="exact"/>
              <w:ind w:left="108"/>
              <w:rPr>
                <w:rFonts w:ascii="Calibri"/>
                <w:sz w:val="22"/>
              </w:rPr>
            </w:pPr>
            <w:r>
              <w:rPr>
                <w:rFonts w:ascii="Calibri"/>
                <w:sz w:val="22"/>
              </w:rPr>
              <w:t>Low</w:t>
            </w:r>
            <w:r>
              <w:rPr>
                <w:rFonts w:ascii="Calibri"/>
                <w:spacing w:val="-4"/>
                <w:sz w:val="22"/>
              </w:rPr>
              <w:t> </w:t>
            </w:r>
            <w:r>
              <w:rPr>
                <w:rFonts w:ascii="Calibri"/>
                <w:sz w:val="22"/>
              </w:rPr>
              <w:t>labour</w:t>
            </w:r>
            <w:r>
              <w:rPr>
                <w:rFonts w:ascii="Calibri"/>
                <w:spacing w:val="-4"/>
                <w:sz w:val="22"/>
              </w:rPr>
              <w:t> Cost</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7</w:t>
            </w:r>
          </w:p>
        </w:tc>
        <w:tc>
          <w:tcPr>
            <w:tcW w:w="6422" w:type="dxa"/>
          </w:tcPr>
          <w:p>
            <w:pPr>
              <w:pStyle w:val="TableParagraph"/>
              <w:spacing w:line="248" w:lineRule="exact"/>
              <w:ind w:left="108"/>
              <w:rPr>
                <w:rFonts w:ascii="Calibri"/>
                <w:sz w:val="22"/>
              </w:rPr>
            </w:pPr>
            <w:r>
              <w:rPr>
                <w:rFonts w:ascii="Calibri"/>
                <w:sz w:val="22"/>
              </w:rPr>
              <w:t>Government</w:t>
            </w:r>
            <w:r>
              <w:rPr>
                <w:rFonts w:ascii="Calibri"/>
                <w:spacing w:val="-4"/>
                <w:sz w:val="22"/>
              </w:rPr>
              <w:t> </w:t>
            </w:r>
            <w:r>
              <w:rPr>
                <w:rFonts w:ascii="Calibri"/>
                <w:sz w:val="22"/>
              </w:rPr>
              <w:t>new</w:t>
            </w:r>
            <w:r>
              <w:rPr>
                <w:rFonts w:ascii="Calibri"/>
                <w:spacing w:val="-4"/>
                <w:sz w:val="22"/>
              </w:rPr>
              <w:t> </w:t>
            </w:r>
            <w:r>
              <w:rPr>
                <w:rFonts w:ascii="Calibri"/>
                <w:spacing w:val="-2"/>
                <w:sz w:val="22"/>
              </w:rPr>
              <w:t>policies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8</w:t>
            </w:r>
          </w:p>
        </w:tc>
        <w:tc>
          <w:tcPr>
            <w:tcW w:w="6422" w:type="dxa"/>
          </w:tcPr>
          <w:p>
            <w:pPr>
              <w:pStyle w:val="TableParagraph"/>
              <w:spacing w:line="248" w:lineRule="exact"/>
              <w:ind w:left="108"/>
              <w:rPr>
                <w:rFonts w:ascii="Calibri"/>
                <w:sz w:val="22"/>
              </w:rPr>
            </w:pPr>
            <w:r>
              <w:rPr>
                <w:rFonts w:ascii="Calibri"/>
                <w:sz w:val="22"/>
              </w:rPr>
              <w:t>Regional</w:t>
            </w:r>
            <w:r>
              <w:rPr>
                <w:rFonts w:ascii="Calibri"/>
                <w:spacing w:val="-4"/>
                <w:sz w:val="22"/>
              </w:rPr>
              <w:t> </w:t>
            </w:r>
            <w:r>
              <w:rPr>
                <w:rFonts w:ascii="Calibri"/>
                <w:sz w:val="22"/>
              </w:rPr>
              <w:t>peace</w:t>
            </w:r>
            <w:r>
              <w:rPr>
                <w:rFonts w:ascii="Calibri"/>
                <w:spacing w:val="-2"/>
                <w:sz w:val="22"/>
              </w:rPr>
              <w:t> process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5"/>
                <w:sz w:val="22"/>
              </w:rPr>
              <w:t>+9</w:t>
            </w:r>
          </w:p>
        </w:tc>
        <w:tc>
          <w:tcPr>
            <w:tcW w:w="6422" w:type="dxa"/>
          </w:tcPr>
          <w:p>
            <w:pPr>
              <w:pStyle w:val="TableParagraph"/>
              <w:spacing w:line="248" w:lineRule="exact"/>
              <w:ind w:left="108"/>
              <w:rPr>
                <w:rFonts w:ascii="Calibri"/>
                <w:sz w:val="22"/>
              </w:rPr>
            </w:pPr>
            <w:r>
              <w:rPr>
                <w:rFonts w:ascii="Calibri"/>
                <w:sz w:val="22"/>
              </w:rPr>
              <w:t>High</w:t>
            </w:r>
            <w:r>
              <w:rPr>
                <w:rFonts w:ascii="Calibri"/>
                <w:spacing w:val="-5"/>
                <w:sz w:val="22"/>
              </w:rPr>
              <w:t> </w:t>
            </w:r>
            <w:r>
              <w:rPr>
                <w:rFonts w:ascii="Calibri"/>
                <w:sz w:val="22"/>
              </w:rPr>
              <w:t>speed</w:t>
            </w:r>
            <w:r>
              <w:rPr>
                <w:rFonts w:ascii="Calibri"/>
                <w:spacing w:val="-4"/>
                <w:sz w:val="22"/>
              </w:rPr>
              <w:t> </w:t>
            </w:r>
            <w:r>
              <w:rPr>
                <w:rFonts w:ascii="Calibri"/>
                <w:sz w:val="22"/>
              </w:rPr>
              <w:t>of</w:t>
            </w:r>
            <w:r>
              <w:rPr>
                <w:rFonts w:ascii="Calibri"/>
                <w:spacing w:val="-4"/>
                <w:sz w:val="22"/>
              </w:rPr>
              <w:t> </w:t>
            </w:r>
            <w:r>
              <w:rPr>
                <w:rFonts w:ascii="Calibri"/>
                <w:sz w:val="22"/>
              </w:rPr>
              <w:t>construction</w:t>
            </w:r>
            <w:r>
              <w:rPr>
                <w:rFonts w:ascii="Calibri"/>
                <w:spacing w:val="-6"/>
                <w:sz w:val="22"/>
              </w:rPr>
              <w:t> </w:t>
            </w:r>
            <w:r>
              <w:rPr>
                <w:rFonts w:ascii="Calibri"/>
                <w:sz w:val="22"/>
              </w:rPr>
              <w:t>industry</w:t>
            </w:r>
            <w:r>
              <w:rPr>
                <w:rFonts w:ascii="Calibri"/>
                <w:spacing w:val="-2"/>
                <w:sz w:val="22"/>
              </w:rPr>
              <w:t> development</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5"/>
                <w:sz w:val="22"/>
              </w:rPr>
              <w:t>10</w:t>
            </w:r>
          </w:p>
        </w:tc>
        <w:tc>
          <w:tcPr>
            <w:tcW w:w="6422" w:type="dxa"/>
          </w:tcPr>
          <w:p>
            <w:pPr>
              <w:pStyle w:val="TableParagraph"/>
              <w:spacing w:line="248" w:lineRule="exact"/>
              <w:ind w:left="108"/>
              <w:rPr>
                <w:rFonts w:ascii="Calibri"/>
                <w:sz w:val="22"/>
              </w:rPr>
            </w:pPr>
            <w:r>
              <w:rPr>
                <w:rFonts w:ascii="Calibri"/>
                <w:sz w:val="22"/>
              </w:rPr>
              <w:t>New</w:t>
            </w:r>
            <w:r>
              <w:rPr>
                <w:rFonts w:ascii="Calibri"/>
                <w:spacing w:val="-4"/>
                <w:sz w:val="22"/>
              </w:rPr>
              <w:t> </w:t>
            </w:r>
            <w:r>
              <w:rPr>
                <w:rFonts w:ascii="Calibri"/>
                <w:sz w:val="22"/>
              </w:rPr>
              <w:t>business</w:t>
            </w:r>
            <w:r>
              <w:rPr>
                <w:rFonts w:ascii="Calibri"/>
                <w:spacing w:val="-6"/>
                <w:sz w:val="22"/>
              </w:rPr>
              <w:t> </w:t>
            </w:r>
            <w:r>
              <w:rPr>
                <w:rFonts w:ascii="Calibri"/>
                <w:sz w:val="22"/>
              </w:rPr>
              <w:t>technologies</w:t>
            </w:r>
            <w:r>
              <w:rPr>
                <w:rFonts w:ascii="Calibri"/>
                <w:spacing w:val="-6"/>
                <w:sz w:val="22"/>
              </w:rPr>
              <w:t> </w:t>
            </w:r>
            <w:r>
              <w:rPr>
                <w:rFonts w:ascii="Calibri"/>
                <w:sz w:val="22"/>
              </w:rPr>
              <w:t>(e.g.</w:t>
            </w:r>
            <w:r>
              <w:rPr>
                <w:rFonts w:ascii="Calibri"/>
                <w:spacing w:val="-5"/>
                <w:sz w:val="22"/>
              </w:rPr>
              <w:t> </w:t>
            </w:r>
            <w:r>
              <w:rPr>
                <w:rFonts w:ascii="Calibri"/>
                <w:sz w:val="22"/>
              </w:rPr>
              <w:t>mobile/</w:t>
            </w:r>
            <w:r>
              <w:rPr>
                <w:rFonts w:ascii="Calibri"/>
                <w:spacing w:val="-2"/>
                <w:sz w:val="22"/>
              </w:rPr>
              <w:t> </w:t>
            </w:r>
            <w:r>
              <w:rPr>
                <w:rFonts w:ascii="Calibri"/>
                <w:sz w:val="22"/>
              </w:rPr>
              <w:t>tablet</w:t>
            </w:r>
            <w:r>
              <w:rPr>
                <w:rFonts w:ascii="Calibri"/>
                <w:spacing w:val="-6"/>
                <w:sz w:val="22"/>
              </w:rPr>
              <w:t> </w:t>
            </w:r>
            <w:r>
              <w:rPr>
                <w:rFonts w:ascii="Calibri"/>
                <w:spacing w:val="-2"/>
                <w:sz w:val="22"/>
              </w:rPr>
              <w:t>computing)</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484" w:hRule="atLeast"/>
        </w:trPr>
        <w:tc>
          <w:tcPr>
            <w:tcW w:w="9344" w:type="dxa"/>
            <w:gridSpan w:val="7"/>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4"/>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6"/>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5"/>
                <w:sz w:val="20"/>
              </w:rPr>
              <w:t> </w:t>
            </w:r>
            <w:r>
              <w:rPr>
                <w:rFonts w:ascii="Calibri" w:hAnsi="Calibri"/>
                <w:sz w:val="20"/>
              </w:rPr>
              <w:t>don’t</w:t>
            </w:r>
            <w:r>
              <w:rPr>
                <w:rFonts w:ascii="Calibri" w:hAnsi="Calibri"/>
                <w:spacing w:val="-5"/>
                <w:sz w:val="20"/>
              </w:rPr>
              <w:t> </w:t>
            </w:r>
            <w:r>
              <w:rPr>
                <w:rFonts w:ascii="Calibri" w:hAnsi="Calibri"/>
                <w:sz w:val="20"/>
              </w:rPr>
              <w:t>know;</w:t>
            </w:r>
            <w:r>
              <w:rPr>
                <w:rFonts w:ascii="Calibri" w:hAnsi="Calibri"/>
                <w:spacing w:val="-5"/>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5"/>
                <w:sz w:val="20"/>
              </w:rPr>
              <w:t> </w:t>
            </w:r>
            <w:r>
              <w:rPr>
                <w:rFonts w:ascii="Calibri" w:hAnsi="Calibri"/>
                <w:b/>
                <w:sz w:val="20"/>
              </w:rPr>
              <w:t>SD</w:t>
            </w:r>
            <w:r>
              <w:rPr>
                <w:rFonts w:ascii="Calibri" w:hAnsi="Calibri"/>
                <w:b/>
                <w:spacing w:val="-6"/>
                <w:sz w:val="20"/>
              </w:rPr>
              <w:t> </w:t>
            </w:r>
            <w:r>
              <w:rPr>
                <w:rFonts w:ascii="Calibri" w:hAnsi="Calibri"/>
                <w:sz w:val="20"/>
              </w:rPr>
              <w:t>=</w:t>
            </w:r>
            <w:r>
              <w:rPr>
                <w:rFonts w:ascii="Calibri" w:hAnsi="Calibri"/>
                <w:spacing w:val="-4"/>
                <w:sz w:val="20"/>
              </w:rPr>
              <w:t> </w:t>
            </w:r>
            <w:r>
              <w:rPr>
                <w:rFonts w:ascii="Calibri" w:hAnsi="Calibri"/>
                <w:sz w:val="20"/>
              </w:rPr>
              <w:t>strongly</w:t>
            </w:r>
            <w:r>
              <w:rPr>
                <w:rFonts w:ascii="Calibri" w:hAnsi="Calibri"/>
                <w:spacing w:val="-3"/>
                <w:sz w:val="20"/>
              </w:rPr>
              <w:t> </w:t>
            </w:r>
            <w:r>
              <w:rPr>
                <w:rFonts w:ascii="Calibri" w:hAnsi="Calibri"/>
                <w:spacing w:val="-2"/>
                <w:sz w:val="20"/>
              </w:rPr>
              <w:t>disagree</w:t>
            </w:r>
          </w:p>
        </w:tc>
      </w:tr>
    </w:tbl>
    <w:p>
      <w:pPr>
        <w:pStyle w:val="BodyText"/>
        <w:spacing w:before="218"/>
        <w:rPr>
          <w:sz w:val="22"/>
        </w:rPr>
      </w:pPr>
    </w:p>
    <w:p>
      <w:pPr>
        <w:pStyle w:val="ListParagraph"/>
        <w:numPr>
          <w:ilvl w:val="0"/>
          <w:numId w:val="61"/>
        </w:numPr>
        <w:tabs>
          <w:tab w:pos="1839" w:val="left" w:leader="none"/>
        </w:tabs>
        <w:spacing w:line="240" w:lineRule="auto" w:before="1" w:after="20"/>
        <w:ind w:left="1839" w:right="0" w:hanging="1015"/>
        <w:jc w:val="left"/>
        <w:rPr>
          <w:sz w:val="22"/>
        </w:rPr>
      </w:pPr>
      <w:r>
        <w:rPr>
          <w:b/>
          <w:sz w:val="22"/>
        </w:rPr>
        <w:t>Which</w:t>
      </w:r>
      <w:r>
        <w:rPr>
          <w:b/>
          <w:spacing w:val="49"/>
          <w:sz w:val="22"/>
        </w:rPr>
        <w:t> </w:t>
      </w:r>
      <w:r>
        <w:rPr>
          <w:b/>
          <w:sz w:val="22"/>
        </w:rPr>
        <w:t>of</w:t>
      </w:r>
      <w:r>
        <w:rPr>
          <w:b/>
          <w:spacing w:val="54"/>
          <w:sz w:val="22"/>
        </w:rPr>
        <w:t> </w:t>
      </w:r>
      <w:r>
        <w:rPr>
          <w:b/>
          <w:sz w:val="22"/>
        </w:rPr>
        <w:t>the</w:t>
      </w:r>
      <w:r>
        <w:rPr>
          <w:b/>
          <w:spacing w:val="51"/>
          <w:sz w:val="22"/>
        </w:rPr>
        <w:t> </w:t>
      </w:r>
      <w:r>
        <w:rPr>
          <w:b/>
          <w:sz w:val="22"/>
        </w:rPr>
        <w:t>following</w:t>
      </w:r>
      <w:r>
        <w:rPr>
          <w:b/>
          <w:spacing w:val="47"/>
          <w:sz w:val="22"/>
        </w:rPr>
        <w:t> </w:t>
      </w:r>
      <w:r>
        <w:rPr>
          <w:b/>
          <w:sz w:val="22"/>
        </w:rPr>
        <w:t>do</w:t>
      </w:r>
      <w:r>
        <w:rPr>
          <w:b/>
          <w:spacing w:val="53"/>
          <w:sz w:val="22"/>
        </w:rPr>
        <w:t> </w:t>
      </w:r>
      <w:r>
        <w:rPr>
          <w:b/>
          <w:sz w:val="22"/>
        </w:rPr>
        <w:t>you</w:t>
      </w:r>
      <w:r>
        <w:rPr>
          <w:b/>
          <w:spacing w:val="53"/>
          <w:sz w:val="22"/>
        </w:rPr>
        <w:t> </w:t>
      </w:r>
      <w:r>
        <w:rPr>
          <w:b/>
          <w:sz w:val="22"/>
        </w:rPr>
        <w:t>consider</w:t>
      </w:r>
      <w:r>
        <w:rPr>
          <w:b/>
          <w:spacing w:val="52"/>
          <w:sz w:val="22"/>
        </w:rPr>
        <w:t> </w:t>
      </w:r>
      <w:r>
        <w:rPr>
          <w:b/>
          <w:sz w:val="22"/>
        </w:rPr>
        <w:t>to</w:t>
      </w:r>
      <w:r>
        <w:rPr>
          <w:b/>
          <w:spacing w:val="53"/>
          <w:sz w:val="22"/>
        </w:rPr>
        <w:t> </w:t>
      </w:r>
      <w:r>
        <w:rPr>
          <w:b/>
          <w:sz w:val="22"/>
        </w:rPr>
        <w:t>be</w:t>
      </w:r>
      <w:r>
        <w:rPr>
          <w:b/>
          <w:spacing w:val="-1"/>
          <w:sz w:val="22"/>
        </w:rPr>
        <w:t> </w:t>
      </w:r>
      <w:r>
        <w:rPr>
          <w:b/>
          <w:sz w:val="22"/>
        </w:rPr>
        <w:t>of</w:t>
      </w:r>
      <w:r>
        <w:rPr>
          <w:b/>
          <w:spacing w:val="78"/>
          <w:w w:val="150"/>
          <w:sz w:val="22"/>
        </w:rPr>
        <w:t> </w:t>
      </w:r>
      <w:r>
        <w:rPr>
          <w:b/>
          <w:sz w:val="22"/>
        </w:rPr>
        <w:t>disadvantage</w:t>
      </w:r>
      <w:r>
        <w:rPr>
          <w:b/>
          <w:spacing w:val="-2"/>
          <w:sz w:val="22"/>
        </w:rPr>
        <w:t> </w:t>
      </w:r>
      <w:r>
        <w:rPr>
          <w:b/>
          <w:sz w:val="22"/>
        </w:rPr>
        <w:t>to</w:t>
      </w:r>
      <w:r>
        <w:rPr>
          <w:b/>
          <w:spacing w:val="51"/>
          <w:sz w:val="22"/>
        </w:rPr>
        <w:t> </w:t>
      </w:r>
      <w:r>
        <w:rPr>
          <w:b/>
          <w:sz w:val="22"/>
        </w:rPr>
        <w:t>your</w:t>
      </w:r>
      <w:r>
        <w:rPr>
          <w:b/>
          <w:spacing w:val="-3"/>
          <w:sz w:val="22"/>
        </w:rPr>
        <w:t> </w:t>
      </w:r>
      <w:r>
        <w:rPr>
          <w:b/>
          <w:spacing w:val="-4"/>
          <w:sz w:val="22"/>
        </w:rPr>
        <w:t>firm</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6422"/>
        <w:gridCol w:w="496"/>
        <w:gridCol w:w="431"/>
        <w:gridCol w:w="498"/>
        <w:gridCol w:w="373"/>
        <w:gridCol w:w="534"/>
      </w:tblGrid>
      <w:tr>
        <w:trPr>
          <w:trHeight w:val="537" w:hRule="atLeast"/>
        </w:trPr>
        <w:tc>
          <w:tcPr>
            <w:tcW w:w="590" w:type="dxa"/>
          </w:tcPr>
          <w:p>
            <w:pPr>
              <w:pStyle w:val="TableParagraph"/>
              <w:spacing w:line="268" w:lineRule="exact"/>
              <w:ind w:left="107"/>
              <w:rPr>
                <w:rFonts w:ascii="Calibri"/>
                <w:b/>
                <w:sz w:val="22"/>
              </w:rPr>
            </w:pPr>
            <w:r>
              <w:rPr>
                <w:rFonts w:ascii="Calibri"/>
                <w:b/>
                <w:spacing w:val="-5"/>
                <w:sz w:val="22"/>
              </w:rPr>
              <w:t>S/N</w:t>
            </w:r>
          </w:p>
        </w:tc>
        <w:tc>
          <w:tcPr>
            <w:tcW w:w="6422" w:type="dxa"/>
          </w:tcPr>
          <w:p>
            <w:pPr>
              <w:pStyle w:val="TableParagraph"/>
              <w:rPr>
                <w:sz w:val="20"/>
              </w:rPr>
            </w:pPr>
          </w:p>
        </w:tc>
        <w:tc>
          <w:tcPr>
            <w:tcW w:w="496" w:type="dxa"/>
          </w:tcPr>
          <w:p>
            <w:pPr>
              <w:pStyle w:val="TableParagraph"/>
              <w:spacing w:line="268" w:lineRule="exact"/>
              <w:ind w:left="108"/>
              <w:rPr>
                <w:rFonts w:ascii="Calibri"/>
                <w:b/>
                <w:sz w:val="22"/>
              </w:rPr>
            </w:pPr>
            <w:r>
              <w:rPr>
                <w:rFonts w:ascii="Calibri"/>
                <w:b/>
                <w:spacing w:val="-5"/>
                <w:sz w:val="22"/>
              </w:rPr>
              <w:t>SA</w:t>
            </w:r>
          </w:p>
          <w:p>
            <w:pPr>
              <w:pStyle w:val="TableParagraph"/>
              <w:spacing w:line="249" w:lineRule="exact"/>
              <w:ind w:left="108"/>
              <w:rPr>
                <w:rFonts w:ascii="Calibri"/>
                <w:b/>
                <w:sz w:val="22"/>
              </w:rPr>
            </w:pPr>
            <w:r>
              <w:rPr>
                <w:rFonts w:ascii="Calibri"/>
                <w:b/>
                <w:spacing w:val="-10"/>
                <w:sz w:val="22"/>
              </w:rPr>
              <w:t>5</w:t>
            </w:r>
          </w:p>
        </w:tc>
        <w:tc>
          <w:tcPr>
            <w:tcW w:w="431" w:type="dxa"/>
          </w:tcPr>
          <w:p>
            <w:pPr>
              <w:pStyle w:val="TableParagraph"/>
              <w:spacing w:line="268" w:lineRule="exact"/>
              <w:ind w:left="109"/>
              <w:rPr>
                <w:rFonts w:ascii="Calibri"/>
                <w:b/>
                <w:sz w:val="22"/>
              </w:rPr>
            </w:pPr>
            <w:r>
              <w:rPr>
                <w:rFonts w:ascii="Calibri"/>
                <w:b/>
                <w:spacing w:val="-10"/>
                <w:sz w:val="22"/>
              </w:rPr>
              <w:t>A</w:t>
            </w:r>
          </w:p>
          <w:p>
            <w:pPr>
              <w:pStyle w:val="TableParagraph"/>
              <w:spacing w:line="249" w:lineRule="exact"/>
              <w:ind w:left="109"/>
              <w:rPr>
                <w:rFonts w:ascii="Calibri"/>
                <w:b/>
                <w:sz w:val="22"/>
              </w:rPr>
            </w:pPr>
            <w:r>
              <w:rPr>
                <w:rFonts w:ascii="Calibri"/>
                <w:b/>
                <w:spacing w:val="-10"/>
                <w:sz w:val="22"/>
              </w:rPr>
              <w:t>4</w:t>
            </w:r>
          </w:p>
        </w:tc>
        <w:tc>
          <w:tcPr>
            <w:tcW w:w="498" w:type="dxa"/>
          </w:tcPr>
          <w:p>
            <w:pPr>
              <w:pStyle w:val="TableParagraph"/>
              <w:spacing w:line="268" w:lineRule="exact"/>
              <w:ind w:left="110"/>
              <w:rPr>
                <w:rFonts w:ascii="Calibri"/>
                <w:b/>
                <w:sz w:val="22"/>
              </w:rPr>
            </w:pPr>
            <w:r>
              <w:rPr>
                <w:rFonts w:ascii="Calibri"/>
                <w:b/>
                <w:spacing w:val="-5"/>
                <w:sz w:val="22"/>
              </w:rPr>
              <w:t>DN</w:t>
            </w:r>
          </w:p>
          <w:p>
            <w:pPr>
              <w:pStyle w:val="TableParagraph"/>
              <w:spacing w:line="249" w:lineRule="exact"/>
              <w:ind w:left="110"/>
              <w:rPr>
                <w:rFonts w:ascii="Calibri"/>
                <w:b/>
                <w:sz w:val="22"/>
              </w:rPr>
            </w:pPr>
            <w:r>
              <w:rPr>
                <w:rFonts w:ascii="Calibri"/>
                <w:b/>
                <w:spacing w:val="-10"/>
                <w:sz w:val="22"/>
              </w:rPr>
              <w:t>3</w:t>
            </w:r>
          </w:p>
        </w:tc>
        <w:tc>
          <w:tcPr>
            <w:tcW w:w="373" w:type="dxa"/>
          </w:tcPr>
          <w:p>
            <w:pPr>
              <w:pStyle w:val="TableParagraph"/>
              <w:spacing w:line="268" w:lineRule="exact"/>
              <w:ind w:left="111"/>
              <w:rPr>
                <w:rFonts w:ascii="Calibri"/>
                <w:b/>
                <w:sz w:val="22"/>
              </w:rPr>
            </w:pPr>
            <w:r>
              <w:rPr>
                <w:rFonts w:ascii="Calibri"/>
                <w:b/>
                <w:spacing w:val="-10"/>
                <w:sz w:val="22"/>
              </w:rPr>
              <w:t>D</w:t>
            </w:r>
          </w:p>
          <w:p>
            <w:pPr>
              <w:pStyle w:val="TableParagraph"/>
              <w:spacing w:line="249" w:lineRule="exact"/>
              <w:ind w:left="111"/>
              <w:rPr>
                <w:rFonts w:ascii="Calibri"/>
                <w:b/>
                <w:sz w:val="22"/>
              </w:rPr>
            </w:pPr>
            <w:r>
              <w:rPr>
                <w:rFonts w:ascii="Calibri"/>
                <w:b/>
                <w:spacing w:val="-10"/>
                <w:sz w:val="22"/>
              </w:rPr>
              <w:t>2</w:t>
            </w:r>
          </w:p>
        </w:tc>
        <w:tc>
          <w:tcPr>
            <w:tcW w:w="534" w:type="dxa"/>
          </w:tcPr>
          <w:p>
            <w:pPr>
              <w:pStyle w:val="TableParagraph"/>
              <w:spacing w:line="268" w:lineRule="exact"/>
              <w:ind w:left="113"/>
              <w:rPr>
                <w:rFonts w:ascii="Calibri"/>
                <w:b/>
                <w:sz w:val="22"/>
              </w:rPr>
            </w:pPr>
            <w:r>
              <w:rPr>
                <w:rFonts w:ascii="Calibri"/>
                <w:b/>
                <w:spacing w:val="-5"/>
                <w:sz w:val="22"/>
              </w:rPr>
              <w:t>SD</w:t>
            </w:r>
          </w:p>
          <w:p>
            <w:pPr>
              <w:pStyle w:val="TableParagraph"/>
              <w:spacing w:line="249" w:lineRule="exact"/>
              <w:ind w:left="113"/>
              <w:rPr>
                <w:rFonts w:ascii="Calibri"/>
                <w:b/>
                <w:sz w:val="22"/>
              </w:rPr>
            </w:pPr>
            <w:r>
              <w:rPr>
                <w:rFonts w:ascii="Calibri"/>
                <w:b/>
                <w:spacing w:val="-10"/>
                <w:sz w:val="22"/>
              </w:rPr>
              <w:t>1</w:t>
            </w:r>
          </w:p>
        </w:tc>
      </w:tr>
      <w:tr>
        <w:trPr>
          <w:trHeight w:val="270" w:hRule="atLeast"/>
        </w:trPr>
        <w:tc>
          <w:tcPr>
            <w:tcW w:w="590" w:type="dxa"/>
          </w:tcPr>
          <w:p>
            <w:pPr>
              <w:pStyle w:val="TableParagraph"/>
              <w:rPr>
                <w:sz w:val="20"/>
              </w:rPr>
            </w:pPr>
          </w:p>
        </w:tc>
        <w:tc>
          <w:tcPr>
            <w:tcW w:w="6422" w:type="dxa"/>
          </w:tcPr>
          <w:p>
            <w:pPr>
              <w:pStyle w:val="TableParagraph"/>
              <w:spacing w:line="251" w:lineRule="exact"/>
              <w:ind w:left="108"/>
              <w:rPr>
                <w:rFonts w:ascii="Calibri"/>
                <w:b/>
                <w:sz w:val="22"/>
              </w:rPr>
            </w:pPr>
            <w:r>
              <w:rPr>
                <w:rFonts w:ascii="Calibri"/>
                <w:b/>
                <w:spacing w:val="-2"/>
                <w:sz w:val="22"/>
                <w:u w:val="single"/>
              </w:rPr>
              <w:t>Weakness</w:t>
            </w:r>
          </w:p>
        </w:tc>
        <w:tc>
          <w:tcPr>
            <w:tcW w:w="496" w:type="dxa"/>
          </w:tcPr>
          <w:p>
            <w:pPr>
              <w:pStyle w:val="TableParagraph"/>
              <w:rPr>
                <w:sz w:val="20"/>
              </w:rPr>
            </w:pPr>
          </w:p>
        </w:tc>
        <w:tc>
          <w:tcPr>
            <w:tcW w:w="431" w:type="dxa"/>
          </w:tcPr>
          <w:p>
            <w:pPr>
              <w:pStyle w:val="TableParagraph"/>
              <w:rPr>
                <w:sz w:val="20"/>
              </w:rPr>
            </w:pPr>
          </w:p>
        </w:tc>
        <w:tc>
          <w:tcPr>
            <w:tcW w:w="498" w:type="dxa"/>
          </w:tcPr>
          <w:p>
            <w:pPr>
              <w:pStyle w:val="TableParagraph"/>
              <w:rPr>
                <w:sz w:val="20"/>
              </w:rPr>
            </w:pPr>
          </w:p>
        </w:tc>
        <w:tc>
          <w:tcPr>
            <w:tcW w:w="373" w:type="dxa"/>
          </w:tcPr>
          <w:p>
            <w:pPr>
              <w:pStyle w:val="TableParagraph"/>
              <w:rPr>
                <w:sz w:val="20"/>
              </w:rPr>
            </w:pPr>
          </w:p>
        </w:tc>
        <w:tc>
          <w:tcPr>
            <w:tcW w:w="534" w:type="dxa"/>
          </w:tcPr>
          <w:p>
            <w:pPr>
              <w:pStyle w:val="TableParagraph"/>
              <w:rPr>
                <w:sz w:val="20"/>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1</w:t>
            </w:r>
          </w:p>
        </w:tc>
        <w:tc>
          <w:tcPr>
            <w:tcW w:w="6422" w:type="dxa"/>
          </w:tcPr>
          <w:p>
            <w:pPr>
              <w:pStyle w:val="TableParagraph"/>
              <w:spacing w:line="248" w:lineRule="exact"/>
              <w:ind w:left="108"/>
              <w:rPr>
                <w:rFonts w:ascii="Calibri"/>
                <w:sz w:val="22"/>
              </w:rPr>
            </w:pPr>
            <w:r>
              <w:rPr>
                <w:rFonts w:ascii="Calibri"/>
                <w:sz w:val="22"/>
              </w:rPr>
              <w:t>Poor </w:t>
            </w:r>
            <w:r>
              <w:rPr>
                <w:rFonts w:ascii="Calibri"/>
                <w:spacing w:val="-2"/>
                <w:sz w:val="22"/>
              </w:rPr>
              <w:t>Capitalization</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2</w:t>
            </w:r>
          </w:p>
        </w:tc>
        <w:tc>
          <w:tcPr>
            <w:tcW w:w="6422" w:type="dxa"/>
          </w:tcPr>
          <w:p>
            <w:pPr>
              <w:pStyle w:val="TableParagraph"/>
              <w:spacing w:line="248" w:lineRule="exact"/>
              <w:ind w:left="108"/>
              <w:rPr>
                <w:rFonts w:ascii="Calibri"/>
                <w:sz w:val="22"/>
              </w:rPr>
            </w:pPr>
            <w:r>
              <w:rPr>
                <w:rFonts w:ascii="Calibri"/>
                <w:sz w:val="22"/>
              </w:rPr>
              <w:t>Poor</w:t>
            </w:r>
            <w:r>
              <w:rPr>
                <w:rFonts w:ascii="Calibri"/>
                <w:spacing w:val="-5"/>
                <w:sz w:val="22"/>
              </w:rPr>
              <w:t> </w:t>
            </w:r>
            <w:r>
              <w:rPr>
                <w:rFonts w:ascii="Calibri"/>
                <w:sz w:val="22"/>
              </w:rPr>
              <w:t>information</w:t>
            </w:r>
            <w:r>
              <w:rPr>
                <w:rFonts w:ascii="Calibri"/>
                <w:spacing w:val="-5"/>
                <w:sz w:val="22"/>
              </w:rPr>
              <w:t> </w:t>
            </w:r>
            <w:r>
              <w:rPr>
                <w:rFonts w:ascii="Calibri"/>
                <w:spacing w:val="-2"/>
                <w:sz w:val="22"/>
              </w:rPr>
              <w:t>Systems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3</w:t>
            </w:r>
          </w:p>
        </w:tc>
        <w:tc>
          <w:tcPr>
            <w:tcW w:w="6422" w:type="dxa"/>
          </w:tcPr>
          <w:p>
            <w:pPr>
              <w:pStyle w:val="TableParagraph"/>
              <w:spacing w:line="248" w:lineRule="exact"/>
              <w:ind w:left="108"/>
              <w:rPr>
                <w:rFonts w:ascii="Calibri"/>
                <w:sz w:val="22"/>
              </w:rPr>
            </w:pPr>
            <w:r>
              <w:rPr>
                <w:rFonts w:ascii="Calibri"/>
                <w:sz w:val="22"/>
              </w:rPr>
              <w:t>Poor</w:t>
            </w:r>
            <w:r>
              <w:rPr>
                <w:rFonts w:ascii="Calibri"/>
                <w:spacing w:val="-5"/>
                <w:sz w:val="22"/>
              </w:rPr>
              <w:t> </w:t>
            </w:r>
            <w:r>
              <w:rPr>
                <w:rFonts w:ascii="Calibri"/>
                <w:sz w:val="22"/>
              </w:rPr>
              <w:t>Management</w:t>
            </w:r>
            <w:r>
              <w:rPr>
                <w:rFonts w:ascii="Calibri"/>
                <w:spacing w:val="-5"/>
                <w:sz w:val="22"/>
              </w:rPr>
              <w:t> </w:t>
            </w:r>
            <w:r>
              <w:rPr>
                <w:rFonts w:ascii="Calibri"/>
                <w:spacing w:val="-2"/>
                <w:sz w:val="22"/>
              </w:rPr>
              <w:t>Strategy</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4</w:t>
            </w:r>
          </w:p>
        </w:tc>
        <w:tc>
          <w:tcPr>
            <w:tcW w:w="6422" w:type="dxa"/>
          </w:tcPr>
          <w:p>
            <w:pPr>
              <w:pStyle w:val="TableParagraph"/>
              <w:spacing w:line="248" w:lineRule="exact"/>
              <w:ind w:left="108"/>
              <w:rPr>
                <w:rFonts w:ascii="Calibri"/>
                <w:sz w:val="22"/>
              </w:rPr>
            </w:pPr>
            <w:r>
              <w:rPr>
                <w:rFonts w:ascii="Calibri"/>
                <w:sz w:val="22"/>
              </w:rPr>
              <w:t>Lack</w:t>
            </w:r>
            <w:r>
              <w:rPr>
                <w:rFonts w:ascii="Calibri"/>
                <w:spacing w:val="-5"/>
                <w:sz w:val="22"/>
              </w:rPr>
              <w:t> </w:t>
            </w:r>
            <w:r>
              <w:rPr>
                <w:rFonts w:ascii="Calibri"/>
                <w:sz w:val="22"/>
              </w:rPr>
              <w:t>of</w:t>
            </w:r>
            <w:r>
              <w:rPr>
                <w:rFonts w:ascii="Calibri"/>
                <w:spacing w:val="-6"/>
                <w:sz w:val="22"/>
              </w:rPr>
              <w:t> </w:t>
            </w:r>
            <w:r>
              <w:rPr>
                <w:rFonts w:ascii="Calibri"/>
                <w:sz w:val="22"/>
              </w:rPr>
              <w:t>Procedures</w:t>
            </w:r>
            <w:r>
              <w:rPr>
                <w:rFonts w:ascii="Calibri"/>
                <w:spacing w:val="-3"/>
                <w:sz w:val="22"/>
              </w:rPr>
              <w:t> </w:t>
            </w:r>
            <w:r>
              <w:rPr>
                <w:rFonts w:ascii="Calibri"/>
                <w:sz w:val="22"/>
              </w:rPr>
              <w:t>for</w:t>
            </w:r>
            <w:r>
              <w:rPr>
                <w:rFonts w:ascii="Calibri"/>
                <w:spacing w:val="-5"/>
                <w:sz w:val="22"/>
              </w:rPr>
              <w:t> </w:t>
            </w:r>
            <w:r>
              <w:rPr>
                <w:rFonts w:ascii="Calibri"/>
                <w:sz w:val="22"/>
              </w:rPr>
              <w:t>monitoring</w:t>
            </w:r>
            <w:r>
              <w:rPr>
                <w:rFonts w:ascii="Calibri"/>
                <w:spacing w:val="-3"/>
                <w:sz w:val="22"/>
              </w:rPr>
              <w:t> </w:t>
            </w:r>
            <w:r>
              <w:rPr>
                <w:rFonts w:ascii="Calibri"/>
                <w:spacing w:val="-2"/>
                <w:sz w:val="22"/>
              </w:rPr>
              <w:t>Quality</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5</w:t>
            </w:r>
          </w:p>
        </w:tc>
        <w:tc>
          <w:tcPr>
            <w:tcW w:w="6422" w:type="dxa"/>
          </w:tcPr>
          <w:p>
            <w:pPr>
              <w:pStyle w:val="TableParagraph"/>
              <w:spacing w:line="248" w:lineRule="exact"/>
              <w:ind w:left="108"/>
              <w:rPr>
                <w:rFonts w:ascii="Calibri"/>
                <w:sz w:val="22"/>
              </w:rPr>
            </w:pPr>
            <w:r>
              <w:rPr>
                <w:rFonts w:ascii="Calibri"/>
                <w:sz w:val="22"/>
              </w:rPr>
              <w:t>Low</w:t>
            </w:r>
            <w:r>
              <w:rPr>
                <w:rFonts w:ascii="Calibri"/>
                <w:spacing w:val="-8"/>
                <w:sz w:val="22"/>
              </w:rPr>
              <w:t> </w:t>
            </w:r>
            <w:r>
              <w:rPr>
                <w:rFonts w:ascii="Calibri"/>
                <w:sz w:val="22"/>
              </w:rPr>
              <w:t>managerial</w:t>
            </w:r>
            <w:r>
              <w:rPr>
                <w:rFonts w:ascii="Calibri"/>
                <w:spacing w:val="-5"/>
                <w:sz w:val="22"/>
              </w:rPr>
              <w:t> </w:t>
            </w:r>
            <w:r>
              <w:rPr>
                <w:rFonts w:ascii="Calibri"/>
                <w:sz w:val="22"/>
              </w:rPr>
              <w:t>and</w:t>
            </w:r>
            <w:r>
              <w:rPr>
                <w:rFonts w:ascii="Calibri"/>
                <w:spacing w:val="-6"/>
                <w:sz w:val="22"/>
              </w:rPr>
              <w:t> </w:t>
            </w:r>
            <w:r>
              <w:rPr>
                <w:rFonts w:ascii="Calibri"/>
                <w:sz w:val="22"/>
              </w:rPr>
              <w:t>technical</w:t>
            </w:r>
            <w:r>
              <w:rPr>
                <w:rFonts w:ascii="Calibri"/>
                <w:spacing w:val="-4"/>
                <w:sz w:val="22"/>
              </w:rPr>
              <w:t> </w:t>
            </w:r>
            <w:r>
              <w:rPr>
                <w:rFonts w:ascii="Calibri"/>
                <w:spacing w:val="-2"/>
                <w:sz w:val="22"/>
              </w:rPr>
              <w:t>Skills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bl>
    <w:p>
      <w:pPr>
        <w:spacing w:after="0"/>
        <w:rPr>
          <w:sz w:val="18"/>
        </w:rPr>
        <w:sectPr>
          <w:type w:val="continuous"/>
          <w:pgSz w:w="12240" w:h="15840"/>
          <w:pgMar w:header="0" w:footer="1017" w:top="1420" w:bottom="1383" w:left="1040" w:right="120"/>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6422"/>
        <w:gridCol w:w="496"/>
        <w:gridCol w:w="431"/>
        <w:gridCol w:w="498"/>
        <w:gridCol w:w="373"/>
        <w:gridCol w:w="534"/>
      </w:tblGrid>
      <w:tr>
        <w:trPr>
          <w:trHeight w:val="268" w:hRule="atLeast"/>
        </w:trPr>
        <w:tc>
          <w:tcPr>
            <w:tcW w:w="9344" w:type="dxa"/>
            <w:gridSpan w:val="7"/>
          </w:tcPr>
          <w:p>
            <w:pPr>
              <w:pStyle w:val="TableParagraph"/>
              <w:spacing w:line="248" w:lineRule="exact"/>
              <w:ind w:left="698"/>
              <w:rPr>
                <w:rFonts w:ascii="Calibri"/>
                <w:b/>
                <w:sz w:val="22"/>
              </w:rPr>
            </w:pPr>
            <w:r>
              <w:rPr>
                <w:rFonts w:ascii="Calibri"/>
                <w:b/>
                <w:spacing w:val="-2"/>
                <w:sz w:val="22"/>
                <w:u w:val="single"/>
              </w:rPr>
              <w:t>Threats</w:t>
            </w: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6</w:t>
            </w:r>
          </w:p>
        </w:tc>
        <w:tc>
          <w:tcPr>
            <w:tcW w:w="6422" w:type="dxa"/>
          </w:tcPr>
          <w:p>
            <w:pPr>
              <w:pStyle w:val="TableParagraph"/>
              <w:spacing w:line="248" w:lineRule="exact"/>
              <w:ind w:left="108"/>
              <w:rPr>
                <w:rFonts w:ascii="Calibri"/>
                <w:sz w:val="22"/>
              </w:rPr>
            </w:pPr>
            <w:r>
              <w:rPr>
                <w:rFonts w:ascii="Calibri"/>
                <w:sz w:val="22"/>
              </w:rPr>
              <w:t>Government</w:t>
            </w:r>
            <w:r>
              <w:rPr>
                <w:rFonts w:ascii="Calibri"/>
                <w:spacing w:val="-6"/>
                <w:sz w:val="22"/>
              </w:rPr>
              <w:t> </w:t>
            </w:r>
            <w:r>
              <w:rPr>
                <w:rFonts w:ascii="Calibri"/>
                <w:sz w:val="22"/>
              </w:rPr>
              <w:t>Laws</w:t>
            </w:r>
            <w:r>
              <w:rPr>
                <w:rFonts w:ascii="Calibri"/>
                <w:spacing w:val="-5"/>
                <w:sz w:val="22"/>
              </w:rPr>
              <w:t> </w:t>
            </w:r>
            <w:r>
              <w:rPr>
                <w:rFonts w:ascii="Calibri"/>
                <w:sz w:val="22"/>
              </w:rPr>
              <w:t>and</w:t>
            </w:r>
            <w:r>
              <w:rPr>
                <w:rFonts w:ascii="Calibri"/>
                <w:spacing w:val="-4"/>
                <w:sz w:val="22"/>
              </w:rPr>
              <w:t> </w:t>
            </w:r>
            <w:r>
              <w:rPr>
                <w:rFonts w:ascii="Calibri"/>
                <w:spacing w:val="-2"/>
                <w:sz w:val="22"/>
              </w:rPr>
              <w:t>Regulations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537" w:hRule="atLeast"/>
        </w:trPr>
        <w:tc>
          <w:tcPr>
            <w:tcW w:w="590" w:type="dxa"/>
          </w:tcPr>
          <w:p>
            <w:pPr>
              <w:pStyle w:val="TableParagraph"/>
              <w:spacing w:line="265" w:lineRule="exact"/>
              <w:ind w:left="107"/>
              <w:rPr>
                <w:rFonts w:ascii="Calibri"/>
                <w:sz w:val="22"/>
              </w:rPr>
            </w:pPr>
            <w:r>
              <w:rPr>
                <w:rFonts w:ascii="Calibri"/>
                <w:spacing w:val="-10"/>
                <w:sz w:val="22"/>
              </w:rPr>
              <w:t>7</w:t>
            </w:r>
          </w:p>
        </w:tc>
        <w:tc>
          <w:tcPr>
            <w:tcW w:w="6422" w:type="dxa"/>
          </w:tcPr>
          <w:p>
            <w:pPr>
              <w:pStyle w:val="TableParagraph"/>
              <w:spacing w:line="265" w:lineRule="exact"/>
              <w:ind w:left="108"/>
              <w:rPr>
                <w:rFonts w:ascii="Calibri"/>
                <w:sz w:val="22"/>
              </w:rPr>
            </w:pPr>
            <w:r>
              <w:rPr>
                <w:rFonts w:ascii="Calibri"/>
                <w:sz w:val="22"/>
              </w:rPr>
              <w:t>Discouragement</w:t>
            </w:r>
            <w:r>
              <w:rPr>
                <w:rFonts w:ascii="Calibri"/>
                <w:spacing w:val="-8"/>
                <w:sz w:val="22"/>
              </w:rPr>
              <w:t> </w:t>
            </w:r>
            <w:r>
              <w:rPr>
                <w:rFonts w:ascii="Calibri"/>
                <w:sz w:val="22"/>
              </w:rPr>
              <w:t>on</w:t>
            </w:r>
            <w:r>
              <w:rPr>
                <w:rFonts w:ascii="Calibri"/>
                <w:spacing w:val="-5"/>
                <w:sz w:val="22"/>
              </w:rPr>
              <w:t> </w:t>
            </w:r>
            <w:r>
              <w:rPr>
                <w:rFonts w:ascii="Calibri"/>
                <w:sz w:val="22"/>
              </w:rPr>
              <w:t>investments</w:t>
            </w:r>
            <w:r>
              <w:rPr>
                <w:rFonts w:ascii="Calibri"/>
                <w:spacing w:val="-6"/>
                <w:sz w:val="22"/>
              </w:rPr>
              <w:t> </w:t>
            </w:r>
            <w:r>
              <w:rPr>
                <w:rFonts w:ascii="Calibri"/>
                <w:sz w:val="22"/>
              </w:rPr>
              <w:t>through</w:t>
            </w:r>
            <w:r>
              <w:rPr>
                <w:rFonts w:ascii="Calibri"/>
                <w:spacing w:val="-5"/>
                <w:sz w:val="22"/>
              </w:rPr>
              <w:t> </w:t>
            </w:r>
            <w:r>
              <w:rPr>
                <w:rFonts w:ascii="Calibri"/>
                <w:sz w:val="22"/>
              </w:rPr>
              <w:t>credit</w:t>
            </w:r>
            <w:r>
              <w:rPr>
                <w:rFonts w:ascii="Calibri"/>
                <w:spacing w:val="-6"/>
                <w:sz w:val="22"/>
              </w:rPr>
              <w:t> </w:t>
            </w:r>
            <w:r>
              <w:rPr>
                <w:rFonts w:ascii="Calibri"/>
                <w:sz w:val="22"/>
              </w:rPr>
              <w:t>terms</w:t>
            </w:r>
            <w:r>
              <w:rPr>
                <w:rFonts w:ascii="Calibri"/>
                <w:spacing w:val="-3"/>
                <w:sz w:val="22"/>
              </w:rPr>
              <w:t> </w:t>
            </w:r>
            <w:r>
              <w:rPr>
                <w:rFonts w:ascii="Calibri"/>
                <w:sz w:val="22"/>
              </w:rPr>
              <w:t>&amp;</w:t>
            </w:r>
            <w:r>
              <w:rPr>
                <w:rFonts w:ascii="Calibri"/>
                <w:spacing w:val="-3"/>
                <w:sz w:val="22"/>
              </w:rPr>
              <w:t> </w:t>
            </w:r>
            <w:r>
              <w:rPr>
                <w:rFonts w:ascii="Calibri"/>
                <w:spacing w:val="-2"/>
                <w:sz w:val="22"/>
              </w:rPr>
              <w:t>conditions</w:t>
            </w:r>
          </w:p>
          <w:p>
            <w:pPr>
              <w:pStyle w:val="TableParagraph"/>
              <w:spacing w:line="252" w:lineRule="exact"/>
              <w:ind w:left="108"/>
              <w:rPr>
                <w:rFonts w:ascii="Calibri"/>
                <w:sz w:val="22"/>
              </w:rPr>
            </w:pPr>
            <w:r>
              <w:rPr>
                <w:rFonts w:ascii="Calibri"/>
                <w:sz w:val="22"/>
              </w:rPr>
              <w:t>of</w:t>
            </w:r>
            <w:r>
              <w:rPr>
                <w:rFonts w:ascii="Calibri"/>
                <w:spacing w:val="-4"/>
                <w:sz w:val="22"/>
              </w:rPr>
              <w:t> </w:t>
            </w:r>
            <w:r>
              <w:rPr>
                <w:rFonts w:ascii="Calibri"/>
                <w:sz w:val="22"/>
              </w:rPr>
              <w:t>commercial</w:t>
            </w:r>
            <w:r>
              <w:rPr>
                <w:rFonts w:ascii="Calibri"/>
                <w:spacing w:val="-4"/>
                <w:sz w:val="22"/>
              </w:rPr>
              <w:t> </w:t>
            </w:r>
            <w:r>
              <w:rPr>
                <w:rFonts w:ascii="Calibri"/>
                <w:spacing w:val="-2"/>
                <w:sz w:val="22"/>
              </w:rPr>
              <w:t>Banks.</w:t>
            </w:r>
          </w:p>
        </w:tc>
        <w:tc>
          <w:tcPr>
            <w:tcW w:w="496" w:type="dxa"/>
          </w:tcPr>
          <w:p>
            <w:pPr>
              <w:pStyle w:val="TableParagraph"/>
              <w:rPr>
                <w:sz w:val="20"/>
              </w:rPr>
            </w:pPr>
          </w:p>
        </w:tc>
        <w:tc>
          <w:tcPr>
            <w:tcW w:w="431" w:type="dxa"/>
          </w:tcPr>
          <w:p>
            <w:pPr>
              <w:pStyle w:val="TableParagraph"/>
              <w:rPr>
                <w:sz w:val="20"/>
              </w:rPr>
            </w:pPr>
          </w:p>
        </w:tc>
        <w:tc>
          <w:tcPr>
            <w:tcW w:w="498" w:type="dxa"/>
          </w:tcPr>
          <w:p>
            <w:pPr>
              <w:pStyle w:val="TableParagraph"/>
              <w:rPr>
                <w:sz w:val="20"/>
              </w:rPr>
            </w:pPr>
          </w:p>
        </w:tc>
        <w:tc>
          <w:tcPr>
            <w:tcW w:w="373" w:type="dxa"/>
          </w:tcPr>
          <w:p>
            <w:pPr>
              <w:pStyle w:val="TableParagraph"/>
              <w:rPr>
                <w:sz w:val="20"/>
              </w:rPr>
            </w:pPr>
          </w:p>
        </w:tc>
        <w:tc>
          <w:tcPr>
            <w:tcW w:w="534" w:type="dxa"/>
          </w:tcPr>
          <w:p>
            <w:pPr>
              <w:pStyle w:val="TableParagraph"/>
              <w:rPr>
                <w:sz w:val="20"/>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8</w:t>
            </w:r>
          </w:p>
        </w:tc>
        <w:tc>
          <w:tcPr>
            <w:tcW w:w="6422" w:type="dxa"/>
          </w:tcPr>
          <w:p>
            <w:pPr>
              <w:pStyle w:val="TableParagraph"/>
              <w:spacing w:line="248" w:lineRule="exact"/>
              <w:ind w:left="108"/>
              <w:rPr>
                <w:rFonts w:ascii="Calibri"/>
                <w:sz w:val="22"/>
              </w:rPr>
            </w:pPr>
            <w:r>
              <w:rPr>
                <w:rFonts w:ascii="Calibri"/>
                <w:sz w:val="22"/>
              </w:rPr>
              <w:t>Strong</w:t>
            </w:r>
            <w:r>
              <w:rPr>
                <w:rFonts w:ascii="Calibri"/>
                <w:spacing w:val="-6"/>
                <w:sz w:val="22"/>
              </w:rPr>
              <w:t> </w:t>
            </w:r>
            <w:r>
              <w:rPr>
                <w:rFonts w:ascii="Calibri"/>
                <w:sz w:val="22"/>
              </w:rPr>
              <w:t>competition</w:t>
            </w:r>
            <w:r>
              <w:rPr>
                <w:rFonts w:ascii="Calibri"/>
                <w:spacing w:val="-5"/>
                <w:sz w:val="22"/>
              </w:rPr>
              <w:t> </w:t>
            </w:r>
            <w:r>
              <w:rPr>
                <w:rFonts w:ascii="Calibri"/>
                <w:sz w:val="22"/>
              </w:rPr>
              <w:t>from</w:t>
            </w:r>
            <w:r>
              <w:rPr>
                <w:rFonts w:ascii="Calibri"/>
                <w:spacing w:val="-5"/>
                <w:sz w:val="22"/>
              </w:rPr>
              <w:t> </w:t>
            </w:r>
            <w:r>
              <w:rPr>
                <w:rFonts w:ascii="Calibri"/>
                <w:sz w:val="22"/>
              </w:rPr>
              <w:t>the</w:t>
            </w:r>
            <w:r>
              <w:rPr>
                <w:rFonts w:ascii="Calibri"/>
                <w:spacing w:val="-3"/>
                <w:sz w:val="22"/>
              </w:rPr>
              <w:t> </w:t>
            </w:r>
            <w:r>
              <w:rPr>
                <w:rFonts w:ascii="Calibri"/>
                <w:sz w:val="22"/>
              </w:rPr>
              <w:t>large</w:t>
            </w:r>
            <w:r>
              <w:rPr>
                <w:rFonts w:ascii="Calibri"/>
                <w:spacing w:val="-3"/>
                <w:sz w:val="22"/>
              </w:rPr>
              <w:t> </w:t>
            </w:r>
            <w:r>
              <w:rPr>
                <w:rFonts w:ascii="Calibri"/>
                <w:spacing w:val="-4"/>
                <w:sz w:val="22"/>
              </w:rPr>
              <w:t>firms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10"/>
                <w:sz w:val="22"/>
              </w:rPr>
              <w:t>9</w:t>
            </w:r>
          </w:p>
        </w:tc>
        <w:tc>
          <w:tcPr>
            <w:tcW w:w="6422" w:type="dxa"/>
          </w:tcPr>
          <w:p>
            <w:pPr>
              <w:pStyle w:val="TableParagraph"/>
              <w:spacing w:line="248" w:lineRule="exact"/>
              <w:ind w:left="108"/>
              <w:rPr>
                <w:rFonts w:ascii="Calibri"/>
                <w:sz w:val="22"/>
              </w:rPr>
            </w:pPr>
            <w:r>
              <w:rPr>
                <w:rFonts w:ascii="Calibri"/>
                <w:sz w:val="22"/>
              </w:rPr>
              <w:t>Multiple</w:t>
            </w:r>
            <w:r>
              <w:rPr>
                <w:rFonts w:ascii="Calibri"/>
                <w:spacing w:val="-6"/>
                <w:sz w:val="22"/>
              </w:rPr>
              <w:t> </w:t>
            </w:r>
            <w:r>
              <w:rPr>
                <w:rFonts w:ascii="Calibri"/>
                <w:spacing w:val="-4"/>
                <w:sz w:val="22"/>
              </w:rPr>
              <w:t>taxes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268" w:hRule="atLeast"/>
        </w:trPr>
        <w:tc>
          <w:tcPr>
            <w:tcW w:w="590" w:type="dxa"/>
          </w:tcPr>
          <w:p>
            <w:pPr>
              <w:pStyle w:val="TableParagraph"/>
              <w:spacing w:line="248" w:lineRule="exact"/>
              <w:ind w:left="107"/>
              <w:rPr>
                <w:rFonts w:ascii="Calibri"/>
                <w:sz w:val="22"/>
              </w:rPr>
            </w:pPr>
            <w:r>
              <w:rPr>
                <w:rFonts w:ascii="Calibri"/>
                <w:spacing w:val="-5"/>
                <w:sz w:val="22"/>
              </w:rPr>
              <w:t>10</w:t>
            </w:r>
          </w:p>
        </w:tc>
        <w:tc>
          <w:tcPr>
            <w:tcW w:w="6422" w:type="dxa"/>
          </w:tcPr>
          <w:p>
            <w:pPr>
              <w:pStyle w:val="TableParagraph"/>
              <w:spacing w:line="248" w:lineRule="exact"/>
              <w:ind w:left="108"/>
              <w:rPr>
                <w:rFonts w:ascii="Calibri"/>
                <w:sz w:val="22"/>
              </w:rPr>
            </w:pPr>
            <w:r>
              <w:rPr>
                <w:rFonts w:ascii="Calibri"/>
                <w:sz w:val="22"/>
              </w:rPr>
              <w:t>Excessive</w:t>
            </w:r>
            <w:r>
              <w:rPr>
                <w:rFonts w:ascii="Calibri"/>
                <w:spacing w:val="-6"/>
                <w:sz w:val="22"/>
              </w:rPr>
              <w:t> </w:t>
            </w:r>
            <w:r>
              <w:rPr>
                <w:rFonts w:ascii="Calibri"/>
                <w:sz w:val="22"/>
              </w:rPr>
              <w:t>corruption</w:t>
            </w:r>
            <w:r>
              <w:rPr>
                <w:rFonts w:ascii="Calibri"/>
                <w:spacing w:val="-4"/>
                <w:sz w:val="22"/>
              </w:rPr>
              <w:t> </w:t>
            </w:r>
            <w:r>
              <w:rPr>
                <w:rFonts w:ascii="Calibri"/>
                <w:sz w:val="22"/>
              </w:rPr>
              <w:t>and</w:t>
            </w:r>
            <w:r>
              <w:rPr>
                <w:rFonts w:ascii="Calibri"/>
                <w:spacing w:val="-4"/>
                <w:sz w:val="22"/>
              </w:rPr>
              <w:t> </w:t>
            </w:r>
            <w:r>
              <w:rPr>
                <w:rFonts w:ascii="Calibri"/>
                <w:sz w:val="22"/>
              </w:rPr>
              <w:t>lack</w:t>
            </w:r>
            <w:r>
              <w:rPr>
                <w:rFonts w:ascii="Calibri"/>
                <w:spacing w:val="-2"/>
                <w:sz w:val="22"/>
              </w:rPr>
              <w:t> </w:t>
            </w:r>
            <w:r>
              <w:rPr>
                <w:rFonts w:ascii="Calibri"/>
                <w:sz w:val="22"/>
              </w:rPr>
              <w:t>of</w:t>
            </w:r>
            <w:r>
              <w:rPr>
                <w:rFonts w:ascii="Calibri"/>
                <w:spacing w:val="-3"/>
                <w:sz w:val="22"/>
              </w:rPr>
              <w:t> </w:t>
            </w:r>
            <w:r>
              <w:rPr>
                <w:rFonts w:ascii="Calibri"/>
                <w:spacing w:val="-2"/>
                <w:sz w:val="22"/>
              </w:rPr>
              <w:t>transparencies</w:t>
            </w:r>
          </w:p>
        </w:tc>
        <w:tc>
          <w:tcPr>
            <w:tcW w:w="496" w:type="dxa"/>
          </w:tcPr>
          <w:p>
            <w:pPr>
              <w:pStyle w:val="TableParagraph"/>
              <w:rPr>
                <w:sz w:val="18"/>
              </w:rPr>
            </w:pPr>
          </w:p>
        </w:tc>
        <w:tc>
          <w:tcPr>
            <w:tcW w:w="431" w:type="dxa"/>
          </w:tcPr>
          <w:p>
            <w:pPr>
              <w:pStyle w:val="TableParagraph"/>
              <w:rPr>
                <w:sz w:val="18"/>
              </w:rPr>
            </w:pPr>
          </w:p>
        </w:tc>
        <w:tc>
          <w:tcPr>
            <w:tcW w:w="498" w:type="dxa"/>
          </w:tcPr>
          <w:p>
            <w:pPr>
              <w:pStyle w:val="TableParagraph"/>
              <w:rPr>
                <w:sz w:val="18"/>
              </w:rPr>
            </w:pPr>
          </w:p>
        </w:tc>
        <w:tc>
          <w:tcPr>
            <w:tcW w:w="373" w:type="dxa"/>
          </w:tcPr>
          <w:p>
            <w:pPr>
              <w:pStyle w:val="TableParagraph"/>
              <w:rPr>
                <w:sz w:val="18"/>
              </w:rPr>
            </w:pPr>
          </w:p>
        </w:tc>
        <w:tc>
          <w:tcPr>
            <w:tcW w:w="534" w:type="dxa"/>
          </w:tcPr>
          <w:p>
            <w:pPr>
              <w:pStyle w:val="TableParagraph"/>
              <w:rPr>
                <w:sz w:val="18"/>
              </w:rPr>
            </w:pPr>
          </w:p>
        </w:tc>
      </w:tr>
      <w:tr>
        <w:trPr>
          <w:trHeight w:val="484" w:hRule="atLeast"/>
        </w:trPr>
        <w:tc>
          <w:tcPr>
            <w:tcW w:w="9344" w:type="dxa"/>
            <w:gridSpan w:val="7"/>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4"/>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6"/>
                <w:sz w:val="20"/>
              </w:rPr>
              <w:t> </w:t>
            </w:r>
            <w:r>
              <w:rPr>
                <w:rFonts w:ascii="Calibri" w:hAnsi="Calibri"/>
                <w:b/>
                <w:sz w:val="20"/>
              </w:rPr>
              <w:t>A</w:t>
            </w:r>
            <w:r>
              <w:rPr>
                <w:rFonts w:ascii="Calibri" w:hAnsi="Calibri"/>
                <w:sz w:val="20"/>
              </w:rPr>
              <w:t>=agree;</w:t>
            </w:r>
            <w:r>
              <w:rPr>
                <w:rFonts w:ascii="Calibri" w:hAnsi="Calibri"/>
                <w:spacing w:val="-3"/>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5"/>
                <w:sz w:val="20"/>
              </w:rPr>
              <w:t> </w:t>
            </w:r>
            <w:r>
              <w:rPr>
                <w:rFonts w:ascii="Calibri" w:hAnsi="Calibri"/>
                <w:sz w:val="20"/>
              </w:rPr>
              <w:t>don’t</w:t>
            </w:r>
            <w:r>
              <w:rPr>
                <w:rFonts w:ascii="Calibri" w:hAnsi="Calibri"/>
                <w:spacing w:val="-5"/>
                <w:sz w:val="20"/>
              </w:rPr>
              <w:t> </w:t>
            </w:r>
            <w:r>
              <w:rPr>
                <w:rFonts w:ascii="Calibri" w:hAnsi="Calibri"/>
                <w:sz w:val="20"/>
              </w:rPr>
              <w:t>know;</w:t>
            </w:r>
            <w:r>
              <w:rPr>
                <w:rFonts w:ascii="Calibri" w:hAnsi="Calibri"/>
                <w:spacing w:val="-5"/>
                <w:sz w:val="20"/>
              </w:rPr>
              <w:t> </w:t>
            </w:r>
            <w:r>
              <w:rPr>
                <w:rFonts w:ascii="Calibri" w:hAnsi="Calibri"/>
                <w:b/>
                <w:sz w:val="20"/>
              </w:rPr>
              <w:t>D</w:t>
            </w:r>
            <w:r>
              <w:rPr>
                <w:rFonts w:ascii="Calibri" w:hAnsi="Calibri"/>
                <w:b/>
                <w:spacing w:val="-6"/>
                <w:sz w:val="20"/>
              </w:rPr>
              <w:t> </w:t>
            </w:r>
            <w:r>
              <w:rPr>
                <w:rFonts w:ascii="Calibri" w:hAnsi="Calibri"/>
                <w:sz w:val="20"/>
              </w:rPr>
              <w:t>=</w:t>
            </w:r>
            <w:r>
              <w:rPr>
                <w:rFonts w:ascii="Calibri" w:hAnsi="Calibri"/>
                <w:spacing w:val="-6"/>
                <w:sz w:val="20"/>
              </w:rPr>
              <w:t> </w:t>
            </w:r>
            <w:r>
              <w:rPr>
                <w:rFonts w:ascii="Calibri" w:hAnsi="Calibri"/>
                <w:sz w:val="20"/>
              </w:rPr>
              <w:t>disagree;</w:t>
            </w:r>
            <w:r>
              <w:rPr>
                <w:rFonts w:ascii="Calibri" w:hAnsi="Calibri"/>
                <w:spacing w:val="-5"/>
                <w:sz w:val="20"/>
              </w:rPr>
              <w:t> </w:t>
            </w:r>
            <w:r>
              <w:rPr>
                <w:rFonts w:ascii="Calibri" w:hAnsi="Calibri"/>
                <w:b/>
                <w:sz w:val="20"/>
              </w:rPr>
              <w:t>SD</w:t>
            </w:r>
            <w:r>
              <w:rPr>
                <w:rFonts w:ascii="Calibri" w:hAnsi="Calibri"/>
                <w:b/>
                <w:spacing w:val="-6"/>
                <w:sz w:val="20"/>
              </w:rPr>
              <w:t> </w:t>
            </w:r>
            <w:r>
              <w:rPr>
                <w:rFonts w:ascii="Calibri" w:hAnsi="Calibri"/>
                <w:sz w:val="20"/>
              </w:rPr>
              <w:t>=</w:t>
            </w:r>
            <w:r>
              <w:rPr>
                <w:rFonts w:ascii="Calibri" w:hAnsi="Calibri"/>
                <w:spacing w:val="-4"/>
                <w:sz w:val="20"/>
              </w:rPr>
              <w:t> </w:t>
            </w:r>
            <w:r>
              <w:rPr>
                <w:rFonts w:ascii="Calibri" w:hAnsi="Calibri"/>
                <w:sz w:val="20"/>
              </w:rPr>
              <w:t>strongly</w:t>
            </w:r>
            <w:r>
              <w:rPr>
                <w:rFonts w:ascii="Calibri" w:hAnsi="Calibri"/>
                <w:spacing w:val="-3"/>
                <w:sz w:val="20"/>
              </w:rPr>
              <w:t> </w:t>
            </w:r>
            <w:r>
              <w:rPr>
                <w:rFonts w:ascii="Calibri" w:hAnsi="Calibri"/>
                <w:spacing w:val="-2"/>
                <w:sz w:val="20"/>
              </w:rPr>
              <w:t>disagree;</w:t>
            </w:r>
          </w:p>
        </w:tc>
      </w:tr>
    </w:tbl>
    <w:p>
      <w:pPr>
        <w:pStyle w:val="BodyText"/>
        <w:spacing w:before="235"/>
        <w:rPr>
          <w:b/>
          <w:sz w:val="22"/>
        </w:rPr>
      </w:pPr>
    </w:p>
    <w:p>
      <w:pPr>
        <w:spacing w:before="1"/>
        <w:ind w:left="400" w:right="0" w:firstLine="0"/>
        <w:jc w:val="left"/>
        <w:rPr>
          <w:b/>
          <w:sz w:val="22"/>
        </w:rPr>
      </w:pPr>
      <w:r>
        <w:rPr>
          <w:b/>
          <w:sz w:val="22"/>
        </w:rPr>
        <w:t>Questions</w:t>
      </w:r>
      <w:r>
        <w:rPr>
          <w:b/>
          <w:spacing w:val="-5"/>
          <w:sz w:val="22"/>
        </w:rPr>
        <w:t> </w:t>
      </w:r>
      <w:r>
        <w:rPr>
          <w:b/>
          <w:sz w:val="22"/>
        </w:rPr>
        <w:t>related</w:t>
      </w:r>
      <w:r>
        <w:rPr>
          <w:b/>
          <w:spacing w:val="-8"/>
          <w:sz w:val="22"/>
        </w:rPr>
        <w:t> </w:t>
      </w:r>
      <w:r>
        <w:rPr>
          <w:b/>
          <w:sz w:val="22"/>
        </w:rPr>
        <w:t>to</w:t>
      </w:r>
      <w:r>
        <w:rPr>
          <w:b/>
          <w:spacing w:val="-5"/>
          <w:sz w:val="22"/>
        </w:rPr>
        <w:t> </w:t>
      </w:r>
      <w:r>
        <w:rPr>
          <w:b/>
          <w:sz w:val="22"/>
        </w:rPr>
        <w:t>Competitive</w:t>
      </w:r>
      <w:r>
        <w:rPr>
          <w:b/>
          <w:spacing w:val="-4"/>
          <w:sz w:val="22"/>
        </w:rPr>
        <w:t> </w:t>
      </w:r>
      <w:r>
        <w:rPr>
          <w:b/>
          <w:spacing w:val="-2"/>
          <w:sz w:val="22"/>
        </w:rPr>
        <w:t>Advantage</w:t>
      </w:r>
    </w:p>
    <w:p>
      <w:pPr>
        <w:spacing w:line="256" w:lineRule="auto" w:before="176"/>
        <w:ind w:left="400" w:right="1427" w:firstLine="0"/>
        <w:jc w:val="left"/>
        <w:rPr>
          <w:sz w:val="22"/>
        </w:rPr>
      </w:pPr>
      <w:r>
        <w:rPr>
          <w:sz w:val="22"/>
        </w:rPr>
        <w:t>(10) On</w:t>
      </w:r>
      <w:r>
        <w:rPr>
          <w:spacing w:val="-4"/>
          <w:sz w:val="22"/>
        </w:rPr>
        <w:t> </w:t>
      </w:r>
      <w:r>
        <w:rPr>
          <w:sz w:val="22"/>
        </w:rPr>
        <w:t>the</w:t>
      </w:r>
      <w:r>
        <w:rPr>
          <w:spacing w:val="-3"/>
          <w:sz w:val="22"/>
        </w:rPr>
        <w:t> </w:t>
      </w:r>
      <w:r>
        <w:rPr>
          <w:sz w:val="22"/>
        </w:rPr>
        <w:t>scale</w:t>
      </w:r>
      <w:r>
        <w:rPr>
          <w:spacing w:val="-3"/>
          <w:sz w:val="22"/>
        </w:rPr>
        <w:t> </w:t>
      </w:r>
      <w:r>
        <w:rPr>
          <w:sz w:val="22"/>
        </w:rPr>
        <w:t>of 1</w:t>
      </w:r>
      <w:r>
        <w:rPr>
          <w:spacing w:val="-4"/>
          <w:sz w:val="22"/>
        </w:rPr>
        <w:t> </w:t>
      </w:r>
      <w:r>
        <w:rPr>
          <w:sz w:val="22"/>
        </w:rPr>
        <w:t>(Don’t</w:t>
      </w:r>
      <w:r>
        <w:rPr>
          <w:spacing w:val="-3"/>
          <w:sz w:val="22"/>
        </w:rPr>
        <w:t> </w:t>
      </w:r>
      <w:r>
        <w:rPr>
          <w:sz w:val="22"/>
        </w:rPr>
        <w:t>Know</w:t>
      </w:r>
      <w:r>
        <w:rPr>
          <w:spacing w:val="-5"/>
          <w:sz w:val="22"/>
        </w:rPr>
        <w:t> </w:t>
      </w:r>
      <w:r>
        <w:rPr>
          <w:sz w:val="22"/>
        </w:rPr>
        <w:t>[DN]) –</w:t>
      </w:r>
      <w:r>
        <w:rPr>
          <w:spacing w:val="-4"/>
          <w:sz w:val="22"/>
        </w:rPr>
        <w:t> </w:t>
      </w:r>
      <w:r>
        <w:rPr>
          <w:sz w:val="22"/>
        </w:rPr>
        <w:t>5</w:t>
      </w:r>
      <w:r>
        <w:rPr>
          <w:spacing w:val="-1"/>
          <w:sz w:val="22"/>
        </w:rPr>
        <w:t> </w:t>
      </w:r>
      <w:r>
        <w:rPr>
          <w:sz w:val="22"/>
        </w:rPr>
        <w:t>(Strongly</w:t>
      </w:r>
      <w:r>
        <w:rPr>
          <w:spacing w:val="-4"/>
          <w:sz w:val="22"/>
        </w:rPr>
        <w:t> </w:t>
      </w:r>
      <w:r>
        <w:rPr>
          <w:sz w:val="22"/>
        </w:rPr>
        <w:t>Agree</w:t>
      </w:r>
      <w:r>
        <w:rPr>
          <w:spacing w:val="-1"/>
          <w:sz w:val="22"/>
        </w:rPr>
        <w:t> </w:t>
      </w:r>
      <w:r>
        <w:rPr>
          <w:sz w:val="22"/>
        </w:rPr>
        <w:t>[SA]),</w:t>
      </w:r>
      <w:r>
        <w:rPr>
          <w:spacing w:val="-1"/>
          <w:sz w:val="22"/>
        </w:rPr>
        <w:t> </w:t>
      </w:r>
      <w:r>
        <w:rPr>
          <w:sz w:val="22"/>
        </w:rPr>
        <w:t>rate</w:t>
      </w:r>
      <w:r>
        <w:rPr>
          <w:spacing w:val="-1"/>
          <w:sz w:val="22"/>
        </w:rPr>
        <w:t> </w:t>
      </w:r>
      <w:r>
        <w:rPr>
          <w:sz w:val="22"/>
        </w:rPr>
        <w:t>what will happen</w:t>
      </w:r>
      <w:r>
        <w:rPr>
          <w:spacing w:val="-1"/>
          <w:sz w:val="22"/>
        </w:rPr>
        <w:t> </w:t>
      </w:r>
      <w:r>
        <w:rPr>
          <w:sz w:val="22"/>
        </w:rPr>
        <w:t>when</w:t>
      </w:r>
      <w:r>
        <w:rPr>
          <w:spacing w:val="-4"/>
          <w:sz w:val="22"/>
        </w:rPr>
        <w:t> </w:t>
      </w:r>
      <w:r>
        <w:rPr>
          <w:sz w:val="22"/>
        </w:rPr>
        <w:t>TQM is implemented in your company (please tick appropriately).</w:t>
      </w:r>
    </w:p>
    <w:p>
      <w:pPr>
        <w:pStyle w:val="BodyText"/>
        <w:spacing w:before="9" w:after="1"/>
        <w:rPr>
          <w:sz w:val="14"/>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6480"/>
        <w:gridCol w:w="497"/>
        <w:gridCol w:w="449"/>
        <w:gridCol w:w="499"/>
        <w:gridCol w:w="446"/>
        <w:gridCol w:w="535"/>
      </w:tblGrid>
      <w:tr>
        <w:trPr>
          <w:trHeight w:val="537" w:hRule="atLeast"/>
        </w:trPr>
        <w:tc>
          <w:tcPr>
            <w:tcW w:w="444" w:type="dxa"/>
          </w:tcPr>
          <w:p>
            <w:pPr>
              <w:pStyle w:val="TableParagraph"/>
              <w:rPr>
                <w:sz w:val="20"/>
              </w:rPr>
            </w:pPr>
          </w:p>
        </w:tc>
        <w:tc>
          <w:tcPr>
            <w:tcW w:w="6480" w:type="dxa"/>
          </w:tcPr>
          <w:p>
            <w:pPr>
              <w:pStyle w:val="TableParagraph"/>
              <w:spacing w:line="265" w:lineRule="exact"/>
              <w:ind w:left="11"/>
              <w:jc w:val="center"/>
              <w:rPr>
                <w:rFonts w:ascii="Calibri"/>
                <w:b/>
                <w:sz w:val="22"/>
              </w:rPr>
            </w:pPr>
            <w:r>
              <w:rPr>
                <w:rFonts w:ascii="Calibri"/>
                <w:b/>
                <w:spacing w:val="-2"/>
                <w:sz w:val="22"/>
              </w:rPr>
              <w:t>PROFITABILITY</w:t>
            </w:r>
          </w:p>
          <w:p>
            <w:pPr>
              <w:pStyle w:val="TableParagraph"/>
              <w:spacing w:line="252" w:lineRule="exact"/>
              <w:ind w:left="107"/>
              <w:rPr>
                <w:rFonts w:ascii="Calibri"/>
                <w:b/>
                <w:sz w:val="22"/>
              </w:rPr>
            </w:pPr>
            <w:r>
              <w:rPr>
                <w:rFonts w:ascii="Calibri"/>
                <w:b/>
                <w:spacing w:val="-2"/>
                <w:sz w:val="22"/>
                <w:u w:val="single"/>
              </w:rPr>
              <w:t>Price</w:t>
            </w:r>
          </w:p>
        </w:tc>
        <w:tc>
          <w:tcPr>
            <w:tcW w:w="497" w:type="dxa"/>
          </w:tcPr>
          <w:p>
            <w:pPr>
              <w:pStyle w:val="TableParagraph"/>
              <w:spacing w:line="265" w:lineRule="exact"/>
              <w:ind w:left="107"/>
              <w:rPr>
                <w:rFonts w:ascii="Calibri"/>
                <w:b/>
                <w:sz w:val="22"/>
              </w:rPr>
            </w:pPr>
            <w:r>
              <w:rPr>
                <w:rFonts w:ascii="Calibri"/>
                <w:b/>
                <w:spacing w:val="-5"/>
                <w:sz w:val="22"/>
              </w:rPr>
              <w:t>SA</w:t>
            </w:r>
          </w:p>
          <w:p>
            <w:pPr>
              <w:pStyle w:val="TableParagraph"/>
              <w:spacing w:line="252" w:lineRule="exact"/>
              <w:ind w:left="107"/>
              <w:rPr>
                <w:rFonts w:ascii="Calibri"/>
                <w:b/>
                <w:sz w:val="22"/>
              </w:rPr>
            </w:pPr>
            <w:r>
              <w:rPr>
                <w:rFonts w:ascii="Calibri"/>
                <w:b/>
                <w:spacing w:val="-10"/>
                <w:sz w:val="22"/>
              </w:rPr>
              <w:t>5</w:t>
            </w:r>
          </w:p>
        </w:tc>
        <w:tc>
          <w:tcPr>
            <w:tcW w:w="449" w:type="dxa"/>
          </w:tcPr>
          <w:p>
            <w:pPr>
              <w:pStyle w:val="TableParagraph"/>
              <w:spacing w:line="265" w:lineRule="exact"/>
              <w:ind w:left="107"/>
              <w:rPr>
                <w:rFonts w:ascii="Calibri"/>
                <w:b/>
                <w:sz w:val="22"/>
              </w:rPr>
            </w:pPr>
            <w:r>
              <w:rPr>
                <w:rFonts w:ascii="Calibri"/>
                <w:b/>
                <w:spacing w:val="-10"/>
                <w:sz w:val="22"/>
              </w:rPr>
              <w:t>A</w:t>
            </w:r>
          </w:p>
          <w:p>
            <w:pPr>
              <w:pStyle w:val="TableParagraph"/>
              <w:spacing w:line="252" w:lineRule="exact"/>
              <w:ind w:left="107"/>
              <w:rPr>
                <w:rFonts w:ascii="Calibri"/>
                <w:b/>
                <w:sz w:val="22"/>
              </w:rPr>
            </w:pPr>
            <w:r>
              <w:rPr>
                <w:rFonts w:ascii="Calibri"/>
                <w:b/>
                <w:spacing w:val="-10"/>
                <w:sz w:val="22"/>
              </w:rPr>
              <w:t>4</w:t>
            </w:r>
          </w:p>
        </w:tc>
        <w:tc>
          <w:tcPr>
            <w:tcW w:w="499" w:type="dxa"/>
          </w:tcPr>
          <w:p>
            <w:pPr>
              <w:pStyle w:val="TableParagraph"/>
              <w:spacing w:line="265" w:lineRule="exact"/>
              <w:ind w:left="107"/>
              <w:rPr>
                <w:rFonts w:ascii="Calibri"/>
                <w:b/>
                <w:sz w:val="22"/>
              </w:rPr>
            </w:pPr>
            <w:r>
              <w:rPr>
                <w:rFonts w:ascii="Calibri"/>
                <w:b/>
                <w:spacing w:val="-5"/>
                <w:sz w:val="22"/>
              </w:rPr>
              <w:t>DN</w:t>
            </w:r>
          </w:p>
          <w:p>
            <w:pPr>
              <w:pStyle w:val="TableParagraph"/>
              <w:spacing w:line="252" w:lineRule="exact"/>
              <w:ind w:left="107"/>
              <w:rPr>
                <w:rFonts w:ascii="Calibri"/>
                <w:b/>
                <w:sz w:val="22"/>
              </w:rPr>
            </w:pPr>
            <w:r>
              <w:rPr>
                <w:rFonts w:ascii="Calibri"/>
                <w:b/>
                <w:spacing w:val="-10"/>
                <w:sz w:val="22"/>
              </w:rPr>
              <w:t>3</w:t>
            </w:r>
          </w:p>
        </w:tc>
        <w:tc>
          <w:tcPr>
            <w:tcW w:w="446" w:type="dxa"/>
          </w:tcPr>
          <w:p>
            <w:pPr>
              <w:pStyle w:val="TableParagraph"/>
              <w:spacing w:line="265" w:lineRule="exact"/>
              <w:ind w:left="107"/>
              <w:rPr>
                <w:rFonts w:ascii="Calibri"/>
                <w:b/>
                <w:sz w:val="22"/>
              </w:rPr>
            </w:pPr>
            <w:r>
              <w:rPr>
                <w:rFonts w:ascii="Calibri"/>
                <w:b/>
                <w:spacing w:val="-10"/>
                <w:sz w:val="22"/>
              </w:rPr>
              <w:t>D</w:t>
            </w:r>
          </w:p>
          <w:p>
            <w:pPr>
              <w:pStyle w:val="TableParagraph"/>
              <w:spacing w:line="252" w:lineRule="exact"/>
              <w:ind w:left="107"/>
              <w:rPr>
                <w:rFonts w:ascii="Calibri"/>
                <w:b/>
                <w:sz w:val="22"/>
              </w:rPr>
            </w:pPr>
            <w:r>
              <w:rPr>
                <w:rFonts w:ascii="Calibri"/>
                <w:b/>
                <w:spacing w:val="-10"/>
                <w:sz w:val="22"/>
              </w:rPr>
              <w:t>2</w:t>
            </w:r>
          </w:p>
        </w:tc>
        <w:tc>
          <w:tcPr>
            <w:tcW w:w="535" w:type="dxa"/>
          </w:tcPr>
          <w:p>
            <w:pPr>
              <w:pStyle w:val="TableParagraph"/>
              <w:spacing w:line="265" w:lineRule="exact"/>
              <w:ind w:left="108"/>
              <w:rPr>
                <w:rFonts w:ascii="Calibri"/>
                <w:b/>
                <w:sz w:val="22"/>
              </w:rPr>
            </w:pPr>
            <w:r>
              <w:rPr>
                <w:rFonts w:ascii="Calibri"/>
                <w:b/>
                <w:spacing w:val="-5"/>
                <w:sz w:val="22"/>
              </w:rPr>
              <w:t>SD</w:t>
            </w:r>
          </w:p>
          <w:p>
            <w:pPr>
              <w:pStyle w:val="TableParagraph"/>
              <w:spacing w:line="252" w:lineRule="exact"/>
              <w:ind w:left="108"/>
              <w:rPr>
                <w:rFonts w:ascii="Calibri"/>
                <w:b/>
                <w:sz w:val="22"/>
              </w:rPr>
            </w:pPr>
            <w:r>
              <w:rPr>
                <w:rFonts w:ascii="Calibri"/>
                <w:b/>
                <w:spacing w:val="-10"/>
                <w:sz w:val="22"/>
              </w:rPr>
              <w:t>1</w:t>
            </w: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1</w:t>
            </w:r>
          </w:p>
        </w:tc>
        <w:tc>
          <w:tcPr>
            <w:tcW w:w="6480" w:type="dxa"/>
          </w:tcPr>
          <w:p>
            <w:pPr>
              <w:pStyle w:val="TableParagraph"/>
              <w:spacing w:line="248" w:lineRule="exact"/>
              <w:ind w:left="107"/>
              <w:rPr>
                <w:rFonts w:ascii="Calibri"/>
                <w:sz w:val="22"/>
              </w:rPr>
            </w:pPr>
            <w:r>
              <w:rPr>
                <w:rFonts w:ascii="Calibri"/>
                <w:sz w:val="22"/>
              </w:rPr>
              <w:t>Financial</w:t>
            </w:r>
            <w:r>
              <w:rPr>
                <w:rFonts w:ascii="Calibri"/>
                <w:spacing w:val="-5"/>
                <w:sz w:val="22"/>
              </w:rPr>
              <w:t> </w:t>
            </w:r>
            <w:r>
              <w:rPr>
                <w:rFonts w:ascii="Calibri"/>
                <w:sz w:val="22"/>
              </w:rPr>
              <w:t>performance</w:t>
            </w:r>
            <w:r>
              <w:rPr>
                <w:rFonts w:ascii="Calibri"/>
                <w:spacing w:val="-5"/>
                <w:sz w:val="22"/>
              </w:rPr>
              <w:t> </w:t>
            </w:r>
            <w:r>
              <w:rPr>
                <w:rFonts w:ascii="Calibri"/>
                <w:sz w:val="22"/>
              </w:rPr>
              <w:t>will</w:t>
            </w:r>
            <w:r>
              <w:rPr>
                <w:rFonts w:ascii="Calibri"/>
                <w:spacing w:val="-7"/>
                <w:sz w:val="22"/>
              </w:rPr>
              <w:t> </w:t>
            </w:r>
            <w:r>
              <w:rPr>
                <w:rFonts w:ascii="Calibri"/>
                <w:sz w:val="22"/>
              </w:rPr>
              <w:t>be</w:t>
            </w:r>
            <w:r>
              <w:rPr>
                <w:rFonts w:ascii="Calibri"/>
                <w:spacing w:val="-3"/>
                <w:sz w:val="22"/>
              </w:rPr>
              <w:t> </w:t>
            </w:r>
            <w:r>
              <w:rPr>
                <w:rFonts w:ascii="Calibri"/>
                <w:spacing w:val="-2"/>
                <w:sz w:val="22"/>
              </w:rPr>
              <w:t>outstanding</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2</w:t>
            </w:r>
          </w:p>
        </w:tc>
        <w:tc>
          <w:tcPr>
            <w:tcW w:w="6480" w:type="dxa"/>
          </w:tcPr>
          <w:p>
            <w:pPr>
              <w:pStyle w:val="TableParagraph"/>
              <w:spacing w:line="248" w:lineRule="exact"/>
              <w:ind w:left="107"/>
              <w:rPr>
                <w:rFonts w:ascii="Calibri"/>
                <w:sz w:val="22"/>
              </w:rPr>
            </w:pPr>
            <w:r>
              <w:rPr>
                <w:rFonts w:ascii="Calibri"/>
                <w:sz w:val="22"/>
              </w:rPr>
              <w:t>Revenue</w:t>
            </w:r>
            <w:r>
              <w:rPr>
                <w:rFonts w:ascii="Calibri"/>
                <w:spacing w:val="-3"/>
                <w:sz w:val="22"/>
              </w:rPr>
              <w:t> </w:t>
            </w:r>
            <w:r>
              <w:rPr>
                <w:rFonts w:ascii="Calibri"/>
                <w:sz w:val="22"/>
              </w:rPr>
              <w:t>(sales)</w:t>
            </w:r>
            <w:r>
              <w:rPr>
                <w:rFonts w:ascii="Calibri"/>
                <w:spacing w:val="-3"/>
                <w:sz w:val="22"/>
              </w:rPr>
              <w:t> </w:t>
            </w:r>
            <w:r>
              <w:rPr>
                <w:rFonts w:ascii="Calibri"/>
                <w:sz w:val="22"/>
              </w:rPr>
              <w:t>growth</w:t>
            </w:r>
            <w:r>
              <w:rPr>
                <w:rFonts w:ascii="Calibri"/>
                <w:spacing w:val="-4"/>
                <w:sz w:val="22"/>
              </w:rPr>
              <w:t> </w:t>
            </w:r>
            <w:r>
              <w:rPr>
                <w:rFonts w:ascii="Calibri"/>
                <w:sz w:val="22"/>
              </w:rPr>
              <w:t>will</w:t>
            </w:r>
            <w:r>
              <w:rPr>
                <w:rFonts w:ascii="Calibri"/>
                <w:spacing w:val="-6"/>
                <w:sz w:val="22"/>
              </w:rPr>
              <w:t> </w:t>
            </w:r>
            <w:r>
              <w:rPr>
                <w:rFonts w:ascii="Calibri"/>
                <w:sz w:val="22"/>
              </w:rPr>
              <w:t>be</w:t>
            </w:r>
            <w:r>
              <w:rPr>
                <w:rFonts w:ascii="Calibri"/>
                <w:spacing w:val="-2"/>
                <w:sz w:val="22"/>
              </w:rPr>
              <w:t> outstanding</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3</w:t>
            </w:r>
          </w:p>
        </w:tc>
        <w:tc>
          <w:tcPr>
            <w:tcW w:w="6480" w:type="dxa"/>
          </w:tcPr>
          <w:p>
            <w:pPr>
              <w:pStyle w:val="TableParagraph"/>
              <w:spacing w:line="248" w:lineRule="exact"/>
              <w:ind w:left="107"/>
              <w:rPr>
                <w:rFonts w:ascii="Calibri"/>
                <w:sz w:val="22"/>
              </w:rPr>
            </w:pPr>
            <w:r>
              <w:rPr>
                <w:rFonts w:ascii="Calibri"/>
                <w:sz w:val="22"/>
              </w:rPr>
              <w:t>Financial</w:t>
            </w:r>
            <w:r>
              <w:rPr>
                <w:rFonts w:ascii="Calibri"/>
                <w:spacing w:val="-5"/>
                <w:sz w:val="22"/>
              </w:rPr>
              <w:t> </w:t>
            </w:r>
            <w:r>
              <w:rPr>
                <w:rFonts w:ascii="Calibri"/>
                <w:sz w:val="22"/>
              </w:rPr>
              <w:t>performance</w:t>
            </w:r>
            <w:r>
              <w:rPr>
                <w:rFonts w:ascii="Calibri"/>
                <w:spacing w:val="-6"/>
                <w:sz w:val="22"/>
              </w:rPr>
              <w:t> </w:t>
            </w:r>
            <w:r>
              <w:rPr>
                <w:rFonts w:ascii="Calibri"/>
                <w:sz w:val="22"/>
              </w:rPr>
              <w:t>will</w:t>
            </w:r>
            <w:r>
              <w:rPr>
                <w:rFonts w:ascii="Calibri"/>
                <w:spacing w:val="-7"/>
                <w:sz w:val="22"/>
              </w:rPr>
              <w:t> </w:t>
            </w:r>
            <w:r>
              <w:rPr>
                <w:rFonts w:ascii="Calibri"/>
                <w:sz w:val="22"/>
              </w:rPr>
              <w:t>exceed</w:t>
            </w:r>
            <w:r>
              <w:rPr>
                <w:rFonts w:ascii="Calibri"/>
                <w:spacing w:val="-5"/>
                <w:sz w:val="22"/>
              </w:rPr>
              <w:t> </w:t>
            </w:r>
            <w:r>
              <w:rPr>
                <w:rFonts w:ascii="Calibri"/>
                <w:spacing w:val="-2"/>
                <w:sz w:val="22"/>
              </w:rPr>
              <w:t>competitors</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4</w:t>
            </w:r>
          </w:p>
        </w:tc>
        <w:tc>
          <w:tcPr>
            <w:tcW w:w="6480" w:type="dxa"/>
          </w:tcPr>
          <w:p>
            <w:pPr>
              <w:pStyle w:val="TableParagraph"/>
              <w:spacing w:line="248" w:lineRule="exact"/>
              <w:ind w:left="107"/>
              <w:rPr>
                <w:rFonts w:ascii="Calibri"/>
                <w:sz w:val="22"/>
              </w:rPr>
            </w:pPr>
            <w:r>
              <w:rPr>
                <w:rFonts w:ascii="Calibri"/>
                <w:sz w:val="22"/>
              </w:rPr>
              <w:t>Revenue</w:t>
            </w:r>
            <w:r>
              <w:rPr>
                <w:rFonts w:ascii="Calibri"/>
                <w:spacing w:val="-4"/>
                <w:sz w:val="22"/>
              </w:rPr>
              <w:t> </w:t>
            </w:r>
            <w:r>
              <w:rPr>
                <w:rFonts w:ascii="Calibri"/>
                <w:sz w:val="22"/>
              </w:rPr>
              <w:t>growth</w:t>
            </w:r>
            <w:r>
              <w:rPr>
                <w:rFonts w:ascii="Calibri"/>
                <w:spacing w:val="-6"/>
                <w:sz w:val="22"/>
              </w:rPr>
              <w:t> </w:t>
            </w:r>
            <w:r>
              <w:rPr>
                <w:rFonts w:ascii="Calibri"/>
                <w:sz w:val="22"/>
              </w:rPr>
              <w:t>will</w:t>
            </w:r>
            <w:r>
              <w:rPr>
                <w:rFonts w:ascii="Calibri"/>
                <w:spacing w:val="-5"/>
                <w:sz w:val="22"/>
              </w:rPr>
              <w:t> </w:t>
            </w:r>
            <w:r>
              <w:rPr>
                <w:rFonts w:ascii="Calibri"/>
                <w:sz w:val="22"/>
              </w:rPr>
              <w:t>exceed</w:t>
            </w:r>
            <w:r>
              <w:rPr>
                <w:rFonts w:ascii="Calibri"/>
                <w:spacing w:val="-4"/>
                <w:sz w:val="22"/>
              </w:rPr>
              <w:t> </w:t>
            </w:r>
            <w:r>
              <w:rPr>
                <w:rFonts w:ascii="Calibri"/>
                <w:spacing w:val="-2"/>
                <w:sz w:val="22"/>
              </w:rPr>
              <w:t>competitors</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9350" w:type="dxa"/>
            <w:gridSpan w:val="7"/>
          </w:tcPr>
          <w:p>
            <w:pPr>
              <w:pStyle w:val="TableParagraph"/>
              <w:spacing w:line="248" w:lineRule="exact"/>
              <w:ind w:left="551"/>
              <w:rPr>
                <w:rFonts w:ascii="Calibri"/>
                <w:b/>
                <w:sz w:val="22"/>
              </w:rPr>
            </w:pPr>
            <w:r>
              <w:rPr>
                <w:rFonts w:ascii="Calibri"/>
                <w:b/>
                <w:sz w:val="22"/>
                <w:u w:val="single"/>
              </w:rPr>
              <w:t>Market</w:t>
            </w:r>
            <w:r>
              <w:rPr>
                <w:rFonts w:ascii="Calibri"/>
                <w:b/>
                <w:spacing w:val="-4"/>
                <w:sz w:val="22"/>
                <w:u w:val="single"/>
              </w:rPr>
              <w:t> </w:t>
            </w:r>
            <w:r>
              <w:rPr>
                <w:rFonts w:ascii="Calibri"/>
                <w:b/>
                <w:spacing w:val="-2"/>
                <w:sz w:val="22"/>
                <w:u w:val="single"/>
              </w:rPr>
              <w:t>share</w:t>
            </w: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5</w:t>
            </w:r>
          </w:p>
        </w:tc>
        <w:tc>
          <w:tcPr>
            <w:tcW w:w="6480" w:type="dxa"/>
          </w:tcPr>
          <w:p>
            <w:pPr>
              <w:pStyle w:val="TableParagraph"/>
              <w:spacing w:line="248" w:lineRule="exact"/>
              <w:ind w:left="107"/>
              <w:rPr>
                <w:rFonts w:ascii="Calibri" w:hAnsi="Calibri"/>
                <w:sz w:val="22"/>
              </w:rPr>
            </w:pPr>
            <w:r>
              <w:rPr>
                <w:rFonts w:ascii="Calibri" w:hAnsi="Calibri"/>
                <w:sz w:val="22"/>
              </w:rPr>
              <w:t>Firm’s</w:t>
            </w:r>
            <w:r>
              <w:rPr>
                <w:rFonts w:ascii="Calibri" w:hAnsi="Calibri"/>
                <w:spacing w:val="-5"/>
                <w:sz w:val="22"/>
              </w:rPr>
              <w:t> </w:t>
            </w:r>
            <w:r>
              <w:rPr>
                <w:rFonts w:ascii="Calibri" w:hAnsi="Calibri"/>
                <w:sz w:val="22"/>
              </w:rPr>
              <w:t>market</w:t>
            </w:r>
            <w:r>
              <w:rPr>
                <w:rFonts w:ascii="Calibri" w:hAnsi="Calibri"/>
                <w:spacing w:val="-5"/>
                <w:sz w:val="22"/>
              </w:rPr>
              <w:t> </w:t>
            </w:r>
            <w:r>
              <w:rPr>
                <w:rFonts w:ascii="Calibri" w:hAnsi="Calibri"/>
                <w:sz w:val="22"/>
              </w:rPr>
              <w:t>share</w:t>
            </w:r>
            <w:r>
              <w:rPr>
                <w:rFonts w:ascii="Calibri" w:hAnsi="Calibri"/>
                <w:spacing w:val="-2"/>
                <w:sz w:val="22"/>
              </w:rPr>
              <w:t> </w:t>
            </w:r>
            <w:r>
              <w:rPr>
                <w:rFonts w:ascii="Calibri" w:hAnsi="Calibri"/>
                <w:sz w:val="22"/>
              </w:rPr>
              <w:t>improve</w:t>
            </w:r>
            <w:r>
              <w:rPr>
                <w:rFonts w:ascii="Calibri" w:hAnsi="Calibri"/>
                <w:spacing w:val="-5"/>
                <w:sz w:val="22"/>
              </w:rPr>
              <w:t> </w:t>
            </w:r>
            <w:r>
              <w:rPr>
                <w:rFonts w:ascii="Calibri" w:hAnsi="Calibri"/>
                <w:sz w:val="22"/>
              </w:rPr>
              <w:t>on</w:t>
            </w:r>
            <w:r>
              <w:rPr>
                <w:rFonts w:ascii="Calibri" w:hAnsi="Calibri"/>
                <w:spacing w:val="-4"/>
                <w:sz w:val="22"/>
              </w:rPr>
              <w:t> </w:t>
            </w:r>
            <w:r>
              <w:rPr>
                <w:rFonts w:ascii="Calibri" w:hAnsi="Calibri"/>
                <w:sz w:val="22"/>
              </w:rPr>
              <w:t>implementation</w:t>
            </w:r>
            <w:r>
              <w:rPr>
                <w:rFonts w:ascii="Calibri" w:hAnsi="Calibri"/>
                <w:spacing w:val="-6"/>
                <w:sz w:val="22"/>
              </w:rPr>
              <w:t> </w:t>
            </w:r>
            <w:r>
              <w:rPr>
                <w:rFonts w:ascii="Calibri" w:hAnsi="Calibri"/>
                <w:sz w:val="22"/>
              </w:rPr>
              <w:t>of</w:t>
            </w:r>
            <w:r>
              <w:rPr>
                <w:rFonts w:ascii="Calibri" w:hAnsi="Calibri"/>
                <w:spacing w:val="-5"/>
                <w:sz w:val="22"/>
              </w:rPr>
              <w:t> TQM</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6</w:t>
            </w:r>
          </w:p>
        </w:tc>
        <w:tc>
          <w:tcPr>
            <w:tcW w:w="6480" w:type="dxa"/>
          </w:tcPr>
          <w:p>
            <w:pPr>
              <w:pStyle w:val="TableParagraph"/>
              <w:spacing w:line="248" w:lineRule="exact"/>
              <w:ind w:left="107"/>
              <w:rPr>
                <w:rFonts w:ascii="Calibri"/>
                <w:sz w:val="22"/>
              </w:rPr>
            </w:pPr>
            <w:r>
              <w:rPr>
                <w:rFonts w:ascii="Calibri"/>
                <w:sz w:val="22"/>
              </w:rPr>
              <w:t>Market</w:t>
            </w:r>
            <w:r>
              <w:rPr>
                <w:rFonts w:ascii="Calibri"/>
                <w:spacing w:val="-6"/>
                <w:sz w:val="22"/>
              </w:rPr>
              <w:t> </w:t>
            </w:r>
            <w:r>
              <w:rPr>
                <w:rFonts w:ascii="Calibri"/>
                <w:sz w:val="22"/>
              </w:rPr>
              <w:t>share</w:t>
            </w:r>
            <w:r>
              <w:rPr>
                <w:rFonts w:ascii="Calibri"/>
                <w:spacing w:val="-3"/>
                <w:sz w:val="22"/>
              </w:rPr>
              <w:t> </w:t>
            </w:r>
            <w:r>
              <w:rPr>
                <w:rFonts w:ascii="Calibri"/>
                <w:sz w:val="22"/>
              </w:rPr>
              <w:t>will</w:t>
            </w:r>
            <w:r>
              <w:rPr>
                <w:rFonts w:ascii="Calibri"/>
                <w:spacing w:val="-4"/>
                <w:sz w:val="22"/>
              </w:rPr>
              <w:t> </w:t>
            </w:r>
            <w:r>
              <w:rPr>
                <w:rFonts w:ascii="Calibri"/>
                <w:sz w:val="22"/>
              </w:rPr>
              <w:t>be</w:t>
            </w:r>
            <w:r>
              <w:rPr>
                <w:rFonts w:ascii="Calibri"/>
                <w:spacing w:val="-3"/>
                <w:sz w:val="22"/>
              </w:rPr>
              <w:t> </w:t>
            </w:r>
            <w:r>
              <w:rPr>
                <w:rFonts w:ascii="Calibri"/>
                <w:sz w:val="22"/>
              </w:rPr>
              <w:t>higher</w:t>
            </w:r>
            <w:r>
              <w:rPr>
                <w:rFonts w:ascii="Calibri"/>
                <w:spacing w:val="-6"/>
                <w:sz w:val="22"/>
              </w:rPr>
              <w:t> </w:t>
            </w:r>
            <w:r>
              <w:rPr>
                <w:rFonts w:ascii="Calibri"/>
                <w:sz w:val="22"/>
              </w:rPr>
              <w:t>than</w:t>
            </w:r>
            <w:r>
              <w:rPr>
                <w:rFonts w:ascii="Calibri"/>
                <w:spacing w:val="-4"/>
                <w:sz w:val="22"/>
              </w:rPr>
              <w:t> </w:t>
            </w:r>
            <w:r>
              <w:rPr>
                <w:rFonts w:ascii="Calibri"/>
                <w:sz w:val="22"/>
              </w:rPr>
              <w:t>competitors</w:t>
            </w:r>
            <w:r>
              <w:rPr>
                <w:rFonts w:ascii="Calibri"/>
                <w:spacing w:val="-4"/>
                <w:sz w:val="22"/>
              </w:rPr>
              <w:t> </w:t>
            </w:r>
            <w:r>
              <w:rPr>
                <w:rFonts w:ascii="Calibri"/>
                <w:sz w:val="22"/>
              </w:rPr>
              <w:t>after</w:t>
            </w:r>
            <w:r>
              <w:rPr>
                <w:rFonts w:ascii="Calibri"/>
                <w:spacing w:val="-4"/>
                <w:sz w:val="22"/>
              </w:rPr>
              <w:t> </w:t>
            </w:r>
            <w:r>
              <w:rPr>
                <w:rFonts w:ascii="Calibri"/>
                <w:spacing w:val="-2"/>
                <w:sz w:val="22"/>
              </w:rPr>
              <w:t>implementation</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7</w:t>
            </w:r>
          </w:p>
        </w:tc>
        <w:tc>
          <w:tcPr>
            <w:tcW w:w="6480" w:type="dxa"/>
          </w:tcPr>
          <w:p>
            <w:pPr>
              <w:pStyle w:val="TableParagraph"/>
              <w:spacing w:line="248" w:lineRule="exact"/>
              <w:ind w:left="107"/>
              <w:rPr>
                <w:rFonts w:ascii="Calibri"/>
                <w:sz w:val="22"/>
              </w:rPr>
            </w:pPr>
            <w:r>
              <w:rPr>
                <w:rFonts w:ascii="Calibri"/>
                <w:sz w:val="22"/>
              </w:rPr>
              <w:t>Volume</w:t>
            </w:r>
            <w:r>
              <w:rPr>
                <w:rFonts w:ascii="Calibri"/>
                <w:spacing w:val="-5"/>
                <w:sz w:val="22"/>
              </w:rPr>
              <w:t> </w:t>
            </w:r>
            <w:r>
              <w:rPr>
                <w:rFonts w:ascii="Calibri"/>
                <w:sz w:val="22"/>
              </w:rPr>
              <w:t>of</w:t>
            </w:r>
            <w:r>
              <w:rPr>
                <w:rFonts w:ascii="Calibri"/>
                <w:spacing w:val="-2"/>
                <w:sz w:val="22"/>
              </w:rPr>
              <w:t> </w:t>
            </w:r>
            <w:r>
              <w:rPr>
                <w:rFonts w:ascii="Calibri"/>
                <w:sz w:val="22"/>
              </w:rPr>
              <w:t>sales</w:t>
            </w:r>
            <w:r>
              <w:rPr>
                <w:rFonts w:ascii="Calibri"/>
                <w:spacing w:val="-2"/>
                <w:sz w:val="22"/>
              </w:rPr>
              <w:t> </w:t>
            </w:r>
            <w:r>
              <w:rPr>
                <w:rFonts w:ascii="Calibri"/>
                <w:sz w:val="22"/>
              </w:rPr>
              <w:t>will</w:t>
            </w:r>
            <w:r>
              <w:rPr>
                <w:rFonts w:ascii="Calibri"/>
                <w:spacing w:val="-2"/>
                <w:sz w:val="22"/>
              </w:rPr>
              <w:t> increase</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8</w:t>
            </w:r>
          </w:p>
        </w:tc>
        <w:tc>
          <w:tcPr>
            <w:tcW w:w="6480" w:type="dxa"/>
          </w:tcPr>
          <w:p>
            <w:pPr>
              <w:pStyle w:val="TableParagraph"/>
              <w:spacing w:line="248" w:lineRule="exact"/>
              <w:ind w:left="107"/>
              <w:rPr>
                <w:rFonts w:ascii="Calibri"/>
                <w:sz w:val="22"/>
              </w:rPr>
            </w:pPr>
            <w:r>
              <w:rPr>
                <w:rFonts w:ascii="Calibri"/>
                <w:sz w:val="22"/>
              </w:rPr>
              <w:t>Customers</w:t>
            </w:r>
            <w:r>
              <w:rPr>
                <w:rFonts w:ascii="Calibri"/>
                <w:spacing w:val="-5"/>
                <w:sz w:val="22"/>
              </w:rPr>
              <w:t> </w:t>
            </w:r>
            <w:r>
              <w:rPr>
                <w:rFonts w:ascii="Calibri"/>
                <w:sz w:val="22"/>
              </w:rPr>
              <w:t>are</w:t>
            </w:r>
            <w:r>
              <w:rPr>
                <w:rFonts w:ascii="Calibri"/>
                <w:spacing w:val="-5"/>
                <w:sz w:val="22"/>
              </w:rPr>
              <w:t> </w:t>
            </w:r>
            <w:r>
              <w:rPr>
                <w:rFonts w:ascii="Calibri"/>
                <w:sz w:val="22"/>
              </w:rPr>
              <w:t>more</w:t>
            </w:r>
            <w:r>
              <w:rPr>
                <w:rFonts w:ascii="Calibri"/>
                <w:spacing w:val="-4"/>
                <w:sz w:val="22"/>
              </w:rPr>
              <w:t> </w:t>
            </w:r>
            <w:r>
              <w:rPr>
                <w:rFonts w:ascii="Calibri"/>
                <w:sz w:val="22"/>
              </w:rPr>
              <w:t>satisfied</w:t>
            </w:r>
            <w:r>
              <w:rPr>
                <w:rFonts w:ascii="Calibri"/>
                <w:spacing w:val="-4"/>
                <w:sz w:val="22"/>
              </w:rPr>
              <w:t> </w:t>
            </w:r>
            <w:r>
              <w:rPr>
                <w:rFonts w:ascii="Calibri"/>
                <w:sz w:val="22"/>
              </w:rPr>
              <w:t>with</w:t>
            </w:r>
            <w:r>
              <w:rPr>
                <w:rFonts w:ascii="Calibri"/>
                <w:spacing w:val="-6"/>
                <w:sz w:val="22"/>
              </w:rPr>
              <w:t> </w:t>
            </w:r>
            <w:r>
              <w:rPr>
                <w:rFonts w:ascii="Calibri"/>
                <w:sz w:val="22"/>
              </w:rPr>
              <w:t>the</w:t>
            </w:r>
            <w:r>
              <w:rPr>
                <w:rFonts w:ascii="Calibri"/>
                <w:spacing w:val="-1"/>
                <w:sz w:val="22"/>
              </w:rPr>
              <w:t> </w:t>
            </w:r>
            <w:r>
              <w:rPr>
                <w:rFonts w:ascii="Calibri"/>
                <w:spacing w:val="-2"/>
                <w:sz w:val="22"/>
              </w:rPr>
              <w:t>products</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right="111"/>
              <w:jc w:val="center"/>
              <w:rPr>
                <w:rFonts w:ascii="Calibri"/>
                <w:sz w:val="22"/>
              </w:rPr>
            </w:pPr>
            <w:r>
              <w:rPr>
                <w:rFonts w:ascii="Calibri"/>
                <w:spacing w:val="-10"/>
                <w:sz w:val="22"/>
              </w:rPr>
              <w:t>9</w:t>
            </w:r>
          </w:p>
        </w:tc>
        <w:tc>
          <w:tcPr>
            <w:tcW w:w="6480" w:type="dxa"/>
          </w:tcPr>
          <w:p>
            <w:pPr>
              <w:pStyle w:val="TableParagraph"/>
              <w:spacing w:line="248" w:lineRule="exact"/>
              <w:ind w:left="107"/>
              <w:rPr>
                <w:rFonts w:ascii="Calibri"/>
                <w:sz w:val="22"/>
              </w:rPr>
            </w:pPr>
            <w:r>
              <w:rPr>
                <w:rFonts w:ascii="Calibri"/>
                <w:sz w:val="22"/>
              </w:rPr>
              <w:t>Share</w:t>
            </w:r>
            <w:r>
              <w:rPr>
                <w:rFonts w:ascii="Calibri"/>
                <w:spacing w:val="-2"/>
                <w:sz w:val="22"/>
              </w:rPr>
              <w:t> </w:t>
            </w:r>
            <w:r>
              <w:rPr>
                <w:rFonts w:ascii="Calibri"/>
                <w:sz w:val="22"/>
              </w:rPr>
              <w:t>of</w:t>
            </w:r>
            <w:r>
              <w:rPr>
                <w:rFonts w:ascii="Calibri"/>
                <w:spacing w:val="-3"/>
                <w:sz w:val="22"/>
              </w:rPr>
              <w:t> </w:t>
            </w:r>
            <w:r>
              <w:rPr>
                <w:rFonts w:ascii="Calibri"/>
                <w:sz w:val="22"/>
              </w:rPr>
              <w:t>distribution</w:t>
            </w:r>
            <w:r>
              <w:rPr>
                <w:rFonts w:ascii="Calibri"/>
                <w:spacing w:val="-4"/>
                <w:sz w:val="22"/>
              </w:rPr>
              <w:t> </w:t>
            </w:r>
            <w:r>
              <w:rPr>
                <w:rFonts w:ascii="Calibri"/>
                <w:sz w:val="22"/>
              </w:rPr>
              <w:t>is</w:t>
            </w:r>
            <w:r>
              <w:rPr>
                <w:rFonts w:ascii="Calibri"/>
                <w:spacing w:val="-8"/>
                <w:sz w:val="22"/>
              </w:rPr>
              <w:t> </w:t>
            </w:r>
            <w:r>
              <w:rPr>
                <w:rFonts w:ascii="Calibri"/>
                <w:sz w:val="22"/>
              </w:rPr>
              <w:t>more</w:t>
            </w:r>
            <w:r>
              <w:rPr>
                <w:rFonts w:ascii="Calibri"/>
                <w:spacing w:val="-2"/>
                <w:sz w:val="22"/>
              </w:rPr>
              <w:t> </w:t>
            </w:r>
            <w:r>
              <w:rPr>
                <w:rFonts w:ascii="Calibri"/>
                <w:sz w:val="22"/>
              </w:rPr>
              <w:t>than</w:t>
            </w:r>
            <w:r>
              <w:rPr>
                <w:rFonts w:ascii="Calibri"/>
                <w:spacing w:val="-4"/>
                <w:sz w:val="22"/>
              </w:rPr>
              <w:t> </w:t>
            </w:r>
            <w:r>
              <w:rPr>
                <w:rFonts w:ascii="Calibri"/>
                <w:sz w:val="22"/>
              </w:rPr>
              <w:t>the</w:t>
            </w:r>
            <w:r>
              <w:rPr>
                <w:rFonts w:ascii="Calibri"/>
                <w:spacing w:val="-1"/>
                <w:sz w:val="22"/>
              </w:rPr>
              <w:t> </w:t>
            </w:r>
            <w:r>
              <w:rPr>
                <w:rFonts w:ascii="Calibri"/>
                <w:spacing w:val="-2"/>
                <w:sz w:val="22"/>
              </w:rPr>
              <w:t>competitors</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jc w:val="center"/>
              <w:rPr>
                <w:rFonts w:ascii="Calibri"/>
                <w:sz w:val="22"/>
              </w:rPr>
            </w:pPr>
            <w:r>
              <w:rPr>
                <w:rFonts w:ascii="Calibri"/>
                <w:spacing w:val="-5"/>
                <w:sz w:val="22"/>
              </w:rPr>
              <w:t>10</w:t>
            </w:r>
          </w:p>
        </w:tc>
        <w:tc>
          <w:tcPr>
            <w:tcW w:w="6480" w:type="dxa"/>
          </w:tcPr>
          <w:p>
            <w:pPr>
              <w:pStyle w:val="TableParagraph"/>
              <w:spacing w:line="248" w:lineRule="exact"/>
              <w:ind w:left="107"/>
              <w:rPr>
                <w:rFonts w:ascii="Calibri"/>
                <w:sz w:val="22"/>
              </w:rPr>
            </w:pPr>
            <w:r>
              <w:rPr>
                <w:rFonts w:ascii="Calibri"/>
                <w:sz w:val="22"/>
              </w:rPr>
              <w:t>Enter</w:t>
            </w:r>
            <w:r>
              <w:rPr>
                <w:rFonts w:ascii="Calibri"/>
                <w:spacing w:val="-4"/>
                <w:sz w:val="22"/>
              </w:rPr>
              <w:t> </w:t>
            </w:r>
            <w:r>
              <w:rPr>
                <w:rFonts w:ascii="Calibri"/>
                <w:sz w:val="22"/>
              </w:rPr>
              <w:t>new</w:t>
            </w:r>
            <w:r>
              <w:rPr>
                <w:rFonts w:ascii="Calibri"/>
                <w:spacing w:val="-5"/>
                <w:sz w:val="22"/>
              </w:rPr>
              <w:t> </w:t>
            </w:r>
            <w:r>
              <w:rPr>
                <w:rFonts w:ascii="Calibri"/>
                <w:sz w:val="22"/>
              </w:rPr>
              <w:t>Market,</w:t>
            </w:r>
            <w:r>
              <w:rPr>
                <w:rFonts w:ascii="Calibri"/>
                <w:spacing w:val="-3"/>
                <w:sz w:val="22"/>
              </w:rPr>
              <w:t> </w:t>
            </w:r>
            <w:r>
              <w:rPr>
                <w:rFonts w:ascii="Calibri"/>
                <w:sz w:val="22"/>
              </w:rPr>
              <w:t>improve</w:t>
            </w:r>
            <w:r>
              <w:rPr>
                <w:rFonts w:ascii="Calibri"/>
                <w:spacing w:val="-2"/>
                <w:sz w:val="22"/>
              </w:rPr>
              <w:t> </w:t>
            </w:r>
            <w:r>
              <w:rPr>
                <w:rFonts w:ascii="Calibri"/>
                <w:sz w:val="22"/>
              </w:rPr>
              <w:t>image</w:t>
            </w:r>
            <w:r>
              <w:rPr>
                <w:rFonts w:ascii="Calibri"/>
                <w:spacing w:val="-5"/>
                <w:sz w:val="22"/>
              </w:rPr>
              <w:t> </w:t>
            </w:r>
            <w:r>
              <w:rPr>
                <w:rFonts w:ascii="Calibri"/>
                <w:sz w:val="22"/>
              </w:rPr>
              <w:t>of</w:t>
            </w:r>
            <w:r>
              <w:rPr>
                <w:rFonts w:ascii="Calibri"/>
                <w:spacing w:val="-3"/>
                <w:sz w:val="22"/>
              </w:rPr>
              <w:t> </w:t>
            </w:r>
            <w:r>
              <w:rPr>
                <w:rFonts w:ascii="Calibri"/>
                <w:sz w:val="22"/>
              </w:rPr>
              <w:t>your</w:t>
            </w:r>
            <w:r>
              <w:rPr>
                <w:rFonts w:ascii="Calibri"/>
                <w:spacing w:val="-3"/>
                <w:sz w:val="22"/>
              </w:rPr>
              <w:t> </w:t>
            </w:r>
            <w:r>
              <w:rPr>
                <w:rFonts w:ascii="Calibri"/>
                <w:spacing w:val="-2"/>
                <w:sz w:val="22"/>
              </w:rPr>
              <w:t>company</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9350" w:type="dxa"/>
            <w:gridSpan w:val="7"/>
          </w:tcPr>
          <w:p>
            <w:pPr>
              <w:pStyle w:val="TableParagraph"/>
              <w:spacing w:line="248" w:lineRule="exact"/>
              <w:ind w:left="551"/>
              <w:rPr>
                <w:rFonts w:ascii="Calibri"/>
                <w:b/>
                <w:sz w:val="22"/>
              </w:rPr>
            </w:pPr>
            <w:r>
              <w:rPr>
                <w:rFonts w:ascii="Calibri"/>
                <w:b/>
                <w:sz w:val="22"/>
                <w:u w:val="single"/>
              </w:rPr>
              <w:t>Quality</w:t>
            </w:r>
            <w:r>
              <w:rPr>
                <w:rFonts w:ascii="Calibri"/>
                <w:b/>
                <w:spacing w:val="-6"/>
                <w:sz w:val="22"/>
                <w:u w:val="single"/>
              </w:rPr>
              <w:t> </w:t>
            </w:r>
            <w:r>
              <w:rPr>
                <w:rFonts w:ascii="Calibri"/>
                <w:b/>
                <w:sz w:val="22"/>
                <w:u w:val="single"/>
              </w:rPr>
              <w:t>Service</w:t>
            </w:r>
            <w:r>
              <w:rPr>
                <w:rFonts w:ascii="Calibri"/>
                <w:b/>
                <w:spacing w:val="-7"/>
                <w:sz w:val="22"/>
                <w:u w:val="single"/>
              </w:rPr>
              <w:t> </w:t>
            </w:r>
            <w:r>
              <w:rPr>
                <w:rFonts w:ascii="Calibri"/>
                <w:b/>
                <w:sz w:val="22"/>
                <w:u w:val="single"/>
              </w:rPr>
              <w:t>(Product</w:t>
            </w:r>
            <w:r>
              <w:rPr>
                <w:rFonts w:ascii="Calibri"/>
                <w:b/>
                <w:spacing w:val="-4"/>
                <w:sz w:val="22"/>
                <w:u w:val="single"/>
              </w:rPr>
              <w:t> </w:t>
            </w:r>
            <w:r>
              <w:rPr>
                <w:rFonts w:ascii="Calibri"/>
                <w:b/>
                <w:spacing w:val="-2"/>
                <w:sz w:val="22"/>
                <w:u w:val="single"/>
              </w:rPr>
              <w:t>Quality)</w:t>
            </w:r>
          </w:p>
        </w:tc>
      </w:tr>
      <w:tr>
        <w:trPr>
          <w:trHeight w:val="270" w:hRule="atLeast"/>
        </w:trPr>
        <w:tc>
          <w:tcPr>
            <w:tcW w:w="444" w:type="dxa"/>
          </w:tcPr>
          <w:p>
            <w:pPr>
              <w:pStyle w:val="TableParagraph"/>
              <w:spacing w:line="251" w:lineRule="exact"/>
              <w:ind w:left="7"/>
              <w:jc w:val="center"/>
              <w:rPr>
                <w:rFonts w:ascii="Calibri"/>
                <w:sz w:val="22"/>
              </w:rPr>
            </w:pPr>
            <w:r>
              <w:rPr>
                <w:rFonts w:ascii="Calibri"/>
                <w:spacing w:val="-5"/>
                <w:sz w:val="22"/>
              </w:rPr>
              <w:t>10</w:t>
            </w:r>
          </w:p>
        </w:tc>
        <w:tc>
          <w:tcPr>
            <w:tcW w:w="6480" w:type="dxa"/>
          </w:tcPr>
          <w:p>
            <w:pPr>
              <w:pStyle w:val="TableParagraph"/>
              <w:spacing w:line="251" w:lineRule="exact"/>
              <w:ind w:left="107"/>
              <w:rPr>
                <w:rFonts w:ascii="Calibri"/>
                <w:sz w:val="22"/>
              </w:rPr>
            </w:pPr>
            <w:r>
              <w:rPr>
                <w:rFonts w:ascii="Calibri"/>
                <w:sz w:val="22"/>
              </w:rPr>
              <w:t>Demand</w:t>
            </w:r>
            <w:r>
              <w:rPr>
                <w:rFonts w:ascii="Calibri"/>
                <w:spacing w:val="-5"/>
                <w:sz w:val="22"/>
              </w:rPr>
              <w:t> </w:t>
            </w:r>
            <w:r>
              <w:rPr>
                <w:rFonts w:ascii="Calibri"/>
                <w:sz w:val="22"/>
              </w:rPr>
              <w:t>for</w:t>
            </w:r>
            <w:r>
              <w:rPr>
                <w:rFonts w:ascii="Calibri"/>
                <w:spacing w:val="-3"/>
                <w:sz w:val="22"/>
              </w:rPr>
              <w:t> </w:t>
            </w:r>
            <w:r>
              <w:rPr>
                <w:rFonts w:ascii="Calibri"/>
                <w:sz w:val="22"/>
              </w:rPr>
              <w:t>the</w:t>
            </w:r>
            <w:r>
              <w:rPr>
                <w:rFonts w:ascii="Calibri"/>
                <w:spacing w:val="-5"/>
                <w:sz w:val="22"/>
              </w:rPr>
              <w:t> </w:t>
            </w:r>
            <w:r>
              <w:rPr>
                <w:rFonts w:ascii="Calibri"/>
                <w:sz w:val="22"/>
              </w:rPr>
              <w:t>product</w:t>
            </w:r>
            <w:r>
              <w:rPr>
                <w:rFonts w:ascii="Calibri"/>
                <w:spacing w:val="-4"/>
                <w:sz w:val="22"/>
              </w:rPr>
              <w:t> </w:t>
            </w:r>
            <w:r>
              <w:rPr>
                <w:rFonts w:ascii="Calibri"/>
                <w:sz w:val="22"/>
              </w:rPr>
              <w:t>will</w:t>
            </w:r>
            <w:r>
              <w:rPr>
                <w:rFonts w:ascii="Calibri"/>
                <w:spacing w:val="-4"/>
                <w:sz w:val="22"/>
              </w:rPr>
              <w:t> </w:t>
            </w:r>
            <w:r>
              <w:rPr>
                <w:rFonts w:ascii="Calibri"/>
                <w:sz w:val="22"/>
              </w:rPr>
              <w:t>increase</w:t>
            </w:r>
            <w:r>
              <w:rPr>
                <w:rFonts w:ascii="Calibri"/>
                <w:spacing w:val="-4"/>
                <w:sz w:val="22"/>
              </w:rPr>
              <w:t> </w:t>
            </w:r>
            <w:r>
              <w:rPr>
                <w:rFonts w:ascii="Calibri"/>
                <w:spacing w:val="-2"/>
                <w:sz w:val="22"/>
              </w:rPr>
              <w:t>rapidly</w:t>
            </w:r>
          </w:p>
        </w:tc>
        <w:tc>
          <w:tcPr>
            <w:tcW w:w="497" w:type="dxa"/>
          </w:tcPr>
          <w:p>
            <w:pPr>
              <w:pStyle w:val="TableParagraph"/>
              <w:rPr>
                <w:sz w:val="20"/>
              </w:rPr>
            </w:pPr>
          </w:p>
        </w:tc>
        <w:tc>
          <w:tcPr>
            <w:tcW w:w="449" w:type="dxa"/>
          </w:tcPr>
          <w:p>
            <w:pPr>
              <w:pStyle w:val="TableParagraph"/>
              <w:rPr>
                <w:sz w:val="20"/>
              </w:rPr>
            </w:pPr>
          </w:p>
        </w:tc>
        <w:tc>
          <w:tcPr>
            <w:tcW w:w="499" w:type="dxa"/>
          </w:tcPr>
          <w:p>
            <w:pPr>
              <w:pStyle w:val="TableParagraph"/>
              <w:rPr>
                <w:sz w:val="20"/>
              </w:rPr>
            </w:pPr>
          </w:p>
        </w:tc>
        <w:tc>
          <w:tcPr>
            <w:tcW w:w="446" w:type="dxa"/>
          </w:tcPr>
          <w:p>
            <w:pPr>
              <w:pStyle w:val="TableParagraph"/>
              <w:rPr>
                <w:sz w:val="20"/>
              </w:rPr>
            </w:pPr>
          </w:p>
        </w:tc>
        <w:tc>
          <w:tcPr>
            <w:tcW w:w="535" w:type="dxa"/>
          </w:tcPr>
          <w:p>
            <w:pPr>
              <w:pStyle w:val="TableParagraph"/>
              <w:rPr>
                <w:sz w:val="20"/>
              </w:rPr>
            </w:pPr>
          </w:p>
        </w:tc>
      </w:tr>
      <w:tr>
        <w:trPr>
          <w:trHeight w:val="268" w:hRule="atLeast"/>
        </w:trPr>
        <w:tc>
          <w:tcPr>
            <w:tcW w:w="444" w:type="dxa"/>
          </w:tcPr>
          <w:p>
            <w:pPr>
              <w:pStyle w:val="TableParagraph"/>
              <w:spacing w:line="248" w:lineRule="exact"/>
              <w:ind w:left="7"/>
              <w:jc w:val="center"/>
              <w:rPr>
                <w:rFonts w:ascii="Calibri"/>
                <w:sz w:val="22"/>
              </w:rPr>
            </w:pPr>
            <w:r>
              <w:rPr>
                <w:rFonts w:ascii="Calibri"/>
                <w:spacing w:val="-5"/>
                <w:sz w:val="22"/>
              </w:rPr>
              <w:t>11</w:t>
            </w:r>
          </w:p>
        </w:tc>
        <w:tc>
          <w:tcPr>
            <w:tcW w:w="6480" w:type="dxa"/>
          </w:tcPr>
          <w:p>
            <w:pPr>
              <w:pStyle w:val="TableParagraph"/>
              <w:spacing w:line="248" w:lineRule="exact"/>
              <w:ind w:left="107"/>
              <w:rPr>
                <w:rFonts w:ascii="Calibri" w:hAnsi="Calibri"/>
                <w:sz w:val="22"/>
              </w:rPr>
            </w:pPr>
            <w:r>
              <w:rPr>
                <w:rFonts w:ascii="Calibri" w:hAnsi="Calibri"/>
                <w:sz w:val="22"/>
              </w:rPr>
              <w:t>Firm’s</w:t>
            </w:r>
            <w:r>
              <w:rPr>
                <w:rFonts w:ascii="Calibri" w:hAnsi="Calibri"/>
                <w:spacing w:val="-5"/>
                <w:sz w:val="22"/>
              </w:rPr>
              <w:t> </w:t>
            </w:r>
            <w:r>
              <w:rPr>
                <w:rFonts w:ascii="Calibri" w:hAnsi="Calibri"/>
                <w:sz w:val="22"/>
              </w:rPr>
              <w:t>level</w:t>
            </w:r>
            <w:r>
              <w:rPr>
                <w:rFonts w:ascii="Calibri" w:hAnsi="Calibri"/>
                <w:spacing w:val="-3"/>
                <w:sz w:val="22"/>
              </w:rPr>
              <w:t> </w:t>
            </w:r>
            <w:r>
              <w:rPr>
                <w:rFonts w:ascii="Calibri" w:hAnsi="Calibri"/>
                <w:sz w:val="22"/>
              </w:rPr>
              <w:t>of</w:t>
            </w:r>
            <w:r>
              <w:rPr>
                <w:rFonts w:ascii="Calibri" w:hAnsi="Calibri"/>
                <w:spacing w:val="-5"/>
                <w:sz w:val="22"/>
              </w:rPr>
              <w:t> </w:t>
            </w:r>
            <w:r>
              <w:rPr>
                <w:rFonts w:ascii="Calibri" w:hAnsi="Calibri"/>
                <w:sz w:val="22"/>
              </w:rPr>
              <w:t>product</w:t>
            </w:r>
            <w:r>
              <w:rPr>
                <w:rFonts w:ascii="Calibri" w:hAnsi="Calibri"/>
                <w:spacing w:val="-5"/>
                <w:sz w:val="22"/>
              </w:rPr>
              <w:t> </w:t>
            </w:r>
            <w:r>
              <w:rPr>
                <w:rFonts w:ascii="Calibri" w:hAnsi="Calibri"/>
                <w:sz w:val="22"/>
              </w:rPr>
              <w:t>quality</w:t>
            </w:r>
            <w:r>
              <w:rPr>
                <w:rFonts w:ascii="Calibri" w:hAnsi="Calibri"/>
                <w:spacing w:val="-2"/>
                <w:sz w:val="22"/>
              </w:rPr>
              <w:t> </w:t>
            </w:r>
            <w:r>
              <w:rPr>
                <w:rFonts w:ascii="Calibri" w:hAnsi="Calibri"/>
                <w:sz w:val="22"/>
              </w:rPr>
              <w:t>is</w:t>
            </w:r>
            <w:r>
              <w:rPr>
                <w:rFonts w:ascii="Calibri" w:hAnsi="Calibri"/>
                <w:spacing w:val="-3"/>
                <w:sz w:val="22"/>
              </w:rPr>
              <w:t> </w:t>
            </w:r>
            <w:r>
              <w:rPr>
                <w:rFonts w:ascii="Calibri" w:hAnsi="Calibri"/>
                <w:sz w:val="22"/>
              </w:rPr>
              <w:t>higher</w:t>
            </w:r>
            <w:r>
              <w:rPr>
                <w:rFonts w:ascii="Calibri" w:hAnsi="Calibri"/>
                <w:spacing w:val="-5"/>
                <w:sz w:val="22"/>
              </w:rPr>
              <w:t> </w:t>
            </w:r>
            <w:r>
              <w:rPr>
                <w:rFonts w:ascii="Calibri" w:hAnsi="Calibri"/>
                <w:sz w:val="22"/>
              </w:rPr>
              <w:t>compared</w:t>
            </w:r>
            <w:r>
              <w:rPr>
                <w:rFonts w:ascii="Calibri" w:hAnsi="Calibri"/>
                <w:spacing w:val="-4"/>
                <w:sz w:val="22"/>
              </w:rPr>
              <w:t> </w:t>
            </w:r>
            <w:r>
              <w:rPr>
                <w:rFonts w:ascii="Calibri" w:hAnsi="Calibri"/>
                <w:sz w:val="22"/>
              </w:rPr>
              <w:t>with</w:t>
            </w:r>
            <w:r>
              <w:rPr>
                <w:rFonts w:ascii="Calibri" w:hAnsi="Calibri"/>
                <w:spacing w:val="-5"/>
                <w:sz w:val="22"/>
              </w:rPr>
              <w:t> </w:t>
            </w:r>
            <w:r>
              <w:rPr>
                <w:rFonts w:ascii="Calibri" w:hAnsi="Calibri"/>
                <w:spacing w:val="-2"/>
                <w:sz w:val="22"/>
              </w:rPr>
              <w:t>competitors’</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537" w:hRule="atLeast"/>
        </w:trPr>
        <w:tc>
          <w:tcPr>
            <w:tcW w:w="444" w:type="dxa"/>
          </w:tcPr>
          <w:p>
            <w:pPr>
              <w:pStyle w:val="TableParagraph"/>
              <w:spacing w:line="265" w:lineRule="exact"/>
              <w:ind w:left="7"/>
              <w:jc w:val="center"/>
              <w:rPr>
                <w:rFonts w:ascii="Calibri"/>
                <w:sz w:val="22"/>
              </w:rPr>
            </w:pPr>
            <w:r>
              <w:rPr>
                <w:rFonts w:ascii="Calibri"/>
                <w:spacing w:val="-5"/>
                <w:sz w:val="22"/>
              </w:rPr>
              <w:t>12</w:t>
            </w:r>
          </w:p>
        </w:tc>
        <w:tc>
          <w:tcPr>
            <w:tcW w:w="6480" w:type="dxa"/>
          </w:tcPr>
          <w:p>
            <w:pPr>
              <w:pStyle w:val="TableParagraph"/>
              <w:spacing w:line="265" w:lineRule="exact"/>
              <w:ind w:left="107"/>
              <w:rPr>
                <w:rFonts w:ascii="Calibri"/>
                <w:sz w:val="22"/>
              </w:rPr>
            </w:pPr>
            <w:r>
              <w:rPr>
                <w:rFonts w:ascii="Calibri"/>
                <w:sz w:val="22"/>
              </w:rPr>
              <w:t>Competition</w:t>
            </w:r>
            <w:r>
              <w:rPr>
                <w:rFonts w:ascii="Calibri"/>
                <w:spacing w:val="-7"/>
                <w:sz w:val="22"/>
              </w:rPr>
              <w:t> </w:t>
            </w:r>
            <w:r>
              <w:rPr>
                <w:rFonts w:ascii="Calibri"/>
                <w:sz w:val="22"/>
              </w:rPr>
              <w:t>will</w:t>
            </w:r>
            <w:r>
              <w:rPr>
                <w:rFonts w:ascii="Calibri"/>
                <w:spacing w:val="-3"/>
                <w:sz w:val="22"/>
              </w:rPr>
              <w:t> </w:t>
            </w:r>
            <w:r>
              <w:rPr>
                <w:rFonts w:ascii="Calibri"/>
                <w:sz w:val="22"/>
              </w:rPr>
              <w:t>be</w:t>
            </w:r>
            <w:r>
              <w:rPr>
                <w:rFonts w:ascii="Calibri"/>
                <w:spacing w:val="-2"/>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product</w:t>
            </w:r>
            <w:r>
              <w:rPr>
                <w:rFonts w:ascii="Calibri"/>
                <w:spacing w:val="-5"/>
                <w:sz w:val="22"/>
              </w:rPr>
              <w:t> </w:t>
            </w:r>
            <w:r>
              <w:rPr>
                <w:rFonts w:ascii="Calibri"/>
                <w:sz w:val="22"/>
              </w:rPr>
              <w:t>or</w:t>
            </w:r>
            <w:r>
              <w:rPr>
                <w:rFonts w:ascii="Calibri"/>
                <w:spacing w:val="-5"/>
                <w:sz w:val="22"/>
              </w:rPr>
              <w:t> </w:t>
            </w:r>
            <w:r>
              <w:rPr>
                <w:rFonts w:ascii="Calibri"/>
                <w:sz w:val="22"/>
              </w:rPr>
              <w:t>service</w:t>
            </w:r>
            <w:r>
              <w:rPr>
                <w:rFonts w:ascii="Calibri"/>
                <w:spacing w:val="-5"/>
                <w:sz w:val="22"/>
              </w:rPr>
              <w:t> </w:t>
            </w:r>
            <w:r>
              <w:rPr>
                <w:rFonts w:ascii="Calibri"/>
                <w:sz w:val="22"/>
              </w:rPr>
              <w:t>differentiation</w:t>
            </w:r>
            <w:r>
              <w:rPr>
                <w:rFonts w:ascii="Calibri"/>
                <w:spacing w:val="-6"/>
                <w:sz w:val="22"/>
              </w:rPr>
              <w:t> </w:t>
            </w:r>
            <w:r>
              <w:rPr>
                <w:rFonts w:ascii="Calibri"/>
                <w:spacing w:val="-5"/>
                <w:sz w:val="22"/>
              </w:rPr>
              <w:t>and</w:t>
            </w:r>
          </w:p>
          <w:p>
            <w:pPr>
              <w:pStyle w:val="TableParagraph"/>
              <w:spacing w:line="252" w:lineRule="exact"/>
              <w:ind w:left="107"/>
              <w:rPr>
                <w:rFonts w:ascii="Calibri"/>
                <w:sz w:val="22"/>
              </w:rPr>
            </w:pPr>
            <w:r>
              <w:rPr>
                <w:rFonts w:ascii="Calibri"/>
                <w:sz w:val="22"/>
              </w:rPr>
              <w:t>not</w:t>
            </w:r>
            <w:r>
              <w:rPr>
                <w:rFonts w:ascii="Calibri"/>
                <w:spacing w:val="1"/>
                <w:sz w:val="22"/>
              </w:rPr>
              <w:t> </w:t>
            </w:r>
            <w:r>
              <w:rPr>
                <w:rFonts w:ascii="Calibri"/>
                <w:spacing w:val="-2"/>
                <w:sz w:val="22"/>
              </w:rPr>
              <w:t>price</w:t>
            </w:r>
          </w:p>
        </w:tc>
        <w:tc>
          <w:tcPr>
            <w:tcW w:w="497" w:type="dxa"/>
          </w:tcPr>
          <w:p>
            <w:pPr>
              <w:pStyle w:val="TableParagraph"/>
              <w:rPr>
                <w:sz w:val="20"/>
              </w:rPr>
            </w:pPr>
          </w:p>
        </w:tc>
        <w:tc>
          <w:tcPr>
            <w:tcW w:w="449" w:type="dxa"/>
          </w:tcPr>
          <w:p>
            <w:pPr>
              <w:pStyle w:val="TableParagraph"/>
              <w:rPr>
                <w:sz w:val="20"/>
              </w:rPr>
            </w:pPr>
          </w:p>
        </w:tc>
        <w:tc>
          <w:tcPr>
            <w:tcW w:w="499" w:type="dxa"/>
          </w:tcPr>
          <w:p>
            <w:pPr>
              <w:pStyle w:val="TableParagraph"/>
              <w:rPr>
                <w:sz w:val="20"/>
              </w:rPr>
            </w:pPr>
          </w:p>
        </w:tc>
        <w:tc>
          <w:tcPr>
            <w:tcW w:w="446" w:type="dxa"/>
          </w:tcPr>
          <w:p>
            <w:pPr>
              <w:pStyle w:val="TableParagraph"/>
              <w:rPr>
                <w:sz w:val="20"/>
              </w:rPr>
            </w:pPr>
          </w:p>
        </w:tc>
        <w:tc>
          <w:tcPr>
            <w:tcW w:w="535" w:type="dxa"/>
          </w:tcPr>
          <w:p>
            <w:pPr>
              <w:pStyle w:val="TableParagraph"/>
              <w:rPr>
                <w:sz w:val="20"/>
              </w:rPr>
            </w:pPr>
          </w:p>
        </w:tc>
      </w:tr>
      <w:tr>
        <w:trPr>
          <w:trHeight w:val="268" w:hRule="atLeast"/>
        </w:trPr>
        <w:tc>
          <w:tcPr>
            <w:tcW w:w="444" w:type="dxa"/>
          </w:tcPr>
          <w:p>
            <w:pPr>
              <w:pStyle w:val="TableParagraph"/>
              <w:spacing w:line="248" w:lineRule="exact"/>
              <w:ind w:left="7"/>
              <w:jc w:val="center"/>
              <w:rPr>
                <w:rFonts w:ascii="Calibri"/>
                <w:sz w:val="22"/>
              </w:rPr>
            </w:pPr>
            <w:r>
              <w:rPr>
                <w:rFonts w:ascii="Calibri"/>
                <w:spacing w:val="-5"/>
                <w:sz w:val="22"/>
              </w:rPr>
              <w:t>13</w:t>
            </w:r>
          </w:p>
        </w:tc>
        <w:tc>
          <w:tcPr>
            <w:tcW w:w="6480" w:type="dxa"/>
          </w:tcPr>
          <w:p>
            <w:pPr>
              <w:pStyle w:val="TableParagraph"/>
              <w:spacing w:line="248" w:lineRule="exact"/>
              <w:ind w:left="107"/>
              <w:rPr>
                <w:rFonts w:ascii="Calibri"/>
                <w:sz w:val="22"/>
              </w:rPr>
            </w:pPr>
            <w:r>
              <w:rPr>
                <w:rFonts w:ascii="Calibri"/>
                <w:sz w:val="22"/>
              </w:rPr>
              <w:t>Improve</w:t>
            </w:r>
            <w:r>
              <w:rPr>
                <w:rFonts w:ascii="Calibri"/>
                <w:spacing w:val="-4"/>
                <w:sz w:val="22"/>
              </w:rPr>
              <w:t> </w:t>
            </w:r>
            <w:r>
              <w:rPr>
                <w:rFonts w:ascii="Calibri"/>
                <w:sz w:val="22"/>
              </w:rPr>
              <w:t>Quality</w:t>
            </w:r>
            <w:r>
              <w:rPr>
                <w:rFonts w:ascii="Calibri"/>
                <w:spacing w:val="-4"/>
                <w:sz w:val="22"/>
              </w:rPr>
              <w:t> </w:t>
            </w:r>
            <w:r>
              <w:rPr>
                <w:rFonts w:ascii="Calibri"/>
                <w:sz w:val="22"/>
              </w:rPr>
              <w:t>of</w:t>
            </w:r>
            <w:r>
              <w:rPr>
                <w:rFonts w:ascii="Calibri"/>
                <w:spacing w:val="-3"/>
                <w:sz w:val="22"/>
              </w:rPr>
              <w:t> </w:t>
            </w:r>
            <w:r>
              <w:rPr>
                <w:rFonts w:ascii="Calibri"/>
                <w:spacing w:val="-2"/>
                <w:sz w:val="22"/>
              </w:rPr>
              <w:t>Product/Service</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268" w:hRule="atLeast"/>
        </w:trPr>
        <w:tc>
          <w:tcPr>
            <w:tcW w:w="444" w:type="dxa"/>
          </w:tcPr>
          <w:p>
            <w:pPr>
              <w:pStyle w:val="TableParagraph"/>
              <w:spacing w:line="248" w:lineRule="exact"/>
              <w:ind w:left="7"/>
              <w:jc w:val="center"/>
              <w:rPr>
                <w:rFonts w:ascii="Calibri"/>
                <w:sz w:val="22"/>
              </w:rPr>
            </w:pPr>
            <w:r>
              <w:rPr>
                <w:rFonts w:ascii="Calibri"/>
                <w:spacing w:val="-5"/>
                <w:sz w:val="22"/>
              </w:rPr>
              <w:t>14</w:t>
            </w:r>
          </w:p>
        </w:tc>
        <w:tc>
          <w:tcPr>
            <w:tcW w:w="6480" w:type="dxa"/>
          </w:tcPr>
          <w:p>
            <w:pPr>
              <w:pStyle w:val="TableParagraph"/>
              <w:spacing w:line="248" w:lineRule="exact"/>
              <w:ind w:left="107"/>
              <w:rPr>
                <w:rFonts w:ascii="Calibri"/>
                <w:sz w:val="22"/>
              </w:rPr>
            </w:pPr>
            <w:r>
              <w:rPr>
                <w:rFonts w:ascii="Calibri"/>
                <w:sz w:val="22"/>
              </w:rPr>
              <w:t>Increase</w:t>
            </w:r>
            <w:r>
              <w:rPr>
                <w:rFonts w:ascii="Calibri"/>
                <w:spacing w:val="-5"/>
                <w:sz w:val="22"/>
              </w:rPr>
              <w:t> </w:t>
            </w:r>
            <w:r>
              <w:rPr>
                <w:rFonts w:ascii="Calibri"/>
                <w:sz w:val="22"/>
              </w:rPr>
              <w:t>your</w:t>
            </w:r>
            <w:r>
              <w:rPr>
                <w:rFonts w:ascii="Calibri"/>
                <w:spacing w:val="-4"/>
                <w:sz w:val="22"/>
              </w:rPr>
              <w:t> </w:t>
            </w:r>
            <w:r>
              <w:rPr>
                <w:rFonts w:ascii="Calibri"/>
                <w:sz w:val="22"/>
              </w:rPr>
              <w:t>ability</w:t>
            </w:r>
            <w:r>
              <w:rPr>
                <w:rFonts w:ascii="Calibri"/>
                <w:spacing w:val="-3"/>
                <w:sz w:val="22"/>
              </w:rPr>
              <w:t> </w:t>
            </w:r>
            <w:r>
              <w:rPr>
                <w:rFonts w:ascii="Calibri"/>
                <w:sz w:val="22"/>
              </w:rPr>
              <w:t>to</w:t>
            </w:r>
            <w:r>
              <w:rPr>
                <w:rFonts w:ascii="Calibri"/>
                <w:spacing w:val="-3"/>
                <w:sz w:val="22"/>
              </w:rPr>
              <w:t> </w:t>
            </w:r>
            <w:r>
              <w:rPr>
                <w:rFonts w:ascii="Calibri"/>
                <w:spacing w:val="-2"/>
                <w:sz w:val="22"/>
              </w:rPr>
              <w:t>innovate</w:t>
            </w:r>
          </w:p>
        </w:tc>
        <w:tc>
          <w:tcPr>
            <w:tcW w:w="497" w:type="dxa"/>
          </w:tcPr>
          <w:p>
            <w:pPr>
              <w:pStyle w:val="TableParagraph"/>
              <w:rPr>
                <w:sz w:val="18"/>
              </w:rPr>
            </w:pPr>
          </w:p>
        </w:tc>
        <w:tc>
          <w:tcPr>
            <w:tcW w:w="449" w:type="dxa"/>
          </w:tcPr>
          <w:p>
            <w:pPr>
              <w:pStyle w:val="TableParagraph"/>
              <w:rPr>
                <w:sz w:val="18"/>
              </w:rPr>
            </w:pPr>
          </w:p>
        </w:tc>
        <w:tc>
          <w:tcPr>
            <w:tcW w:w="499" w:type="dxa"/>
          </w:tcPr>
          <w:p>
            <w:pPr>
              <w:pStyle w:val="TableParagraph"/>
              <w:rPr>
                <w:sz w:val="18"/>
              </w:rPr>
            </w:pPr>
          </w:p>
        </w:tc>
        <w:tc>
          <w:tcPr>
            <w:tcW w:w="446" w:type="dxa"/>
          </w:tcPr>
          <w:p>
            <w:pPr>
              <w:pStyle w:val="TableParagraph"/>
              <w:rPr>
                <w:sz w:val="18"/>
              </w:rPr>
            </w:pPr>
          </w:p>
        </w:tc>
        <w:tc>
          <w:tcPr>
            <w:tcW w:w="535" w:type="dxa"/>
          </w:tcPr>
          <w:p>
            <w:pPr>
              <w:pStyle w:val="TableParagraph"/>
              <w:rPr>
                <w:sz w:val="18"/>
              </w:rPr>
            </w:pPr>
          </w:p>
        </w:tc>
      </w:tr>
      <w:tr>
        <w:trPr>
          <w:trHeight w:val="484" w:hRule="atLeast"/>
        </w:trPr>
        <w:tc>
          <w:tcPr>
            <w:tcW w:w="9350" w:type="dxa"/>
            <w:gridSpan w:val="7"/>
          </w:tcPr>
          <w:p>
            <w:pPr>
              <w:pStyle w:val="TableParagraph"/>
              <w:spacing w:before="119"/>
              <w:ind w:left="107"/>
              <w:rPr>
                <w:rFonts w:ascii="Calibri" w:hAnsi="Calibri"/>
                <w:sz w:val="20"/>
              </w:rPr>
            </w:pPr>
            <w:r>
              <w:rPr>
                <w:rFonts w:ascii="Calibri" w:hAnsi="Calibri"/>
                <w:b/>
                <w:sz w:val="20"/>
              </w:rPr>
              <w:t>Note</w:t>
            </w:r>
            <w:r>
              <w:rPr>
                <w:rFonts w:ascii="Calibri" w:hAnsi="Calibri"/>
                <w:sz w:val="20"/>
              </w:rPr>
              <w:t>:</w:t>
            </w:r>
            <w:r>
              <w:rPr>
                <w:rFonts w:ascii="Calibri" w:hAnsi="Calibri"/>
                <w:spacing w:val="-6"/>
                <w:sz w:val="20"/>
              </w:rPr>
              <w:t> </w:t>
            </w:r>
            <w:r>
              <w:rPr>
                <w:rFonts w:ascii="Calibri" w:hAnsi="Calibri"/>
                <w:b/>
                <w:sz w:val="20"/>
              </w:rPr>
              <w:t>SA</w:t>
            </w:r>
            <w:r>
              <w:rPr>
                <w:rFonts w:ascii="Calibri" w:hAnsi="Calibri"/>
                <w:sz w:val="20"/>
              </w:rPr>
              <w:t>=</w:t>
            </w:r>
            <w:r>
              <w:rPr>
                <w:rFonts w:ascii="Calibri" w:hAnsi="Calibri"/>
                <w:spacing w:val="-4"/>
                <w:sz w:val="20"/>
              </w:rPr>
              <w:t> </w:t>
            </w:r>
            <w:r>
              <w:rPr>
                <w:rFonts w:ascii="Calibri" w:hAnsi="Calibri"/>
                <w:sz w:val="20"/>
              </w:rPr>
              <w:t>strongly</w:t>
            </w:r>
            <w:r>
              <w:rPr>
                <w:rFonts w:ascii="Calibri" w:hAnsi="Calibri"/>
                <w:spacing w:val="-4"/>
                <w:sz w:val="20"/>
              </w:rPr>
              <w:t> </w:t>
            </w:r>
            <w:r>
              <w:rPr>
                <w:rFonts w:ascii="Calibri" w:hAnsi="Calibri"/>
                <w:sz w:val="20"/>
              </w:rPr>
              <w:t>agree;</w:t>
            </w:r>
            <w:r>
              <w:rPr>
                <w:rFonts w:ascii="Calibri" w:hAnsi="Calibri"/>
                <w:spacing w:val="36"/>
                <w:sz w:val="20"/>
              </w:rPr>
              <w:t> </w:t>
            </w:r>
            <w:r>
              <w:rPr>
                <w:rFonts w:ascii="Calibri" w:hAnsi="Calibri"/>
                <w:b/>
                <w:sz w:val="20"/>
              </w:rPr>
              <w:t>A</w:t>
            </w:r>
            <w:r>
              <w:rPr>
                <w:rFonts w:ascii="Calibri" w:hAnsi="Calibri"/>
                <w:sz w:val="20"/>
              </w:rPr>
              <w:t>=agree;</w:t>
            </w:r>
            <w:r>
              <w:rPr>
                <w:rFonts w:ascii="Calibri" w:hAnsi="Calibri"/>
                <w:spacing w:val="38"/>
                <w:sz w:val="20"/>
              </w:rPr>
              <w:t> </w:t>
            </w:r>
            <w:r>
              <w:rPr>
                <w:rFonts w:ascii="Calibri" w:hAnsi="Calibri"/>
                <w:b/>
                <w:sz w:val="20"/>
              </w:rPr>
              <w:t>DN</w:t>
            </w:r>
            <w:r>
              <w:rPr>
                <w:rFonts w:ascii="Calibri" w:hAnsi="Calibri"/>
                <w:b/>
                <w:spacing w:val="-4"/>
                <w:sz w:val="20"/>
              </w:rPr>
              <w:t> </w:t>
            </w:r>
            <w:r>
              <w:rPr>
                <w:rFonts w:ascii="Calibri" w:hAnsi="Calibri"/>
                <w:sz w:val="20"/>
              </w:rPr>
              <w:t>=</w:t>
            </w:r>
            <w:r>
              <w:rPr>
                <w:rFonts w:ascii="Calibri" w:hAnsi="Calibri"/>
                <w:spacing w:val="-5"/>
                <w:sz w:val="20"/>
              </w:rPr>
              <w:t> </w:t>
            </w:r>
            <w:r>
              <w:rPr>
                <w:rFonts w:ascii="Calibri" w:hAnsi="Calibri"/>
                <w:sz w:val="20"/>
              </w:rPr>
              <w:t>don’t</w:t>
            </w:r>
            <w:r>
              <w:rPr>
                <w:rFonts w:ascii="Calibri" w:hAnsi="Calibri"/>
                <w:spacing w:val="-5"/>
                <w:sz w:val="20"/>
              </w:rPr>
              <w:t> </w:t>
            </w:r>
            <w:r>
              <w:rPr>
                <w:rFonts w:ascii="Calibri" w:hAnsi="Calibri"/>
                <w:sz w:val="20"/>
              </w:rPr>
              <w:t>know;</w:t>
            </w:r>
            <w:r>
              <w:rPr>
                <w:rFonts w:ascii="Calibri" w:hAnsi="Calibri"/>
                <w:spacing w:val="-6"/>
                <w:sz w:val="20"/>
              </w:rPr>
              <w:t> </w:t>
            </w:r>
            <w:r>
              <w:rPr>
                <w:rFonts w:ascii="Calibri" w:hAnsi="Calibri"/>
                <w:b/>
                <w:sz w:val="20"/>
              </w:rPr>
              <w:t>D</w:t>
            </w:r>
            <w:r>
              <w:rPr>
                <w:rFonts w:ascii="Calibri" w:hAnsi="Calibri"/>
                <w:b/>
                <w:spacing w:val="-5"/>
                <w:sz w:val="20"/>
              </w:rPr>
              <w:t> </w:t>
            </w:r>
            <w:r>
              <w:rPr>
                <w:rFonts w:ascii="Calibri" w:hAnsi="Calibri"/>
                <w:sz w:val="20"/>
              </w:rPr>
              <w:t>=</w:t>
            </w:r>
            <w:r>
              <w:rPr>
                <w:rFonts w:ascii="Calibri" w:hAnsi="Calibri"/>
                <w:spacing w:val="-4"/>
                <w:sz w:val="20"/>
              </w:rPr>
              <w:t> </w:t>
            </w:r>
            <w:r>
              <w:rPr>
                <w:rFonts w:ascii="Calibri" w:hAnsi="Calibri"/>
                <w:sz w:val="20"/>
              </w:rPr>
              <w:t>disagree</w:t>
            </w:r>
            <w:r>
              <w:rPr>
                <w:rFonts w:ascii="Calibri" w:hAnsi="Calibri"/>
                <w:spacing w:val="-5"/>
                <w:sz w:val="20"/>
              </w:rPr>
              <w:t> </w:t>
            </w:r>
            <w:r>
              <w:rPr>
                <w:rFonts w:ascii="Calibri" w:hAnsi="Calibri"/>
                <w:b/>
                <w:sz w:val="20"/>
              </w:rPr>
              <w:t>;SD</w:t>
            </w:r>
            <w:r>
              <w:rPr>
                <w:rFonts w:ascii="Calibri" w:hAnsi="Calibri"/>
                <w:b/>
                <w:spacing w:val="-4"/>
                <w:sz w:val="20"/>
              </w:rPr>
              <w:t> </w:t>
            </w:r>
            <w:r>
              <w:rPr>
                <w:rFonts w:ascii="Calibri" w:hAnsi="Calibri"/>
                <w:sz w:val="20"/>
              </w:rPr>
              <w:t>=</w:t>
            </w:r>
            <w:r>
              <w:rPr>
                <w:rFonts w:ascii="Calibri" w:hAnsi="Calibri"/>
                <w:spacing w:val="-6"/>
                <w:sz w:val="20"/>
              </w:rPr>
              <w:t> </w:t>
            </w:r>
            <w:r>
              <w:rPr>
                <w:rFonts w:ascii="Calibri" w:hAnsi="Calibri"/>
                <w:sz w:val="20"/>
              </w:rPr>
              <w:t>strongly</w:t>
            </w:r>
            <w:r>
              <w:rPr>
                <w:rFonts w:ascii="Calibri" w:hAnsi="Calibri"/>
                <w:spacing w:val="-3"/>
                <w:sz w:val="20"/>
              </w:rPr>
              <w:t> </w:t>
            </w:r>
            <w:r>
              <w:rPr>
                <w:rFonts w:ascii="Calibri" w:hAnsi="Calibri"/>
                <w:spacing w:val="-2"/>
                <w:sz w:val="20"/>
              </w:rPr>
              <w:t>disagree</w:t>
            </w:r>
          </w:p>
        </w:tc>
      </w:tr>
    </w:tbl>
    <w:p>
      <w:pPr>
        <w:pStyle w:val="ListParagraph"/>
        <w:numPr>
          <w:ilvl w:val="0"/>
          <w:numId w:val="61"/>
        </w:numPr>
        <w:tabs>
          <w:tab w:pos="1148" w:val="left" w:leader="none"/>
          <w:tab w:pos="1151" w:val="left" w:leader="none"/>
        </w:tabs>
        <w:spacing w:line="240" w:lineRule="auto" w:before="116" w:after="0"/>
        <w:ind w:left="1151" w:right="1319" w:hanging="392"/>
        <w:jc w:val="left"/>
        <w:rPr>
          <w:sz w:val="22"/>
        </w:rPr>
      </w:pPr>
      <w:r>
        <w:rPr/>
        <mc:AlternateContent>
          <mc:Choice Requires="wps">
            <w:drawing>
              <wp:anchor distT="0" distB="0" distL="0" distR="0" allowOverlap="1" layoutInCell="1" locked="0" behindDoc="1" simplePos="0" relativeHeight="487631360">
                <wp:simplePos x="0" y="0"/>
                <wp:positionH relativeFrom="page">
                  <wp:posOffset>944244</wp:posOffset>
                </wp:positionH>
                <wp:positionV relativeFrom="paragraph">
                  <wp:posOffset>403104</wp:posOffset>
                </wp:positionV>
                <wp:extent cx="5866130" cy="935355"/>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5866130" cy="935355"/>
                        </a:xfrm>
                        <a:custGeom>
                          <a:avLst/>
                          <a:gdLst/>
                          <a:ahLst/>
                          <a:cxnLst/>
                          <a:rect l="l" t="t" r="r" b="b"/>
                          <a:pathLst>
                            <a:path w="5866130" h="935355">
                              <a:moveTo>
                                <a:pt x="0" y="935354"/>
                              </a:moveTo>
                              <a:lnTo>
                                <a:pt x="5866130" y="935354"/>
                              </a:lnTo>
                              <a:lnTo>
                                <a:pt x="5866130" y="0"/>
                              </a:lnTo>
                              <a:lnTo>
                                <a:pt x="0" y="0"/>
                              </a:lnTo>
                              <a:lnTo>
                                <a:pt x="0" y="935354"/>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4.349998pt;margin-top:31.740499pt;width:461.9pt;height:73.650pt;mso-position-horizontal-relative:page;mso-position-vertical-relative:paragraph;z-index:-15685120;mso-wrap-distance-left:0;mso-wrap-distance-right:0" id="docshape293" filled="false" stroked="true" strokeweight=".75pt" strokecolor="#000000">
                <v:stroke dashstyle="solid"/>
                <w10:wrap type="topAndBottom"/>
              </v:rect>
            </w:pict>
          </mc:Fallback>
        </mc:AlternateContent>
      </w:r>
      <w:r>
        <w:rPr>
          <w:sz w:val="22"/>
        </w:rPr>
        <w:t>What suggestions would you propose to assist small and medium construction firms to improve their total quality management? </w:t>
      </w:r>
      <w:r>
        <w:rPr>
          <w:i/>
          <w:sz w:val="22"/>
        </w:rPr>
        <w:t>Please use separate sheet if necessary.</w:t>
      </w:r>
    </w:p>
    <w:p>
      <w:pPr>
        <w:spacing w:before="43"/>
        <w:ind w:left="400" w:right="0" w:firstLine="0"/>
        <w:jc w:val="left"/>
        <w:rPr>
          <w:sz w:val="22"/>
        </w:rPr>
      </w:pPr>
      <w:r>
        <w:rPr>
          <w:sz w:val="22"/>
        </w:rPr>
        <w:t>Thank</w:t>
      </w:r>
      <w:r>
        <w:rPr>
          <w:spacing w:val="-6"/>
          <w:sz w:val="22"/>
        </w:rPr>
        <w:t> </w:t>
      </w:r>
      <w:r>
        <w:rPr>
          <w:sz w:val="22"/>
        </w:rPr>
        <w:t>you</w:t>
      </w:r>
      <w:r>
        <w:rPr>
          <w:spacing w:val="-2"/>
          <w:sz w:val="22"/>
        </w:rPr>
        <w:t> </w:t>
      </w:r>
      <w:r>
        <w:rPr>
          <w:sz w:val="22"/>
        </w:rPr>
        <w:t>very</w:t>
      </w:r>
      <w:r>
        <w:rPr>
          <w:spacing w:val="-2"/>
          <w:sz w:val="22"/>
        </w:rPr>
        <w:t> </w:t>
      </w:r>
      <w:r>
        <w:rPr>
          <w:sz w:val="22"/>
        </w:rPr>
        <w:t>much</w:t>
      </w:r>
      <w:r>
        <w:rPr>
          <w:spacing w:val="-3"/>
          <w:sz w:val="22"/>
        </w:rPr>
        <w:t> </w:t>
      </w:r>
      <w:r>
        <w:rPr>
          <w:sz w:val="22"/>
        </w:rPr>
        <w:t>for</w:t>
      </w:r>
      <w:r>
        <w:rPr>
          <w:spacing w:val="-1"/>
          <w:sz w:val="22"/>
        </w:rPr>
        <w:t> </w:t>
      </w:r>
      <w:r>
        <w:rPr>
          <w:sz w:val="22"/>
        </w:rPr>
        <w:t>your</w:t>
      </w:r>
      <w:r>
        <w:rPr>
          <w:spacing w:val="-1"/>
          <w:sz w:val="22"/>
        </w:rPr>
        <w:t> </w:t>
      </w:r>
      <w:r>
        <w:rPr>
          <w:sz w:val="22"/>
        </w:rPr>
        <w:t>valuable</w:t>
      </w:r>
      <w:r>
        <w:rPr>
          <w:spacing w:val="-4"/>
          <w:sz w:val="22"/>
        </w:rPr>
        <w:t> time.</w:t>
      </w:r>
    </w:p>
    <w:p>
      <w:pPr>
        <w:spacing w:after="0"/>
        <w:jc w:val="left"/>
        <w:rPr>
          <w:sz w:val="22"/>
        </w:rPr>
        <w:sectPr>
          <w:type w:val="continuous"/>
          <w:pgSz w:w="12240" w:h="15840"/>
          <w:pgMar w:header="0" w:footer="1017" w:top="1420" w:bottom="1200" w:left="1040" w:right="120"/>
        </w:sectPr>
      </w:pPr>
    </w:p>
    <w:p>
      <w:pPr>
        <w:spacing w:before="77"/>
        <w:ind w:left="0" w:right="918" w:firstLine="0"/>
        <w:jc w:val="center"/>
        <w:rPr>
          <w:b/>
          <w:sz w:val="28"/>
        </w:rPr>
      </w:pPr>
      <w:r>
        <w:rPr>
          <w:b/>
          <w:sz w:val="28"/>
        </w:rPr>
        <w:t>APPENDIX</w:t>
      </w:r>
      <w:r>
        <w:rPr>
          <w:b/>
          <w:spacing w:val="-12"/>
          <w:sz w:val="28"/>
        </w:rPr>
        <w:t> </w:t>
      </w:r>
      <w:r>
        <w:rPr>
          <w:b/>
          <w:spacing w:val="-10"/>
          <w:sz w:val="28"/>
        </w:rPr>
        <w:t>2</w:t>
      </w:r>
    </w:p>
    <w:p>
      <w:pPr>
        <w:pStyle w:val="BodyText"/>
        <w:spacing w:before="129"/>
        <w:rPr>
          <w:b/>
          <w:sz w:val="28"/>
        </w:rPr>
      </w:pPr>
    </w:p>
    <w:p>
      <w:pPr>
        <w:pStyle w:val="Heading1"/>
        <w:ind w:right="918"/>
        <w:jc w:val="center"/>
      </w:pPr>
      <w:r>
        <w:rPr/>
        <w:t>INTERVIEW</w:t>
      </w:r>
      <w:r>
        <w:rPr>
          <w:spacing w:val="-12"/>
        </w:rPr>
        <w:t> </w:t>
      </w:r>
      <w:r>
        <w:rPr>
          <w:spacing w:val="-4"/>
        </w:rPr>
        <w:t>GUIDE</w:t>
      </w:r>
    </w:p>
    <w:p>
      <w:pPr>
        <w:pStyle w:val="BodyText"/>
        <w:spacing w:before="17"/>
        <w:rPr>
          <w:b/>
          <w:sz w:val="26"/>
        </w:rPr>
      </w:pPr>
    </w:p>
    <w:p>
      <w:pPr>
        <w:spacing w:before="1"/>
        <w:ind w:left="400" w:right="0" w:firstLine="0"/>
        <w:jc w:val="left"/>
        <w:rPr>
          <w:sz w:val="22"/>
        </w:rPr>
      </w:pPr>
      <w:r>
        <w:rPr>
          <w:sz w:val="22"/>
        </w:rPr>
        <w:t>Contact</w:t>
      </w:r>
      <w:r>
        <w:rPr>
          <w:spacing w:val="36"/>
          <w:sz w:val="22"/>
        </w:rPr>
        <w:t> </w:t>
      </w:r>
      <w:r>
        <w:rPr>
          <w:spacing w:val="-2"/>
          <w:sz w:val="22"/>
        </w:rPr>
        <w:t>person.....................................................................................................................</w:t>
      </w:r>
    </w:p>
    <w:p>
      <w:pPr>
        <w:spacing w:before="246"/>
        <w:ind w:left="400" w:right="0" w:firstLine="0"/>
        <w:jc w:val="left"/>
        <w:rPr>
          <w:sz w:val="22"/>
        </w:rPr>
      </w:pPr>
      <w:r>
        <w:rPr>
          <w:spacing w:val="-2"/>
          <w:sz w:val="22"/>
        </w:rPr>
        <w:t>Firm............................................................................................................................</w:t>
      </w:r>
    </w:p>
    <w:p>
      <w:pPr>
        <w:spacing w:before="246"/>
        <w:ind w:left="400" w:right="0" w:firstLine="0"/>
        <w:jc w:val="left"/>
        <w:rPr>
          <w:sz w:val="22"/>
        </w:rPr>
      </w:pPr>
      <w:r>
        <w:rPr>
          <w:sz w:val="22"/>
        </w:rPr>
        <w:t>Phone</w:t>
      </w:r>
      <w:r>
        <w:rPr>
          <w:spacing w:val="46"/>
          <w:sz w:val="22"/>
        </w:rPr>
        <w:t> </w:t>
      </w:r>
      <w:r>
        <w:rPr>
          <w:spacing w:val="-2"/>
          <w:sz w:val="22"/>
        </w:rPr>
        <w:t>No.............................................................................................................................</w:t>
      </w:r>
    </w:p>
    <w:p>
      <w:pPr>
        <w:pStyle w:val="BodyText"/>
        <w:rPr>
          <w:sz w:val="22"/>
        </w:rPr>
      </w:pPr>
    </w:p>
    <w:p>
      <w:pPr>
        <w:pStyle w:val="BodyText"/>
        <w:spacing w:before="31"/>
        <w:rPr>
          <w:sz w:val="22"/>
        </w:rPr>
      </w:pPr>
    </w:p>
    <w:p>
      <w:pPr>
        <w:spacing w:line="511" w:lineRule="auto" w:before="0"/>
        <w:ind w:left="399" w:right="8410" w:firstLine="0"/>
        <w:jc w:val="both"/>
        <w:rPr>
          <w:sz w:val="22"/>
        </w:rPr>
      </w:pPr>
      <w:r>
        <w:rPr>
          <w:sz w:val="22"/>
        </w:rPr>
        <w:t>To</w:t>
      </w:r>
      <w:r>
        <w:rPr>
          <w:spacing w:val="-8"/>
          <w:sz w:val="22"/>
        </w:rPr>
        <w:t> </w:t>
      </w:r>
      <w:r>
        <w:rPr>
          <w:sz w:val="22"/>
        </w:rPr>
        <w:t>whom</w:t>
      </w:r>
      <w:r>
        <w:rPr>
          <w:spacing w:val="-12"/>
          <w:sz w:val="22"/>
        </w:rPr>
        <w:t> </w:t>
      </w:r>
      <w:r>
        <w:rPr>
          <w:sz w:val="22"/>
        </w:rPr>
        <w:t>it</w:t>
      </w:r>
      <w:r>
        <w:rPr>
          <w:spacing w:val="-7"/>
          <w:sz w:val="22"/>
        </w:rPr>
        <w:t> </w:t>
      </w:r>
      <w:r>
        <w:rPr>
          <w:sz w:val="22"/>
        </w:rPr>
        <w:t>may</w:t>
      </w:r>
      <w:r>
        <w:rPr>
          <w:spacing w:val="-11"/>
          <w:sz w:val="22"/>
        </w:rPr>
        <w:t> </w:t>
      </w:r>
      <w:r>
        <w:rPr>
          <w:sz w:val="22"/>
        </w:rPr>
        <w:t>concern. </w:t>
      </w:r>
      <w:r>
        <w:rPr>
          <w:spacing w:val="-2"/>
          <w:sz w:val="22"/>
        </w:rPr>
        <w:t>Sir/madam,</w:t>
      </w:r>
    </w:p>
    <w:p>
      <w:pPr>
        <w:spacing w:line="360" w:lineRule="auto" w:before="5"/>
        <w:ind w:left="400" w:right="1315" w:hanging="1"/>
        <w:jc w:val="both"/>
        <w:rPr>
          <w:sz w:val="22"/>
        </w:rPr>
      </w:pPr>
      <w:r>
        <w:rPr>
          <w:sz w:val="22"/>
        </w:rPr>
        <w:t>My name is Alintah-Abel Uchechi .V, a PhD research candidate at Nnamdi Azikiwe University, Awka, Anambra State. I am carrying out a survey on “Development of a Total Quality Management Model for small and medium construction firms in South East Nigeria” which aims at determining the level of implementation and appraise critical success factors. This is with a view</w:t>
      </w:r>
      <w:r>
        <w:rPr>
          <w:spacing w:val="-1"/>
          <w:sz w:val="22"/>
        </w:rPr>
        <w:t> </w:t>
      </w:r>
      <w:r>
        <w:rPr>
          <w:sz w:val="22"/>
        </w:rPr>
        <w:t>to developing a model which the small and medium construction firms can adopt for competitive advantage and effective project delivery.</w:t>
      </w:r>
    </w:p>
    <w:p>
      <w:pPr>
        <w:spacing w:line="360" w:lineRule="auto" w:before="240"/>
        <w:ind w:left="400" w:right="1315" w:firstLine="0"/>
        <w:jc w:val="both"/>
        <w:rPr>
          <w:sz w:val="22"/>
        </w:rPr>
      </w:pPr>
      <w:r>
        <w:rPr>
          <w:sz w:val="22"/>
        </w:rPr>
        <w:t>The purpose of this interview is to obtain your opinion and experience on total quality management implementation in small and medium firms, challenges, critical success factors and how the challenges can be solved. The interview is estimated to last between 45 and 60 minutes. Let me assure you that the information or data obtained through this interview and any documentation from you will be treated confidentially and that no records kept will bear your institution’s name or your personal name. I would also like to seek your permission to record the interview using a tape recorder.</w:t>
      </w:r>
    </w:p>
    <w:p>
      <w:pPr>
        <w:spacing w:line="357" w:lineRule="auto" w:before="160"/>
        <w:ind w:left="400" w:right="1316" w:firstLine="0"/>
        <w:jc w:val="both"/>
        <w:rPr>
          <w:sz w:val="22"/>
        </w:rPr>
      </w:pPr>
      <w:r>
        <w:rPr>
          <w:sz w:val="22"/>
        </w:rPr>
        <w:t>The questions are about your current practices and challenges hindering implementation of Total Quality </w:t>
      </w:r>
      <w:r>
        <w:rPr>
          <w:spacing w:val="-2"/>
          <w:sz w:val="22"/>
        </w:rPr>
        <w:t>Management.</w:t>
      </w:r>
    </w:p>
    <w:p>
      <w:pPr>
        <w:pStyle w:val="ListParagraph"/>
        <w:numPr>
          <w:ilvl w:val="0"/>
          <w:numId w:val="62"/>
        </w:numPr>
        <w:tabs>
          <w:tab w:pos="1120" w:val="left" w:leader="none"/>
        </w:tabs>
        <w:spacing w:line="240" w:lineRule="auto" w:before="165" w:after="0"/>
        <w:ind w:left="1120" w:right="1315" w:hanging="360"/>
        <w:jc w:val="both"/>
        <w:rPr>
          <w:sz w:val="22"/>
        </w:rPr>
      </w:pPr>
      <w:r>
        <w:rPr>
          <w:sz w:val="22"/>
        </w:rPr>
        <w:t>What is your status and nature of unit/department responsible for the preparation and implementation of the Total Quality management?</w:t>
      </w:r>
    </w:p>
    <w:p>
      <w:pPr>
        <w:pStyle w:val="BodyText"/>
        <w:spacing w:before="42"/>
        <w:rPr>
          <w:sz w:val="22"/>
        </w:rPr>
      </w:pPr>
    </w:p>
    <w:p>
      <w:pPr>
        <w:pStyle w:val="ListParagraph"/>
        <w:numPr>
          <w:ilvl w:val="0"/>
          <w:numId w:val="62"/>
        </w:numPr>
        <w:tabs>
          <w:tab w:pos="1119" w:val="left" w:leader="none"/>
        </w:tabs>
        <w:spacing w:line="240" w:lineRule="auto" w:before="1" w:after="0"/>
        <w:ind w:left="1119" w:right="0" w:hanging="359"/>
        <w:jc w:val="left"/>
        <w:rPr>
          <w:sz w:val="22"/>
        </w:rPr>
      </w:pPr>
      <w:r>
        <w:rPr>
          <w:sz w:val="22"/>
        </w:rPr>
        <w:t>What</w:t>
      </w:r>
      <w:r>
        <w:rPr>
          <w:spacing w:val="-4"/>
          <w:sz w:val="22"/>
        </w:rPr>
        <w:t> </w:t>
      </w:r>
      <w:r>
        <w:rPr>
          <w:sz w:val="22"/>
        </w:rPr>
        <w:t>do</w:t>
      </w:r>
      <w:r>
        <w:rPr>
          <w:spacing w:val="-1"/>
          <w:sz w:val="22"/>
        </w:rPr>
        <w:t> </w:t>
      </w:r>
      <w:r>
        <w:rPr>
          <w:sz w:val="22"/>
        </w:rPr>
        <w:t>you</w:t>
      </w:r>
      <w:r>
        <w:rPr>
          <w:spacing w:val="-1"/>
          <w:sz w:val="22"/>
        </w:rPr>
        <w:t> </w:t>
      </w:r>
      <w:r>
        <w:rPr>
          <w:sz w:val="22"/>
        </w:rPr>
        <w:t>understand</w:t>
      </w:r>
      <w:r>
        <w:rPr>
          <w:spacing w:val="-4"/>
          <w:sz w:val="22"/>
        </w:rPr>
        <w:t> </w:t>
      </w:r>
      <w:r>
        <w:rPr>
          <w:sz w:val="22"/>
        </w:rPr>
        <w:t>as</w:t>
      </w:r>
      <w:r>
        <w:rPr>
          <w:spacing w:val="-3"/>
          <w:sz w:val="22"/>
        </w:rPr>
        <w:t> </w:t>
      </w:r>
      <w:r>
        <w:rPr>
          <w:sz w:val="22"/>
        </w:rPr>
        <w:t>best</w:t>
      </w:r>
      <w:r>
        <w:rPr>
          <w:spacing w:val="-3"/>
          <w:sz w:val="22"/>
        </w:rPr>
        <w:t> </w:t>
      </w:r>
      <w:r>
        <w:rPr>
          <w:spacing w:val="-2"/>
          <w:sz w:val="22"/>
        </w:rPr>
        <w:t>practices?</w:t>
      </w:r>
    </w:p>
    <w:p>
      <w:pPr>
        <w:pStyle w:val="BodyText"/>
        <w:rPr>
          <w:sz w:val="22"/>
        </w:rPr>
      </w:pPr>
    </w:p>
    <w:p>
      <w:pPr>
        <w:pStyle w:val="ListParagraph"/>
        <w:numPr>
          <w:ilvl w:val="0"/>
          <w:numId w:val="62"/>
        </w:numPr>
        <w:tabs>
          <w:tab w:pos="1118" w:val="left" w:leader="none"/>
        </w:tabs>
        <w:spacing w:line="240" w:lineRule="auto" w:before="0" w:after="0"/>
        <w:ind w:left="1118" w:right="0" w:hanging="359"/>
        <w:jc w:val="left"/>
        <w:rPr>
          <w:sz w:val="22"/>
        </w:rPr>
      </w:pPr>
      <w:r>
        <w:rPr>
          <w:sz w:val="22"/>
        </w:rPr>
        <w:t>What</w:t>
      </w:r>
      <w:r>
        <w:rPr>
          <w:spacing w:val="-5"/>
          <w:sz w:val="22"/>
        </w:rPr>
        <w:t> </w:t>
      </w:r>
      <w:r>
        <w:rPr>
          <w:sz w:val="22"/>
        </w:rPr>
        <w:t>is</w:t>
      </w:r>
      <w:r>
        <w:rPr>
          <w:spacing w:val="-3"/>
          <w:sz w:val="22"/>
        </w:rPr>
        <w:t> </w:t>
      </w:r>
      <w:r>
        <w:rPr>
          <w:sz w:val="22"/>
        </w:rPr>
        <w:t>your</w:t>
      </w:r>
      <w:r>
        <w:rPr>
          <w:spacing w:val="-5"/>
          <w:sz w:val="22"/>
        </w:rPr>
        <w:t> </w:t>
      </w:r>
      <w:r>
        <w:rPr>
          <w:sz w:val="22"/>
        </w:rPr>
        <w:t>firm’s</w:t>
      </w:r>
      <w:r>
        <w:rPr>
          <w:spacing w:val="-3"/>
          <w:sz w:val="22"/>
        </w:rPr>
        <w:t> </w:t>
      </w:r>
      <w:r>
        <w:rPr>
          <w:sz w:val="22"/>
        </w:rPr>
        <w:t>perception</w:t>
      </w:r>
      <w:r>
        <w:rPr>
          <w:spacing w:val="-3"/>
          <w:sz w:val="22"/>
        </w:rPr>
        <w:t> </w:t>
      </w:r>
      <w:r>
        <w:rPr>
          <w:sz w:val="22"/>
        </w:rPr>
        <w:t>of</w:t>
      </w:r>
      <w:r>
        <w:rPr>
          <w:spacing w:val="-1"/>
          <w:sz w:val="22"/>
        </w:rPr>
        <w:t> </w:t>
      </w:r>
      <w:r>
        <w:rPr>
          <w:spacing w:val="-2"/>
          <w:sz w:val="22"/>
        </w:rPr>
        <w:t>quality?</w:t>
      </w:r>
    </w:p>
    <w:p>
      <w:pPr>
        <w:pStyle w:val="BodyText"/>
        <w:spacing w:before="252"/>
        <w:rPr>
          <w:sz w:val="22"/>
        </w:rPr>
      </w:pPr>
    </w:p>
    <w:p>
      <w:pPr>
        <w:pStyle w:val="ListParagraph"/>
        <w:numPr>
          <w:ilvl w:val="0"/>
          <w:numId w:val="62"/>
        </w:numPr>
        <w:tabs>
          <w:tab w:pos="1119" w:val="left" w:leader="none"/>
        </w:tabs>
        <w:spacing w:line="240" w:lineRule="auto" w:before="0" w:after="0"/>
        <w:ind w:left="1119" w:right="1317" w:hanging="360"/>
        <w:jc w:val="both"/>
        <w:rPr>
          <w:sz w:val="22"/>
        </w:rPr>
      </w:pPr>
      <w:r>
        <w:rPr>
          <w:sz w:val="22"/>
        </w:rPr>
        <w:t>Are there any existing policies in your firm which you use as a guide in the implementation of total quality Management? Yes or No.</w:t>
      </w:r>
    </w:p>
    <w:p>
      <w:pPr>
        <w:spacing w:after="0" w:line="240" w:lineRule="auto"/>
        <w:jc w:val="both"/>
        <w:rPr>
          <w:sz w:val="22"/>
        </w:rPr>
        <w:sectPr>
          <w:pgSz w:w="12240" w:h="15840"/>
          <w:pgMar w:header="0" w:footer="1017" w:top="1360" w:bottom="1200" w:left="1040" w:right="120"/>
        </w:sectPr>
      </w:pPr>
    </w:p>
    <w:p>
      <w:pPr>
        <w:pStyle w:val="ListParagraph"/>
        <w:numPr>
          <w:ilvl w:val="0"/>
          <w:numId w:val="62"/>
        </w:numPr>
        <w:tabs>
          <w:tab w:pos="1119" w:val="left" w:leader="none"/>
        </w:tabs>
        <w:spacing w:line="240" w:lineRule="auto" w:before="73" w:after="0"/>
        <w:ind w:left="1119" w:right="1313" w:hanging="360"/>
        <w:jc w:val="left"/>
        <w:rPr>
          <w:sz w:val="22"/>
        </w:rPr>
      </w:pPr>
      <w:r>
        <w:rPr>
          <w:sz w:val="22"/>
        </w:rPr>
        <w:t>Do you think that your firm is currently implementing total quality management? If yes, kindly</w:t>
      </w:r>
      <w:r>
        <w:rPr>
          <w:spacing w:val="40"/>
          <w:sz w:val="22"/>
        </w:rPr>
        <w:t> </w:t>
      </w:r>
      <w:r>
        <w:rPr>
          <w:sz w:val="22"/>
        </w:rPr>
        <w:t>state your reason(s). If no, suggest an alternative.</w:t>
      </w:r>
    </w:p>
    <w:p>
      <w:pPr>
        <w:pStyle w:val="BodyText"/>
        <w:rPr>
          <w:sz w:val="22"/>
        </w:rPr>
      </w:pPr>
    </w:p>
    <w:p>
      <w:pPr>
        <w:pStyle w:val="ListParagraph"/>
        <w:numPr>
          <w:ilvl w:val="0"/>
          <w:numId w:val="62"/>
        </w:numPr>
        <w:tabs>
          <w:tab w:pos="1118" w:val="left" w:leader="none"/>
        </w:tabs>
        <w:spacing w:line="240" w:lineRule="auto" w:before="0" w:after="0"/>
        <w:ind w:left="1118" w:right="0" w:hanging="359"/>
        <w:jc w:val="left"/>
        <w:rPr>
          <w:sz w:val="22"/>
        </w:rPr>
      </w:pPr>
      <w:r>
        <w:rPr>
          <w:sz w:val="22"/>
        </w:rPr>
        <w:t>Do</w:t>
      </w:r>
      <w:r>
        <w:rPr>
          <w:spacing w:val="-4"/>
          <w:sz w:val="22"/>
        </w:rPr>
        <w:t> </w:t>
      </w:r>
      <w:r>
        <w:rPr>
          <w:sz w:val="22"/>
        </w:rPr>
        <w:t>you</w:t>
      </w:r>
      <w:r>
        <w:rPr>
          <w:spacing w:val="-4"/>
          <w:sz w:val="22"/>
        </w:rPr>
        <w:t> </w:t>
      </w:r>
      <w:r>
        <w:rPr>
          <w:sz w:val="22"/>
        </w:rPr>
        <w:t>think</w:t>
      </w:r>
      <w:r>
        <w:rPr>
          <w:spacing w:val="-7"/>
          <w:sz w:val="22"/>
        </w:rPr>
        <w:t> </w:t>
      </w:r>
      <w:r>
        <w:rPr>
          <w:sz w:val="22"/>
        </w:rPr>
        <w:t>that</w:t>
      </w:r>
      <w:r>
        <w:rPr>
          <w:spacing w:val="-3"/>
          <w:sz w:val="22"/>
        </w:rPr>
        <w:t> </w:t>
      </w:r>
      <w:r>
        <w:rPr>
          <w:sz w:val="22"/>
        </w:rPr>
        <w:t>your</w:t>
      </w:r>
      <w:r>
        <w:rPr>
          <w:spacing w:val="-3"/>
          <w:sz w:val="22"/>
        </w:rPr>
        <w:t> </w:t>
      </w:r>
      <w:r>
        <w:rPr>
          <w:sz w:val="22"/>
        </w:rPr>
        <w:t>firm’s</w:t>
      </w:r>
      <w:r>
        <w:rPr>
          <w:spacing w:val="-4"/>
          <w:sz w:val="22"/>
        </w:rPr>
        <w:t> </w:t>
      </w:r>
      <w:r>
        <w:rPr>
          <w:sz w:val="22"/>
        </w:rPr>
        <w:t>implementation</w:t>
      </w:r>
      <w:r>
        <w:rPr>
          <w:spacing w:val="-6"/>
          <w:sz w:val="22"/>
        </w:rPr>
        <w:t> </w:t>
      </w:r>
      <w:r>
        <w:rPr>
          <w:sz w:val="22"/>
        </w:rPr>
        <w:t>total</w:t>
      </w:r>
      <w:r>
        <w:rPr>
          <w:spacing w:val="-3"/>
          <w:sz w:val="22"/>
        </w:rPr>
        <w:t> </w:t>
      </w:r>
      <w:r>
        <w:rPr>
          <w:sz w:val="22"/>
        </w:rPr>
        <w:t>quality</w:t>
      </w:r>
      <w:r>
        <w:rPr>
          <w:spacing w:val="-7"/>
          <w:sz w:val="22"/>
        </w:rPr>
        <w:t> </w:t>
      </w:r>
      <w:r>
        <w:rPr>
          <w:sz w:val="22"/>
        </w:rPr>
        <w:t>management</w:t>
      </w:r>
      <w:r>
        <w:rPr>
          <w:spacing w:val="-3"/>
          <w:sz w:val="22"/>
        </w:rPr>
        <w:t> </w:t>
      </w:r>
      <w:r>
        <w:rPr>
          <w:sz w:val="22"/>
        </w:rPr>
        <w:t>sufficiently?</w:t>
      </w:r>
      <w:r>
        <w:rPr>
          <w:spacing w:val="-4"/>
          <w:sz w:val="22"/>
        </w:rPr>
        <w:t> </w:t>
      </w:r>
      <w:r>
        <w:rPr>
          <w:sz w:val="22"/>
        </w:rPr>
        <w:t>Yes</w:t>
      </w:r>
      <w:r>
        <w:rPr>
          <w:spacing w:val="-4"/>
          <w:sz w:val="22"/>
        </w:rPr>
        <w:t> </w:t>
      </w:r>
      <w:r>
        <w:rPr>
          <w:sz w:val="22"/>
        </w:rPr>
        <w:t>or</w:t>
      </w:r>
      <w:r>
        <w:rPr>
          <w:spacing w:val="-2"/>
          <w:sz w:val="22"/>
        </w:rPr>
        <w:t> </w:t>
      </w:r>
      <w:r>
        <w:rPr>
          <w:spacing w:val="-5"/>
          <w:sz w:val="22"/>
        </w:rPr>
        <w:t>No.</w:t>
      </w:r>
    </w:p>
    <w:p>
      <w:pPr>
        <w:pStyle w:val="BodyText"/>
        <w:rPr>
          <w:sz w:val="22"/>
        </w:rPr>
      </w:pPr>
    </w:p>
    <w:p>
      <w:pPr>
        <w:pStyle w:val="ListParagraph"/>
        <w:numPr>
          <w:ilvl w:val="0"/>
          <w:numId w:val="62"/>
        </w:numPr>
        <w:tabs>
          <w:tab w:pos="1118" w:val="left" w:leader="none"/>
        </w:tabs>
        <w:spacing w:line="240" w:lineRule="auto" w:before="0" w:after="0"/>
        <w:ind w:left="1118" w:right="0" w:hanging="359"/>
        <w:jc w:val="left"/>
        <w:rPr>
          <w:sz w:val="22"/>
        </w:rPr>
      </w:pPr>
      <w:r>
        <w:rPr>
          <w:sz w:val="22"/>
        </w:rPr>
        <w:t>What</w:t>
      </w:r>
      <w:r>
        <w:rPr>
          <w:spacing w:val="-5"/>
          <w:sz w:val="22"/>
        </w:rPr>
        <w:t> </w:t>
      </w:r>
      <w:r>
        <w:rPr>
          <w:sz w:val="22"/>
        </w:rPr>
        <w:t>problems</w:t>
      </w:r>
      <w:r>
        <w:rPr>
          <w:spacing w:val="-3"/>
          <w:sz w:val="22"/>
        </w:rPr>
        <w:t> </w:t>
      </w:r>
      <w:r>
        <w:rPr>
          <w:sz w:val="22"/>
        </w:rPr>
        <w:t>or</w:t>
      </w:r>
      <w:r>
        <w:rPr>
          <w:spacing w:val="-3"/>
          <w:sz w:val="22"/>
        </w:rPr>
        <w:t> </w:t>
      </w:r>
      <w:r>
        <w:rPr>
          <w:sz w:val="22"/>
        </w:rPr>
        <w:t>challenges</w:t>
      </w:r>
      <w:r>
        <w:rPr>
          <w:spacing w:val="-3"/>
          <w:sz w:val="22"/>
        </w:rPr>
        <w:t> </w:t>
      </w:r>
      <w:r>
        <w:rPr>
          <w:sz w:val="22"/>
        </w:rPr>
        <w:t>do</w:t>
      </w:r>
      <w:r>
        <w:rPr>
          <w:spacing w:val="-3"/>
          <w:sz w:val="22"/>
        </w:rPr>
        <w:t> </w:t>
      </w:r>
      <w:r>
        <w:rPr>
          <w:sz w:val="22"/>
        </w:rPr>
        <w:t>you</w:t>
      </w:r>
      <w:r>
        <w:rPr>
          <w:spacing w:val="-3"/>
          <w:sz w:val="22"/>
        </w:rPr>
        <w:t> </w:t>
      </w:r>
      <w:r>
        <w:rPr>
          <w:sz w:val="22"/>
        </w:rPr>
        <w:t>often</w:t>
      </w:r>
      <w:r>
        <w:rPr>
          <w:spacing w:val="-6"/>
          <w:sz w:val="22"/>
        </w:rPr>
        <w:t> </w:t>
      </w:r>
      <w:r>
        <w:rPr>
          <w:sz w:val="22"/>
        </w:rPr>
        <w:t>face</w:t>
      </w:r>
      <w:r>
        <w:rPr>
          <w:spacing w:val="-3"/>
          <w:sz w:val="22"/>
        </w:rPr>
        <w:t> </w:t>
      </w:r>
      <w:r>
        <w:rPr>
          <w:sz w:val="22"/>
        </w:rPr>
        <w:t>in</w:t>
      </w:r>
      <w:r>
        <w:rPr>
          <w:spacing w:val="-3"/>
          <w:sz w:val="22"/>
        </w:rPr>
        <w:t> </w:t>
      </w:r>
      <w:r>
        <w:rPr>
          <w:sz w:val="22"/>
        </w:rPr>
        <w:t>implementation</w:t>
      </w:r>
      <w:r>
        <w:rPr>
          <w:spacing w:val="-3"/>
          <w:sz w:val="22"/>
        </w:rPr>
        <w:t> </w:t>
      </w:r>
      <w:r>
        <w:rPr>
          <w:sz w:val="22"/>
        </w:rPr>
        <w:t>of</w:t>
      </w:r>
      <w:r>
        <w:rPr>
          <w:spacing w:val="-7"/>
          <w:sz w:val="22"/>
        </w:rPr>
        <w:t> </w:t>
      </w:r>
      <w:r>
        <w:rPr>
          <w:sz w:val="22"/>
        </w:rPr>
        <w:t>Total</w:t>
      </w:r>
      <w:r>
        <w:rPr>
          <w:spacing w:val="-2"/>
          <w:sz w:val="22"/>
        </w:rPr>
        <w:t> </w:t>
      </w:r>
      <w:r>
        <w:rPr>
          <w:sz w:val="22"/>
        </w:rPr>
        <w:t>Quality</w:t>
      </w:r>
      <w:r>
        <w:rPr>
          <w:spacing w:val="-5"/>
          <w:sz w:val="22"/>
        </w:rPr>
        <w:t> </w:t>
      </w:r>
      <w:r>
        <w:rPr>
          <w:spacing w:val="-2"/>
          <w:sz w:val="22"/>
        </w:rPr>
        <w:t>management?</w:t>
      </w:r>
    </w:p>
    <w:p>
      <w:pPr>
        <w:pStyle w:val="BodyText"/>
        <w:rPr>
          <w:sz w:val="22"/>
        </w:rPr>
      </w:pPr>
    </w:p>
    <w:p>
      <w:pPr>
        <w:pStyle w:val="ListParagraph"/>
        <w:numPr>
          <w:ilvl w:val="0"/>
          <w:numId w:val="62"/>
        </w:numPr>
        <w:tabs>
          <w:tab w:pos="1119" w:val="left" w:leader="none"/>
        </w:tabs>
        <w:spacing w:line="240" w:lineRule="auto" w:before="0" w:after="0"/>
        <w:ind w:left="1119" w:right="1315" w:hanging="360"/>
        <w:jc w:val="left"/>
        <w:rPr>
          <w:sz w:val="22"/>
        </w:rPr>
      </w:pPr>
      <w:r>
        <w:rPr>
          <w:sz w:val="22"/>
        </w:rPr>
        <w:t>Are there any measure or structure or mechanism in place established by your firm to monitor its implementation? If yes, briefly describe.</w:t>
      </w:r>
    </w:p>
    <w:p>
      <w:pPr>
        <w:pStyle w:val="BodyText"/>
        <w:spacing w:before="24"/>
        <w:rPr>
          <w:sz w:val="22"/>
        </w:rPr>
      </w:pPr>
    </w:p>
    <w:p>
      <w:pPr>
        <w:pStyle w:val="ListParagraph"/>
        <w:numPr>
          <w:ilvl w:val="0"/>
          <w:numId w:val="62"/>
        </w:numPr>
        <w:tabs>
          <w:tab w:pos="1120" w:val="left" w:leader="none"/>
        </w:tabs>
        <w:spacing w:line="240" w:lineRule="auto" w:before="0" w:after="0"/>
        <w:ind w:left="1120" w:right="1316" w:hanging="360"/>
        <w:jc w:val="left"/>
        <w:rPr>
          <w:sz w:val="22"/>
        </w:rPr>
      </w:pPr>
      <w:r>
        <w:rPr>
          <w:sz w:val="22"/>
        </w:rPr>
        <w:t>What are your firm’s strength and opportunities that lead to successful implementation of total</w:t>
      </w:r>
      <w:r>
        <w:rPr>
          <w:spacing w:val="80"/>
          <w:w w:val="150"/>
          <w:sz w:val="22"/>
        </w:rPr>
        <w:t> </w:t>
      </w:r>
      <w:r>
        <w:rPr>
          <w:sz w:val="22"/>
        </w:rPr>
        <w:t>quality management?</w:t>
      </w:r>
    </w:p>
    <w:p>
      <w:pPr>
        <w:pStyle w:val="ListParagraph"/>
        <w:numPr>
          <w:ilvl w:val="0"/>
          <w:numId w:val="62"/>
        </w:numPr>
        <w:tabs>
          <w:tab w:pos="1120" w:val="left" w:leader="none"/>
        </w:tabs>
        <w:spacing w:line="240" w:lineRule="auto" w:before="253" w:after="0"/>
        <w:ind w:left="1120" w:right="1317" w:hanging="360"/>
        <w:jc w:val="left"/>
        <w:rPr>
          <w:sz w:val="22"/>
        </w:rPr>
      </w:pPr>
      <w:r>
        <w:rPr>
          <w:sz w:val="22"/>
        </w:rPr>
        <w:t>What are your firm’s weakness and threats that can hinder to successful implementation of total quality management?</w:t>
      </w:r>
    </w:p>
    <w:p>
      <w:pPr>
        <w:pStyle w:val="ListParagraph"/>
        <w:numPr>
          <w:ilvl w:val="0"/>
          <w:numId w:val="62"/>
        </w:numPr>
        <w:tabs>
          <w:tab w:pos="1120" w:val="left" w:leader="none"/>
        </w:tabs>
        <w:spacing w:line="240" w:lineRule="auto" w:before="252" w:after="0"/>
        <w:ind w:left="1120" w:right="1317" w:hanging="360"/>
        <w:jc w:val="left"/>
        <w:rPr>
          <w:sz w:val="22"/>
        </w:rPr>
      </w:pPr>
      <w:r>
        <w:rPr>
          <w:sz w:val="22"/>
        </w:rPr>
        <w:t>In</w:t>
      </w:r>
      <w:r>
        <w:rPr>
          <w:spacing w:val="31"/>
          <w:sz w:val="22"/>
        </w:rPr>
        <w:t> </w:t>
      </w:r>
      <w:r>
        <w:rPr>
          <w:sz w:val="22"/>
        </w:rPr>
        <w:t>your</w:t>
      </w:r>
      <w:r>
        <w:rPr>
          <w:spacing w:val="27"/>
          <w:sz w:val="22"/>
        </w:rPr>
        <w:t> </w:t>
      </w:r>
      <w:r>
        <w:rPr>
          <w:sz w:val="22"/>
        </w:rPr>
        <w:t>opinion</w:t>
      </w:r>
      <w:r>
        <w:rPr>
          <w:spacing w:val="26"/>
          <w:sz w:val="22"/>
        </w:rPr>
        <w:t> </w:t>
      </w:r>
      <w:r>
        <w:rPr>
          <w:sz w:val="22"/>
        </w:rPr>
        <w:t>what</w:t>
      </w:r>
      <w:r>
        <w:rPr>
          <w:spacing w:val="27"/>
          <w:sz w:val="22"/>
        </w:rPr>
        <w:t> </w:t>
      </w:r>
      <w:r>
        <w:rPr>
          <w:sz w:val="22"/>
        </w:rPr>
        <w:t>are</w:t>
      </w:r>
      <w:r>
        <w:rPr>
          <w:spacing w:val="27"/>
          <w:sz w:val="22"/>
        </w:rPr>
        <w:t> </w:t>
      </w:r>
      <w:r>
        <w:rPr>
          <w:sz w:val="22"/>
        </w:rPr>
        <w:t>the</w:t>
      </w:r>
      <w:r>
        <w:rPr>
          <w:spacing w:val="27"/>
          <w:sz w:val="22"/>
        </w:rPr>
        <w:t> </w:t>
      </w:r>
      <w:r>
        <w:rPr>
          <w:sz w:val="22"/>
        </w:rPr>
        <w:t>critical</w:t>
      </w:r>
      <w:r>
        <w:rPr>
          <w:spacing w:val="27"/>
          <w:sz w:val="22"/>
        </w:rPr>
        <w:t> </w:t>
      </w:r>
      <w:r>
        <w:rPr>
          <w:sz w:val="22"/>
        </w:rPr>
        <w:t>success</w:t>
      </w:r>
      <w:r>
        <w:rPr>
          <w:spacing w:val="27"/>
          <w:sz w:val="22"/>
        </w:rPr>
        <w:t> </w:t>
      </w:r>
      <w:r>
        <w:rPr>
          <w:sz w:val="22"/>
        </w:rPr>
        <w:t>factors</w:t>
      </w:r>
      <w:r>
        <w:rPr>
          <w:spacing w:val="27"/>
          <w:sz w:val="22"/>
        </w:rPr>
        <w:t> </w:t>
      </w:r>
      <w:r>
        <w:rPr>
          <w:sz w:val="22"/>
        </w:rPr>
        <w:t>of</w:t>
      </w:r>
      <w:r>
        <w:rPr>
          <w:spacing w:val="27"/>
          <w:sz w:val="22"/>
        </w:rPr>
        <w:t> </w:t>
      </w:r>
      <w:r>
        <w:rPr>
          <w:sz w:val="22"/>
        </w:rPr>
        <w:t>total</w:t>
      </w:r>
      <w:r>
        <w:rPr>
          <w:spacing w:val="27"/>
          <w:sz w:val="22"/>
        </w:rPr>
        <w:t> </w:t>
      </w:r>
      <w:r>
        <w:rPr>
          <w:sz w:val="22"/>
        </w:rPr>
        <w:t>quality</w:t>
      </w:r>
      <w:r>
        <w:rPr>
          <w:spacing w:val="24"/>
          <w:sz w:val="22"/>
        </w:rPr>
        <w:t> </w:t>
      </w:r>
      <w:r>
        <w:rPr>
          <w:sz w:val="22"/>
        </w:rPr>
        <w:t>management</w:t>
      </w:r>
      <w:r>
        <w:rPr>
          <w:spacing w:val="27"/>
          <w:sz w:val="22"/>
        </w:rPr>
        <w:t> </w:t>
      </w:r>
      <w:r>
        <w:rPr>
          <w:sz w:val="22"/>
        </w:rPr>
        <w:t>in</w:t>
      </w:r>
      <w:r>
        <w:rPr>
          <w:spacing w:val="26"/>
          <w:sz w:val="22"/>
        </w:rPr>
        <w:t> </w:t>
      </w:r>
      <w:r>
        <w:rPr>
          <w:sz w:val="22"/>
        </w:rPr>
        <w:t>small</w:t>
      </w:r>
      <w:r>
        <w:rPr>
          <w:spacing w:val="27"/>
          <w:sz w:val="22"/>
        </w:rPr>
        <w:t> </w:t>
      </w:r>
      <w:r>
        <w:rPr>
          <w:sz w:val="22"/>
        </w:rPr>
        <w:t>and medium construction firms?</w:t>
      </w:r>
    </w:p>
    <w:p>
      <w:pPr>
        <w:pStyle w:val="ListParagraph"/>
        <w:numPr>
          <w:ilvl w:val="0"/>
          <w:numId w:val="62"/>
        </w:numPr>
        <w:tabs>
          <w:tab w:pos="1119" w:val="left" w:leader="none"/>
        </w:tabs>
        <w:spacing w:line="240" w:lineRule="auto" w:before="252" w:after="0"/>
        <w:ind w:left="1119" w:right="1315" w:hanging="360"/>
        <w:jc w:val="left"/>
        <w:rPr>
          <w:sz w:val="22"/>
        </w:rPr>
      </w:pPr>
      <w:r>
        <w:rPr>
          <w:sz w:val="22"/>
        </w:rPr>
        <w:t>Have you ever received a</w:t>
      </w:r>
      <w:r>
        <w:rPr>
          <w:spacing w:val="-2"/>
          <w:sz w:val="22"/>
        </w:rPr>
        <w:t> </w:t>
      </w:r>
      <w:r>
        <w:rPr>
          <w:sz w:val="22"/>
        </w:rPr>
        <w:t>client’s</w:t>
      </w:r>
      <w:r>
        <w:rPr>
          <w:spacing w:val="-2"/>
          <w:sz w:val="22"/>
        </w:rPr>
        <w:t> </w:t>
      </w:r>
      <w:r>
        <w:rPr>
          <w:sz w:val="22"/>
        </w:rPr>
        <w:t>complaints</w:t>
      </w:r>
      <w:r>
        <w:rPr>
          <w:spacing w:val="-2"/>
          <w:sz w:val="22"/>
        </w:rPr>
        <w:t> </w:t>
      </w:r>
      <w:r>
        <w:rPr>
          <w:sz w:val="22"/>
        </w:rPr>
        <w:t>regarding</w:t>
      </w:r>
      <w:r>
        <w:rPr>
          <w:spacing w:val="-2"/>
          <w:sz w:val="22"/>
        </w:rPr>
        <w:t> </w:t>
      </w:r>
      <w:r>
        <w:rPr>
          <w:sz w:val="22"/>
        </w:rPr>
        <w:t>quality</w:t>
      </w:r>
      <w:r>
        <w:rPr>
          <w:spacing w:val="-2"/>
          <w:sz w:val="22"/>
        </w:rPr>
        <w:t> </w:t>
      </w:r>
      <w:r>
        <w:rPr>
          <w:sz w:val="22"/>
        </w:rPr>
        <w:t>of</w:t>
      </w:r>
      <w:r>
        <w:rPr>
          <w:spacing w:val="-1"/>
          <w:sz w:val="22"/>
        </w:rPr>
        <w:t> </w:t>
      </w:r>
      <w:r>
        <w:rPr>
          <w:sz w:val="22"/>
        </w:rPr>
        <w:t>work? If yes, how</w:t>
      </w:r>
      <w:r>
        <w:rPr>
          <w:spacing w:val="-1"/>
          <w:sz w:val="22"/>
        </w:rPr>
        <w:t> </w:t>
      </w:r>
      <w:r>
        <w:rPr>
          <w:sz w:val="22"/>
        </w:rPr>
        <w:t>do you get</w:t>
      </w:r>
      <w:r>
        <w:rPr>
          <w:spacing w:val="-1"/>
          <w:sz w:val="22"/>
        </w:rPr>
        <w:t> </w:t>
      </w:r>
      <w:r>
        <w:rPr>
          <w:sz w:val="22"/>
        </w:rPr>
        <w:t>to hear of such complaints, and how did you handle it?</w:t>
      </w:r>
    </w:p>
    <w:p>
      <w:pPr>
        <w:pStyle w:val="BodyText"/>
        <w:rPr>
          <w:sz w:val="22"/>
        </w:rPr>
      </w:pPr>
    </w:p>
    <w:p>
      <w:pPr>
        <w:pStyle w:val="BodyText"/>
        <w:spacing w:before="25"/>
        <w:rPr>
          <w:sz w:val="22"/>
        </w:rPr>
      </w:pPr>
    </w:p>
    <w:p>
      <w:pPr>
        <w:pStyle w:val="ListParagraph"/>
        <w:numPr>
          <w:ilvl w:val="0"/>
          <w:numId w:val="62"/>
        </w:numPr>
        <w:tabs>
          <w:tab w:pos="1119" w:val="left" w:leader="none"/>
        </w:tabs>
        <w:spacing w:line="240" w:lineRule="auto" w:before="1" w:after="0"/>
        <w:ind w:left="1119" w:right="1312" w:hanging="360"/>
        <w:jc w:val="left"/>
        <w:rPr>
          <w:sz w:val="22"/>
        </w:rPr>
      </w:pPr>
      <w:r>
        <w:rPr>
          <w:sz w:val="22"/>
        </w:rPr>
        <w:t>On</w:t>
      </w:r>
      <w:r>
        <w:rPr>
          <w:spacing w:val="70"/>
          <w:sz w:val="22"/>
        </w:rPr>
        <w:t> </w:t>
      </w:r>
      <w:r>
        <w:rPr>
          <w:sz w:val="22"/>
        </w:rPr>
        <w:t>a</w:t>
      </w:r>
      <w:r>
        <w:rPr>
          <w:spacing w:val="70"/>
          <w:sz w:val="22"/>
        </w:rPr>
        <w:t> </w:t>
      </w:r>
      <w:r>
        <w:rPr>
          <w:sz w:val="22"/>
        </w:rPr>
        <w:t>scale</w:t>
      </w:r>
      <w:r>
        <w:rPr>
          <w:spacing w:val="70"/>
          <w:sz w:val="22"/>
        </w:rPr>
        <w:t> </w:t>
      </w:r>
      <w:r>
        <w:rPr>
          <w:sz w:val="22"/>
        </w:rPr>
        <w:t>of</w:t>
      </w:r>
      <w:r>
        <w:rPr>
          <w:spacing w:val="71"/>
          <w:sz w:val="22"/>
        </w:rPr>
        <w:t> </w:t>
      </w:r>
      <w:r>
        <w:rPr>
          <w:sz w:val="22"/>
        </w:rPr>
        <w:t>1%</w:t>
      </w:r>
      <w:r>
        <w:rPr>
          <w:spacing w:val="71"/>
          <w:sz w:val="22"/>
        </w:rPr>
        <w:t> </w:t>
      </w:r>
      <w:r>
        <w:rPr>
          <w:sz w:val="22"/>
        </w:rPr>
        <w:t>-</w:t>
      </w:r>
      <w:r>
        <w:rPr>
          <w:spacing w:val="66"/>
          <w:sz w:val="22"/>
        </w:rPr>
        <w:t> </w:t>
      </w:r>
      <w:r>
        <w:rPr>
          <w:sz w:val="22"/>
        </w:rPr>
        <w:t>100%,</w:t>
      </w:r>
      <w:r>
        <w:rPr>
          <w:spacing w:val="70"/>
          <w:sz w:val="22"/>
        </w:rPr>
        <w:t> </w:t>
      </w:r>
      <w:r>
        <w:rPr>
          <w:sz w:val="22"/>
        </w:rPr>
        <w:t>how</w:t>
      </w:r>
      <w:r>
        <w:rPr>
          <w:spacing w:val="69"/>
          <w:sz w:val="22"/>
        </w:rPr>
        <w:t> </w:t>
      </w:r>
      <w:r>
        <w:rPr>
          <w:sz w:val="22"/>
        </w:rPr>
        <w:t>will</w:t>
      </w:r>
      <w:r>
        <w:rPr>
          <w:spacing w:val="71"/>
          <w:sz w:val="22"/>
        </w:rPr>
        <w:t> </w:t>
      </w:r>
      <w:r>
        <w:rPr>
          <w:sz w:val="22"/>
        </w:rPr>
        <w:t>you</w:t>
      </w:r>
      <w:r>
        <w:rPr>
          <w:spacing w:val="70"/>
          <w:sz w:val="22"/>
        </w:rPr>
        <w:t> </w:t>
      </w:r>
      <w:r>
        <w:rPr>
          <w:sz w:val="22"/>
        </w:rPr>
        <w:t>assess</w:t>
      </w:r>
      <w:r>
        <w:rPr>
          <w:spacing w:val="68"/>
          <w:sz w:val="22"/>
        </w:rPr>
        <w:t> </w:t>
      </w:r>
      <w:r>
        <w:rPr>
          <w:sz w:val="22"/>
        </w:rPr>
        <w:t>the</w:t>
      </w:r>
      <w:r>
        <w:rPr>
          <w:spacing w:val="68"/>
          <w:sz w:val="22"/>
        </w:rPr>
        <w:t> </w:t>
      </w:r>
      <w:r>
        <w:rPr>
          <w:sz w:val="22"/>
        </w:rPr>
        <w:t>implementation</w:t>
      </w:r>
      <w:r>
        <w:rPr>
          <w:spacing w:val="67"/>
          <w:sz w:val="22"/>
        </w:rPr>
        <w:t> </w:t>
      </w:r>
      <w:r>
        <w:rPr>
          <w:sz w:val="22"/>
        </w:rPr>
        <w:t>of</w:t>
      </w:r>
      <w:r>
        <w:rPr>
          <w:spacing w:val="68"/>
          <w:sz w:val="22"/>
        </w:rPr>
        <w:t> </w:t>
      </w:r>
      <w:r>
        <w:rPr>
          <w:sz w:val="22"/>
        </w:rPr>
        <w:t>the</w:t>
      </w:r>
      <w:r>
        <w:rPr>
          <w:spacing w:val="70"/>
          <w:sz w:val="22"/>
        </w:rPr>
        <w:t> </w:t>
      </w:r>
      <w:r>
        <w:rPr>
          <w:sz w:val="22"/>
        </w:rPr>
        <w:t>total</w:t>
      </w:r>
      <w:r>
        <w:rPr>
          <w:spacing w:val="71"/>
          <w:sz w:val="22"/>
        </w:rPr>
        <w:t> </w:t>
      </w:r>
      <w:r>
        <w:rPr>
          <w:sz w:val="22"/>
        </w:rPr>
        <w:t>quality management by small and medium firms in south East Nigeria?</w:t>
      </w:r>
    </w:p>
    <w:p>
      <w:pPr>
        <w:pStyle w:val="BodyText"/>
        <w:spacing w:before="167"/>
        <w:rPr>
          <w:sz w:val="22"/>
        </w:rPr>
      </w:pPr>
    </w:p>
    <w:p>
      <w:pPr>
        <w:pStyle w:val="ListParagraph"/>
        <w:numPr>
          <w:ilvl w:val="0"/>
          <w:numId w:val="62"/>
        </w:numPr>
        <w:tabs>
          <w:tab w:pos="1119" w:val="left" w:leader="none"/>
        </w:tabs>
        <w:spacing w:line="360" w:lineRule="auto" w:before="0" w:after="0"/>
        <w:ind w:left="1119" w:right="1318" w:hanging="360"/>
        <w:jc w:val="left"/>
        <w:rPr>
          <w:sz w:val="22"/>
        </w:rPr>
      </w:pPr>
      <w:r>
        <w:rPr>
          <w:sz w:val="22"/>
        </w:rPr>
        <w:t>What suggestions do you have for improving total quality management implementation by small and medium firms in South East Nigeria?</w:t>
      </w:r>
    </w:p>
    <w:p>
      <w:pPr>
        <w:pStyle w:val="ListParagraph"/>
        <w:numPr>
          <w:ilvl w:val="0"/>
          <w:numId w:val="62"/>
        </w:numPr>
        <w:tabs>
          <w:tab w:pos="1119" w:val="left" w:leader="none"/>
        </w:tabs>
        <w:spacing w:line="240" w:lineRule="auto" w:before="136" w:after="0"/>
        <w:ind w:left="1119" w:right="0" w:hanging="359"/>
        <w:jc w:val="left"/>
        <w:rPr>
          <w:sz w:val="22"/>
        </w:rPr>
      </w:pPr>
      <w:r>
        <w:rPr>
          <w:sz w:val="22"/>
        </w:rPr>
        <w:t>Is</w:t>
      </w:r>
      <w:r>
        <w:rPr>
          <w:spacing w:val="-4"/>
          <w:sz w:val="22"/>
        </w:rPr>
        <w:t> </w:t>
      </w:r>
      <w:r>
        <w:rPr>
          <w:sz w:val="22"/>
        </w:rPr>
        <w:t>there</w:t>
      </w:r>
      <w:r>
        <w:rPr>
          <w:spacing w:val="-1"/>
          <w:sz w:val="22"/>
        </w:rPr>
        <w:t> </w:t>
      </w:r>
      <w:r>
        <w:rPr>
          <w:sz w:val="22"/>
        </w:rPr>
        <w:t>any</w:t>
      </w:r>
      <w:r>
        <w:rPr>
          <w:spacing w:val="-4"/>
          <w:sz w:val="22"/>
        </w:rPr>
        <w:t> </w:t>
      </w:r>
      <w:r>
        <w:rPr>
          <w:sz w:val="22"/>
        </w:rPr>
        <w:t>question</w:t>
      </w:r>
      <w:r>
        <w:rPr>
          <w:spacing w:val="-1"/>
          <w:sz w:val="22"/>
        </w:rPr>
        <w:t> </w:t>
      </w:r>
      <w:r>
        <w:rPr>
          <w:sz w:val="22"/>
        </w:rPr>
        <w:t>you</w:t>
      </w:r>
      <w:r>
        <w:rPr>
          <w:spacing w:val="-1"/>
          <w:sz w:val="22"/>
        </w:rPr>
        <w:t> </w:t>
      </w:r>
      <w:r>
        <w:rPr>
          <w:sz w:val="22"/>
        </w:rPr>
        <w:t>would</w:t>
      </w:r>
      <w:r>
        <w:rPr>
          <w:spacing w:val="-4"/>
          <w:sz w:val="22"/>
        </w:rPr>
        <w:t> </w:t>
      </w:r>
      <w:r>
        <w:rPr>
          <w:sz w:val="22"/>
        </w:rPr>
        <w:t>like</w:t>
      </w:r>
      <w:r>
        <w:rPr>
          <w:spacing w:val="-1"/>
          <w:sz w:val="22"/>
        </w:rPr>
        <w:t> </w:t>
      </w:r>
      <w:r>
        <w:rPr>
          <w:sz w:val="22"/>
        </w:rPr>
        <w:t>to</w:t>
      </w:r>
      <w:r>
        <w:rPr>
          <w:spacing w:val="-4"/>
          <w:sz w:val="22"/>
        </w:rPr>
        <w:t> </w:t>
      </w:r>
      <w:r>
        <w:rPr>
          <w:sz w:val="22"/>
        </w:rPr>
        <w:t>ask</w:t>
      </w:r>
      <w:r>
        <w:rPr>
          <w:spacing w:val="-4"/>
          <w:sz w:val="22"/>
        </w:rPr>
        <w:t> </w:t>
      </w:r>
      <w:r>
        <w:rPr>
          <w:spacing w:val="-5"/>
          <w:sz w:val="22"/>
        </w:rPr>
        <w:t>me?</w:t>
      </w:r>
    </w:p>
    <w:p>
      <w:pPr>
        <w:pStyle w:val="BodyText"/>
        <w:rPr>
          <w:sz w:val="22"/>
        </w:rPr>
      </w:pPr>
    </w:p>
    <w:p>
      <w:pPr>
        <w:pStyle w:val="BodyText"/>
        <w:spacing w:before="55"/>
        <w:rPr>
          <w:sz w:val="22"/>
        </w:rPr>
      </w:pPr>
    </w:p>
    <w:p>
      <w:pPr>
        <w:spacing w:line="360" w:lineRule="auto" w:before="0"/>
        <w:ind w:left="399" w:right="1314" w:firstLine="0"/>
        <w:jc w:val="both"/>
        <w:rPr>
          <w:sz w:val="22"/>
        </w:rPr>
      </w:pPr>
      <w:r>
        <w:rPr>
          <w:sz w:val="22"/>
        </w:rPr>
        <w:t>Thank you for sparing some time out of your busy schedule to make this meeting possible. I wish to also thank you for the insights I have gained from your rich experience which will help in compiling data for this research.</w:t>
      </w:r>
    </w:p>
    <w:sectPr>
      <w:pgSz w:w="12240" w:h="15840"/>
      <w:pgMar w:header="0" w:footer="1017" w:top="1360" w:bottom="1200" w:left="104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933824">
              <wp:simplePos x="0" y="0"/>
              <wp:positionH relativeFrom="page">
                <wp:posOffset>3741353</wp:posOffset>
              </wp:positionH>
              <wp:positionV relativeFrom="page">
                <wp:posOffset>9273086</wp:posOffset>
              </wp:positionV>
              <wp:extent cx="30099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099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594727pt;margin-top:730.164307pt;width:23.7pt;height:13.05pt;mso-position-horizontal-relative:page;mso-position-vertical-relative:page;z-index:-21382656"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1"/>
      <w:numFmt w:val="lowerLetter"/>
      <w:lvlText w:val="(%1)"/>
      <w:lvlJc w:val="left"/>
      <w:pPr>
        <w:ind w:left="477"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763" w:hanging="324"/>
      </w:pPr>
      <w:rPr>
        <w:rFonts w:hint="default"/>
        <w:lang w:val="en-US" w:eastAsia="en-US" w:bidi="ar-SA"/>
      </w:rPr>
    </w:lvl>
    <w:lvl w:ilvl="2">
      <w:start w:val="0"/>
      <w:numFmt w:val="bullet"/>
      <w:lvlText w:val="•"/>
      <w:lvlJc w:val="left"/>
      <w:pPr>
        <w:ind w:left="1046" w:hanging="324"/>
      </w:pPr>
      <w:rPr>
        <w:rFonts w:hint="default"/>
        <w:lang w:val="en-US" w:eastAsia="en-US" w:bidi="ar-SA"/>
      </w:rPr>
    </w:lvl>
    <w:lvl w:ilvl="3">
      <w:start w:val="0"/>
      <w:numFmt w:val="bullet"/>
      <w:lvlText w:val="•"/>
      <w:lvlJc w:val="left"/>
      <w:pPr>
        <w:ind w:left="1329" w:hanging="324"/>
      </w:pPr>
      <w:rPr>
        <w:rFonts w:hint="default"/>
        <w:lang w:val="en-US" w:eastAsia="en-US" w:bidi="ar-SA"/>
      </w:rPr>
    </w:lvl>
    <w:lvl w:ilvl="4">
      <w:start w:val="0"/>
      <w:numFmt w:val="bullet"/>
      <w:lvlText w:val="•"/>
      <w:lvlJc w:val="left"/>
      <w:pPr>
        <w:ind w:left="1612" w:hanging="324"/>
      </w:pPr>
      <w:rPr>
        <w:rFonts w:hint="default"/>
        <w:lang w:val="en-US" w:eastAsia="en-US" w:bidi="ar-SA"/>
      </w:rPr>
    </w:lvl>
    <w:lvl w:ilvl="5">
      <w:start w:val="0"/>
      <w:numFmt w:val="bullet"/>
      <w:lvlText w:val="•"/>
      <w:lvlJc w:val="left"/>
      <w:pPr>
        <w:ind w:left="1896" w:hanging="324"/>
      </w:pPr>
      <w:rPr>
        <w:rFonts w:hint="default"/>
        <w:lang w:val="en-US" w:eastAsia="en-US" w:bidi="ar-SA"/>
      </w:rPr>
    </w:lvl>
    <w:lvl w:ilvl="6">
      <w:start w:val="0"/>
      <w:numFmt w:val="bullet"/>
      <w:lvlText w:val="•"/>
      <w:lvlJc w:val="left"/>
      <w:pPr>
        <w:ind w:left="2179" w:hanging="324"/>
      </w:pPr>
      <w:rPr>
        <w:rFonts w:hint="default"/>
        <w:lang w:val="en-US" w:eastAsia="en-US" w:bidi="ar-SA"/>
      </w:rPr>
    </w:lvl>
    <w:lvl w:ilvl="7">
      <w:start w:val="0"/>
      <w:numFmt w:val="bullet"/>
      <w:lvlText w:val="•"/>
      <w:lvlJc w:val="left"/>
      <w:pPr>
        <w:ind w:left="2462" w:hanging="324"/>
      </w:pPr>
      <w:rPr>
        <w:rFonts w:hint="default"/>
        <w:lang w:val="en-US" w:eastAsia="en-US" w:bidi="ar-SA"/>
      </w:rPr>
    </w:lvl>
    <w:lvl w:ilvl="8">
      <w:start w:val="0"/>
      <w:numFmt w:val="bullet"/>
      <w:lvlText w:val="•"/>
      <w:lvlJc w:val="left"/>
      <w:pPr>
        <w:ind w:left="2745" w:hanging="324"/>
      </w:pPr>
      <w:rPr>
        <w:rFonts w:hint="default"/>
        <w:lang w:val="en-US" w:eastAsia="en-US" w:bidi="ar-SA"/>
      </w:rPr>
    </w:lvl>
  </w:abstractNum>
  <w:abstractNum w:abstractNumId="20">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61">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60">
    <w:multiLevelType w:val="hybridMultilevel"/>
    <w:lvl w:ilvl="0">
      <w:start w:val="1"/>
      <w:numFmt w:val="decimal"/>
      <w:lvlText w:val="(%1)"/>
      <w:lvlJc w:val="left"/>
      <w:pPr>
        <w:ind w:left="2785" w:hanging="2026"/>
        <w:jc w:val="right"/>
      </w:pPr>
      <w:rPr>
        <w:rFonts w:hint="default"/>
        <w:spacing w:val="-1"/>
        <w:w w:val="100"/>
        <w:lang w:val="en-US" w:eastAsia="en-US" w:bidi="ar-SA"/>
      </w:rPr>
    </w:lvl>
    <w:lvl w:ilvl="1">
      <w:start w:val="0"/>
      <w:numFmt w:val="bullet"/>
      <w:lvlText w:val="•"/>
      <w:lvlJc w:val="left"/>
      <w:pPr>
        <w:ind w:left="3610" w:hanging="2026"/>
      </w:pPr>
      <w:rPr>
        <w:rFonts w:hint="default"/>
        <w:lang w:val="en-US" w:eastAsia="en-US" w:bidi="ar-SA"/>
      </w:rPr>
    </w:lvl>
    <w:lvl w:ilvl="2">
      <w:start w:val="0"/>
      <w:numFmt w:val="bullet"/>
      <w:lvlText w:val="•"/>
      <w:lvlJc w:val="left"/>
      <w:pPr>
        <w:ind w:left="4440" w:hanging="2026"/>
      </w:pPr>
      <w:rPr>
        <w:rFonts w:hint="default"/>
        <w:lang w:val="en-US" w:eastAsia="en-US" w:bidi="ar-SA"/>
      </w:rPr>
    </w:lvl>
    <w:lvl w:ilvl="3">
      <w:start w:val="0"/>
      <w:numFmt w:val="bullet"/>
      <w:lvlText w:val="•"/>
      <w:lvlJc w:val="left"/>
      <w:pPr>
        <w:ind w:left="5270" w:hanging="2026"/>
      </w:pPr>
      <w:rPr>
        <w:rFonts w:hint="default"/>
        <w:lang w:val="en-US" w:eastAsia="en-US" w:bidi="ar-SA"/>
      </w:rPr>
    </w:lvl>
    <w:lvl w:ilvl="4">
      <w:start w:val="0"/>
      <w:numFmt w:val="bullet"/>
      <w:lvlText w:val="•"/>
      <w:lvlJc w:val="left"/>
      <w:pPr>
        <w:ind w:left="6100" w:hanging="2026"/>
      </w:pPr>
      <w:rPr>
        <w:rFonts w:hint="default"/>
        <w:lang w:val="en-US" w:eastAsia="en-US" w:bidi="ar-SA"/>
      </w:rPr>
    </w:lvl>
    <w:lvl w:ilvl="5">
      <w:start w:val="0"/>
      <w:numFmt w:val="bullet"/>
      <w:lvlText w:val="•"/>
      <w:lvlJc w:val="left"/>
      <w:pPr>
        <w:ind w:left="6930" w:hanging="2026"/>
      </w:pPr>
      <w:rPr>
        <w:rFonts w:hint="default"/>
        <w:lang w:val="en-US" w:eastAsia="en-US" w:bidi="ar-SA"/>
      </w:rPr>
    </w:lvl>
    <w:lvl w:ilvl="6">
      <w:start w:val="0"/>
      <w:numFmt w:val="bullet"/>
      <w:lvlText w:val="•"/>
      <w:lvlJc w:val="left"/>
      <w:pPr>
        <w:ind w:left="7760" w:hanging="2026"/>
      </w:pPr>
      <w:rPr>
        <w:rFonts w:hint="default"/>
        <w:lang w:val="en-US" w:eastAsia="en-US" w:bidi="ar-SA"/>
      </w:rPr>
    </w:lvl>
    <w:lvl w:ilvl="7">
      <w:start w:val="0"/>
      <w:numFmt w:val="bullet"/>
      <w:lvlText w:val="•"/>
      <w:lvlJc w:val="left"/>
      <w:pPr>
        <w:ind w:left="8590" w:hanging="2026"/>
      </w:pPr>
      <w:rPr>
        <w:rFonts w:hint="default"/>
        <w:lang w:val="en-US" w:eastAsia="en-US" w:bidi="ar-SA"/>
      </w:rPr>
    </w:lvl>
    <w:lvl w:ilvl="8">
      <w:start w:val="0"/>
      <w:numFmt w:val="bullet"/>
      <w:lvlText w:val="•"/>
      <w:lvlJc w:val="left"/>
      <w:pPr>
        <w:ind w:left="9420" w:hanging="2026"/>
      </w:pPr>
      <w:rPr>
        <w:rFonts w:hint="default"/>
        <w:lang w:val="en-US" w:eastAsia="en-US" w:bidi="ar-SA"/>
      </w:rPr>
    </w:lvl>
  </w:abstractNum>
  <w:abstractNum w:abstractNumId="59">
    <w:multiLevelType w:val="hybridMultilevel"/>
    <w:lvl w:ilvl="0">
      <w:start w:val="1"/>
      <w:numFmt w:val="decimal"/>
      <w:lvlText w:val="%1."/>
      <w:lvlJc w:val="left"/>
      <w:pPr>
        <w:ind w:left="112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58">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57">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56">
    <w:multiLevelType w:val="hybridMultilevel"/>
    <w:lvl w:ilvl="0">
      <w:start w:val="1"/>
      <w:numFmt w:val="decimal"/>
      <w:lvlText w:val="(%1)"/>
      <w:lvlJc w:val="left"/>
      <w:pPr>
        <w:ind w:left="1043" w:hanging="64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044" w:hanging="648"/>
      </w:pPr>
      <w:rPr>
        <w:rFonts w:hint="default"/>
        <w:lang w:val="en-US" w:eastAsia="en-US" w:bidi="ar-SA"/>
      </w:rPr>
    </w:lvl>
    <w:lvl w:ilvl="2">
      <w:start w:val="0"/>
      <w:numFmt w:val="bullet"/>
      <w:lvlText w:val="•"/>
      <w:lvlJc w:val="left"/>
      <w:pPr>
        <w:ind w:left="3048" w:hanging="648"/>
      </w:pPr>
      <w:rPr>
        <w:rFonts w:hint="default"/>
        <w:lang w:val="en-US" w:eastAsia="en-US" w:bidi="ar-SA"/>
      </w:rPr>
    </w:lvl>
    <w:lvl w:ilvl="3">
      <w:start w:val="0"/>
      <w:numFmt w:val="bullet"/>
      <w:lvlText w:val="•"/>
      <w:lvlJc w:val="left"/>
      <w:pPr>
        <w:ind w:left="4052" w:hanging="648"/>
      </w:pPr>
      <w:rPr>
        <w:rFonts w:hint="default"/>
        <w:lang w:val="en-US" w:eastAsia="en-US" w:bidi="ar-SA"/>
      </w:rPr>
    </w:lvl>
    <w:lvl w:ilvl="4">
      <w:start w:val="0"/>
      <w:numFmt w:val="bullet"/>
      <w:lvlText w:val="•"/>
      <w:lvlJc w:val="left"/>
      <w:pPr>
        <w:ind w:left="5056" w:hanging="648"/>
      </w:pPr>
      <w:rPr>
        <w:rFonts w:hint="default"/>
        <w:lang w:val="en-US" w:eastAsia="en-US" w:bidi="ar-SA"/>
      </w:rPr>
    </w:lvl>
    <w:lvl w:ilvl="5">
      <w:start w:val="0"/>
      <w:numFmt w:val="bullet"/>
      <w:lvlText w:val="•"/>
      <w:lvlJc w:val="left"/>
      <w:pPr>
        <w:ind w:left="6060" w:hanging="648"/>
      </w:pPr>
      <w:rPr>
        <w:rFonts w:hint="default"/>
        <w:lang w:val="en-US" w:eastAsia="en-US" w:bidi="ar-SA"/>
      </w:rPr>
    </w:lvl>
    <w:lvl w:ilvl="6">
      <w:start w:val="0"/>
      <w:numFmt w:val="bullet"/>
      <w:lvlText w:val="•"/>
      <w:lvlJc w:val="left"/>
      <w:pPr>
        <w:ind w:left="7064" w:hanging="648"/>
      </w:pPr>
      <w:rPr>
        <w:rFonts w:hint="default"/>
        <w:lang w:val="en-US" w:eastAsia="en-US" w:bidi="ar-SA"/>
      </w:rPr>
    </w:lvl>
    <w:lvl w:ilvl="7">
      <w:start w:val="0"/>
      <w:numFmt w:val="bullet"/>
      <w:lvlText w:val="•"/>
      <w:lvlJc w:val="left"/>
      <w:pPr>
        <w:ind w:left="8068" w:hanging="648"/>
      </w:pPr>
      <w:rPr>
        <w:rFonts w:hint="default"/>
        <w:lang w:val="en-US" w:eastAsia="en-US" w:bidi="ar-SA"/>
      </w:rPr>
    </w:lvl>
    <w:lvl w:ilvl="8">
      <w:start w:val="0"/>
      <w:numFmt w:val="bullet"/>
      <w:lvlText w:val="•"/>
      <w:lvlJc w:val="left"/>
      <w:pPr>
        <w:ind w:left="9072" w:hanging="648"/>
      </w:pPr>
      <w:rPr>
        <w:rFonts w:hint="default"/>
        <w:lang w:val="en-US" w:eastAsia="en-US" w:bidi="ar-SA"/>
      </w:rPr>
    </w:lvl>
  </w:abstractNum>
  <w:abstractNum w:abstractNumId="55">
    <w:multiLevelType w:val="hybridMultilevel"/>
    <w:lvl w:ilvl="0">
      <w:start w:val="6"/>
      <w:numFmt w:val="decimal"/>
      <w:lvlText w:val="%1"/>
      <w:lvlJc w:val="left"/>
      <w:pPr>
        <w:ind w:left="760" w:hanging="360"/>
        <w:jc w:val="left"/>
      </w:pPr>
      <w:rPr>
        <w:rFonts w:hint="default"/>
        <w:lang w:val="en-US" w:eastAsia="en-US" w:bidi="ar-SA"/>
      </w:rPr>
    </w:lvl>
    <w:lvl w:ilvl="1">
      <w:start w:val="1"/>
      <w:numFmt w:val="decimal"/>
      <w:lvlText w:val="%1.%2"/>
      <w:lvlJc w:val="left"/>
      <w:pPr>
        <w:ind w:left="7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12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3">
      <w:start w:val="0"/>
      <w:numFmt w:val="bullet"/>
      <w:lvlText w:val="•"/>
      <w:lvlJc w:val="left"/>
      <w:pPr>
        <w:ind w:left="3333" w:hanging="360"/>
      </w:pPr>
      <w:rPr>
        <w:rFonts w:hint="default"/>
        <w:lang w:val="en-US" w:eastAsia="en-US" w:bidi="ar-SA"/>
      </w:rPr>
    </w:lvl>
    <w:lvl w:ilvl="4">
      <w:start w:val="0"/>
      <w:numFmt w:val="bullet"/>
      <w:lvlText w:val="•"/>
      <w:lvlJc w:val="left"/>
      <w:pPr>
        <w:ind w:left="4440" w:hanging="360"/>
      </w:pPr>
      <w:rPr>
        <w:rFonts w:hint="default"/>
        <w:lang w:val="en-US" w:eastAsia="en-US" w:bidi="ar-SA"/>
      </w:rPr>
    </w:lvl>
    <w:lvl w:ilvl="5">
      <w:start w:val="0"/>
      <w:numFmt w:val="bullet"/>
      <w:lvlText w:val="•"/>
      <w:lvlJc w:val="left"/>
      <w:pPr>
        <w:ind w:left="5546" w:hanging="360"/>
      </w:pPr>
      <w:rPr>
        <w:rFonts w:hint="default"/>
        <w:lang w:val="en-US" w:eastAsia="en-US" w:bidi="ar-SA"/>
      </w:rPr>
    </w:lvl>
    <w:lvl w:ilvl="6">
      <w:start w:val="0"/>
      <w:numFmt w:val="bullet"/>
      <w:lvlText w:val="•"/>
      <w:lvlJc w:val="left"/>
      <w:pPr>
        <w:ind w:left="6653" w:hanging="360"/>
      </w:pPr>
      <w:rPr>
        <w:rFonts w:hint="default"/>
        <w:lang w:val="en-US" w:eastAsia="en-US" w:bidi="ar-SA"/>
      </w:rPr>
    </w:lvl>
    <w:lvl w:ilvl="7">
      <w:start w:val="0"/>
      <w:numFmt w:val="bullet"/>
      <w:lvlText w:val="•"/>
      <w:lvlJc w:val="left"/>
      <w:pPr>
        <w:ind w:left="7760" w:hanging="360"/>
      </w:pPr>
      <w:rPr>
        <w:rFonts w:hint="default"/>
        <w:lang w:val="en-US" w:eastAsia="en-US" w:bidi="ar-SA"/>
      </w:rPr>
    </w:lvl>
    <w:lvl w:ilvl="8">
      <w:start w:val="0"/>
      <w:numFmt w:val="bullet"/>
      <w:lvlText w:val="•"/>
      <w:lvlJc w:val="left"/>
      <w:pPr>
        <w:ind w:left="8866" w:hanging="360"/>
      </w:pPr>
      <w:rPr>
        <w:rFonts w:hint="default"/>
        <w:lang w:val="en-US" w:eastAsia="en-US" w:bidi="ar-SA"/>
      </w:rPr>
    </w:lvl>
  </w:abstractNum>
  <w:abstractNum w:abstractNumId="54">
    <w:multiLevelType w:val="hybridMultilevel"/>
    <w:lvl w:ilvl="0">
      <w:start w:val="6"/>
      <w:numFmt w:val="decimal"/>
      <w:lvlText w:val="%1"/>
      <w:lvlJc w:val="left"/>
      <w:pPr>
        <w:ind w:left="1120" w:hanging="720"/>
        <w:jc w:val="left"/>
      </w:pPr>
      <w:rPr>
        <w:rFonts w:hint="default"/>
        <w:lang w:val="en-US" w:eastAsia="en-US" w:bidi="ar-SA"/>
      </w:rPr>
    </w:lvl>
    <w:lvl w:ilvl="1">
      <w:start w:val="15"/>
      <w:numFmt w:val="decimal"/>
      <w:lvlText w:val="%1.%2"/>
      <w:lvlJc w:val="left"/>
      <w:pPr>
        <w:ind w:left="1120" w:hanging="720"/>
        <w:jc w:val="left"/>
      </w:pPr>
      <w:rPr>
        <w:rFonts w:hint="default"/>
        <w:lang w:val="en-US" w:eastAsia="en-US" w:bidi="ar-SA"/>
      </w:rPr>
    </w:lvl>
    <w:lvl w:ilvl="2">
      <w:start w:val="2"/>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0" w:hanging="262"/>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440" w:hanging="262"/>
      </w:pPr>
      <w:rPr>
        <w:rFonts w:hint="default"/>
        <w:lang w:val="en-US" w:eastAsia="en-US" w:bidi="ar-SA"/>
      </w:rPr>
    </w:lvl>
    <w:lvl w:ilvl="5">
      <w:start w:val="0"/>
      <w:numFmt w:val="bullet"/>
      <w:lvlText w:val="•"/>
      <w:lvlJc w:val="left"/>
      <w:pPr>
        <w:ind w:left="5546" w:hanging="262"/>
      </w:pPr>
      <w:rPr>
        <w:rFonts w:hint="default"/>
        <w:lang w:val="en-US" w:eastAsia="en-US" w:bidi="ar-SA"/>
      </w:rPr>
    </w:lvl>
    <w:lvl w:ilvl="6">
      <w:start w:val="0"/>
      <w:numFmt w:val="bullet"/>
      <w:lvlText w:val="•"/>
      <w:lvlJc w:val="left"/>
      <w:pPr>
        <w:ind w:left="6653" w:hanging="262"/>
      </w:pPr>
      <w:rPr>
        <w:rFonts w:hint="default"/>
        <w:lang w:val="en-US" w:eastAsia="en-US" w:bidi="ar-SA"/>
      </w:rPr>
    </w:lvl>
    <w:lvl w:ilvl="7">
      <w:start w:val="0"/>
      <w:numFmt w:val="bullet"/>
      <w:lvlText w:val="•"/>
      <w:lvlJc w:val="left"/>
      <w:pPr>
        <w:ind w:left="7760" w:hanging="262"/>
      </w:pPr>
      <w:rPr>
        <w:rFonts w:hint="default"/>
        <w:lang w:val="en-US" w:eastAsia="en-US" w:bidi="ar-SA"/>
      </w:rPr>
    </w:lvl>
    <w:lvl w:ilvl="8">
      <w:start w:val="0"/>
      <w:numFmt w:val="bullet"/>
      <w:lvlText w:val="•"/>
      <w:lvlJc w:val="left"/>
      <w:pPr>
        <w:ind w:left="8866" w:hanging="262"/>
      </w:pPr>
      <w:rPr>
        <w:rFonts w:hint="default"/>
        <w:lang w:val="en-US" w:eastAsia="en-US" w:bidi="ar-SA"/>
      </w:rPr>
    </w:lvl>
  </w:abstractNum>
  <w:abstractNum w:abstractNumId="53">
    <w:multiLevelType w:val="hybridMultilevel"/>
    <w:lvl w:ilvl="0">
      <w:start w:val="0"/>
      <w:numFmt w:val="bullet"/>
      <w:lvlText w:val="-"/>
      <w:lvlJc w:val="left"/>
      <w:pPr>
        <w:ind w:left="400" w:hanging="296"/>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68" w:hanging="296"/>
      </w:pPr>
      <w:rPr>
        <w:rFonts w:hint="default"/>
        <w:lang w:val="en-US" w:eastAsia="en-US" w:bidi="ar-SA"/>
      </w:rPr>
    </w:lvl>
    <w:lvl w:ilvl="2">
      <w:start w:val="0"/>
      <w:numFmt w:val="bullet"/>
      <w:lvlText w:val="•"/>
      <w:lvlJc w:val="left"/>
      <w:pPr>
        <w:ind w:left="2536" w:hanging="296"/>
      </w:pPr>
      <w:rPr>
        <w:rFonts w:hint="default"/>
        <w:lang w:val="en-US" w:eastAsia="en-US" w:bidi="ar-SA"/>
      </w:rPr>
    </w:lvl>
    <w:lvl w:ilvl="3">
      <w:start w:val="0"/>
      <w:numFmt w:val="bullet"/>
      <w:lvlText w:val="•"/>
      <w:lvlJc w:val="left"/>
      <w:pPr>
        <w:ind w:left="3604" w:hanging="296"/>
      </w:pPr>
      <w:rPr>
        <w:rFonts w:hint="default"/>
        <w:lang w:val="en-US" w:eastAsia="en-US" w:bidi="ar-SA"/>
      </w:rPr>
    </w:lvl>
    <w:lvl w:ilvl="4">
      <w:start w:val="0"/>
      <w:numFmt w:val="bullet"/>
      <w:lvlText w:val="•"/>
      <w:lvlJc w:val="left"/>
      <w:pPr>
        <w:ind w:left="4672" w:hanging="296"/>
      </w:pPr>
      <w:rPr>
        <w:rFonts w:hint="default"/>
        <w:lang w:val="en-US" w:eastAsia="en-US" w:bidi="ar-SA"/>
      </w:rPr>
    </w:lvl>
    <w:lvl w:ilvl="5">
      <w:start w:val="0"/>
      <w:numFmt w:val="bullet"/>
      <w:lvlText w:val="•"/>
      <w:lvlJc w:val="left"/>
      <w:pPr>
        <w:ind w:left="5740" w:hanging="296"/>
      </w:pPr>
      <w:rPr>
        <w:rFonts w:hint="default"/>
        <w:lang w:val="en-US" w:eastAsia="en-US" w:bidi="ar-SA"/>
      </w:rPr>
    </w:lvl>
    <w:lvl w:ilvl="6">
      <w:start w:val="0"/>
      <w:numFmt w:val="bullet"/>
      <w:lvlText w:val="•"/>
      <w:lvlJc w:val="left"/>
      <w:pPr>
        <w:ind w:left="6808" w:hanging="296"/>
      </w:pPr>
      <w:rPr>
        <w:rFonts w:hint="default"/>
        <w:lang w:val="en-US" w:eastAsia="en-US" w:bidi="ar-SA"/>
      </w:rPr>
    </w:lvl>
    <w:lvl w:ilvl="7">
      <w:start w:val="0"/>
      <w:numFmt w:val="bullet"/>
      <w:lvlText w:val="•"/>
      <w:lvlJc w:val="left"/>
      <w:pPr>
        <w:ind w:left="7876" w:hanging="296"/>
      </w:pPr>
      <w:rPr>
        <w:rFonts w:hint="default"/>
        <w:lang w:val="en-US" w:eastAsia="en-US" w:bidi="ar-SA"/>
      </w:rPr>
    </w:lvl>
    <w:lvl w:ilvl="8">
      <w:start w:val="0"/>
      <w:numFmt w:val="bullet"/>
      <w:lvlText w:val="•"/>
      <w:lvlJc w:val="left"/>
      <w:pPr>
        <w:ind w:left="8944" w:hanging="296"/>
      </w:pPr>
      <w:rPr>
        <w:rFonts w:hint="default"/>
        <w:lang w:val="en-US" w:eastAsia="en-US" w:bidi="ar-SA"/>
      </w:rPr>
    </w:lvl>
  </w:abstractNum>
  <w:abstractNum w:abstractNumId="52">
    <w:multiLevelType w:val="hybridMultilevel"/>
    <w:lvl w:ilvl="0">
      <w:start w:val="5"/>
      <w:numFmt w:val="decimal"/>
      <w:lvlText w:val="%1"/>
      <w:lvlJc w:val="left"/>
      <w:pPr>
        <w:ind w:left="400" w:hanging="533"/>
        <w:jc w:val="left"/>
      </w:pPr>
      <w:rPr>
        <w:rFonts w:hint="default"/>
        <w:lang w:val="en-US" w:eastAsia="en-US" w:bidi="ar-SA"/>
      </w:rPr>
    </w:lvl>
    <w:lvl w:ilvl="1">
      <w:start w:val="14"/>
      <w:numFmt w:val="decimal"/>
      <w:lvlText w:val="%1.%2"/>
      <w:lvlJc w:val="left"/>
      <w:pPr>
        <w:ind w:left="400" w:hanging="533"/>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84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150" w:hanging="1440"/>
      </w:pPr>
      <w:rPr>
        <w:rFonts w:hint="default"/>
        <w:lang w:val="en-US" w:eastAsia="en-US" w:bidi="ar-SA"/>
      </w:rPr>
    </w:lvl>
    <w:lvl w:ilvl="5">
      <w:start w:val="0"/>
      <w:numFmt w:val="bullet"/>
      <w:lvlText w:val="•"/>
      <w:lvlJc w:val="left"/>
      <w:pPr>
        <w:ind w:left="5305" w:hanging="1440"/>
      </w:pPr>
      <w:rPr>
        <w:rFonts w:hint="default"/>
        <w:lang w:val="en-US" w:eastAsia="en-US" w:bidi="ar-SA"/>
      </w:rPr>
    </w:lvl>
    <w:lvl w:ilvl="6">
      <w:start w:val="0"/>
      <w:numFmt w:val="bullet"/>
      <w:lvlText w:val="•"/>
      <w:lvlJc w:val="left"/>
      <w:pPr>
        <w:ind w:left="6460" w:hanging="1440"/>
      </w:pPr>
      <w:rPr>
        <w:rFonts w:hint="default"/>
        <w:lang w:val="en-US" w:eastAsia="en-US" w:bidi="ar-SA"/>
      </w:rPr>
    </w:lvl>
    <w:lvl w:ilvl="7">
      <w:start w:val="0"/>
      <w:numFmt w:val="bullet"/>
      <w:lvlText w:val="•"/>
      <w:lvlJc w:val="left"/>
      <w:pPr>
        <w:ind w:left="7615" w:hanging="1440"/>
      </w:pPr>
      <w:rPr>
        <w:rFonts w:hint="default"/>
        <w:lang w:val="en-US" w:eastAsia="en-US" w:bidi="ar-SA"/>
      </w:rPr>
    </w:lvl>
    <w:lvl w:ilvl="8">
      <w:start w:val="0"/>
      <w:numFmt w:val="bullet"/>
      <w:lvlText w:val="•"/>
      <w:lvlJc w:val="left"/>
      <w:pPr>
        <w:ind w:left="8770" w:hanging="1440"/>
      </w:pPr>
      <w:rPr>
        <w:rFonts w:hint="default"/>
        <w:lang w:val="en-US" w:eastAsia="en-US" w:bidi="ar-SA"/>
      </w:rPr>
    </w:lvl>
  </w:abstractNum>
  <w:abstractNum w:abstractNumId="51">
    <w:multiLevelType w:val="hybridMultilevel"/>
    <w:lvl w:ilvl="0">
      <w:start w:val="5"/>
      <w:numFmt w:val="decimal"/>
      <w:lvlText w:val="%1"/>
      <w:lvlJc w:val="left"/>
      <w:pPr>
        <w:ind w:left="1120" w:hanging="720"/>
        <w:jc w:val="left"/>
      </w:pPr>
      <w:rPr>
        <w:rFonts w:hint="default"/>
        <w:lang w:val="en-US" w:eastAsia="en-US" w:bidi="ar-SA"/>
      </w:rPr>
    </w:lvl>
    <w:lvl w:ilvl="1">
      <w:start w:val="10"/>
      <w:numFmt w:val="decimal"/>
      <w:lvlText w:val="%1.%2"/>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12" w:hanging="720"/>
      </w:pPr>
      <w:rPr>
        <w:rFonts w:hint="default"/>
        <w:lang w:val="en-US" w:eastAsia="en-US" w:bidi="ar-SA"/>
      </w:rPr>
    </w:lvl>
    <w:lvl w:ilvl="3">
      <w:start w:val="0"/>
      <w:numFmt w:val="bullet"/>
      <w:lvlText w:val="•"/>
      <w:lvlJc w:val="left"/>
      <w:pPr>
        <w:ind w:left="4108" w:hanging="720"/>
      </w:pPr>
      <w:rPr>
        <w:rFonts w:hint="default"/>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50">
    <w:multiLevelType w:val="hybridMultilevel"/>
    <w:lvl w:ilvl="0">
      <w:start w:val="5"/>
      <w:numFmt w:val="decimal"/>
      <w:lvlText w:val="%1"/>
      <w:lvlJc w:val="left"/>
      <w:pPr>
        <w:ind w:left="1120" w:hanging="720"/>
        <w:jc w:val="left"/>
      </w:pPr>
      <w:rPr>
        <w:rFonts w:hint="default"/>
        <w:lang w:val="en-US" w:eastAsia="en-US" w:bidi="ar-SA"/>
      </w:rPr>
    </w:lvl>
    <w:lvl w:ilvl="1">
      <w:start w:val="9"/>
      <w:numFmt w:val="decimal"/>
      <w:lvlText w:val="%1.%2"/>
      <w:lvlJc w:val="left"/>
      <w:pPr>
        <w:ind w:left="1120" w:hanging="720"/>
        <w:jc w:val="left"/>
      </w:pPr>
      <w:rPr>
        <w:rFonts w:hint="default"/>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08" w:hanging="720"/>
      </w:pPr>
      <w:rPr>
        <w:rFonts w:hint="default"/>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49">
    <w:multiLevelType w:val="hybridMultilevel"/>
    <w:lvl w:ilvl="0">
      <w:start w:val="1"/>
      <w:numFmt w:val="lowerLetter"/>
      <w:lvlText w:val="%1."/>
      <w:lvlJc w:val="left"/>
      <w:pPr>
        <w:ind w:left="656"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702" w:hanging="226"/>
      </w:pPr>
      <w:rPr>
        <w:rFonts w:hint="default"/>
        <w:lang w:val="en-US" w:eastAsia="en-US" w:bidi="ar-SA"/>
      </w:rPr>
    </w:lvl>
    <w:lvl w:ilvl="2">
      <w:start w:val="0"/>
      <w:numFmt w:val="bullet"/>
      <w:lvlText w:val="•"/>
      <w:lvlJc w:val="left"/>
      <w:pPr>
        <w:ind w:left="2744" w:hanging="226"/>
      </w:pPr>
      <w:rPr>
        <w:rFonts w:hint="default"/>
        <w:lang w:val="en-US" w:eastAsia="en-US" w:bidi="ar-SA"/>
      </w:rPr>
    </w:lvl>
    <w:lvl w:ilvl="3">
      <w:start w:val="0"/>
      <w:numFmt w:val="bullet"/>
      <w:lvlText w:val="•"/>
      <w:lvlJc w:val="left"/>
      <w:pPr>
        <w:ind w:left="3786" w:hanging="226"/>
      </w:pPr>
      <w:rPr>
        <w:rFonts w:hint="default"/>
        <w:lang w:val="en-US" w:eastAsia="en-US" w:bidi="ar-SA"/>
      </w:rPr>
    </w:lvl>
    <w:lvl w:ilvl="4">
      <w:start w:val="0"/>
      <w:numFmt w:val="bullet"/>
      <w:lvlText w:val="•"/>
      <w:lvlJc w:val="left"/>
      <w:pPr>
        <w:ind w:left="4828" w:hanging="226"/>
      </w:pPr>
      <w:rPr>
        <w:rFonts w:hint="default"/>
        <w:lang w:val="en-US" w:eastAsia="en-US" w:bidi="ar-SA"/>
      </w:rPr>
    </w:lvl>
    <w:lvl w:ilvl="5">
      <w:start w:val="0"/>
      <w:numFmt w:val="bullet"/>
      <w:lvlText w:val="•"/>
      <w:lvlJc w:val="left"/>
      <w:pPr>
        <w:ind w:left="5870" w:hanging="226"/>
      </w:pPr>
      <w:rPr>
        <w:rFonts w:hint="default"/>
        <w:lang w:val="en-US" w:eastAsia="en-US" w:bidi="ar-SA"/>
      </w:rPr>
    </w:lvl>
    <w:lvl w:ilvl="6">
      <w:start w:val="0"/>
      <w:numFmt w:val="bullet"/>
      <w:lvlText w:val="•"/>
      <w:lvlJc w:val="left"/>
      <w:pPr>
        <w:ind w:left="6912" w:hanging="226"/>
      </w:pPr>
      <w:rPr>
        <w:rFonts w:hint="default"/>
        <w:lang w:val="en-US" w:eastAsia="en-US" w:bidi="ar-SA"/>
      </w:rPr>
    </w:lvl>
    <w:lvl w:ilvl="7">
      <w:start w:val="0"/>
      <w:numFmt w:val="bullet"/>
      <w:lvlText w:val="•"/>
      <w:lvlJc w:val="left"/>
      <w:pPr>
        <w:ind w:left="7954" w:hanging="226"/>
      </w:pPr>
      <w:rPr>
        <w:rFonts w:hint="default"/>
        <w:lang w:val="en-US" w:eastAsia="en-US" w:bidi="ar-SA"/>
      </w:rPr>
    </w:lvl>
    <w:lvl w:ilvl="8">
      <w:start w:val="0"/>
      <w:numFmt w:val="bullet"/>
      <w:lvlText w:val="•"/>
      <w:lvlJc w:val="left"/>
      <w:pPr>
        <w:ind w:left="8996" w:hanging="226"/>
      </w:pPr>
      <w:rPr>
        <w:rFonts w:hint="default"/>
        <w:lang w:val="en-US" w:eastAsia="en-US" w:bidi="ar-SA"/>
      </w:rPr>
    </w:lvl>
  </w:abstractNum>
  <w:abstractNum w:abstractNumId="48">
    <w:multiLevelType w:val="hybridMultilevel"/>
    <w:lvl w:ilvl="0">
      <w:start w:val="5"/>
      <w:numFmt w:val="decimal"/>
      <w:lvlText w:val="%1"/>
      <w:lvlJc w:val="left"/>
      <w:pPr>
        <w:ind w:left="911" w:hanging="480"/>
        <w:jc w:val="left"/>
      </w:pPr>
      <w:rPr>
        <w:rFonts w:hint="default"/>
        <w:lang w:val="en-US" w:eastAsia="en-US" w:bidi="ar-SA"/>
      </w:rPr>
    </w:lvl>
    <w:lvl w:ilvl="1">
      <w:start w:val="14"/>
      <w:numFmt w:val="decimal"/>
      <w:lvlText w:val="%1.%2"/>
      <w:lvlJc w:val="left"/>
      <w:pPr>
        <w:ind w:left="911"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52" w:hanging="480"/>
      </w:pPr>
      <w:rPr>
        <w:rFonts w:hint="default"/>
        <w:lang w:val="en-US" w:eastAsia="en-US" w:bidi="ar-SA"/>
      </w:rPr>
    </w:lvl>
    <w:lvl w:ilvl="3">
      <w:start w:val="0"/>
      <w:numFmt w:val="bullet"/>
      <w:lvlText w:val="•"/>
      <w:lvlJc w:val="left"/>
      <w:pPr>
        <w:ind w:left="3968" w:hanging="480"/>
      </w:pPr>
      <w:rPr>
        <w:rFonts w:hint="default"/>
        <w:lang w:val="en-US" w:eastAsia="en-US" w:bidi="ar-SA"/>
      </w:rPr>
    </w:lvl>
    <w:lvl w:ilvl="4">
      <w:start w:val="0"/>
      <w:numFmt w:val="bullet"/>
      <w:lvlText w:val="•"/>
      <w:lvlJc w:val="left"/>
      <w:pPr>
        <w:ind w:left="4984" w:hanging="480"/>
      </w:pPr>
      <w:rPr>
        <w:rFonts w:hint="default"/>
        <w:lang w:val="en-US" w:eastAsia="en-US" w:bidi="ar-SA"/>
      </w:rPr>
    </w:lvl>
    <w:lvl w:ilvl="5">
      <w:start w:val="0"/>
      <w:numFmt w:val="bullet"/>
      <w:lvlText w:val="•"/>
      <w:lvlJc w:val="left"/>
      <w:pPr>
        <w:ind w:left="6000" w:hanging="480"/>
      </w:pPr>
      <w:rPr>
        <w:rFonts w:hint="default"/>
        <w:lang w:val="en-US" w:eastAsia="en-US" w:bidi="ar-SA"/>
      </w:rPr>
    </w:lvl>
    <w:lvl w:ilvl="6">
      <w:start w:val="0"/>
      <w:numFmt w:val="bullet"/>
      <w:lvlText w:val="•"/>
      <w:lvlJc w:val="left"/>
      <w:pPr>
        <w:ind w:left="7016" w:hanging="480"/>
      </w:pPr>
      <w:rPr>
        <w:rFonts w:hint="default"/>
        <w:lang w:val="en-US" w:eastAsia="en-US" w:bidi="ar-SA"/>
      </w:rPr>
    </w:lvl>
    <w:lvl w:ilvl="7">
      <w:start w:val="0"/>
      <w:numFmt w:val="bullet"/>
      <w:lvlText w:val="•"/>
      <w:lvlJc w:val="left"/>
      <w:pPr>
        <w:ind w:left="8032" w:hanging="480"/>
      </w:pPr>
      <w:rPr>
        <w:rFonts w:hint="default"/>
        <w:lang w:val="en-US" w:eastAsia="en-US" w:bidi="ar-SA"/>
      </w:rPr>
    </w:lvl>
    <w:lvl w:ilvl="8">
      <w:start w:val="0"/>
      <w:numFmt w:val="bullet"/>
      <w:lvlText w:val="•"/>
      <w:lvlJc w:val="left"/>
      <w:pPr>
        <w:ind w:left="9048" w:hanging="480"/>
      </w:pPr>
      <w:rPr>
        <w:rFonts w:hint="default"/>
        <w:lang w:val="en-US" w:eastAsia="en-US" w:bidi="ar-SA"/>
      </w:rPr>
    </w:lvl>
  </w:abstractNum>
  <w:abstractNum w:abstractNumId="47">
    <w:multiLevelType w:val="hybridMultilevel"/>
    <w:lvl w:ilvl="0">
      <w:start w:val="1"/>
      <w:numFmt w:val="lowerLetter"/>
      <w:lvlText w:val="%1."/>
      <w:lvlJc w:val="left"/>
      <w:pPr>
        <w:ind w:left="656"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702" w:hanging="226"/>
      </w:pPr>
      <w:rPr>
        <w:rFonts w:hint="default"/>
        <w:lang w:val="en-US" w:eastAsia="en-US" w:bidi="ar-SA"/>
      </w:rPr>
    </w:lvl>
    <w:lvl w:ilvl="2">
      <w:start w:val="0"/>
      <w:numFmt w:val="bullet"/>
      <w:lvlText w:val="•"/>
      <w:lvlJc w:val="left"/>
      <w:pPr>
        <w:ind w:left="2744" w:hanging="226"/>
      </w:pPr>
      <w:rPr>
        <w:rFonts w:hint="default"/>
        <w:lang w:val="en-US" w:eastAsia="en-US" w:bidi="ar-SA"/>
      </w:rPr>
    </w:lvl>
    <w:lvl w:ilvl="3">
      <w:start w:val="0"/>
      <w:numFmt w:val="bullet"/>
      <w:lvlText w:val="•"/>
      <w:lvlJc w:val="left"/>
      <w:pPr>
        <w:ind w:left="3786" w:hanging="226"/>
      </w:pPr>
      <w:rPr>
        <w:rFonts w:hint="default"/>
        <w:lang w:val="en-US" w:eastAsia="en-US" w:bidi="ar-SA"/>
      </w:rPr>
    </w:lvl>
    <w:lvl w:ilvl="4">
      <w:start w:val="0"/>
      <w:numFmt w:val="bullet"/>
      <w:lvlText w:val="•"/>
      <w:lvlJc w:val="left"/>
      <w:pPr>
        <w:ind w:left="4828" w:hanging="226"/>
      </w:pPr>
      <w:rPr>
        <w:rFonts w:hint="default"/>
        <w:lang w:val="en-US" w:eastAsia="en-US" w:bidi="ar-SA"/>
      </w:rPr>
    </w:lvl>
    <w:lvl w:ilvl="5">
      <w:start w:val="0"/>
      <w:numFmt w:val="bullet"/>
      <w:lvlText w:val="•"/>
      <w:lvlJc w:val="left"/>
      <w:pPr>
        <w:ind w:left="5870" w:hanging="226"/>
      </w:pPr>
      <w:rPr>
        <w:rFonts w:hint="default"/>
        <w:lang w:val="en-US" w:eastAsia="en-US" w:bidi="ar-SA"/>
      </w:rPr>
    </w:lvl>
    <w:lvl w:ilvl="6">
      <w:start w:val="0"/>
      <w:numFmt w:val="bullet"/>
      <w:lvlText w:val="•"/>
      <w:lvlJc w:val="left"/>
      <w:pPr>
        <w:ind w:left="6912" w:hanging="226"/>
      </w:pPr>
      <w:rPr>
        <w:rFonts w:hint="default"/>
        <w:lang w:val="en-US" w:eastAsia="en-US" w:bidi="ar-SA"/>
      </w:rPr>
    </w:lvl>
    <w:lvl w:ilvl="7">
      <w:start w:val="0"/>
      <w:numFmt w:val="bullet"/>
      <w:lvlText w:val="•"/>
      <w:lvlJc w:val="left"/>
      <w:pPr>
        <w:ind w:left="7954" w:hanging="226"/>
      </w:pPr>
      <w:rPr>
        <w:rFonts w:hint="default"/>
        <w:lang w:val="en-US" w:eastAsia="en-US" w:bidi="ar-SA"/>
      </w:rPr>
    </w:lvl>
    <w:lvl w:ilvl="8">
      <w:start w:val="0"/>
      <w:numFmt w:val="bullet"/>
      <w:lvlText w:val="•"/>
      <w:lvlJc w:val="left"/>
      <w:pPr>
        <w:ind w:left="8996" w:hanging="226"/>
      </w:pPr>
      <w:rPr>
        <w:rFonts w:hint="default"/>
        <w:lang w:val="en-US" w:eastAsia="en-US" w:bidi="ar-SA"/>
      </w:rPr>
    </w:lvl>
  </w:abstractNum>
  <w:abstractNum w:abstractNumId="46">
    <w:multiLevelType w:val="hybridMultilevel"/>
    <w:lvl w:ilvl="0">
      <w:start w:val="5"/>
      <w:numFmt w:val="decimal"/>
      <w:lvlText w:val="%1"/>
      <w:lvlJc w:val="left"/>
      <w:pPr>
        <w:ind w:left="791" w:hanging="360"/>
        <w:jc w:val="left"/>
      </w:pPr>
      <w:rPr>
        <w:rFonts w:hint="default"/>
        <w:lang w:val="en-US" w:eastAsia="en-US" w:bidi="ar-SA"/>
      </w:rPr>
    </w:lvl>
    <w:lvl w:ilvl="1">
      <w:start w:val="7"/>
      <w:numFmt w:val="decimal"/>
      <w:lvlText w:val="%1.%2"/>
      <w:lvlJc w:val="left"/>
      <w:pPr>
        <w:ind w:left="791"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84" w:hanging="360"/>
      </w:pPr>
      <w:rPr>
        <w:rFonts w:hint="default"/>
        <w:lang w:val="en-US" w:eastAsia="en-US" w:bidi="ar-SA"/>
      </w:rPr>
    </w:lvl>
    <w:lvl w:ilvl="4">
      <w:start w:val="0"/>
      <w:numFmt w:val="bullet"/>
      <w:lvlText w:val="•"/>
      <w:lvlJc w:val="left"/>
      <w:pPr>
        <w:ind w:left="4912"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96" w:hanging="360"/>
      </w:pPr>
      <w:rPr>
        <w:rFonts w:hint="default"/>
        <w:lang w:val="en-US" w:eastAsia="en-US" w:bidi="ar-SA"/>
      </w:rPr>
    </w:lvl>
    <w:lvl w:ilvl="8">
      <w:start w:val="0"/>
      <w:numFmt w:val="bullet"/>
      <w:lvlText w:val="•"/>
      <w:lvlJc w:val="left"/>
      <w:pPr>
        <w:ind w:left="9024" w:hanging="360"/>
      </w:pPr>
      <w:rPr>
        <w:rFonts w:hint="default"/>
        <w:lang w:val="en-US" w:eastAsia="en-US" w:bidi="ar-SA"/>
      </w:rPr>
    </w:lvl>
  </w:abstractNum>
  <w:abstractNum w:abstractNumId="45">
    <w:multiLevelType w:val="hybridMultilevel"/>
    <w:lvl w:ilvl="0">
      <w:start w:val="5"/>
      <w:numFmt w:val="decimal"/>
      <w:lvlText w:val="%1"/>
      <w:lvlJc w:val="left"/>
      <w:pPr>
        <w:ind w:left="400" w:hanging="720"/>
        <w:jc w:val="left"/>
      </w:pPr>
      <w:rPr>
        <w:rFonts w:hint="default"/>
        <w:lang w:val="en-US" w:eastAsia="en-US" w:bidi="ar-SA"/>
      </w:rPr>
    </w:lvl>
    <w:lvl w:ilvl="1">
      <w:start w:val="5"/>
      <w:numFmt w:val="decimal"/>
      <w:lvlText w:val="%1.%2"/>
      <w:lvlJc w:val="left"/>
      <w:pPr>
        <w:ind w:left="4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193" w:hanging="540"/>
      </w:pPr>
      <w:rPr>
        <w:rFonts w:hint="default"/>
        <w:lang w:val="en-US" w:eastAsia="en-US" w:bidi="ar-SA"/>
      </w:rPr>
    </w:lvl>
    <w:lvl w:ilvl="4">
      <w:start w:val="0"/>
      <w:numFmt w:val="bullet"/>
      <w:lvlText w:val="•"/>
      <w:lvlJc w:val="left"/>
      <w:pPr>
        <w:ind w:left="4320" w:hanging="540"/>
      </w:pPr>
      <w:rPr>
        <w:rFonts w:hint="default"/>
        <w:lang w:val="en-US" w:eastAsia="en-US" w:bidi="ar-SA"/>
      </w:rPr>
    </w:lvl>
    <w:lvl w:ilvl="5">
      <w:start w:val="0"/>
      <w:numFmt w:val="bullet"/>
      <w:lvlText w:val="•"/>
      <w:lvlJc w:val="left"/>
      <w:pPr>
        <w:ind w:left="5446" w:hanging="540"/>
      </w:pPr>
      <w:rPr>
        <w:rFonts w:hint="default"/>
        <w:lang w:val="en-US" w:eastAsia="en-US" w:bidi="ar-SA"/>
      </w:rPr>
    </w:lvl>
    <w:lvl w:ilvl="6">
      <w:start w:val="0"/>
      <w:numFmt w:val="bullet"/>
      <w:lvlText w:val="•"/>
      <w:lvlJc w:val="left"/>
      <w:pPr>
        <w:ind w:left="6573" w:hanging="540"/>
      </w:pPr>
      <w:rPr>
        <w:rFonts w:hint="default"/>
        <w:lang w:val="en-US" w:eastAsia="en-US" w:bidi="ar-SA"/>
      </w:rPr>
    </w:lvl>
    <w:lvl w:ilvl="7">
      <w:start w:val="0"/>
      <w:numFmt w:val="bullet"/>
      <w:lvlText w:val="•"/>
      <w:lvlJc w:val="left"/>
      <w:pPr>
        <w:ind w:left="7700" w:hanging="540"/>
      </w:pPr>
      <w:rPr>
        <w:rFonts w:hint="default"/>
        <w:lang w:val="en-US" w:eastAsia="en-US" w:bidi="ar-SA"/>
      </w:rPr>
    </w:lvl>
    <w:lvl w:ilvl="8">
      <w:start w:val="0"/>
      <w:numFmt w:val="bullet"/>
      <w:lvlText w:val="•"/>
      <w:lvlJc w:val="left"/>
      <w:pPr>
        <w:ind w:left="8826" w:hanging="540"/>
      </w:pPr>
      <w:rPr>
        <w:rFonts w:hint="default"/>
        <w:lang w:val="en-US" w:eastAsia="en-US" w:bidi="ar-SA"/>
      </w:rPr>
    </w:lvl>
  </w:abstractNum>
  <w:abstractNum w:abstractNumId="44">
    <w:multiLevelType w:val="hybridMultilevel"/>
    <w:lvl w:ilvl="0">
      <w:start w:val="1"/>
      <w:numFmt w:val="lowerLetter"/>
      <w:lvlText w:val="(%1)"/>
      <w:lvlJc w:val="left"/>
      <w:pPr>
        <w:ind w:left="513"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078" w:hanging="360"/>
      </w:pPr>
      <w:rPr>
        <w:rFonts w:hint="default"/>
        <w:lang w:val="en-US" w:eastAsia="en-US" w:bidi="ar-SA"/>
      </w:rPr>
    </w:lvl>
    <w:lvl w:ilvl="3">
      <w:start w:val="0"/>
      <w:numFmt w:val="bullet"/>
      <w:lvlText w:val="•"/>
      <w:lvlJc w:val="left"/>
      <w:pPr>
        <w:ind w:left="1357" w:hanging="360"/>
      </w:pPr>
      <w:rPr>
        <w:rFonts w:hint="default"/>
        <w:lang w:val="en-US" w:eastAsia="en-US" w:bidi="ar-SA"/>
      </w:rPr>
    </w:lvl>
    <w:lvl w:ilvl="4">
      <w:start w:val="0"/>
      <w:numFmt w:val="bullet"/>
      <w:lvlText w:val="•"/>
      <w:lvlJc w:val="left"/>
      <w:pPr>
        <w:ind w:left="1636" w:hanging="360"/>
      </w:pPr>
      <w:rPr>
        <w:rFonts w:hint="default"/>
        <w:lang w:val="en-US" w:eastAsia="en-US" w:bidi="ar-SA"/>
      </w:rPr>
    </w:lvl>
    <w:lvl w:ilvl="5">
      <w:start w:val="0"/>
      <w:numFmt w:val="bullet"/>
      <w:lvlText w:val="•"/>
      <w:lvlJc w:val="left"/>
      <w:pPr>
        <w:ind w:left="1916" w:hanging="360"/>
      </w:pPr>
      <w:rPr>
        <w:rFonts w:hint="default"/>
        <w:lang w:val="en-US" w:eastAsia="en-US" w:bidi="ar-SA"/>
      </w:rPr>
    </w:lvl>
    <w:lvl w:ilvl="6">
      <w:start w:val="0"/>
      <w:numFmt w:val="bullet"/>
      <w:lvlText w:val="•"/>
      <w:lvlJc w:val="left"/>
      <w:pPr>
        <w:ind w:left="2195" w:hanging="360"/>
      </w:pPr>
      <w:rPr>
        <w:rFonts w:hint="default"/>
        <w:lang w:val="en-US" w:eastAsia="en-US" w:bidi="ar-SA"/>
      </w:rPr>
    </w:lvl>
    <w:lvl w:ilvl="7">
      <w:start w:val="0"/>
      <w:numFmt w:val="bullet"/>
      <w:lvlText w:val="•"/>
      <w:lvlJc w:val="left"/>
      <w:pPr>
        <w:ind w:left="2474" w:hanging="360"/>
      </w:pPr>
      <w:rPr>
        <w:rFonts w:hint="default"/>
        <w:lang w:val="en-US" w:eastAsia="en-US" w:bidi="ar-SA"/>
      </w:rPr>
    </w:lvl>
    <w:lvl w:ilvl="8">
      <w:start w:val="0"/>
      <w:numFmt w:val="bullet"/>
      <w:lvlText w:val="•"/>
      <w:lvlJc w:val="left"/>
      <w:pPr>
        <w:ind w:left="2753" w:hanging="360"/>
      </w:pPr>
      <w:rPr>
        <w:rFonts w:hint="default"/>
        <w:lang w:val="en-US" w:eastAsia="en-US" w:bidi="ar-SA"/>
      </w:rPr>
    </w:lvl>
  </w:abstractNum>
  <w:abstractNum w:abstractNumId="43">
    <w:multiLevelType w:val="hybridMultilevel"/>
    <w:lvl w:ilvl="0">
      <w:start w:val="1"/>
      <w:numFmt w:val="lowerLetter"/>
      <w:lvlText w:val="(%1)"/>
      <w:lvlJc w:val="left"/>
      <w:pPr>
        <w:ind w:left="513"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799" w:hanging="360"/>
      </w:pPr>
      <w:rPr>
        <w:rFonts w:hint="default"/>
        <w:lang w:val="en-US" w:eastAsia="en-US" w:bidi="ar-SA"/>
      </w:rPr>
    </w:lvl>
    <w:lvl w:ilvl="2">
      <w:start w:val="0"/>
      <w:numFmt w:val="bullet"/>
      <w:lvlText w:val="•"/>
      <w:lvlJc w:val="left"/>
      <w:pPr>
        <w:ind w:left="1078" w:hanging="360"/>
      </w:pPr>
      <w:rPr>
        <w:rFonts w:hint="default"/>
        <w:lang w:val="en-US" w:eastAsia="en-US" w:bidi="ar-SA"/>
      </w:rPr>
    </w:lvl>
    <w:lvl w:ilvl="3">
      <w:start w:val="0"/>
      <w:numFmt w:val="bullet"/>
      <w:lvlText w:val="•"/>
      <w:lvlJc w:val="left"/>
      <w:pPr>
        <w:ind w:left="1357" w:hanging="360"/>
      </w:pPr>
      <w:rPr>
        <w:rFonts w:hint="default"/>
        <w:lang w:val="en-US" w:eastAsia="en-US" w:bidi="ar-SA"/>
      </w:rPr>
    </w:lvl>
    <w:lvl w:ilvl="4">
      <w:start w:val="0"/>
      <w:numFmt w:val="bullet"/>
      <w:lvlText w:val="•"/>
      <w:lvlJc w:val="left"/>
      <w:pPr>
        <w:ind w:left="1636" w:hanging="360"/>
      </w:pPr>
      <w:rPr>
        <w:rFonts w:hint="default"/>
        <w:lang w:val="en-US" w:eastAsia="en-US" w:bidi="ar-SA"/>
      </w:rPr>
    </w:lvl>
    <w:lvl w:ilvl="5">
      <w:start w:val="0"/>
      <w:numFmt w:val="bullet"/>
      <w:lvlText w:val="•"/>
      <w:lvlJc w:val="left"/>
      <w:pPr>
        <w:ind w:left="1916" w:hanging="360"/>
      </w:pPr>
      <w:rPr>
        <w:rFonts w:hint="default"/>
        <w:lang w:val="en-US" w:eastAsia="en-US" w:bidi="ar-SA"/>
      </w:rPr>
    </w:lvl>
    <w:lvl w:ilvl="6">
      <w:start w:val="0"/>
      <w:numFmt w:val="bullet"/>
      <w:lvlText w:val="•"/>
      <w:lvlJc w:val="left"/>
      <w:pPr>
        <w:ind w:left="2195" w:hanging="360"/>
      </w:pPr>
      <w:rPr>
        <w:rFonts w:hint="default"/>
        <w:lang w:val="en-US" w:eastAsia="en-US" w:bidi="ar-SA"/>
      </w:rPr>
    </w:lvl>
    <w:lvl w:ilvl="7">
      <w:start w:val="0"/>
      <w:numFmt w:val="bullet"/>
      <w:lvlText w:val="•"/>
      <w:lvlJc w:val="left"/>
      <w:pPr>
        <w:ind w:left="2474" w:hanging="360"/>
      </w:pPr>
      <w:rPr>
        <w:rFonts w:hint="default"/>
        <w:lang w:val="en-US" w:eastAsia="en-US" w:bidi="ar-SA"/>
      </w:rPr>
    </w:lvl>
    <w:lvl w:ilvl="8">
      <w:start w:val="0"/>
      <w:numFmt w:val="bullet"/>
      <w:lvlText w:val="•"/>
      <w:lvlJc w:val="left"/>
      <w:pPr>
        <w:ind w:left="2753" w:hanging="360"/>
      </w:pPr>
      <w:rPr>
        <w:rFonts w:hint="default"/>
        <w:lang w:val="en-US" w:eastAsia="en-US" w:bidi="ar-SA"/>
      </w:rPr>
    </w:lvl>
  </w:abstractNum>
  <w:abstractNum w:abstractNumId="42">
    <w:multiLevelType w:val="hybridMultilevel"/>
    <w:lvl w:ilvl="0">
      <w:start w:val="1"/>
      <w:numFmt w:val="lowerLetter"/>
      <w:lvlText w:val="(%1)"/>
      <w:lvlJc w:val="left"/>
      <w:pPr>
        <w:ind w:left="446"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727" w:hanging="324"/>
      </w:pPr>
      <w:rPr>
        <w:rFonts w:hint="default"/>
        <w:lang w:val="en-US" w:eastAsia="en-US" w:bidi="ar-SA"/>
      </w:rPr>
    </w:lvl>
    <w:lvl w:ilvl="2">
      <w:start w:val="0"/>
      <w:numFmt w:val="bullet"/>
      <w:lvlText w:val="•"/>
      <w:lvlJc w:val="left"/>
      <w:pPr>
        <w:ind w:left="1014" w:hanging="324"/>
      </w:pPr>
      <w:rPr>
        <w:rFonts w:hint="default"/>
        <w:lang w:val="en-US" w:eastAsia="en-US" w:bidi="ar-SA"/>
      </w:rPr>
    </w:lvl>
    <w:lvl w:ilvl="3">
      <w:start w:val="0"/>
      <w:numFmt w:val="bullet"/>
      <w:lvlText w:val="•"/>
      <w:lvlJc w:val="left"/>
      <w:pPr>
        <w:ind w:left="1301" w:hanging="324"/>
      </w:pPr>
      <w:rPr>
        <w:rFonts w:hint="default"/>
        <w:lang w:val="en-US" w:eastAsia="en-US" w:bidi="ar-SA"/>
      </w:rPr>
    </w:lvl>
    <w:lvl w:ilvl="4">
      <w:start w:val="0"/>
      <w:numFmt w:val="bullet"/>
      <w:lvlText w:val="•"/>
      <w:lvlJc w:val="left"/>
      <w:pPr>
        <w:ind w:left="1588" w:hanging="324"/>
      </w:pPr>
      <w:rPr>
        <w:rFonts w:hint="default"/>
        <w:lang w:val="en-US" w:eastAsia="en-US" w:bidi="ar-SA"/>
      </w:rPr>
    </w:lvl>
    <w:lvl w:ilvl="5">
      <w:start w:val="0"/>
      <w:numFmt w:val="bullet"/>
      <w:lvlText w:val="•"/>
      <w:lvlJc w:val="left"/>
      <w:pPr>
        <w:ind w:left="1876" w:hanging="324"/>
      </w:pPr>
      <w:rPr>
        <w:rFonts w:hint="default"/>
        <w:lang w:val="en-US" w:eastAsia="en-US" w:bidi="ar-SA"/>
      </w:rPr>
    </w:lvl>
    <w:lvl w:ilvl="6">
      <w:start w:val="0"/>
      <w:numFmt w:val="bullet"/>
      <w:lvlText w:val="•"/>
      <w:lvlJc w:val="left"/>
      <w:pPr>
        <w:ind w:left="2163" w:hanging="324"/>
      </w:pPr>
      <w:rPr>
        <w:rFonts w:hint="default"/>
        <w:lang w:val="en-US" w:eastAsia="en-US" w:bidi="ar-SA"/>
      </w:rPr>
    </w:lvl>
    <w:lvl w:ilvl="7">
      <w:start w:val="0"/>
      <w:numFmt w:val="bullet"/>
      <w:lvlText w:val="•"/>
      <w:lvlJc w:val="left"/>
      <w:pPr>
        <w:ind w:left="2450" w:hanging="324"/>
      </w:pPr>
      <w:rPr>
        <w:rFonts w:hint="default"/>
        <w:lang w:val="en-US" w:eastAsia="en-US" w:bidi="ar-SA"/>
      </w:rPr>
    </w:lvl>
    <w:lvl w:ilvl="8">
      <w:start w:val="0"/>
      <w:numFmt w:val="bullet"/>
      <w:lvlText w:val="•"/>
      <w:lvlJc w:val="left"/>
      <w:pPr>
        <w:ind w:left="2737" w:hanging="324"/>
      </w:pPr>
      <w:rPr>
        <w:rFonts w:hint="default"/>
        <w:lang w:val="en-US" w:eastAsia="en-US" w:bidi="ar-SA"/>
      </w:rPr>
    </w:lvl>
  </w:abstractNum>
  <w:abstractNum w:abstractNumId="40">
    <w:multiLevelType w:val="hybridMultilevel"/>
    <w:lvl w:ilvl="0">
      <w:start w:val="1"/>
      <w:numFmt w:val="lowerLetter"/>
      <w:lvlText w:val="%1."/>
      <w:lvlJc w:val="left"/>
      <w:pPr>
        <w:ind w:left="400" w:hanging="24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468" w:hanging="243"/>
      </w:pPr>
      <w:rPr>
        <w:rFonts w:hint="default"/>
        <w:lang w:val="en-US" w:eastAsia="en-US" w:bidi="ar-SA"/>
      </w:rPr>
    </w:lvl>
    <w:lvl w:ilvl="2">
      <w:start w:val="0"/>
      <w:numFmt w:val="bullet"/>
      <w:lvlText w:val="•"/>
      <w:lvlJc w:val="left"/>
      <w:pPr>
        <w:ind w:left="2536" w:hanging="243"/>
      </w:pPr>
      <w:rPr>
        <w:rFonts w:hint="default"/>
        <w:lang w:val="en-US" w:eastAsia="en-US" w:bidi="ar-SA"/>
      </w:rPr>
    </w:lvl>
    <w:lvl w:ilvl="3">
      <w:start w:val="0"/>
      <w:numFmt w:val="bullet"/>
      <w:lvlText w:val="•"/>
      <w:lvlJc w:val="left"/>
      <w:pPr>
        <w:ind w:left="3604" w:hanging="243"/>
      </w:pPr>
      <w:rPr>
        <w:rFonts w:hint="default"/>
        <w:lang w:val="en-US" w:eastAsia="en-US" w:bidi="ar-SA"/>
      </w:rPr>
    </w:lvl>
    <w:lvl w:ilvl="4">
      <w:start w:val="0"/>
      <w:numFmt w:val="bullet"/>
      <w:lvlText w:val="•"/>
      <w:lvlJc w:val="left"/>
      <w:pPr>
        <w:ind w:left="4672" w:hanging="243"/>
      </w:pPr>
      <w:rPr>
        <w:rFonts w:hint="default"/>
        <w:lang w:val="en-US" w:eastAsia="en-US" w:bidi="ar-SA"/>
      </w:rPr>
    </w:lvl>
    <w:lvl w:ilvl="5">
      <w:start w:val="0"/>
      <w:numFmt w:val="bullet"/>
      <w:lvlText w:val="•"/>
      <w:lvlJc w:val="left"/>
      <w:pPr>
        <w:ind w:left="5740" w:hanging="243"/>
      </w:pPr>
      <w:rPr>
        <w:rFonts w:hint="default"/>
        <w:lang w:val="en-US" w:eastAsia="en-US" w:bidi="ar-SA"/>
      </w:rPr>
    </w:lvl>
    <w:lvl w:ilvl="6">
      <w:start w:val="0"/>
      <w:numFmt w:val="bullet"/>
      <w:lvlText w:val="•"/>
      <w:lvlJc w:val="left"/>
      <w:pPr>
        <w:ind w:left="6808" w:hanging="243"/>
      </w:pPr>
      <w:rPr>
        <w:rFonts w:hint="default"/>
        <w:lang w:val="en-US" w:eastAsia="en-US" w:bidi="ar-SA"/>
      </w:rPr>
    </w:lvl>
    <w:lvl w:ilvl="7">
      <w:start w:val="0"/>
      <w:numFmt w:val="bullet"/>
      <w:lvlText w:val="•"/>
      <w:lvlJc w:val="left"/>
      <w:pPr>
        <w:ind w:left="7876" w:hanging="243"/>
      </w:pPr>
      <w:rPr>
        <w:rFonts w:hint="default"/>
        <w:lang w:val="en-US" w:eastAsia="en-US" w:bidi="ar-SA"/>
      </w:rPr>
    </w:lvl>
    <w:lvl w:ilvl="8">
      <w:start w:val="0"/>
      <w:numFmt w:val="bullet"/>
      <w:lvlText w:val="•"/>
      <w:lvlJc w:val="left"/>
      <w:pPr>
        <w:ind w:left="8944" w:hanging="243"/>
      </w:pPr>
      <w:rPr>
        <w:rFonts w:hint="default"/>
        <w:lang w:val="en-US" w:eastAsia="en-US" w:bidi="ar-SA"/>
      </w:rPr>
    </w:lvl>
  </w:abstractNum>
  <w:abstractNum w:abstractNumId="39">
    <w:multiLevelType w:val="hybridMultilevel"/>
    <w:lvl w:ilvl="0">
      <w:start w:val="5"/>
      <w:numFmt w:val="decimal"/>
      <w:lvlText w:val="%1"/>
      <w:lvlJc w:val="left"/>
      <w:pPr>
        <w:ind w:left="820" w:hanging="420"/>
        <w:jc w:val="left"/>
      </w:pPr>
      <w:rPr>
        <w:rFonts w:hint="default"/>
        <w:lang w:val="en-US" w:eastAsia="en-US" w:bidi="ar-SA"/>
      </w:rPr>
    </w:lvl>
    <w:lvl w:ilvl="1">
      <w:start w:val="4"/>
      <w:numFmt w:val="decimal"/>
      <w:lvlText w:val="%1.%2."/>
      <w:lvlJc w:val="left"/>
      <w:pPr>
        <w:ind w:left="82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333" w:hanging="720"/>
      </w:pPr>
      <w:rPr>
        <w:rFonts w:hint="default"/>
        <w:lang w:val="en-US" w:eastAsia="en-US" w:bidi="ar-SA"/>
      </w:rPr>
    </w:lvl>
    <w:lvl w:ilvl="4">
      <w:start w:val="0"/>
      <w:numFmt w:val="bullet"/>
      <w:lvlText w:val="•"/>
      <w:lvlJc w:val="left"/>
      <w:pPr>
        <w:ind w:left="4440" w:hanging="720"/>
      </w:pPr>
      <w:rPr>
        <w:rFonts w:hint="default"/>
        <w:lang w:val="en-US" w:eastAsia="en-US" w:bidi="ar-SA"/>
      </w:rPr>
    </w:lvl>
    <w:lvl w:ilvl="5">
      <w:start w:val="0"/>
      <w:numFmt w:val="bullet"/>
      <w:lvlText w:val="•"/>
      <w:lvlJc w:val="left"/>
      <w:pPr>
        <w:ind w:left="5546" w:hanging="720"/>
      </w:pPr>
      <w:rPr>
        <w:rFonts w:hint="default"/>
        <w:lang w:val="en-US" w:eastAsia="en-US" w:bidi="ar-SA"/>
      </w:rPr>
    </w:lvl>
    <w:lvl w:ilvl="6">
      <w:start w:val="0"/>
      <w:numFmt w:val="bullet"/>
      <w:lvlText w:val="•"/>
      <w:lvlJc w:val="left"/>
      <w:pPr>
        <w:ind w:left="6653" w:hanging="720"/>
      </w:pPr>
      <w:rPr>
        <w:rFonts w:hint="default"/>
        <w:lang w:val="en-US" w:eastAsia="en-US" w:bidi="ar-SA"/>
      </w:rPr>
    </w:lvl>
    <w:lvl w:ilvl="7">
      <w:start w:val="0"/>
      <w:numFmt w:val="bullet"/>
      <w:lvlText w:val="•"/>
      <w:lvlJc w:val="left"/>
      <w:pPr>
        <w:ind w:left="7760" w:hanging="720"/>
      </w:pPr>
      <w:rPr>
        <w:rFonts w:hint="default"/>
        <w:lang w:val="en-US" w:eastAsia="en-US" w:bidi="ar-SA"/>
      </w:rPr>
    </w:lvl>
    <w:lvl w:ilvl="8">
      <w:start w:val="0"/>
      <w:numFmt w:val="bullet"/>
      <w:lvlText w:val="•"/>
      <w:lvlJc w:val="left"/>
      <w:pPr>
        <w:ind w:left="8866" w:hanging="720"/>
      </w:pPr>
      <w:rPr>
        <w:rFonts w:hint="default"/>
        <w:lang w:val="en-US" w:eastAsia="en-US" w:bidi="ar-SA"/>
      </w:rPr>
    </w:lvl>
  </w:abstractNum>
  <w:abstractNum w:abstractNumId="38">
    <w:multiLevelType w:val="hybridMultilevel"/>
    <w:lvl w:ilvl="0">
      <w:start w:val="5"/>
      <w:numFmt w:val="decimal"/>
      <w:lvlText w:val="%1"/>
      <w:lvlJc w:val="left"/>
      <w:pPr>
        <w:ind w:left="760" w:hanging="360"/>
        <w:jc w:val="left"/>
      </w:pPr>
      <w:rPr>
        <w:rFonts w:hint="default"/>
        <w:lang w:val="en-US" w:eastAsia="en-US" w:bidi="ar-SA"/>
      </w:rPr>
    </w:lvl>
    <w:lvl w:ilvl="1">
      <w:start w:val="3"/>
      <w:numFmt w:val="decimal"/>
      <w:lvlText w:val="%1.%2"/>
      <w:lvlJc w:val="left"/>
      <w:pPr>
        <w:ind w:left="7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40"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193" w:hanging="540"/>
      </w:pPr>
      <w:rPr>
        <w:rFonts w:hint="default"/>
        <w:lang w:val="en-US" w:eastAsia="en-US" w:bidi="ar-SA"/>
      </w:rPr>
    </w:lvl>
    <w:lvl w:ilvl="4">
      <w:start w:val="0"/>
      <w:numFmt w:val="bullet"/>
      <w:lvlText w:val="•"/>
      <w:lvlJc w:val="left"/>
      <w:pPr>
        <w:ind w:left="4320" w:hanging="540"/>
      </w:pPr>
      <w:rPr>
        <w:rFonts w:hint="default"/>
        <w:lang w:val="en-US" w:eastAsia="en-US" w:bidi="ar-SA"/>
      </w:rPr>
    </w:lvl>
    <w:lvl w:ilvl="5">
      <w:start w:val="0"/>
      <w:numFmt w:val="bullet"/>
      <w:lvlText w:val="•"/>
      <w:lvlJc w:val="left"/>
      <w:pPr>
        <w:ind w:left="5446" w:hanging="540"/>
      </w:pPr>
      <w:rPr>
        <w:rFonts w:hint="default"/>
        <w:lang w:val="en-US" w:eastAsia="en-US" w:bidi="ar-SA"/>
      </w:rPr>
    </w:lvl>
    <w:lvl w:ilvl="6">
      <w:start w:val="0"/>
      <w:numFmt w:val="bullet"/>
      <w:lvlText w:val="•"/>
      <w:lvlJc w:val="left"/>
      <w:pPr>
        <w:ind w:left="6573" w:hanging="540"/>
      </w:pPr>
      <w:rPr>
        <w:rFonts w:hint="default"/>
        <w:lang w:val="en-US" w:eastAsia="en-US" w:bidi="ar-SA"/>
      </w:rPr>
    </w:lvl>
    <w:lvl w:ilvl="7">
      <w:start w:val="0"/>
      <w:numFmt w:val="bullet"/>
      <w:lvlText w:val="•"/>
      <w:lvlJc w:val="left"/>
      <w:pPr>
        <w:ind w:left="7700" w:hanging="540"/>
      </w:pPr>
      <w:rPr>
        <w:rFonts w:hint="default"/>
        <w:lang w:val="en-US" w:eastAsia="en-US" w:bidi="ar-SA"/>
      </w:rPr>
    </w:lvl>
    <w:lvl w:ilvl="8">
      <w:start w:val="0"/>
      <w:numFmt w:val="bullet"/>
      <w:lvlText w:val="•"/>
      <w:lvlJc w:val="left"/>
      <w:pPr>
        <w:ind w:left="8826" w:hanging="540"/>
      </w:pPr>
      <w:rPr>
        <w:rFonts w:hint="default"/>
        <w:lang w:val="en-US" w:eastAsia="en-US" w:bidi="ar-SA"/>
      </w:rPr>
    </w:lvl>
  </w:abstractNum>
  <w:abstractNum w:abstractNumId="37">
    <w:multiLevelType w:val="hybridMultilevel"/>
    <w:lvl w:ilvl="0">
      <w:start w:val="5"/>
      <w:numFmt w:val="decimal"/>
      <w:lvlText w:val="%1"/>
      <w:lvlJc w:val="left"/>
      <w:pPr>
        <w:ind w:left="1120" w:hanging="720"/>
        <w:jc w:val="left"/>
      </w:pPr>
      <w:rPr>
        <w:rFonts w:hint="default"/>
        <w:lang w:val="en-US" w:eastAsia="en-US" w:bidi="ar-SA"/>
      </w:rPr>
    </w:lvl>
    <w:lvl w:ilvl="1">
      <w:start w:val="2"/>
      <w:numFmt w:val="decimal"/>
      <w:lvlText w:val="%1.%2"/>
      <w:lvlJc w:val="left"/>
      <w:pPr>
        <w:ind w:left="1120" w:hanging="720"/>
        <w:jc w:val="left"/>
      </w:pPr>
      <w:rPr>
        <w:rFonts w:hint="default"/>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08" w:hanging="720"/>
      </w:pPr>
      <w:rPr>
        <w:rFonts w:hint="default"/>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36">
    <w:multiLevelType w:val="hybridMultilevel"/>
    <w:lvl w:ilvl="0">
      <w:start w:val="5"/>
      <w:numFmt w:val="decimal"/>
      <w:lvlText w:val="%1"/>
      <w:lvlJc w:val="left"/>
      <w:pPr>
        <w:ind w:left="760" w:hanging="360"/>
        <w:jc w:val="left"/>
      </w:pPr>
      <w:rPr>
        <w:rFonts w:hint="default"/>
        <w:lang w:val="en-US" w:eastAsia="en-US" w:bidi="ar-SA"/>
      </w:rPr>
    </w:lvl>
    <w:lvl w:ilvl="1">
      <w:start w:val="1"/>
      <w:numFmt w:val="decimal"/>
      <w:lvlText w:val="%1.%2"/>
      <w:lvlJc w:val="left"/>
      <w:pPr>
        <w:ind w:left="7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824" w:hanging="360"/>
      </w:pPr>
      <w:rPr>
        <w:rFonts w:hint="default"/>
        <w:lang w:val="en-US" w:eastAsia="en-US" w:bidi="ar-SA"/>
      </w:rPr>
    </w:lvl>
    <w:lvl w:ilvl="3">
      <w:start w:val="0"/>
      <w:numFmt w:val="bullet"/>
      <w:lvlText w:val="•"/>
      <w:lvlJc w:val="left"/>
      <w:pPr>
        <w:ind w:left="3856" w:hanging="360"/>
      </w:pPr>
      <w:rPr>
        <w:rFonts w:hint="default"/>
        <w:lang w:val="en-US" w:eastAsia="en-US" w:bidi="ar-SA"/>
      </w:rPr>
    </w:lvl>
    <w:lvl w:ilvl="4">
      <w:start w:val="0"/>
      <w:numFmt w:val="bullet"/>
      <w:lvlText w:val="•"/>
      <w:lvlJc w:val="left"/>
      <w:pPr>
        <w:ind w:left="4888"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84" w:hanging="360"/>
      </w:pPr>
      <w:rPr>
        <w:rFonts w:hint="default"/>
        <w:lang w:val="en-US" w:eastAsia="en-US" w:bidi="ar-SA"/>
      </w:rPr>
    </w:lvl>
    <w:lvl w:ilvl="8">
      <w:start w:val="0"/>
      <w:numFmt w:val="bullet"/>
      <w:lvlText w:val="•"/>
      <w:lvlJc w:val="left"/>
      <w:pPr>
        <w:ind w:left="9016" w:hanging="360"/>
      </w:pPr>
      <w:rPr>
        <w:rFonts w:hint="default"/>
        <w:lang w:val="en-US" w:eastAsia="en-US" w:bidi="ar-SA"/>
      </w:rPr>
    </w:lvl>
  </w:abstractNum>
  <w:abstractNum w:abstractNumId="35">
    <w:multiLevelType w:val="hybridMultilevel"/>
    <w:lvl w:ilvl="0">
      <w:start w:val="1"/>
      <w:numFmt w:val="lowerLetter"/>
      <w:lvlText w:val="%1)"/>
      <w:lvlJc w:val="left"/>
      <w:pPr>
        <w:ind w:left="112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540"/>
      </w:pPr>
      <w:rPr>
        <w:rFonts w:hint="default"/>
        <w:lang w:val="en-US" w:eastAsia="en-US" w:bidi="ar-SA"/>
      </w:rPr>
    </w:lvl>
    <w:lvl w:ilvl="2">
      <w:start w:val="0"/>
      <w:numFmt w:val="bullet"/>
      <w:lvlText w:val="•"/>
      <w:lvlJc w:val="left"/>
      <w:pPr>
        <w:ind w:left="3112" w:hanging="540"/>
      </w:pPr>
      <w:rPr>
        <w:rFonts w:hint="default"/>
        <w:lang w:val="en-US" w:eastAsia="en-US" w:bidi="ar-SA"/>
      </w:rPr>
    </w:lvl>
    <w:lvl w:ilvl="3">
      <w:start w:val="0"/>
      <w:numFmt w:val="bullet"/>
      <w:lvlText w:val="•"/>
      <w:lvlJc w:val="left"/>
      <w:pPr>
        <w:ind w:left="4108" w:hanging="540"/>
      </w:pPr>
      <w:rPr>
        <w:rFonts w:hint="default"/>
        <w:lang w:val="en-US" w:eastAsia="en-US" w:bidi="ar-SA"/>
      </w:rPr>
    </w:lvl>
    <w:lvl w:ilvl="4">
      <w:start w:val="0"/>
      <w:numFmt w:val="bullet"/>
      <w:lvlText w:val="•"/>
      <w:lvlJc w:val="left"/>
      <w:pPr>
        <w:ind w:left="5104" w:hanging="540"/>
      </w:pPr>
      <w:rPr>
        <w:rFonts w:hint="default"/>
        <w:lang w:val="en-US" w:eastAsia="en-US" w:bidi="ar-SA"/>
      </w:rPr>
    </w:lvl>
    <w:lvl w:ilvl="5">
      <w:start w:val="0"/>
      <w:numFmt w:val="bullet"/>
      <w:lvlText w:val="•"/>
      <w:lvlJc w:val="left"/>
      <w:pPr>
        <w:ind w:left="6100" w:hanging="540"/>
      </w:pPr>
      <w:rPr>
        <w:rFonts w:hint="default"/>
        <w:lang w:val="en-US" w:eastAsia="en-US" w:bidi="ar-SA"/>
      </w:rPr>
    </w:lvl>
    <w:lvl w:ilvl="6">
      <w:start w:val="0"/>
      <w:numFmt w:val="bullet"/>
      <w:lvlText w:val="•"/>
      <w:lvlJc w:val="left"/>
      <w:pPr>
        <w:ind w:left="7096" w:hanging="540"/>
      </w:pPr>
      <w:rPr>
        <w:rFonts w:hint="default"/>
        <w:lang w:val="en-US" w:eastAsia="en-US" w:bidi="ar-SA"/>
      </w:rPr>
    </w:lvl>
    <w:lvl w:ilvl="7">
      <w:start w:val="0"/>
      <w:numFmt w:val="bullet"/>
      <w:lvlText w:val="•"/>
      <w:lvlJc w:val="left"/>
      <w:pPr>
        <w:ind w:left="8092" w:hanging="540"/>
      </w:pPr>
      <w:rPr>
        <w:rFonts w:hint="default"/>
        <w:lang w:val="en-US" w:eastAsia="en-US" w:bidi="ar-SA"/>
      </w:rPr>
    </w:lvl>
    <w:lvl w:ilvl="8">
      <w:start w:val="0"/>
      <w:numFmt w:val="bullet"/>
      <w:lvlText w:val="•"/>
      <w:lvlJc w:val="left"/>
      <w:pPr>
        <w:ind w:left="9088" w:hanging="540"/>
      </w:pPr>
      <w:rPr>
        <w:rFonts w:hint="default"/>
        <w:lang w:val="en-US" w:eastAsia="en-US" w:bidi="ar-SA"/>
      </w:rPr>
    </w:lvl>
  </w:abstractNum>
  <w:abstractNum w:abstractNumId="34">
    <w:multiLevelType w:val="hybridMultilevel"/>
    <w:lvl w:ilvl="0">
      <w:start w:val="1"/>
      <w:numFmt w:val="decimal"/>
      <w:lvlText w:val="%1)"/>
      <w:lvlJc w:val="left"/>
      <w:pPr>
        <w:ind w:left="7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2" w:hanging="360"/>
      </w:pPr>
      <w:rPr>
        <w:rFonts w:hint="default"/>
        <w:lang w:val="en-US" w:eastAsia="en-US" w:bidi="ar-SA"/>
      </w:rPr>
    </w:lvl>
    <w:lvl w:ilvl="2">
      <w:start w:val="0"/>
      <w:numFmt w:val="bullet"/>
      <w:lvlText w:val="•"/>
      <w:lvlJc w:val="left"/>
      <w:pPr>
        <w:ind w:left="2824" w:hanging="360"/>
      </w:pPr>
      <w:rPr>
        <w:rFonts w:hint="default"/>
        <w:lang w:val="en-US" w:eastAsia="en-US" w:bidi="ar-SA"/>
      </w:rPr>
    </w:lvl>
    <w:lvl w:ilvl="3">
      <w:start w:val="0"/>
      <w:numFmt w:val="bullet"/>
      <w:lvlText w:val="•"/>
      <w:lvlJc w:val="left"/>
      <w:pPr>
        <w:ind w:left="3856" w:hanging="360"/>
      </w:pPr>
      <w:rPr>
        <w:rFonts w:hint="default"/>
        <w:lang w:val="en-US" w:eastAsia="en-US" w:bidi="ar-SA"/>
      </w:rPr>
    </w:lvl>
    <w:lvl w:ilvl="4">
      <w:start w:val="0"/>
      <w:numFmt w:val="bullet"/>
      <w:lvlText w:val="•"/>
      <w:lvlJc w:val="left"/>
      <w:pPr>
        <w:ind w:left="4888"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7984" w:hanging="360"/>
      </w:pPr>
      <w:rPr>
        <w:rFonts w:hint="default"/>
        <w:lang w:val="en-US" w:eastAsia="en-US" w:bidi="ar-SA"/>
      </w:rPr>
    </w:lvl>
    <w:lvl w:ilvl="8">
      <w:start w:val="0"/>
      <w:numFmt w:val="bullet"/>
      <w:lvlText w:val="•"/>
      <w:lvlJc w:val="left"/>
      <w:pPr>
        <w:ind w:left="9016" w:hanging="360"/>
      </w:pPr>
      <w:rPr>
        <w:rFonts w:hint="default"/>
        <w:lang w:val="en-US" w:eastAsia="en-US" w:bidi="ar-SA"/>
      </w:rPr>
    </w:lvl>
  </w:abstractNum>
  <w:abstractNum w:abstractNumId="33">
    <w:multiLevelType w:val="hybridMultilevel"/>
    <w:lvl w:ilvl="0">
      <w:start w:val="1"/>
      <w:numFmt w:val="decimal"/>
      <w:lvlText w:val="%1."/>
      <w:lvlJc w:val="left"/>
      <w:pPr>
        <w:ind w:left="11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120" w:hanging="720"/>
        <w:jc w:val="righ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108" w:hanging="720"/>
      </w:pPr>
      <w:rPr>
        <w:rFonts w:hint="default"/>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32">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31">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30">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29">
    <w:multiLevelType w:val="hybridMultilevel"/>
    <w:lvl w:ilvl="0">
      <w:start w:val="3"/>
      <w:numFmt w:val="decimal"/>
      <w:lvlText w:val="%1"/>
      <w:lvlJc w:val="left"/>
      <w:pPr>
        <w:ind w:left="1900" w:hanging="1500"/>
        <w:jc w:val="left"/>
      </w:pPr>
      <w:rPr>
        <w:rFonts w:hint="default"/>
        <w:lang w:val="en-US" w:eastAsia="en-US" w:bidi="ar-SA"/>
      </w:rPr>
    </w:lvl>
    <w:lvl w:ilvl="1">
      <w:start w:val="11"/>
      <w:numFmt w:val="decimal"/>
      <w:lvlText w:val="%1.%2"/>
      <w:lvlJc w:val="left"/>
      <w:pPr>
        <w:ind w:left="1900" w:hanging="1500"/>
        <w:jc w:val="left"/>
      </w:pPr>
      <w:rPr>
        <w:rFonts w:hint="default"/>
        <w:lang w:val="en-US" w:eastAsia="en-US" w:bidi="ar-SA"/>
      </w:rPr>
    </w:lvl>
    <w:lvl w:ilvl="2">
      <w:start w:val="2"/>
      <w:numFmt w:val="decimal"/>
      <w:lvlText w:val="%1.%2.%3"/>
      <w:lvlJc w:val="left"/>
      <w:pPr>
        <w:ind w:left="1900" w:hanging="1500"/>
        <w:jc w:val="left"/>
      </w:pPr>
      <w:rPr>
        <w:rFonts w:hint="default"/>
        <w:lang w:val="en-US" w:eastAsia="en-US" w:bidi="ar-SA"/>
      </w:rPr>
    </w:lvl>
    <w:lvl w:ilvl="3">
      <w:start w:val="1"/>
      <w:numFmt w:val="decimal"/>
      <w:lvlText w:val="%1.%2.%3.%4"/>
      <w:lvlJc w:val="left"/>
      <w:pPr>
        <w:ind w:left="1900" w:hanging="150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lowerRoman"/>
      <w:lvlText w:val="%5."/>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980" w:hanging="488"/>
      </w:pPr>
      <w:rPr>
        <w:rFonts w:hint="default"/>
        <w:lang w:val="en-US" w:eastAsia="en-US" w:bidi="ar-SA"/>
      </w:rPr>
    </w:lvl>
    <w:lvl w:ilvl="6">
      <w:start w:val="0"/>
      <w:numFmt w:val="bullet"/>
      <w:lvlText w:val="•"/>
      <w:lvlJc w:val="left"/>
      <w:pPr>
        <w:ind w:left="7000" w:hanging="488"/>
      </w:pPr>
      <w:rPr>
        <w:rFonts w:hint="default"/>
        <w:lang w:val="en-US" w:eastAsia="en-US" w:bidi="ar-SA"/>
      </w:rPr>
    </w:lvl>
    <w:lvl w:ilvl="7">
      <w:start w:val="0"/>
      <w:numFmt w:val="bullet"/>
      <w:lvlText w:val="•"/>
      <w:lvlJc w:val="left"/>
      <w:pPr>
        <w:ind w:left="8020" w:hanging="488"/>
      </w:pPr>
      <w:rPr>
        <w:rFonts w:hint="default"/>
        <w:lang w:val="en-US" w:eastAsia="en-US" w:bidi="ar-SA"/>
      </w:rPr>
    </w:lvl>
    <w:lvl w:ilvl="8">
      <w:start w:val="0"/>
      <w:numFmt w:val="bullet"/>
      <w:lvlText w:val="•"/>
      <w:lvlJc w:val="left"/>
      <w:pPr>
        <w:ind w:left="9040" w:hanging="488"/>
      </w:pPr>
      <w:rPr>
        <w:rFonts w:hint="default"/>
        <w:lang w:val="en-US" w:eastAsia="en-US" w:bidi="ar-SA"/>
      </w:rPr>
    </w:lvl>
  </w:abstractNum>
  <w:abstractNum w:abstractNumId="28">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27">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26">
    <w:multiLevelType w:val="hybridMultilevel"/>
    <w:lvl w:ilvl="0">
      <w:start w:val="0"/>
      <w:numFmt w:val="bullet"/>
      <w:lvlText w:val="–"/>
      <w:lvlJc w:val="left"/>
      <w:pPr>
        <w:ind w:left="1120"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25">
    <w:multiLevelType w:val="hybridMultilevel"/>
    <w:lvl w:ilvl="0">
      <w:start w:val="3"/>
      <w:numFmt w:val="decimal"/>
      <w:lvlText w:val="%1"/>
      <w:lvlJc w:val="left"/>
      <w:pPr>
        <w:ind w:left="1120" w:hanging="720"/>
        <w:jc w:val="left"/>
      </w:pPr>
      <w:rPr>
        <w:rFonts w:hint="default"/>
        <w:lang w:val="en-US" w:eastAsia="en-US" w:bidi="ar-SA"/>
      </w:rPr>
    </w:lvl>
    <w:lvl w:ilvl="1">
      <w:start w:val="8"/>
      <w:numFmt w:val="decimal"/>
      <w:lvlText w:val="%1.%2"/>
      <w:lvlJc w:val="left"/>
      <w:pPr>
        <w:ind w:left="1120" w:hanging="720"/>
        <w:jc w:val="left"/>
      </w:pPr>
      <w:rPr>
        <w:rFonts w:hint="default"/>
        <w:lang w:val="en-US" w:eastAsia="en-US" w:bidi="ar-SA"/>
      </w:rPr>
    </w:lvl>
    <w:lvl w:ilvl="2">
      <w:start w:val="3"/>
      <w:numFmt w:val="decimal"/>
      <w:lvlText w:val="%1.%2.%3"/>
      <w:lvlJc w:val="left"/>
      <w:pPr>
        <w:ind w:left="1120" w:hanging="720"/>
        <w:jc w:val="left"/>
      </w:pPr>
      <w:rPr>
        <w:rFonts w:hint="default"/>
        <w:lang w:val="en-US" w:eastAsia="en-US" w:bidi="ar-SA"/>
      </w:rPr>
    </w:lvl>
    <w:lvl w:ilvl="3">
      <w:start w:val="2"/>
      <w:numFmt w:val="decimal"/>
      <w:lvlText w:val="%1.%2.%3.%4"/>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24">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23">
    <w:multiLevelType w:val="hybridMultilevel"/>
    <w:lvl w:ilvl="0">
      <w:start w:val="3"/>
      <w:numFmt w:val="decimal"/>
      <w:lvlText w:val="%1"/>
      <w:lvlJc w:val="left"/>
      <w:pPr>
        <w:ind w:left="1000" w:hanging="600"/>
        <w:jc w:val="left"/>
      </w:pPr>
      <w:rPr>
        <w:rFonts w:hint="default"/>
        <w:lang w:val="en-US" w:eastAsia="en-US" w:bidi="ar-SA"/>
      </w:rPr>
    </w:lvl>
    <w:lvl w:ilvl="1">
      <w:start w:val="8"/>
      <w:numFmt w:val="decimal"/>
      <w:lvlText w:val="%1.%2"/>
      <w:lvlJc w:val="left"/>
      <w:pPr>
        <w:ind w:left="1000" w:hanging="600"/>
        <w:jc w:val="left"/>
      </w:pPr>
      <w:rPr>
        <w:rFonts w:hint="default"/>
        <w:lang w:val="en-US" w:eastAsia="en-US" w:bidi="ar-SA"/>
      </w:rPr>
    </w:lvl>
    <w:lvl w:ilvl="2">
      <w:start w:val="3"/>
      <w:numFmt w:val="decimal"/>
      <w:lvlText w:val="%1.%2.%3."/>
      <w:lvlJc w:val="left"/>
      <w:pPr>
        <w:ind w:left="100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lowerLetter"/>
      <w:lvlText w:val="%5)"/>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4892" w:hanging="360"/>
      </w:pPr>
      <w:rPr>
        <w:rFonts w:hint="default"/>
        <w:lang w:val="en-US" w:eastAsia="en-US" w:bidi="ar-SA"/>
      </w:rPr>
    </w:lvl>
    <w:lvl w:ilvl="6">
      <w:start w:val="0"/>
      <w:numFmt w:val="bullet"/>
      <w:lvlText w:val="•"/>
      <w:lvlJc w:val="left"/>
      <w:pPr>
        <w:ind w:left="6130" w:hanging="360"/>
      </w:pPr>
      <w:rPr>
        <w:rFonts w:hint="default"/>
        <w:lang w:val="en-US" w:eastAsia="en-US" w:bidi="ar-SA"/>
      </w:rPr>
    </w:lvl>
    <w:lvl w:ilvl="7">
      <w:start w:val="0"/>
      <w:numFmt w:val="bullet"/>
      <w:lvlText w:val="•"/>
      <w:lvlJc w:val="left"/>
      <w:pPr>
        <w:ind w:left="7367" w:hanging="360"/>
      </w:pPr>
      <w:rPr>
        <w:rFonts w:hint="default"/>
        <w:lang w:val="en-US" w:eastAsia="en-US" w:bidi="ar-SA"/>
      </w:rPr>
    </w:lvl>
    <w:lvl w:ilvl="8">
      <w:start w:val="0"/>
      <w:numFmt w:val="bullet"/>
      <w:lvlText w:val="•"/>
      <w:lvlJc w:val="left"/>
      <w:pPr>
        <w:ind w:left="8605" w:hanging="360"/>
      </w:pPr>
      <w:rPr>
        <w:rFonts w:hint="default"/>
        <w:lang w:val="en-US" w:eastAsia="en-US" w:bidi="ar-SA"/>
      </w:rPr>
    </w:lvl>
  </w:abstractNum>
  <w:abstractNum w:abstractNumId="22">
    <w:multiLevelType w:val="hybridMultilevel"/>
    <w:lvl w:ilvl="0">
      <w:start w:val="0"/>
      <w:numFmt w:val="bullet"/>
      <w:lvlText w:val="–"/>
      <w:lvlJc w:val="left"/>
      <w:pPr>
        <w:ind w:left="580" w:hanging="18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30" w:hanging="180"/>
      </w:pPr>
      <w:rPr>
        <w:rFonts w:hint="default"/>
        <w:lang w:val="en-US" w:eastAsia="en-US" w:bidi="ar-SA"/>
      </w:rPr>
    </w:lvl>
    <w:lvl w:ilvl="2">
      <w:start w:val="0"/>
      <w:numFmt w:val="bullet"/>
      <w:lvlText w:val="•"/>
      <w:lvlJc w:val="left"/>
      <w:pPr>
        <w:ind w:left="2680" w:hanging="180"/>
      </w:pPr>
      <w:rPr>
        <w:rFonts w:hint="default"/>
        <w:lang w:val="en-US" w:eastAsia="en-US" w:bidi="ar-SA"/>
      </w:rPr>
    </w:lvl>
    <w:lvl w:ilvl="3">
      <w:start w:val="0"/>
      <w:numFmt w:val="bullet"/>
      <w:lvlText w:val="•"/>
      <w:lvlJc w:val="left"/>
      <w:pPr>
        <w:ind w:left="3730" w:hanging="180"/>
      </w:pPr>
      <w:rPr>
        <w:rFonts w:hint="default"/>
        <w:lang w:val="en-US" w:eastAsia="en-US" w:bidi="ar-SA"/>
      </w:rPr>
    </w:lvl>
    <w:lvl w:ilvl="4">
      <w:start w:val="0"/>
      <w:numFmt w:val="bullet"/>
      <w:lvlText w:val="•"/>
      <w:lvlJc w:val="left"/>
      <w:pPr>
        <w:ind w:left="4780" w:hanging="180"/>
      </w:pPr>
      <w:rPr>
        <w:rFonts w:hint="default"/>
        <w:lang w:val="en-US" w:eastAsia="en-US" w:bidi="ar-SA"/>
      </w:rPr>
    </w:lvl>
    <w:lvl w:ilvl="5">
      <w:start w:val="0"/>
      <w:numFmt w:val="bullet"/>
      <w:lvlText w:val="•"/>
      <w:lvlJc w:val="left"/>
      <w:pPr>
        <w:ind w:left="5830" w:hanging="180"/>
      </w:pPr>
      <w:rPr>
        <w:rFonts w:hint="default"/>
        <w:lang w:val="en-US" w:eastAsia="en-US" w:bidi="ar-SA"/>
      </w:rPr>
    </w:lvl>
    <w:lvl w:ilvl="6">
      <w:start w:val="0"/>
      <w:numFmt w:val="bullet"/>
      <w:lvlText w:val="•"/>
      <w:lvlJc w:val="left"/>
      <w:pPr>
        <w:ind w:left="6880" w:hanging="180"/>
      </w:pPr>
      <w:rPr>
        <w:rFonts w:hint="default"/>
        <w:lang w:val="en-US" w:eastAsia="en-US" w:bidi="ar-SA"/>
      </w:rPr>
    </w:lvl>
    <w:lvl w:ilvl="7">
      <w:start w:val="0"/>
      <w:numFmt w:val="bullet"/>
      <w:lvlText w:val="•"/>
      <w:lvlJc w:val="left"/>
      <w:pPr>
        <w:ind w:left="7930" w:hanging="180"/>
      </w:pPr>
      <w:rPr>
        <w:rFonts w:hint="default"/>
        <w:lang w:val="en-US" w:eastAsia="en-US" w:bidi="ar-SA"/>
      </w:rPr>
    </w:lvl>
    <w:lvl w:ilvl="8">
      <w:start w:val="0"/>
      <w:numFmt w:val="bullet"/>
      <w:lvlText w:val="•"/>
      <w:lvlJc w:val="left"/>
      <w:pPr>
        <w:ind w:left="8980" w:hanging="180"/>
      </w:pPr>
      <w:rPr>
        <w:rFonts w:hint="default"/>
        <w:lang w:val="en-US" w:eastAsia="en-US" w:bidi="ar-SA"/>
      </w:rPr>
    </w:lvl>
  </w:abstractNum>
  <w:abstractNum w:abstractNumId="21">
    <w:multiLevelType w:val="hybridMultilevel"/>
    <w:lvl w:ilvl="0">
      <w:start w:val="3"/>
      <w:numFmt w:val="decimal"/>
      <w:lvlText w:val="%1"/>
      <w:lvlJc w:val="left"/>
      <w:pPr>
        <w:ind w:left="1120" w:hanging="720"/>
        <w:jc w:val="left"/>
      </w:pPr>
      <w:rPr>
        <w:rFonts w:hint="default"/>
        <w:lang w:val="en-US" w:eastAsia="en-US" w:bidi="ar-SA"/>
      </w:rPr>
    </w:lvl>
    <w:lvl w:ilvl="1">
      <w:start w:val="8"/>
      <w:numFmt w:val="decimal"/>
      <w:lvlText w:val="%1.%2"/>
      <w:lvlJc w:val="left"/>
      <w:pPr>
        <w:ind w:left="1120" w:hanging="720"/>
        <w:jc w:val="left"/>
      </w:pPr>
      <w:rPr>
        <w:rFonts w:hint="default"/>
        <w:lang w:val="en-US" w:eastAsia="en-US" w:bidi="ar-SA"/>
      </w:rPr>
    </w:lvl>
    <w:lvl w:ilvl="2">
      <w:start w:val="2"/>
      <w:numFmt w:val="decimal"/>
      <w:lvlText w:val="%1.%2.%3"/>
      <w:lvlJc w:val="left"/>
      <w:pPr>
        <w:ind w:left="1120" w:hanging="720"/>
        <w:jc w:val="left"/>
      </w:pPr>
      <w:rPr>
        <w:rFonts w:hint="default"/>
        <w:lang w:val="en-US" w:eastAsia="en-US" w:bidi="ar-SA"/>
      </w:rPr>
    </w:lvl>
    <w:lvl w:ilvl="3">
      <w:start w:val="6"/>
      <w:numFmt w:val="decimal"/>
      <w:lvlText w:val="%1.%2.%3.%4"/>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19">
    <w:multiLevelType w:val="hybridMultilevel"/>
    <w:lvl w:ilvl="0">
      <w:start w:val="3"/>
      <w:numFmt w:val="decimal"/>
      <w:lvlText w:val="%1"/>
      <w:lvlJc w:val="left"/>
      <w:pPr>
        <w:ind w:left="1120" w:hanging="720"/>
        <w:jc w:val="left"/>
      </w:pPr>
      <w:rPr>
        <w:rFonts w:hint="default"/>
        <w:lang w:val="en-US" w:eastAsia="en-US" w:bidi="ar-SA"/>
      </w:rPr>
    </w:lvl>
    <w:lvl w:ilvl="1">
      <w:start w:val="8"/>
      <w:numFmt w:val="decimal"/>
      <w:lvlText w:val="%1.%2"/>
      <w:lvlJc w:val="left"/>
      <w:pPr>
        <w:ind w:left="1120" w:hanging="720"/>
        <w:jc w:val="left"/>
      </w:pPr>
      <w:rPr>
        <w:rFonts w:hint="default"/>
        <w:lang w:val="en-US" w:eastAsia="en-US" w:bidi="ar-SA"/>
      </w:rPr>
    </w:lvl>
    <w:lvl w:ilvl="2">
      <w:start w:val="2"/>
      <w:numFmt w:val="decimal"/>
      <w:lvlText w:val="%1.%2.%3"/>
      <w:lvlJc w:val="left"/>
      <w:pPr>
        <w:ind w:left="1120" w:hanging="720"/>
        <w:jc w:val="left"/>
      </w:pPr>
      <w:rPr>
        <w:rFonts w:hint="default"/>
        <w:lang w:val="en-US" w:eastAsia="en-US" w:bidi="ar-SA"/>
      </w:rPr>
    </w:lvl>
    <w:lvl w:ilvl="3">
      <w:start w:val="1"/>
      <w:numFmt w:val="decimal"/>
      <w:lvlText w:val="%1.%2.%3.%4"/>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00" w:hanging="202"/>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546" w:hanging="202"/>
      </w:pPr>
      <w:rPr>
        <w:rFonts w:hint="default"/>
        <w:lang w:val="en-US" w:eastAsia="en-US" w:bidi="ar-SA"/>
      </w:rPr>
    </w:lvl>
    <w:lvl w:ilvl="6">
      <w:start w:val="0"/>
      <w:numFmt w:val="bullet"/>
      <w:lvlText w:val="•"/>
      <w:lvlJc w:val="left"/>
      <w:pPr>
        <w:ind w:left="6653" w:hanging="202"/>
      </w:pPr>
      <w:rPr>
        <w:rFonts w:hint="default"/>
        <w:lang w:val="en-US" w:eastAsia="en-US" w:bidi="ar-SA"/>
      </w:rPr>
    </w:lvl>
    <w:lvl w:ilvl="7">
      <w:start w:val="0"/>
      <w:numFmt w:val="bullet"/>
      <w:lvlText w:val="•"/>
      <w:lvlJc w:val="left"/>
      <w:pPr>
        <w:ind w:left="7760" w:hanging="202"/>
      </w:pPr>
      <w:rPr>
        <w:rFonts w:hint="default"/>
        <w:lang w:val="en-US" w:eastAsia="en-US" w:bidi="ar-SA"/>
      </w:rPr>
    </w:lvl>
    <w:lvl w:ilvl="8">
      <w:start w:val="0"/>
      <w:numFmt w:val="bullet"/>
      <w:lvlText w:val="•"/>
      <w:lvlJc w:val="left"/>
      <w:pPr>
        <w:ind w:left="8866" w:hanging="202"/>
      </w:pPr>
      <w:rPr>
        <w:rFonts w:hint="default"/>
        <w:lang w:val="en-US" w:eastAsia="en-US" w:bidi="ar-SA"/>
      </w:rPr>
    </w:lvl>
  </w:abstractNum>
  <w:abstractNum w:abstractNumId="18">
    <w:multiLevelType w:val="hybridMultilevel"/>
    <w:lvl w:ilvl="0">
      <w:start w:val="3"/>
      <w:numFmt w:val="decimal"/>
      <w:lvlText w:val="%1"/>
      <w:lvlJc w:val="left"/>
      <w:pPr>
        <w:ind w:left="1180" w:hanging="780"/>
        <w:jc w:val="left"/>
      </w:pPr>
      <w:rPr>
        <w:rFonts w:hint="default"/>
        <w:lang w:val="en-US" w:eastAsia="en-US" w:bidi="ar-SA"/>
      </w:rPr>
    </w:lvl>
    <w:lvl w:ilvl="1">
      <w:start w:val="8"/>
      <w:numFmt w:val="decimal"/>
      <w:lvlText w:val="%1.%2"/>
      <w:lvlJc w:val="left"/>
      <w:pPr>
        <w:ind w:left="1180" w:hanging="780"/>
        <w:jc w:val="left"/>
      </w:pPr>
      <w:rPr>
        <w:rFonts w:hint="default"/>
        <w:lang w:val="en-US" w:eastAsia="en-US" w:bidi="ar-SA"/>
      </w:rPr>
    </w:lvl>
    <w:lvl w:ilvl="2">
      <w:start w:val="1"/>
      <w:numFmt w:val="decimal"/>
      <w:lvlText w:val="%1.%2.%3"/>
      <w:lvlJc w:val="left"/>
      <w:pPr>
        <w:ind w:left="1180" w:hanging="780"/>
        <w:jc w:val="left"/>
      </w:pPr>
      <w:rPr>
        <w:rFonts w:hint="default"/>
        <w:lang w:val="en-US" w:eastAsia="en-US" w:bidi="ar-SA"/>
      </w:rPr>
    </w:lvl>
    <w:lvl w:ilvl="3">
      <w:start w:val="2"/>
      <w:numFmt w:val="decimal"/>
      <w:lvlText w:val="%1.%2.%3.%4"/>
      <w:lvlJc w:val="left"/>
      <w:pPr>
        <w:ind w:left="11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140" w:hanging="780"/>
      </w:pPr>
      <w:rPr>
        <w:rFonts w:hint="default"/>
        <w:lang w:val="en-US" w:eastAsia="en-US" w:bidi="ar-SA"/>
      </w:rPr>
    </w:lvl>
    <w:lvl w:ilvl="5">
      <w:start w:val="0"/>
      <w:numFmt w:val="bullet"/>
      <w:lvlText w:val="•"/>
      <w:lvlJc w:val="left"/>
      <w:pPr>
        <w:ind w:left="6130" w:hanging="780"/>
      </w:pPr>
      <w:rPr>
        <w:rFonts w:hint="default"/>
        <w:lang w:val="en-US" w:eastAsia="en-US" w:bidi="ar-SA"/>
      </w:rPr>
    </w:lvl>
    <w:lvl w:ilvl="6">
      <w:start w:val="0"/>
      <w:numFmt w:val="bullet"/>
      <w:lvlText w:val="•"/>
      <w:lvlJc w:val="left"/>
      <w:pPr>
        <w:ind w:left="7120" w:hanging="780"/>
      </w:pPr>
      <w:rPr>
        <w:rFonts w:hint="default"/>
        <w:lang w:val="en-US" w:eastAsia="en-US" w:bidi="ar-SA"/>
      </w:rPr>
    </w:lvl>
    <w:lvl w:ilvl="7">
      <w:start w:val="0"/>
      <w:numFmt w:val="bullet"/>
      <w:lvlText w:val="•"/>
      <w:lvlJc w:val="left"/>
      <w:pPr>
        <w:ind w:left="8110" w:hanging="780"/>
      </w:pPr>
      <w:rPr>
        <w:rFonts w:hint="default"/>
        <w:lang w:val="en-US" w:eastAsia="en-US" w:bidi="ar-SA"/>
      </w:rPr>
    </w:lvl>
    <w:lvl w:ilvl="8">
      <w:start w:val="0"/>
      <w:numFmt w:val="bullet"/>
      <w:lvlText w:val="•"/>
      <w:lvlJc w:val="left"/>
      <w:pPr>
        <w:ind w:left="9100" w:hanging="780"/>
      </w:pPr>
      <w:rPr>
        <w:rFonts w:hint="default"/>
        <w:lang w:val="en-US" w:eastAsia="en-US" w:bidi="ar-SA"/>
      </w:rPr>
    </w:lvl>
  </w:abstractNum>
  <w:abstractNum w:abstractNumId="17">
    <w:multiLevelType w:val="hybridMultilevel"/>
    <w:lvl w:ilvl="0">
      <w:start w:val="3"/>
      <w:numFmt w:val="decimal"/>
      <w:lvlText w:val="%1"/>
      <w:lvlJc w:val="left"/>
      <w:pPr>
        <w:ind w:left="1120" w:hanging="720"/>
        <w:jc w:val="left"/>
      </w:pPr>
      <w:rPr>
        <w:rFonts w:hint="default"/>
        <w:lang w:val="en-US" w:eastAsia="en-US" w:bidi="ar-SA"/>
      </w:rPr>
    </w:lvl>
    <w:lvl w:ilvl="1">
      <w:start w:val="7"/>
      <w:numFmt w:val="decimal"/>
      <w:lvlText w:val="%1.%2"/>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655" w:hanging="780"/>
      </w:pPr>
      <w:rPr>
        <w:rFonts w:hint="default"/>
        <w:lang w:val="en-US" w:eastAsia="en-US" w:bidi="ar-SA"/>
      </w:rPr>
    </w:lvl>
    <w:lvl w:ilvl="5">
      <w:start w:val="0"/>
      <w:numFmt w:val="bullet"/>
      <w:lvlText w:val="•"/>
      <w:lvlJc w:val="left"/>
      <w:pPr>
        <w:ind w:left="4892" w:hanging="780"/>
      </w:pPr>
      <w:rPr>
        <w:rFonts w:hint="default"/>
        <w:lang w:val="en-US" w:eastAsia="en-US" w:bidi="ar-SA"/>
      </w:rPr>
    </w:lvl>
    <w:lvl w:ilvl="6">
      <w:start w:val="0"/>
      <w:numFmt w:val="bullet"/>
      <w:lvlText w:val="•"/>
      <w:lvlJc w:val="left"/>
      <w:pPr>
        <w:ind w:left="6130" w:hanging="780"/>
      </w:pPr>
      <w:rPr>
        <w:rFonts w:hint="default"/>
        <w:lang w:val="en-US" w:eastAsia="en-US" w:bidi="ar-SA"/>
      </w:rPr>
    </w:lvl>
    <w:lvl w:ilvl="7">
      <w:start w:val="0"/>
      <w:numFmt w:val="bullet"/>
      <w:lvlText w:val="•"/>
      <w:lvlJc w:val="left"/>
      <w:pPr>
        <w:ind w:left="7367" w:hanging="780"/>
      </w:pPr>
      <w:rPr>
        <w:rFonts w:hint="default"/>
        <w:lang w:val="en-US" w:eastAsia="en-US" w:bidi="ar-SA"/>
      </w:rPr>
    </w:lvl>
    <w:lvl w:ilvl="8">
      <w:start w:val="0"/>
      <w:numFmt w:val="bullet"/>
      <w:lvlText w:val="•"/>
      <w:lvlJc w:val="left"/>
      <w:pPr>
        <w:ind w:left="8605" w:hanging="780"/>
      </w:pPr>
      <w:rPr>
        <w:rFonts w:hint="default"/>
        <w:lang w:val="en-US" w:eastAsia="en-US" w:bidi="ar-SA"/>
      </w:rPr>
    </w:lvl>
  </w:abstractNum>
  <w:abstractNum w:abstractNumId="16">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15">
    <w:multiLevelType w:val="hybridMultilevel"/>
    <w:lvl w:ilvl="0">
      <w:start w:val="3"/>
      <w:numFmt w:val="decimal"/>
      <w:lvlText w:val="%1"/>
      <w:lvlJc w:val="left"/>
      <w:pPr>
        <w:ind w:left="1180" w:hanging="780"/>
        <w:jc w:val="left"/>
      </w:pPr>
      <w:rPr>
        <w:rFonts w:hint="default"/>
        <w:lang w:val="en-US" w:eastAsia="en-US" w:bidi="ar-SA"/>
      </w:rPr>
    </w:lvl>
    <w:lvl w:ilvl="1">
      <w:start w:val="1"/>
      <w:numFmt w:val="decimal"/>
      <w:lvlText w:val="%1.%2"/>
      <w:lvlJc w:val="left"/>
      <w:pPr>
        <w:ind w:left="11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80"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lowerLetter"/>
      <w:lvlText w:val="%5)"/>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680"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880" w:hanging="360"/>
      </w:pPr>
      <w:rPr>
        <w:rFonts w:hint="default"/>
        <w:lang w:val="en-US" w:eastAsia="en-US" w:bidi="ar-SA"/>
      </w:rPr>
    </w:lvl>
  </w:abstractNum>
  <w:abstractNum w:abstractNumId="14">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13">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12">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11">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10">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9">
    <w:multiLevelType w:val="hybridMultilevel"/>
    <w:lvl w:ilvl="0">
      <w:start w:val="1"/>
      <w:numFmt w:val="upperRoman"/>
      <w:lvlText w:val="%1."/>
      <w:lvlJc w:val="left"/>
      <w:pPr>
        <w:ind w:left="1120"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116" w:hanging="500"/>
      </w:pPr>
      <w:rPr>
        <w:rFonts w:hint="default"/>
        <w:lang w:val="en-US" w:eastAsia="en-US" w:bidi="ar-SA"/>
      </w:rPr>
    </w:lvl>
    <w:lvl w:ilvl="2">
      <w:start w:val="0"/>
      <w:numFmt w:val="bullet"/>
      <w:lvlText w:val="•"/>
      <w:lvlJc w:val="left"/>
      <w:pPr>
        <w:ind w:left="3112" w:hanging="500"/>
      </w:pPr>
      <w:rPr>
        <w:rFonts w:hint="default"/>
        <w:lang w:val="en-US" w:eastAsia="en-US" w:bidi="ar-SA"/>
      </w:rPr>
    </w:lvl>
    <w:lvl w:ilvl="3">
      <w:start w:val="0"/>
      <w:numFmt w:val="bullet"/>
      <w:lvlText w:val="•"/>
      <w:lvlJc w:val="left"/>
      <w:pPr>
        <w:ind w:left="4108" w:hanging="500"/>
      </w:pPr>
      <w:rPr>
        <w:rFonts w:hint="default"/>
        <w:lang w:val="en-US" w:eastAsia="en-US" w:bidi="ar-SA"/>
      </w:rPr>
    </w:lvl>
    <w:lvl w:ilvl="4">
      <w:start w:val="0"/>
      <w:numFmt w:val="bullet"/>
      <w:lvlText w:val="•"/>
      <w:lvlJc w:val="left"/>
      <w:pPr>
        <w:ind w:left="5104" w:hanging="500"/>
      </w:pPr>
      <w:rPr>
        <w:rFonts w:hint="default"/>
        <w:lang w:val="en-US" w:eastAsia="en-US" w:bidi="ar-SA"/>
      </w:rPr>
    </w:lvl>
    <w:lvl w:ilvl="5">
      <w:start w:val="0"/>
      <w:numFmt w:val="bullet"/>
      <w:lvlText w:val="•"/>
      <w:lvlJc w:val="left"/>
      <w:pPr>
        <w:ind w:left="6100" w:hanging="500"/>
      </w:pPr>
      <w:rPr>
        <w:rFonts w:hint="default"/>
        <w:lang w:val="en-US" w:eastAsia="en-US" w:bidi="ar-SA"/>
      </w:rPr>
    </w:lvl>
    <w:lvl w:ilvl="6">
      <w:start w:val="0"/>
      <w:numFmt w:val="bullet"/>
      <w:lvlText w:val="•"/>
      <w:lvlJc w:val="left"/>
      <w:pPr>
        <w:ind w:left="7096" w:hanging="500"/>
      </w:pPr>
      <w:rPr>
        <w:rFonts w:hint="default"/>
        <w:lang w:val="en-US" w:eastAsia="en-US" w:bidi="ar-SA"/>
      </w:rPr>
    </w:lvl>
    <w:lvl w:ilvl="7">
      <w:start w:val="0"/>
      <w:numFmt w:val="bullet"/>
      <w:lvlText w:val="•"/>
      <w:lvlJc w:val="left"/>
      <w:pPr>
        <w:ind w:left="8092" w:hanging="500"/>
      </w:pPr>
      <w:rPr>
        <w:rFonts w:hint="default"/>
        <w:lang w:val="en-US" w:eastAsia="en-US" w:bidi="ar-SA"/>
      </w:rPr>
    </w:lvl>
    <w:lvl w:ilvl="8">
      <w:start w:val="0"/>
      <w:numFmt w:val="bullet"/>
      <w:lvlText w:val="•"/>
      <w:lvlJc w:val="left"/>
      <w:pPr>
        <w:ind w:left="9088" w:hanging="500"/>
      </w:pPr>
      <w:rPr>
        <w:rFonts w:hint="default"/>
        <w:lang w:val="en-US" w:eastAsia="en-US" w:bidi="ar-SA"/>
      </w:rPr>
    </w:lvl>
  </w:abstractNum>
  <w:abstractNum w:abstractNumId="8">
    <w:multiLevelType w:val="hybridMultilevel"/>
    <w:lvl w:ilvl="0">
      <w:start w:val="1"/>
      <w:numFmt w:val="lowerRoman"/>
      <w:lvlText w:val="%1."/>
      <w:lvlJc w:val="left"/>
      <w:pPr>
        <w:ind w:left="11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488"/>
      </w:pPr>
      <w:rPr>
        <w:rFonts w:hint="default"/>
        <w:lang w:val="en-US" w:eastAsia="en-US" w:bidi="ar-SA"/>
      </w:rPr>
    </w:lvl>
    <w:lvl w:ilvl="2">
      <w:start w:val="0"/>
      <w:numFmt w:val="bullet"/>
      <w:lvlText w:val="•"/>
      <w:lvlJc w:val="left"/>
      <w:pPr>
        <w:ind w:left="3112" w:hanging="488"/>
      </w:pPr>
      <w:rPr>
        <w:rFonts w:hint="default"/>
        <w:lang w:val="en-US" w:eastAsia="en-US" w:bidi="ar-SA"/>
      </w:rPr>
    </w:lvl>
    <w:lvl w:ilvl="3">
      <w:start w:val="0"/>
      <w:numFmt w:val="bullet"/>
      <w:lvlText w:val="•"/>
      <w:lvlJc w:val="left"/>
      <w:pPr>
        <w:ind w:left="4108" w:hanging="488"/>
      </w:pPr>
      <w:rPr>
        <w:rFonts w:hint="default"/>
        <w:lang w:val="en-US" w:eastAsia="en-US" w:bidi="ar-SA"/>
      </w:rPr>
    </w:lvl>
    <w:lvl w:ilvl="4">
      <w:start w:val="0"/>
      <w:numFmt w:val="bullet"/>
      <w:lvlText w:val="•"/>
      <w:lvlJc w:val="left"/>
      <w:pPr>
        <w:ind w:left="5104" w:hanging="488"/>
      </w:pPr>
      <w:rPr>
        <w:rFonts w:hint="default"/>
        <w:lang w:val="en-US" w:eastAsia="en-US" w:bidi="ar-SA"/>
      </w:rPr>
    </w:lvl>
    <w:lvl w:ilvl="5">
      <w:start w:val="0"/>
      <w:numFmt w:val="bullet"/>
      <w:lvlText w:val="•"/>
      <w:lvlJc w:val="left"/>
      <w:pPr>
        <w:ind w:left="6100" w:hanging="488"/>
      </w:pPr>
      <w:rPr>
        <w:rFonts w:hint="default"/>
        <w:lang w:val="en-US" w:eastAsia="en-US" w:bidi="ar-SA"/>
      </w:rPr>
    </w:lvl>
    <w:lvl w:ilvl="6">
      <w:start w:val="0"/>
      <w:numFmt w:val="bullet"/>
      <w:lvlText w:val="•"/>
      <w:lvlJc w:val="left"/>
      <w:pPr>
        <w:ind w:left="7096" w:hanging="488"/>
      </w:pPr>
      <w:rPr>
        <w:rFonts w:hint="default"/>
        <w:lang w:val="en-US" w:eastAsia="en-US" w:bidi="ar-SA"/>
      </w:rPr>
    </w:lvl>
    <w:lvl w:ilvl="7">
      <w:start w:val="0"/>
      <w:numFmt w:val="bullet"/>
      <w:lvlText w:val="•"/>
      <w:lvlJc w:val="left"/>
      <w:pPr>
        <w:ind w:left="8092" w:hanging="488"/>
      </w:pPr>
      <w:rPr>
        <w:rFonts w:hint="default"/>
        <w:lang w:val="en-US" w:eastAsia="en-US" w:bidi="ar-SA"/>
      </w:rPr>
    </w:lvl>
    <w:lvl w:ilvl="8">
      <w:start w:val="0"/>
      <w:numFmt w:val="bullet"/>
      <w:lvlText w:val="•"/>
      <w:lvlJc w:val="left"/>
      <w:pPr>
        <w:ind w:left="9088" w:hanging="488"/>
      </w:pPr>
      <w:rPr>
        <w:rFonts w:hint="default"/>
        <w:lang w:val="en-US" w:eastAsia="en-US" w:bidi="ar-SA"/>
      </w:rPr>
    </w:lvl>
  </w:abstractNum>
  <w:abstractNum w:abstractNumId="7">
    <w:multiLevelType w:val="hybridMultilevel"/>
    <w:lvl w:ilvl="0">
      <w:start w:val="1"/>
      <w:numFmt w:val="lowerLetter"/>
      <w:lvlText w:val="%1)"/>
      <w:lvlJc w:val="left"/>
      <w:pPr>
        <w:ind w:left="112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720"/>
      </w:pPr>
      <w:rPr>
        <w:rFonts w:hint="default"/>
        <w:lang w:val="en-US" w:eastAsia="en-US" w:bidi="ar-SA"/>
      </w:rPr>
    </w:lvl>
    <w:lvl w:ilvl="2">
      <w:start w:val="0"/>
      <w:numFmt w:val="bullet"/>
      <w:lvlText w:val="•"/>
      <w:lvlJc w:val="left"/>
      <w:pPr>
        <w:ind w:left="3112" w:hanging="720"/>
      </w:pPr>
      <w:rPr>
        <w:rFonts w:hint="default"/>
        <w:lang w:val="en-US" w:eastAsia="en-US" w:bidi="ar-SA"/>
      </w:rPr>
    </w:lvl>
    <w:lvl w:ilvl="3">
      <w:start w:val="0"/>
      <w:numFmt w:val="bullet"/>
      <w:lvlText w:val="•"/>
      <w:lvlJc w:val="left"/>
      <w:pPr>
        <w:ind w:left="4108" w:hanging="720"/>
      </w:pPr>
      <w:rPr>
        <w:rFonts w:hint="default"/>
        <w:lang w:val="en-US" w:eastAsia="en-US" w:bidi="ar-SA"/>
      </w:rPr>
    </w:lvl>
    <w:lvl w:ilvl="4">
      <w:start w:val="0"/>
      <w:numFmt w:val="bullet"/>
      <w:lvlText w:val="•"/>
      <w:lvlJc w:val="left"/>
      <w:pPr>
        <w:ind w:left="5104"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6">
    <w:multiLevelType w:val="hybridMultilevel"/>
    <w:lvl w:ilvl="0">
      <w:start w:val="1"/>
      <w:numFmt w:val="lowerLetter"/>
      <w:lvlText w:val="%1)"/>
      <w:lvlJc w:val="left"/>
      <w:pPr>
        <w:ind w:left="11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5">
    <w:multiLevelType w:val="hybridMultilevel"/>
    <w:lvl w:ilvl="0">
      <w:start w:val="1"/>
      <w:numFmt w:val="lowerLetter"/>
      <w:lvlText w:val="%1)"/>
      <w:lvlJc w:val="left"/>
      <w:pPr>
        <w:ind w:left="112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16" w:hanging="540"/>
      </w:pPr>
      <w:rPr>
        <w:rFonts w:hint="default"/>
        <w:lang w:val="en-US" w:eastAsia="en-US" w:bidi="ar-SA"/>
      </w:rPr>
    </w:lvl>
    <w:lvl w:ilvl="2">
      <w:start w:val="0"/>
      <w:numFmt w:val="bullet"/>
      <w:lvlText w:val="•"/>
      <w:lvlJc w:val="left"/>
      <w:pPr>
        <w:ind w:left="3112" w:hanging="540"/>
      </w:pPr>
      <w:rPr>
        <w:rFonts w:hint="default"/>
        <w:lang w:val="en-US" w:eastAsia="en-US" w:bidi="ar-SA"/>
      </w:rPr>
    </w:lvl>
    <w:lvl w:ilvl="3">
      <w:start w:val="0"/>
      <w:numFmt w:val="bullet"/>
      <w:lvlText w:val="•"/>
      <w:lvlJc w:val="left"/>
      <w:pPr>
        <w:ind w:left="4108" w:hanging="540"/>
      </w:pPr>
      <w:rPr>
        <w:rFonts w:hint="default"/>
        <w:lang w:val="en-US" w:eastAsia="en-US" w:bidi="ar-SA"/>
      </w:rPr>
    </w:lvl>
    <w:lvl w:ilvl="4">
      <w:start w:val="0"/>
      <w:numFmt w:val="bullet"/>
      <w:lvlText w:val="•"/>
      <w:lvlJc w:val="left"/>
      <w:pPr>
        <w:ind w:left="5104" w:hanging="540"/>
      </w:pPr>
      <w:rPr>
        <w:rFonts w:hint="default"/>
        <w:lang w:val="en-US" w:eastAsia="en-US" w:bidi="ar-SA"/>
      </w:rPr>
    </w:lvl>
    <w:lvl w:ilvl="5">
      <w:start w:val="0"/>
      <w:numFmt w:val="bullet"/>
      <w:lvlText w:val="•"/>
      <w:lvlJc w:val="left"/>
      <w:pPr>
        <w:ind w:left="6100" w:hanging="540"/>
      </w:pPr>
      <w:rPr>
        <w:rFonts w:hint="default"/>
        <w:lang w:val="en-US" w:eastAsia="en-US" w:bidi="ar-SA"/>
      </w:rPr>
    </w:lvl>
    <w:lvl w:ilvl="6">
      <w:start w:val="0"/>
      <w:numFmt w:val="bullet"/>
      <w:lvlText w:val="•"/>
      <w:lvlJc w:val="left"/>
      <w:pPr>
        <w:ind w:left="7096" w:hanging="540"/>
      </w:pPr>
      <w:rPr>
        <w:rFonts w:hint="default"/>
        <w:lang w:val="en-US" w:eastAsia="en-US" w:bidi="ar-SA"/>
      </w:rPr>
    </w:lvl>
    <w:lvl w:ilvl="7">
      <w:start w:val="0"/>
      <w:numFmt w:val="bullet"/>
      <w:lvlText w:val="•"/>
      <w:lvlJc w:val="left"/>
      <w:pPr>
        <w:ind w:left="8092" w:hanging="540"/>
      </w:pPr>
      <w:rPr>
        <w:rFonts w:hint="default"/>
        <w:lang w:val="en-US" w:eastAsia="en-US" w:bidi="ar-SA"/>
      </w:rPr>
    </w:lvl>
    <w:lvl w:ilvl="8">
      <w:start w:val="0"/>
      <w:numFmt w:val="bullet"/>
      <w:lvlText w:val="•"/>
      <w:lvlJc w:val="left"/>
      <w:pPr>
        <w:ind w:left="9088" w:hanging="540"/>
      </w:pPr>
      <w:rPr>
        <w:rFonts w:hint="default"/>
        <w:lang w:val="en-US" w:eastAsia="en-US" w:bidi="ar-SA"/>
      </w:rPr>
    </w:lvl>
  </w:abstractNum>
  <w:abstractNum w:abstractNumId="4">
    <w:multiLevelType w:val="hybridMultilevel"/>
    <w:lvl w:ilvl="0">
      <w:start w:val="1"/>
      <w:numFmt w:val="decimal"/>
      <w:lvlText w:val="%1."/>
      <w:lvlJc w:val="left"/>
      <w:pPr>
        <w:ind w:left="1571" w:hanging="10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30" w:hanging="1085"/>
      </w:pPr>
      <w:rPr>
        <w:rFonts w:hint="default"/>
        <w:lang w:val="en-US" w:eastAsia="en-US" w:bidi="ar-SA"/>
      </w:rPr>
    </w:lvl>
    <w:lvl w:ilvl="2">
      <w:start w:val="0"/>
      <w:numFmt w:val="bullet"/>
      <w:lvlText w:val="•"/>
      <w:lvlJc w:val="left"/>
      <w:pPr>
        <w:ind w:left="3480" w:hanging="1085"/>
      </w:pPr>
      <w:rPr>
        <w:rFonts w:hint="default"/>
        <w:lang w:val="en-US" w:eastAsia="en-US" w:bidi="ar-SA"/>
      </w:rPr>
    </w:lvl>
    <w:lvl w:ilvl="3">
      <w:start w:val="0"/>
      <w:numFmt w:val="bullet"/>
      <w:lvlText w:val="•"/>
      <w:lvlJc w:val="left"/>
      <w:pPr>
        <w:ind w:left="4430" w:hanging="1085"/>
      </w:pPr>
      <w:rPr>
        <w:rFonts w:hint="default"/>
        <w:lang w:val="en-US" w:eastAsia="en-US" w:bidi="ar-SA"/>
      </w:rPr>
    </w:lvl>
    <w:lvl w:ilvl="4">
      <w:start w:val="0"/>
      <w:numFmt w:val="bullet"/>
      <w:lvlText w:val="•"/>
      <w:lvlJc w:val="left"/>
      <w:pPr>
        <w:ind w:left="5380" w:hanging="1085"/>
      </w:pPr>
      <w:rPr>
        <w:rFonts w:hint="default"/>
        <w:lang w:val="en-US" w:eastAsia="en-US" w:bidi="ar-SA"/>
      </w:rPr>
    </w:lvl>
    <w:lvl w:ilvl="5">
      <w:start w:val="0"/>
      <w:numFmt w:val="bullet"/>
      <w:lvlText w:val="•"/>
      <w:lvlJc w:val="left"/>
      <w:pPr>
        <w:ind w:left="6330" w:hanging="1085"/>
      </w:pPr>
      <w:rPr>
        <w:rFonts w:hint="default"/>
        <w:lang w:val="en-US" w:eastAsia="en-US" w:bidi="ar-SA"/>
      </w:rPr>
    </w:lvl>
    <w:lvl w:ilvl="6">
      <w:start w:val="0"/>
      <w:numFmt w:val="bullet"/>
      <w:lvlText w:val="•"/>
      <w:lvlJc w:val="left"/>
      <w:pPr>
        <w:ind w:left="7280" w:hanging="1085"/>
      </w:pPr>
      <w:rPr>
        <w:rFonts w:hint="default"/>
        <w:lang w:val="en-US" w:eastAsia="en-US" w:bidi="ar-SA"/>
      </w:rPr>
    </w:lvl>
    <w:lvl w:ilvl="7">
      <w:start w:val="0"/>
      <w:numFmt w:val="bullet"/>
      <w:lvlText w:val="•"/>
      <w:lvlJc w:val="left"/>
      <w:pPr>
        <w:ind w:left="8230" w:hanging="1085"/>
      </w:pPr>
      <w:rPr>
        <w:rFonts w:hint="default"/>
        <w:lang w:val="en-US" w:eastAsia="en-US" w:bidi="ar-SA"/>
      </w:rPr>
    </w:lvl>
    <w:lvl w:ilvl="8">
      <w:start w:val="0"/>
      <w:numFmt w:val="bullet"/>
      <w:lvlText w:val="•"/>
      <w:lvlJc w:val="left"/>
      <w:pPr>
        <w:ind w:left="9180" w:hanging="1085"/>
      </w:pPr>
      <w:rPr>
        <w:rFonts w:hint="default"/>
        <w:lang w:val="en-US" w:eastAsia="en-US" w:bidi="ar-SA"/>
      </w:rPr>
    </w:lvl>
  </w:abstractNum>
  <w:abstractNum w:abstractNumId="3">
    <w:multiLevelType w:val="hybridMultilevel"/>
    <w:lvl w:ilvl="0">
      <w:start w:val="2"/>
      <w:numFmt w:val="decimal"/>
      <w:lvlText w:val="%1"/>
      <w:lvlJc w:val="left"/>
      <w:pPr>
        <w:ind w:left="1120" w:hanging="720"/>
        <w:jc w:val="left"/>
      </w:pPr>
      <w:rPr>
        <w:rFonts w:hint="default"/>
        <w:lang w:val="en-US" w:eastAsia="en-US" w:bidi="ar-SA"/>
      </w:rPr>
    </w:lvl>
    <w:lvl w:ilvl="1">
      <w:start w:val="1"/>
      <w:numFmt w:val="decimal"/>
      <w:lvlText w:val="%1.%2"/>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20" w:hanging="720"/>
        <w:jc w:val="left"/>
      </w:pPr>
      <w:rPr>
        <w:rFonts w:hint="default"/>
        <w:spacing w:val="0"/>
        <w:w w:val="100"/>
        <w:lang w:val="en-US" w:eastAsia="en-US" w:bidi="ar-SA"/>
      </w:rPr>
    </w:lvl>
    <w:lvl w:ilvl="4">
      <w:start w:val="1"/>
      <w:numFmt w:val="upperRoman"/>
      <w:lvlText w:val="%5."/>
      <w:lvlJc w:val="left"/>
      <w:pPr>
        <w:ind w:left="112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096" w:hanging="720"/>
      </w:pPr>
      <w:rPr>
        <w:rFonts w:hint="default"/>
        <w:lang w:val="en-US" w:eastAsia="en-US" w:bidi="ar-SA"/>
      </w:rPr>
    </w:lvl>
    <w:lvl w:ilvl="7">
      <w:start w:val="0"/>
      <w:numFmt w:val="bullet"/>
      <w:lvlText w:val="•"/>
      <w:lvlJc w:val="left"/>
      <w:pPr>
        <w:ind w:left="8092" w:hanging="720"/>
      </w:pPr>
      <w:rPr>
        <w:rFonts w:hint="default"/>
        <w:lang w:val="en-US" w:eastAsia="en-US" w:bidi="ar-SA"/>
      </w:rPr>
    </w:lvl>
    <w:lvl w:ilvl="8">
      <w:start w:val="0"/>
      <w:numFmt w:val="bullet"/>
      <w:lvlText w:val="•"/>
      <w:lvlJc w:val="left"/>
      <w:pPr>
        <w:ind w:left="9088" w:hanging="720"/>
      </w:pPr>
      <w:rPr>
        <w:rFonts w:hint="default"/>
        <w:lang w:val="en-US" w:eastAsia="en-US" w:bidi="ar-SA"/>
      </w:rPr>
    </w:lvl>
  </w:abstractNum>
  <w:abstractNum w:abstractNumId="2">
    <w:multiLevelType w:val="hybridMultilevel"/>
    <w:lvl w:ilvl="0">
      <w:start w:val="1"/>
      <w:numFmt w:val="lowerRoman"/>
      <w:lvlText w:val="(%1)"/>
      <w:lvlJc w:val="left"/>
      <w:pPr>
        <w:ind w:left="1120" w:hanging="360"/>
        <w:jc w:val="left"/>
      </w:pPr>
      <w:rPr>
        <w:rFonts w:hint="default"/>
        <w:spacing w:val="-1"/>
        <w:w w:val="95"/>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1">
    <w:multiLevelType w:val="hybridMultilevel"/>
    <w:lvl w:ilvl="0">
      <w:start w:val="1"/>
      <w:numFmt w:val="lowerRoman"/>
      <w:lvlText w:val="%1."/>
      <w:lvlJc w:val="left"/>
      <w:pPr>
        <w:ind w:left="1480" w:hanging="488"/>
        <w:jc w:val="right"/>
      </w:pPr>
      <w:rPr>
        <w:rFonts w:hint="default" w:ascii="Times New Roman" w:hAnsi="Times New Roman" w:eastAsia="Times New Roman" w:cs="Times New Roman"/>
        <w:b w:val="0"/>
        <w:bCs w:val="0"/>
        <w:i w:val="0"/>
        <w:iCs w:val="0"/>
        <w:spacing w:val="0"/>
        <w:w w:val="100"/>
        <w:position w:val="2"/>
        <w:sz w:val="24"/>
        <w:szCs w:val="24"/>
        <w:lang w:val="en-US" w:eastAsia="en-US" w:bidi="ar-SA"/>
      </w:rPr>
    </w:lvl>
    <w:lvl w:ilvl="1">
      <w:start w:val="0"/>
      <w:numFmt w:val="bullet"/>
      <w:lvlText w:val="•"/>
      <w:lvlJc w:val="left"/>
      <w:pPr>
        <w:ind w:left="2440" w:hanging="488"/>
      </w:pPr>
      <w:rPr>
        <w:rFonts w:hint="default"/>
        <w:lang w:val="en-US" w:eastAsia="en-US" w:bidi="ar-SA"/>
      </w:rPr>
    </w:lvl>
    <w:lvl w:ilvl="2">
      <w:start w:val="0"/>
      <w:numFmt w:val="bullet"/>
      <w:lvlText w:val="•"/>
      <w:lvlJc w:val="left"/>
      <w:pPr>
        <w:ind w:left="3400" w:hanging="488"/>
      </w:pPr>
      <w:rPr>
        <w:rFonts w:hint="default"/>
        <w:lang w:val="en-US" w:eastAsia="en-US" w:bidi="ar-SA"/>
      </w:rPr>
    </w:lvl>
    <w:lvl w:ilvl="3">
      <w:start w:val="0"/>
      <w:numFmt w:val="bullet"/>
      <w:lvlText w:val="•"/>
      <w:lvlJc w:val="left"/>
      <w:pPr>
        <w:ind w:left="4360" w:hanging="488"/>
      </w:pPr>
      <w:rPr>
        <w:rFonts w:hint="default"/>
        <w:lang w:val="en-US" w:eastAsia="en-US" w:bidi="ar-SA"/>
      </w:rPr>
    </w:lvl>
    <w:lvl w:ilvl="4">
      <w:start w:val="0"/>
      <w:numFmt w:val="bullet"/>
      <w:lvlText w:val="•"/>
      <w:lvlJc w:val="left"/>
      <w:pPr>
        <w:ind w:left="5320" w:hanging="488"/>
      </w:pPr>
      <w:rPr>
        <w:rFonts w:hint="default"/>
        <w:lang w:val="en-US" w:eastAsia="en-US" w:bidi="ar-SA"/>
      </w:rPr>
    </w:lvl>
    <w:lvl w:ilvl="5">
      <w:start w:val="0"/>
      <w:numFmt w:val="bullet"/>
      <w:lvlText w:val="•"/>
      <w:lvlJc w:val="left"/>
      <w:pPr>
        <w:ind w:left="6280" w:hanging="488"/>
      </w:pPr>
      <w:rPr>
        <w:rFonts w:hint="default"/>
        <w:lang w:val="en-US" w:eastAsia="en-US" w:bidi="ar-SA"/>
      </w:rPr>
    </w:lvl>
    <w:lvl w:ilvl="6">
      <w:start w:val="0"/>
      <w:numFmt w:val="bullet"/>
      <w:lvlText w:val="•"/>
      <w:lvlJc w:val="left"/>
      <w:pPr>
        <w:ind w:left="7240" w:hanging="488"/>
      </w:pPr>
      <w:rPr>
        <w:rFonts w:hint="default"/>
        <w:lang w:val="en-US" w:eastAsia="en-US" w:bidi="ar-SA"/>
      </w:rPr>
    </w:lvl>
    <w:lvl w:ilvl="7">
      <w:start w:val="0"/>
      <w:numFmt w:val="bullet"/>
      <w:lvlText w:val="•"/>
      <w:lvlJc w:val="left"/>
      <w:pPr>
        <w:ind w:left="8200" w:hanging="488"/>
      </w:pPr>
      <w:rPr>
        <w:rFonts w:hint="default"/>
        <w:lang w:val="en-US" w:eastAsia="en-US" w:bidi="ar-SA"/>
      </w:rPr>
    </w:lvl>
    <w:lvl w:ilvl="8">
      <w:start w:val="0"/>
      <w:numFmt w:val="bullet"/>
      <w:lvlText w:val="•"/>
      <w:lvlJc w:val="left"/>
      <w:pPr>
        <w:ind w:left="9160" w:hanging="488"/>
      </w:pPr>
      <w:rPr>
        <w:rFonts w:hint="default"/>
        <w:lang w:val="en-US" w:eastAsia="en-US" w:bidi="ar-SA"/>
      </w:rPr>
    </w:lvl>
  </w:abstractNum>
  <w:abstractNum w:abstractNumId="0">
    <w:multiLevelType w:val="hybridMultilevel"/>
    <w:lvl w:ilvl="0">
      <w:start w:val="1"/>
      <w:numFmt w:val="decimal"/>
      <w:lvlText w:val="%1"/>
      <w:lvlJc w:val="left"/>
      <w:pPr>
        <w:ind w:left="1120" w:hanging="720"/>
        <w:jc w:val="left"/>
      </w:pPr>
      <w:rPr>
        <w:rFonts w:hint="default"/>
        <w:lang w:val="en-US" w:eastAsia="en-US" w:bidi="ar-SA"/>
      </w:rPr>
    </w:lvl>
    <w:lvl w:ilvl="1">
      <w:start w:val="1"/>
      <w:numFmt w:val="decimal"/>
      <w:lvlText w:val="%1.%2"/>
      <w:lvlJc w:val="left"/>
      <w:pPr>
        <w:ind w:left="1120" w:hanging="720"/>
        <w:jc w:val="left"/>
      </w:pPr>
      <w:rPr>
        <w:rFonts w:hint="default"/>
        <w:spacing w:val="0"/>
        <w:w w:val="100"/>
        <w:lang w:val="en-US" w:eastAsia="en-US" w:bidi="ar-SA"/>
      </w:rPr>
    </w:lvl>
    <w:lvl w:ilvl="2">
      <w:start w:val="1"/>
      <w:numFmt w:val="decimal"/>
      <w:lvlText w:val="%3."/>
      <w:lvlJc w:val="left"/>
      <w:pPr>
        <w:ind w:left="11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num w:numId="42">
    <w:abstractNumId w:val="41"/>
  </w:num>
  <w:num w:numId="21">
    <w:abstractNumId w:val="20"/>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ind w:left="400"/>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120" w:hanging="72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120" w:hanging="72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hyperlink" Target="http://www.ijert.orgIJERTV4IS110602/" TargetMode="External"/><Relationship Id="rId38" Type="http://schemas.openxmlformats.org/officeDocument/2006/relationships/hyperlink" Target="http://www.iiste.org/" TargetMode="External"/><Relationship Id="rId39" Type="http://schemas.openxmlformats.org/officeDocument/2006/relationships/hyperlink" Target="http://www.ccsenet.org/jsd" TargetMode="External"/><Relationship Id="rId40" Type="http://schemas.openxmlformats.org/officeDocument/2006/relationships/hyperlink" Target="http://doi.org/10.1177/000944550704300304" TargetMode="External"/><Relationship Id="rId41" Type="http://schemas.openxmlformats.org/officeDocument/2006/relationships/hyperlink" Target="http://www.ypforum.org/news-" TargetMode="External"/><Relationship Id="rId42" Type="http://schemas.openxmlformats.org/officeDocument/2006/relationships/hyperlink" Target="http://www.cimaglobal.com/.(" TargetMode="External"/><Relationship Id="rId43" Type="http://schemas.openxmlformats.org/officeDocument/2006/relationships/hyperlink" Target="http://www.eacc-vic.org/" TargetMode="External"/><Relationship Id="rId44" Type="http://schemas.openxmlformats.org/officeDocument/2006/relationships/hyperlink" Target="http://smallbusiness.chron.com/bcg-model-marketing-12953.html" TargetMode="External"/><Relationship Id="rId45" Type="http://schemas.openxmlformats.org/officeDocument/2006/relationships/hyperlink" Target="http://www.iso.org/iso/pub100080.pdf" TargetMode="External"/><Relationship Id="rId46" Type="http://schemas.openxmlformats.org/officeDocument/2006/relationships/hyperlink" Target="http://european-science/" TargetMode="External"/><Relationship Id="rId47" Type="http://schemas.openxmlformats.org/officeDocument/2006/relationships/hyperlink" Target="http://www.academicpublishingplatforms.com/" TargetMode="External"/><Relationship Id="rId48" Type="http://schemas.openxmlformats.org/officeDocument/2006/relationships/hyperlink" Target="http://www.mam.ac.uk/idpm/.Accessed" TargetMode="External"/><Relationship Id="rId49" Type="http://schemas.openxmlformats.org/officeDocument/2006/relationships/hyperlink" Target="http://www.emeraldsight.com/" TargetMode="External"/><Relationship Id="rId50" Type="http://schemas.openxmlformats.org/officeDocument/2006/relationships/hyperlink" Target="http://ro.uow.edu.au/artspapers/114" TargetMode="External"/><Relationship Id="rId51" Type="http://schemas.openxmlformats.org/officeDocument/2006/relationships/hyperlink" Target="http://1000ventures.com/businessguide/im-tqm-main" TargetMode="External"/><Relationship Id="rId52" Type="http://schemas.openxmlformats.org/officeDocument/2006/relationships/hyperlink" Target="http://www.lapiana.org/downloads/strategy_formation.pdf" TargetMode="External"/><Relationship Id="rId53" Type="http://schemas.openxmlformats.org/officeDocument/2006/relationships/hyperlink" Target="http://www.kwpublisher.com/" TargetMode="External"/><Relationship Id="rId54" Type="http://schemas.openxmlformats.org/officeDocument/2006/relationships/hyperlink" Target="http://doi.org/10.5169/seals-21509" TargetMode="External"/><Relationship Id="rId55" Type="http://schemas.openxmlformats.org/officeDocument/2006/relationships/hyperlink" Target="http://stclements.edu/grad/gradonug.pdf)" TargetMode="External"/><Relationship Id="rId56" Type="http://schemas.openxmlformats.org/officeDocument/2006/relationships/hyperlink" Target="http://cenbank.org/fss/wed/SME_Issues" TargetMode="External"/><Relationship Id="rId57" Type="http://schemas.openxmlformats.org/officeDocument/2006/relationships/hyperlink" Target="http://commerce.massey.ac.nz/research-output/2002/20002022.pdf" TargetMode="External"/><Relationship Id="rId58" Type="http://schemas.openxmlformats.org/officeDocument/2006/relationships/hyperlink" Target="http://www.transcampus.org/journals" TargetMode="External"/><Relationship Id="rId59" Type="http://schemas.openxmlformats.org/officeDocument/2006/relationships/hyperlink" Target="http://www.ajol.info/journals/jorind" TargetMode="External"/><Relationship Id="rId60" Type="http://schemas.openxmlformats.org/officeDocument/2006/relationships/hyperlink" Target="http://www.audubon-area.com/sengesum.pdf" TargetMode="External"/><Relationship Id="rId61" Type="http://schemas.openxmlformats.org/officeDocument/2006/relationships/hyperlink" Target="http://www.tandfoline.com/doi/full/10.1080/10196780601136799" TargetMode="External"/><Relationship Id="rId62" Type="http://schemas.openxmlformats.org/officeDocument/2006/relationships/hyperlink" Target="http://www.ncbi.nlm.nih.gov/pubmed/14617959" TargetMode="External"/><Relationship Id="rId63" Type="http://schemas.openxmlformats.org/officeDocument/2006/relationships/hyperlink" Target="http://www.ijmsbr.com/" TargetMode="External"/><Relationship Id="rId64" Type="http://schemas.openxmlformats.org/officeDocument/2006/relationships/hyperlink" Target="http://www.scribd.com/doc/2919927/Total-Quality-" TargetMode="External"/><Relationship Id="rId65" Type="http://schemas.openxmlformats.org/officeDocument/2006/relationships/hyperlink" Target="https://doi.org/10.1108/02686900210434096" TargetMode="External"/><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2023-11-06T18:01:38Z</dcterms:created>
  <dcterms:modified xsi:type="dcterms:W3CDTF">2023-11-06T18:01:38Z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Acrobat PDFMaker 11 for Word</vt:lpwstr>
  </property>
  <property fmtid="{D5CDD505-2E9C-101B-9397-08002B2CF9AE}" pid="4" name="LastSaved">
    <vt:filetime>2023-11-06T00:00:00Z</vt:filetime>
  </property>
  <property fmtid="{D5CDD505-2E9C-101B-9397-08002B2CF9AE}" pid="5" name="Producer">
    <vt:lpwstr>Adobe PDF Library 11.0</vt:lpwstr>
  </property>
  <property fmtid="{D5CDD505-2E9C-101B-9397-08002B2CF9AE}" pid="6" name="SourceModified">
    <vt:lpwstr>D:20190410093222</vt:lpwstr>
  </property>
</Properties>
</file>