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73"/>
        <w:ind w:left="122" w:right="122" w:firstLine="4"/>
      </w:pPr>
      <w:r>
        <w:rPr/>
        <w:t>DEVELOPMENT OF BIOSURFACTANTS-IRON OXIDE NANOPARTICLES- BIOCHAR</w:t>
      </w:r>
      <w:r>
        <w:rPr>
          <w:spacing w:val="-6"/>
        </w:rPr>
        <w:t> </w:t>
      </w:r>
      <w:r>
        <w:rPr/>
        <w:t>FORMULATION</w:t>
      </w:r>
      <w:r>
        <w:rPr>
          <w:spacing w:val="-6"/>
        </w:rPr>
        <w:t> </w:t>
      </w:r>
      <w:r>
        <w:rPr/>
        <w:t>FOR</w:t>
      </w:r>
      <w:r>
        <w:rPr>
          <w:spacing w:val="-6"/>
        </w:rPr>
        <w:t> </w:t>
      </w:r>
      <w:r>
        <w:rPr/>
        <w:t>REMEDIATION</w:t>
      </w:r>
      <w:r>
        <w:rPr>
          <w:spacing w:val="-6"/>
        </w:rPr>
        <w:t> </w:t>
      </w:r>
      <w:r>
        <w:rPr/>
        <w:t>OF</w:t>
      </w:r>
      <w:r>
        <w:rPr>
          <w:spacing w:val="-9"/>
        </w:rPr>
        <w:t> </w:t>
      </w:r>
      <w:r>
        <w:rPr/>
        <w:t>CRUDE</w:t>
      </w:r>
      <w:r>
        <w:rPr>
          <w:spacing w:val="-6"/>
        </w:rPr>
        <w:t> </w:t>
      </w:r>
      <w:r>
        <w:rPr/>
        <w:t>OIL</w:t>
      </w:r>
      <w:r>
        <w:rPr>
          <w:spacing w:val="-3"/>
        </w:rPr>
        <w:t> </w:t>
      </w:r>
      <w:r>
        <w:rPr/>
        <w:t>CONTAMINATED </w:t>
      </w:r>
      <w:r>
        <w:rPr>
          <w:spacing w:val="-4"/>
        </w:rPr>
        <w:t>SOIL</w:t>
      </w:r>
    </w:p>
    <w:p>
      <w:pPr>
        <w:pStyle w:val="BodyText"/>
        <w:rPr>
          <w:b/>
          <w:sz w:val="26"/>
        </w:rPr>
      </w:pPr>
    </w:p>
    <w:p>
      <w:pPr>
        <w:pStyle w:val="BodyText"/>
        <w:rPr>
          <w:b/>
          <w:sz w:val="26"/>
        </w:rPr>
      </w:pPr>
    </w:p>
    <w:p>
      <w:pPr>
        <w:spacing w:before="156"/>
        <w:ind w:left="3309" w:right="2591" w:firstLine="0"/>
        <w:jc w:val="center"/>
        <w:rPr>
          <w:b/>
          <w:sz w:val="24"/>
        </w:rPr>
      </w:pPr>
      <w:r>
        <w:rPr>
          <w:b/>
          <w:spacing w:val="-2"/>
          <w:sz w:val="24"/>
        </w:rPr>
        <w:t>ABSTRACT</w:t>
      </w:r>
    </w:p>
    <w:p>
      <w:pPr>
        <w:pStyle w:val="BodyText"/>
        <w:spacing w:before="194"/>
        <w:ind w:left="120" w:right="113"/>
        <w:jc w:val="both"/>
      </w:pPr>
      <w:r>
        <w:rPr/>
        <w:t>Biosurfactant-mediated degradation of contaminants is practical and safe</w:t>
      </w:r>
      <w:r>
        <w:rPr/>
        <w:t> environmental remediation agent. In addition, iron oxide nanoparticles and biochar are bioremediation agents with great potentials due to their strong adsorption capacity, microbial growth enhancement and chemical</w:t>
      </w:r>
      <w:r>
        <w:rPr>
          <w:spacing w:val="-11"/>
        </w:rPr>
        <w:t> </w:t>
      </w:r>
      <w:r>
        <w:rPr/>
        <w:t>inertness.</w:t>
      </w:r>
      <w:r>
        <w:rPr>
          <w:spacing w:val="-12"/>
        </w:rPr>
        <w:t> </w:t>
      </w:r>
      <w:r>
        <w:rPr/>
        <w:t>Therefore,</w:t>
      </w:r>
      <w:r>
        <w:rPr>
          <w:spacing w:val="-12"/>
        </w:rPr>
        <w:t> </w:t>
      </w:r>
      <w:r>
        <w:rPr/>
        <w:t>a</w:t>
      </w:r>
      <w:r>
        <w:rPr>
          <w:spacing w:val="-13"/>
        </w:rPr>
        <w:t> </w:t>
      </w:r>
      <w:r>
        <w:rPr/>
        <w:t>combination</w:t>
      </w:r>
      <w:r>
        <w:rPr>
          <w:spacing w:val="-12"/>
        </w:rPr>
        <w:t> </w:t>
      </w:r>
      <w:r>
        <w:rPr/>
        <w:t>of</w:t>
      </w:r>
      <w:r>
        <w:rPr>
          <w:spacing w:val="-12"/>
        </w:rPr>
        <w:t> </w:t>
      </w:r>
      <w:r>
        <w:rPr/>
        <w:t>biosufactant,</w:t>
      </w:r>
      <w:r>
        <w:rPr>
          <w:spacing w:val="-9"/>
        </w:rPr>
        <w:t> </w:t>
      </w:r>
      <w:r>
        <w:rPr/>
        <w:t>iron</w:t>
      </w:r>
      <w:r>
        <w:rPr>
          <w:spacing w:val="-12"/>
        </w:rPr>
        <w:t> </w:t>
      </w:r>
      <w:r>
        <w:rPr/>
        <w:t>oxide</w:t>
      </w:r>
      <w:r>
        <w:rPr>
          <w:spacing w:val="-12"/>
        </w:rPr>
        <w:t> </w:t>
      </w:r>
      <w:r>
        <w:rPr/>
        <w:t>nanoparticles</w:t>
      </w:r>
      <w:r>
        <w:rPr>
          <w:spacing w:val="-11"/>
        </w:rPr>
        <w:t> </w:t>
      </w:r>
      <w:r>
        <w:rPr/>
        <w:t>and</w:t>
      </w:r>
      <w:r>
        <w:rPr>
          <w:spacing w:val="-12"/>
        </w:rPr>
        <w:t> </w:t>
      </w:r>
      <w:r>
        <w:rPr/>
        <w:t>biochar could produce a very desirable and efficient alternative to conventional environmental treatment of contaminants. This study focused on the development of biosurfactants-ironoxide nanoparticles-biochar</w:t>
      </w:r>
      <w:r>
        <w:rPr>
          <w:spacing w:val="-3"/>
        </w:rPr>
        <w:t> </w:t>
      </w:r>
      <w:r>
        <w:rPr/>
        <w:t>(BS/NP/BC)</w:t>
      </w:r>
      <w:r>
        <w:rPr>
          <w:spacing w:val="-7"/>
        </w:rPr>
        <w:t> </w:t>
      </w:r>
      <w:r>
        <w:rPr/>
        <w:t>formulation</w:t>
      </w:r>
      <w:r>
        <w:rPr>
          <w:spacing w:val="-6"/>
        </w:rPr>
        <w:t> </w:t>
      </w:r>
      <w:r>
        <w:rPr/>
        <w:t>for</w:t>
      </w:r>
      <w:r>
        <w:rPr>
          <w:spacing w:val="-7"/>
        </w:rPr>
        <w:t> </w:t>
      </w:r>
      <w:r>
        <w:rPr/>
        <w:t>clean-up</w:t>
      </w:r>
      <w:r>
        <w:rPr>
          <w:spacing w:val="-6"/>
        </w:rPr>
        <w:t> </w:t>
      </w:r>
      <w:r>
        <w:rPr/>
        <w:t>of</w:t>
      </w:r>
      <w:r>
        <w:rPr>
          <w:spacing w:val="-7"/>
        </w:rPr>
        <w:t> </w:t>
      </w:r>
      <w:r>
        <w:rPr/>
        <w:t>crude</w:t>
      </w:r>
      <w:r>
        <w:rPr>
          <w:spacing w:val="-8"/>
        </w:rPr>
        <w:t> </w:t>
      </w:r>
      <w:r>
        <w:rPr/>
        <w:t>oil</w:t>
      </w:r>
      <w:r>
        <w:rPr>
          <w:spacing w:val="-5"/>
        </w:rPr>
        <w:t> </w:t>
      </w:r>
      <w:r>
        <w:rPr/>
        <w:t>polluted</w:t>
      </w:r>
      <w:r>
        <w:rPr>
          <w:spacing w:val="-6"/>
        </w:rPr>
        <w:t> </w:t>
      </w:r>
      <w:r>
        <w:rPr/>
        <w:t>soil.</w:t>
      </w:r>
      <w:r>
        <w:rPr>
          <w:spacing w:val="-6"/>
        </w:rPr>
        <w:t> </w:t>
      </w:r>
      <w:r>
        <w:rPr/>
        <w:t>A</w:t>
      </w:r>
      <w:r>
        <w:rPr>
          <w:spacing w:val="-6"/>
        </w:rPr>
        <w:t> </w:t>
      </w:r>
      <w:r>
        <w:rPr/>
        <w:t>potential biosurfactant producing bacterium, previously isolated from the soil was obtained from the Microbiology Department, Federal Univeristy of Technology, Minna and confirmed as </w:t>
      </w:r>
      <w:r>
        <w:rPr>
          <w:i/>
        </w:rPr>
        <w:t>Alcaligenes faecalis </w:t>
      </w:r>
      <w:r>
        <w:rPr/>
        <w:t>strain ADY25.</w:t>
      </w:r>
      <w:r>
        <w:rPr/>
        <w:t> The</w:t>
      </w:r>
      <w:r>
        <w:rPr/>
        <w:t> isolate</w:t>
      </w:r>
      <w:r>
        <w:rPr/>
        <w:t> was screened</w:t>
      </w:r>
      <w:r>
        <w:rPr/>
        <w:t> to</w:t>
      </w:r>
      <w:r>
        <w:rPr/>
        <w:t> confirm</w:t>
      </w:r>
      <w:r>
        <w:rPr/>
        <w:t> its biosurfactant producing ability and used to produce biosurfactantat with a yield of 4.5 g/L. Iron oxide nanoparticles</w:t>
      </w:r>
      <w:r>
        <w:rPr>
          <w:spacing w:val="-8"/>
        </w:rPr>
        <w:t> </w:t>
      </w:r>
      <w:r>
        <w:rPr/>
        <w:t>and</w:t>
      </w:r>
      <w:r>
        <w:rPr>
          <w:spacing w:val="-11"/>
        </w:rPr>
        <w:t> </w:t>
      </w:r>
      <w:r>
        <w:rPr/>
        <w:t>biochar</w:t>
      </w:r>
      <w:r>
        <w:rPr>
          <w:spacing w:val="-9"/>
        </w:rPr>
        <w:t> </w:t>
      </w:r>
      <w:r>
        <w:rPr/>
        <w:t>were</w:t>
      </w:r>
      <w:r>
        <w:rPr>
          <w:spacing w:val="-9"/>
        </w:rPr>
        <w:t> </w:t>
      </w:r>
      <w:r>
        <w:rPr/>
        <w:t>synthesized</w:t>
      </w:r>
      <w:r>
        <w:rPr>
          <w:spacing w:val="-11"/>
        </w:rPr>
        <w:t> </w:t>
      </w:r>
      <w:r>
        <w:rPr/>
        <w:t>using</w:t>
      </w:r>
      <w:r>
        <w:rPr>
          <w:spacing w:val="-12"/>
        </w:rPr>
        <w:t> </w:t>
      </w:r>
      <w:r>
        <w:rPr/>
        <w:t>corn</w:t>
      </w:r>
      <w:r>
        <w:rPr>
          <w:spacing w:val="-11"/>
        </w:rPr>
        <w:t> </w:t>
      </w:r>
      <w:r>
        <w:rPr/>
        <w:t>silk</w:t>
      </w:r>
      <w:r>
        <w:rPr>
          <w:spacing w:val="-11"/>
        </w:rPr>
        <w:t> </w:t>
      </w:r>
      <w:r>
        <w:rPr/>
        <w:t>extract</w:t>
      </w:r>
      <w:r>
        <w:rPr>
          <w:spacing w:val="-10"/>
        </w:rPr>
        <w:t> </w:t>
      </w:r>
      <w:r>
        <w:rPr/>
        <w:t>and</w:t>
      </w:r>
      <w:r>
        <w:rPr>
          <w:spacing w:val="-11"/>
        </w:rPr>
        <w:t> </w:t>
      </w:r>
      <w:r>
        <w:rPr/>
        <w:t>plantain</w:t>
      </w:r>
      <w:r>
        <w:rPr>
          <w:spacing w:val="-10"/>
        </w:rPr>
        <w:t> </w:t>
      </w:r>
      <w:r>
        <w:rPr/>
        <w:t>trunk</w:t>
      </w:r>
      <w:r>
        <w:rPr>
          <w:spacing w:val="-11"/>
        </w:rPr>
        <w:t> </w:t>
      </w:r>
      <w:r>
        <w:rPr/>
        <w:t>respectively. Biosurfactant was produced using </w:t>
      </w:r>
      <w:r>
        <w:rPr>
          <w:i/>
        </w:rPr>
        <w:t>Alcaligenes faecalis </w:t>
      </w:r>
      <w:r>
        <w:rPr/>
        <w:t>strain ADY25 and the functional groups were</w:t>
      </w:r>
      <w:r>
        <w:rPr/>
        <w:t> determined</w:t>
      </w:r>
      <w:r>
        <w:rPr/>
        <w:t> using</w:t>
      </w:r>
      <w:r>
        <w:rPr/>
        <w:t> Raman</w:t>
      </w:r>
      <w:r>
        <w:rPr/>
        <w:t> spectroscopy, which confirmed the produced biosurfactant as Lipoprotein.</w:t>
      </w:r>
      <w:r>
        <w:rPr>
          <w:spacing w:val="-10"/>
        </w:rPr>
        <w:t> </w:t>
      </w:r>
      <w:r>
        <w:rPr/>
        <w:t>UV</w:t>
      </w:r>
      <w:r>
        <w:rPr>
          <w:spacing w:val="-12"/>
        </w:rPr>
        <w:t> </w:t>
      </w:r>
      <w:r>
        <w:rPr/>
        <w:t>spectroscopy</w:t>
      </w:r>
      <w:r>
        <w:rPr>
          <w:spacing w:val="-15"/>
        </w:rPr>
        <w:t> </w:t>
      </w:r>
      <w:r>
        <w:rPr/>
        <w:t>of</w:t>
      </w:r>
      <w:r>
        <w:rPr>
          <w:spacing w:val="-11"/>
        </w:rPr>
        <w:t> </w:t>
      </w:r>
      <w:r>
        <w:rPr/>
        <w:t>the</w:t>
      </w:r>
      <w:r>
        <w:rPr>
          <w:spacing w:val="-11"/>
        </w:rPr>
        <w:t> </w:t>
      </w:r>
      <w:r>
        <w:rPr/>
        <w:t>synthesized</w:t>
      </w:r>
      <w:r>
        <w:rPr>
          <w:spacing w:val="-11"/>
        </w:rPr>
        <w:t> </w:t>
      </w:r>
      <w:r>
        <w:rPr/>
        <w:t>nanoparticles</w:t>
      </w:r>
      <w:r>
        <w:rPr>
          <w:spacing w:val="-11"/>
        </w:rPr>
        <w:t> </w:t>
      </w:r>
      <w:r>
        <w:rPr/>
        <w:t>showed</w:t>
      </w:r>
      <w:r>
        <w:rPr>
          <w:spacing w:val="-11"/>
        </w:rPr>
        <w:t> </w:t>
      </w:r>
      <w:r>
        <w:rPr/>
        <w:t>peak</w:t>
      </w:r>
      <w:r>
        <w:rPr>
          <w:spacing w:val="-9"/>
        </w:rPr>
        <w:t> </w:t>
      </w:r>
      <w:r>
        <w:rPr/>
        <w:t>at</w:t>
      </w:r>
      <w:r>
        <w:rPr>
          <w:spacing w:val="-10"/>
        </w:rPr>
        <w:t> </w:t>
      </w:r>
      <w:r>
        <w:rPr/>
        <w:t>a</w:t>
      </w:r>
      <w:r>
        <w:rPr>
          <w:spacing w:val="-12"/>
        </w:rPr>
        <w:t> </w:t>
      </w:r>
      <w:r>
        <w:rPr/>
        <w:t>range</w:t>
      </w:r>
      <w:r>
        <w:rPr>
          <w:spacing w:val="-12"/>
        </w:rPr>
        <w:t> </w:t>
      </w:r>
      <w:r>
        <w:rPr/>
        <w:t>of</w:t>
      </w:r>
      <w:r>
        <w:rPr>
          <w:spacing w:val="-11"/>
        </w:rPr>
        <w:t> </w:t>
      </w:r>
      <w:r>
        <w:rPr/>
        <w:t>262-269 nm, which is a characteristic wavelength for iron oxide nanoparticles. Brunauer-Emmett-Teller (BET) analysis revealed that the produced biochar has an average surface area of 209.106 m</w:t>
      </w:r>
      <w:r>
        <w:rPr>
          <w:vertAlign w:val="superscript"/>
        </w:rPr>
        <w:t>2</w:t>
      </w:r>
      <w:r>
        <w:rPr>
          <w:vertAlign w:val="baseline"/>
        </w:rPr>
        <w:t>/g, micropore volume of</w:t>
      </w:r>
      <w:r>
        <w:rPr>
          <w:spacing w:val="40"/>
          <w:vertAlign w:val="baseline"/>
        </w:rPr>
        <w:t> </w:t>
      </w:r>
      <w:r>
        <w:rPr>
          <w:vertAlign w:val="baseline"/>
        </w:rPr>
        <w:t>0.074 cc/g and an average pore width of 6-522 nm at anadsorption energy of</w:t>
      </w:r>
      <w:r>
        <w:rPr>
          <w:spacing w:val="-11"/>
          <w:vertAlign w:val="baseline"/>
        </w:rPr>
        <w:t> </w:t>
      </w:r>
      <w:r>
        <w:rPr>
          <w:vertAlign w:val="baseline"/>
        </w:rPr>
        <w:t>3.987</w:t>
      </w:r>
      <w:r>
        <w:rPr>
          <w:spacing w:val="-11"/>
          <w:vertAlign w:val="baseline"/>
        </w:rPr>
        <w:t> </w:t>
      </w:r>
      <w:r>
        <w:rPr>
          <w:vertAlign w:val="baseline"/>
        </w:rPr>
        <w:t>kJ/mol.</w:t>
      </w:r>
      <w:r>
        <w:rPr>
          <w:spacing w:val="-10"/>
          <w:vertAlign w:val="baseline"/>
        </w:rPr>
        <w:t> </w:t>
      </w:r>
      <w:r>
        <w:rPr>
          <w:vertAlign w:val="baseline"/>
        </w:rPr>
        <w:t>The</w:t>
      </w:r>
      <w:r>
        <w:rPr>
          <w:spacing w:val="-12"/>
          <w:vertAlign w:val="baseline"/>
        </w:rPr>
        <w:t> </w:t>
      </w:r>
      <w:r>
        <w:rPr>
          <w:vertAlign w:val="baseline"/>
        </w:rPr>
        <w:t>synthesized</w:t>
      </w:r>
      <w:r>
        <w:rPr>
          <w:spacing w:val="-11"/>
          <w:vertAlign w:val="baseline"/>
        </w:rPr>
        <w:t> </w:t>
      </w:r>
      <w:r>
        <w:rPr>
          <w:vertAlign w:val="baseline"/>
        </w:rPr>
        <w:t>biosurfactant/ironoxide/biochar</w:t>
      </w:r>
      <w:r>
        <w:rPr>
          <w:spacing w:val="-11"/>
          <w:vertAlign w:val="baseline"/>
        </w:rPr>
        <w:t> </w:t>
      </w:r>
      <w:r>
        <w:rPr>
          <w:vertAlign w:val="baseline"/>
        </w:rPr>
        <w:t>nano-composites</w:t>
      </w:r>
      <w:r>
        <w:rPr>
          <w:spacing w:val="-11"/>
          <w:vertAlign w:val="baseline"/>
        </w:rPr>
        <w:t> </w:t>
      </w:r>
      <w:r>
        <w:rPr>
          <w:vertAlign w:val="baseline"/>
        </w:rPr>
        <w:t>was</w:t>
      </w:r>
      <w:r>
        <w:rPr>
          <w:spacing w:val="-10"/>
          <w:vertAlign w:val="baseline"/>
        </w:rPr>
        <w:t> </w:t>
      </w:r>
      <w:r>
        <w:rPr>
          <w:vertAlign w:val="baseline"/>
        </w:rPr>
        <w:t>utilized</w:t>
      </w:r>
      <w:r>
        <w:rPr>
          <w:spacing w:val="-11"/>
          <w:vertAlign w:val="baseline"/>
        </w:rPr>
        <w:t> </w:t>
      </w:r>
      <w:r>
        <w:rPr>
          <w:vertAlign w:val="baseline"/>
        </w:rPr>
        <w:t>to bioremediate soil contaminated with crude</w:t>
      </w:r>
      <w:r>
        <w:rPr>
          <w:spacing w:val="-2"/>
          <w:vertAlign w:val="baseline"/>
        </w:rPr>
        <w:t> </w:t>
      </w:r>
      <w:r>
        <w:rPr>
          <w:vertAlign w:val="baseline"/>
        </w:rPr>
        <w:t>oil (10</w:t>
      </w:r>
      <w:r>
        <w:rPr>
          <w:spacing w:val="-2"/>
          <w:vertAlign w:val="baseline"/>
        </w:rPr>
        <w:t> </w:t>
      </w:r>
      <w:r>
        <w:rPr>
          <w:vertAlign w:val="baseline"/>
        </w:rPr>
        <w:t>%w/w</w:t>
      </w:r>
      <w:r>
        <w:rPr>
          <w:spacing w:val="-1"/>
          <w:vertAlign w:val="baseline"/>
        </w:rPr>
        <w:t> </w:t>
      </w:r>
      <w:r>
        <w:rPr>
          <w:vertAlign w:val="baseline"/>
        </w:rPr>
        <w:t>of</w:t>
      </w:r>
      <w:r>
        <w:rPr>
          <w:spacing w:val="-1"/>
          <w:vertAlign w:val="baseline"/>
        </w:rPr>
        <w:t> </w:t>
      </w:r>
      <w:r>
        <w:rPr>
          <w:vertAlign w:val="baseline"/>
        </w:rPr>
        <w:t>soil)</w:t>
      </w:r>
      <w:r>
        <w:rPr>
          <w:spacing w:val="-1"/>
          <w:vertAlign w:val="baseline"/>
        </w:rPr>
        <w:t> </w:t>
      </w:r>
      <w:r>
        <w:rPr>
          <w:vertAlign w:val="baseline"/>
        </w:rPr>
        <w:t>for</w:t>
      </w:r>
      <w:r>
        <w:rPr>
          <w:spacing w:val="-2"/>
          <w:vertAlign w:val="baseline"/>
        </w:rPr>
        <w:t> </w:t>
      </w:r>
      <w:r>
        <w:rPr>
          <w:vertAlign w:val="baseline"/>
        </w:rPr>
        <w:t>a</w:t>
      </w:r>
      <w:r>
        <w:rPr>
          <w:spacing w:val="-1"/>
          <w:vertAlign w:val="baseline"/>
        </w:rPr>
        <w:t> </w:t>
      </w:r>
      <w:r>
        <w:rPr>
          <w:vertAlign w:val="baseline"/>
        </w:rPr>
        <w:t>period</w:t>
      </w:r>
      <w:r>
        <w:rPr>
          <w:spacing w:val="-1"/>
          <w:vertAlign w:val="baseline"/>
        </w:rPr>
        <w:t> </w:t>
      </w:r>
      <w:r>
        <w:rPr>
          <w:vertAlign w:val="baseline"/>
        </w:rPr>
        <w:t>of</w:t>
      </w:r>
      <w:r>
        <w:rPr>
          <w:spacing w:val="-1"/>
          <w:vertAlign w:val="baseline"/>
        </w:rPr>
        <w:t> </w:t>
      </w:r>
      <w:r>
        <w:rPr>
          <w:vertAlign w:val="baseline"/>
        </w:rPr>
        <w:t>35 days and total microbial count was determined at seven days intervals. Statistical</w:t>
      </w:r>
      <w:r>
        <w:rPr>
          <w:vertAlign w:val="baseline"/>
        </w:rPr>
        <w:t> analysis for total bacterial growth</w:t>
      </w:r>
      <w:r>
        <w:rPr>
          <w:spacing w:val="-2"/>
          <w:vertAlign w:val="baseline"/>
        </w:rPr>
        <w:t> </w:t>
      </w:r>
      <w:r>
        <w:rPr>
          <w:vertAlign w:val="baseline"/>
        </w:rPr>
        <w:t>revealed</w:t>
      </w:r>
      <w:r>
        <w:rPr>
          <w:spacing w:val="-1"/>
          <w:vertAlign w:val="baseline"/>
        </w:rPr>
        <w:t> </w:t>
      </w:r>
      <w:r>
        <w:rPr>
          <w:vertAlign w:val="baseline"/>
        </w:rPr>
        <w:t>that</w:t>
      </w:r>
      <w:r>
        <w:rPr>
          <w:spacing w:val="-2"/>
          <w:vertAlign w:val="baseline"/>
        </w:rPr>
        <w:t> </w:t>
      </w:r>
      <w:r>
        <w:rPr>
          <w:vertAlign w:val="baseline"/>
        </w:rPr>
        <w:t>there</w:t>
      </w:r>
      <w:r>
        <w:rPr>
          <w:spacing w:val="-3"/>
          <w:vertAlign w:val="baseline"/>
        </w:rPr>
        <w:t> </w:t>
      </w:r>
      <w:r>
        <w:rPr>
          <w:vertAlign w:val="baseline"/>
        </w:rPr>
        <w:t>is</w:t>
      </w:r>
      <w:r>
        <w:rPr>
          <w:spacing w:val="-2"/>
          <w:vertAlign w:val="baseline"/>
        </w:rPr>
        <w:t> </w:t>
      </w:r>
      <w:r>
        <w:rPr>
          <w:vertAlign w:val="baseline"/>
        </w:rPr>
        <w:t>no</w:t>
      </w:r>
      <w:r>
        <w:rPr>
          <w:spacing w:val="-2"/>
          <w:vertAlign w:val="baseline"/>
        </w:rPr>
        <w:t> </w:t>
      </w:r>
      <w:r>
        <w:rPr>
          <w:vertAlign w:val="baseline"/>
        </w:rPr>
        <w:t>significant</w:t>
      </w:r>
      <w:r>
        <w:rPr>
          <w:spacing w:val="-2"/>
          <w:vertAlign w:val="baseline"/>
        </w:rPr>
        <w:t> </w:t>
      </w:r>
      <w:r>
        <w:rPr>
          <w:vertAlign w:val="baseline"/>
        </w:rPr>
        <w:t>difference</w:t>
      </w:r>
      <w:r>
        <w:rPr>
          <w:spacing w:val="-1"/>
          <w:vertAlign w:val="baseline"/>
        </w:rPr>
        <w:t> </w:t>
      </w:r>
      <w:r>
        <w:rPr>
          <w:vertAlign w:val="baseline"/>
        </w:rPr>
        <w:t>among</w:t>
      </w:r>
      <w:r>
        <w:rPr>
          <w:spacing w:val="-2"/>
          <w:vertAlign w:val="baseline"/>
        </w:rPr>
        <w:t> </w:t>
      </w:r>
      <w:r>
        <w:rPr>
          <w:vertAlign w:val="baseline"/>
        </w:rPr>
        <w:t>the</w:t>
      </w:r>
      <w:r>
        <w:rPr>
          <w:spacing w:val="-3"/>
          <w:vertAlign w:val="baseline"/>
        </w:rPr>
        <w:t> </w:t>
      </w:r>
      <w:r>
        <w:rPr>
          <w:vertAlign w:val="baseline"/>
        </w:rPr>
        <w:t>treatments</w:t>
      </w:r>
      <w:r>
        <w:rPr>
          <w:spacing w:val="-2"/>
          <w:vertAlign w:val="baseline"/>
        </w:rPr>
        <w:t> </w:t>
      </w:r>
      <w:r>
        <w:rPr>
          <w:vertAlign w:val="baseline"/>
        </w:rPr>
        <w:t>for</w:t>
      </w:r>
      <w:r>
        <w:rPr>
          <w:spacing w:val="-2"/>
          <w:vertAlign w:val="baseline"/>
        </w:rPr>
        <w:t> </w:t>
      </w:r>
      <w:r>
        <w:rPr>
          <w:vertAlign w:val="baseline"/>
        </w:rPr>
        <w:t>week 0 and</w:t>
      </w:r>
      <w:r>
        <w:rPr>
          <w:spacing w:val="-2"/>
          <w:vertAlign w:val="baseline"/>
        </w:rPr>
        <w:t> </w:t>
      </w:r>
      <w:r>
        <w:rPr>
          <w:vertAlign w:val="baseline"/>
        </w:rPr>
        <w:t>1 and a significant difference was observed from week 3 to 5 while fungal growth had significant difference at all weeks. The highest growth was observed with treatment BS/NP/BC (1:1:1a) at week 3 for both bacteria and fungi. The rate of biodegradation was determined at the end of the treatment</w:t>
      </w:r>
      <w:r>
        <w:rPr>
          <w:spacing w:val="-12"/>
          <w:vertAlign w:val="baseline"/>
        </w:rPr>
        <w:t> </w:t>
      </w:r>
      <w:r>
        <w:rPr>
          <w:vertAlign w:val="baseline"/>
        </w:rPr>
        <w:t>period</w:t>
      </w:r>
      <w:r>
        <w:rPr>
          <w:spacing w:val="-12"/>
          <w:vertAlign w:val="baseline"/>
        </w:rPr>
        <w:t> </w:t>
      </w:r>
      <w:r>
        <w:rPr>
          <w:vertAlign w:val="baseline"/>
        </w:rPr>
        <w:t>and</w:t>
      </w:r>
      <w:r>
        <w:rPr>
          <w:spacing w:val="-12"/>
          <w:vertAlign w:val="baseline"/>
        </w:rPr>
        <w:t> </w:t>
      </w:r>
      <w:r>
        <w:rPr>
          <w:vertAlign w:val="baseline"/>
        </w:rPr>
        <w:t>treatment</w:t>
      </w:r>
      <w:r>
        <w:rPr>
          <w:spacing w:val="-12"/>
          <w:vertAlign w:val="baseline"/>
        </w:rPr>
        <w:t> </w:t>
      </w:r>
      <w:r>
        <w:rPr>
          <w:vertAlign w:val="baseline"/>
        </w:rPr>
        <w:t>BS/NP/BC</w:t>
      </w:r>
      <w:r>
        <w:rPr>
          <w:spacing w:val="-12"/>
          <w:vertAlign w:val="baseline"/>
        </w:rPr>
        <w:t> </w:t>
      </w:r>
      <w:r>
        <w:rPr>
          <w:vertAlign w:val="baseline"/>
        </w:rPr>
        <w:t>(1:1:1a)</w:t>
      </w:r>
      <w:r>
        <w:rPr>
          <w:spacing w:val="-8"/>
          <w:vertAlign w:val="baseline"/>
        </w:rPr>
        <w:t> </w:t>
      </w:r>
      <w:r>
        <w:rPr>
          <w:vertAlign w:val="baseline"/>
        </w:rPr>
        <w:t>gave</w:t>
      </w:r>
      <w:r>
        <w:rPr>
          <w:spacing w:val="-13"/>
          <w:vertAlign w:val="baseline"/>
        </w:rPr>
        <w:t> </w:t>
      </w:r>
      <w:r>
        <w:rPr>
          <w:vertAlign w:val="baseline"/>
        </w:rPr>
        <w:t>the</w:t>
      </w:r>
      <w:r>
        <w:rPr>
          <w:spacing w:val="-10"/>
          <w:vertAlign w:val="baseline"/>
        </w:rPr>
        <w:t> </w:t>
      </w:r>
      <w:r>
        <w:rPr>
          <w:vertAlign w:val="baseline"/>
        </w:rPr>
        <w:t>highest</w:t>
      </w:r>
      <w:r>
        <w:rPr>
          <w:spacing w:val="-11"/>
          <w:vertAlign w:val="baseline"/>
        </w:rPr>
        <w:t> </w:t>
      </w:r>
      <w:r>
        <w:rPr>
          <w:vertAlign w:val="baseline"/>
        </w:rPr>
        <w:t>degradation</w:t>
      </w:r>
      <w:r>
        <w:rPr>
          <w:spacing w:val="-12"/>
          <w:vertAlign w:val="baseline"/>
        </w:rPr>
        <w:t> </w:t>
      </w:r>
      <w:r>
        <w:rPr>
          <w:vertAlign w:val="baseline"/>
        </w:rPr>
        <w:t>rate</w:t>
      </w:r>
      <w:r>
        <w:rPr>
          <w:spacing w:val="-13"/>
          <w:vertAlign w:val="baseline"/>
        </w:rPr>
        <w:t> </w:t>
      </w:r>
      <w:r>
        <w:rPr>
          <w:vertAlign w:val="baseline"/>
        </w:rPr>
        <w:t>of</w:t>
      </w:r>
      <w:r>
        <w:rPr>
          <w:spacing w:val="-13"/>
          <w:vertAlign w:val="baseline"/>
        </w:rPr>
        <w:t> </w:t>
      </w:r>
      <w:r>
        <w:rPr>
          <w:vertAlign w:val="baseline"/>
        </w:rPr>
        <w:t>75</w:t>
      </w:r>
      <w:r>
        <w:rPr>
          <w:spacing w:val="-10"/>
          <w:vertAlign w:val="baseline"/>
        </w:rPr>
        <w:t> </w:t>
      </w:r>
      <w:r>
        <w:rPr>
          <w:vertAlign w:val="baseline"/>
        </w:rPr>
        <w:t>%.</w:t>
      </w:r>
      <w:r>
        <w:rPr>
          <w:spacing w:val="-12"/>
          <w:vertAlign w:val="baseline"/>
        </w:rPr>
        <w:t> </w:t>
      </w:r>
      <w:r>
        <w:rPr>
          <w:vertAlign w:val="baseline"/>
        </w:rPr>
        <w:t>This study</w:t>
      </w:r>
      <w:r>
        <w:rPr>
          <w:spacing w:val="-15"/>
          <w:vertAlign w:val="baseline"/>
        </w:rPr>
        <w:t> </w:t>
      </w:r>
      <w:r>
        <w:rPr>
          <w:vertAlign w:val="baseline"/>
        </w:rPr>
        <w:t>revealed</w:t>
      </w:r>
      <w:r>
        <w:rPr>
          <w:spacing w:val="-15"/>
          <w:vertAlign w:val="baseline"/>
        </w:rPr>
        <w:t> </w:t>
      </w:r>
      <w:r>
        <w:rPr>
          <w:vertAlign w:val="baseline"/>
        </w:rPr>
        <w:t>that</w:t>
      </w:r>
      <w:r>
        <w:rPr>
          <w:spacing w:val="-13"/>
          <w:vertAlign w:val="baseline"/>
        </w:rPr>
        <w:t> </w:t>
      </w:r>
      <w:r>
        <w:rPr>
          <w:vertAlign w:val="baseline"/>
        </w:rPr>
        <w:t>biosurfactants-ironoxide-biochar</w:t>
      </w:r>
      <w:r>
        <w:rPr>
          <w:spacing w:val="-14"/>
          <w:vertAlign w:val="baseline"/>
        </w:rPr>
        <w:t> </w:t>
      </w:r>
      <w:r>
        <w:rPr>
          <w:vertAlign w:val="baseline"/>
        </w:rPr>
        <w:t>nano-composites</w:t>
      </w:r>
      <w:r>
        <w:rPr>
          <w:spacing w:val="-13"/>
          <w:vertAlign w:val="baseline"/>
        </w:rPr>
        <w:t> </w:t>
      </w:r>
      <w:r>
        <w:rPr>
          <w:vertAlign w:val="baseline"/>
        </w:rPr>
        <w:t>can</w:t>
      </w:r>
      <w:r>
        <w:rPr>
          <w:spacing w:val="-11"/>
          <w:vertAlign w:val="baseline"/>
        </w:rPr>
        <w:t> </w:t>
      </w:r>
      <w:r>
        <w:rPr>
          <w:vertAlign w:val="baseline"/>
        </w:rPr>
        <w:t>be</w:t>
      </w:r>
      <w:r>
        <w:rPr>
          <w:spacing w:val="-14"/>
          <w:vertAlign w:val="baseline"/>
        </w:rPr>
        <w:t> </w:t>
      </w:r>
      <w:r>
        <w:rPr>
          <w:vertAlign w:val="baseline"/>
        </w:rPr>
        <w:t>used</w:t>
      </w:r>
      <w:r>
        <w:rPr>
          <w:spacing w:val="-13"/>
          <w:vertAlign w:val="baseline"/>
        </w:rPr>
        <w:t> </w:t>
      </w:r>
      <w:r>
        <w:rPr>
          <w:vertAlign w:val="baseline"/>
        </w:rPr>
        <w:t>to</w:t>
      </w:r>
      <w:r>
        <w:rPr>
          <w:spacing w:val="-13"/>
          <w:vertAlign w:val="baseline"/>
        </w:rPr>
        <w:t> </w:t>
      </w:r>
      <w:r>
        <w:rPr>
          <w:vertAlign w:val="baseline"/>
        </w:rPr>
        <w:t>bioremediate crude oil polluted soil and at 1:1:1 formulation ratio of 100mg each for best result.</w:t>
      </w:r>
    </w:p>
    <w:p>
      <w:pPr>
        <w:spacing w:after="0"/>
        <w:jc w:val="both"/>
        <w:sectPr>
          <w:footerReference w:type="default" r:id="rId5"/>
          <w:type w:val="continuous"/>
          <w:pgSz w:w="12240" w:h="15840"/>
          <w:pgMar w:footer="1015" w:header="0" w:top="1640" w:bottom="1200" w:left="1320" w:right="1320"/>
          <w:pgNumType w:start="1"/>
        </w:sectPr>
      </w:pPr>
    </w:p>
    <w:p>
      <w:pPr>
        <w:pStyle w:val="Heading1"/>
        <w:spacing w:before="76"/>
        <w:ind w:left="3308" w:right="3309"/>
      </w:pPr>
      <w:r>
        <w:rPr/>
        <w:t>CHAPTER</w:t>
      </w:r>
      <w:r>
        <w:rPr>
          <w:spacing w:val="-13"/>
        </w:rPr>
        <w:t> </w:t>
      </w:r>
      <w:r>
        <w:rPr>
          <w:spacing w:val="-5"/>
        </w:rPr>
        <w:t>ONE</w:t>
      </w:r>
    </w:p>
    <w:p>
      <w:pPr>
        <w:pStyle w:val="BodyText"/>
        <w:spacing w:before="1"/>
        <w:rPr>
          <w:b/>
        </w:rPr>
      </w:pPr>
    </w:p>
    <w:p>
      <w:pPr>
        <w:pStyle w:val="ListParagraph"/>
        <w:numPr>
          <w:ilvl w:val="1"/>
          <w:numId w:val="1"/>
        </w:numPr>
        <w:tabs>
          <w:tab w:pos="3840" w:val="left" w:leader="none"/>
          <w:tab w:pos="3841" w:val="left" w:leader="none"/>
        </w:tabs>
        <w:spacing w:line="240" w:lineRule="auto" w:before="0" w:after="0"/>
        <w:ind w:left="3841" w:right="0" w:hanging="3721"/>
        <w:jc w:val="left"/>
        <w:rPr>
          <w:b/>
          <w:sz w:val="24"/>
        </w:rPr>
      </w:pPr>
      <w:r>
        <w:rPr>
          <w:b/>
          <w:spacing w:val="-2"/>
          <w:sz w:val="24"/>
        </w:rPr>
        <w:t>INTRODUCTION</w:t>
      </w:r>
    </w:p>
    <w:p>
      <w:pPr>
        <w:pStyle w:val="BodyText"/>
        <w:spacing w:before="2"/>
        <w:rPr>
          <w:b/>
        </w:rPr>
      </w:pPr>
    </w:p>
    <w:p>
      <w:pPr>
        <w:pStyle w:val="Heading2"/>
        <w:numPr>
          <w:ilvl w:val="1"/>
          <w:numId w:val="1"/>
        </w:numPr>
        <w:tabs>
          <w:tab w:pos="840" w:val="left" w:leader="none"/>
          <w:tab w:pos="841" w:val="left" w:leader="none"/>
        </w:tabs>
        <w:spacing w:line="240" w:lineRule="auto" w:before="0" w:after="0"/>
        <w:ind w:left="840" w:right="0" w:hanging="721"/>
        <w:jc w:val="left"/>
      </w:pPr>
      <w:r>
        <w:rPr/>
        <w:t>Background</w:t>
      </w:r>
      <w:r>
        <w:rPr>
          <w:spacing w:val="-3"/>
        </w:rPr>
        <w:t> </w:t>
      </w:r>
      <w:r>
        <w:rPr/>
        <w:t>to</w:t>
      </w:r>
      <w:r>
        <w:rPr>
          <w:spacing w:val="-3"/>
        </w:rPr>
        <w:t> </w:t>
      </w:r>
      <w:r>
        <w:rPr/>
        <w:t>the</w:t>
      </w:r>
      <w:r>
        <w:rPr>
          <w:spacing w:val="-5"/>
        </w:rPr>
        <w:t> </w:t>
      </w:r>
      <w:r>
        <w:rPr>
          <w:spacing w:val="-2"/>
        </w:rPr>
        <w:t>Study</w:t>
      </w:r>
    </w:p>
    <w:p>
      <w:pPr>
        <w:pStyle w:val="BodyText"/>
        <w:rPr>
          <w:b/>
          <w:sz w:val="26"/>
        </w:rPr>
      </w:pPr>
    </w:p>
    <w:p>
      <w:pPr>
        <w:pStyle w:val="BodyText"/>
        <w:spacing w:line="480" w:lineRule="auto" w:before="169"/>
        <w:ind w:left="120" w:right="115"/>
        <w:jc w:val="both"/>
      </w:pPr>
      <w:r>
        <w:rPr/>
        <w:t>Crude</w:t>
      </w:r>
      <w:r>
        <w:rPr>
          <w:spacing w:val="-10"/>
        </w:rPr>
        <w:t> </w:t>
      </w:r>
      <w:r>
        <w:rPr/>
        <w:t>oil</w:t>
      </w:r>
      <w:r>
        <w:rPr>
          <w:spacing w:val="-8"/>
        </w:rPr>
        <w:t> </w:t>
      </w:r>
      <w:r>
        <w:rPr/>
        <w:t>is</w:t>
      </w:r>
      <w:r>
        <w:rPr>
          <w:spacing w:val="-8"/>
        </w:rPr>
        <w:t> </w:t>
      </w:r>
      <w:r>
        <w:rPr/>
        <w:t>a</w:t>
      </w:r>
      <w:r>
        <w:rPr>
          <w:spacing w:val="-6"/>
        </w:rPr>
        <w:t> </w:t>
      </w:r>
      <w:r>
        <w:rPr/>
        <w:t>fossil</w:t>
      </w:r>
      <w:r>
        <w:rPr>
          <w:spacing w:val="-8"/>
        </w:rPr>
        <w:t> </w:t>
      </w:r>
      <w:r>
        <w:rPr/>
        <w:t>fuel,</w:t>
      </w:r>
      <w:r>
        <w:rPr>
          <w:spacing w:val="-5"/>
        </w:rPr>
        <w:t> </w:t>
      </w:r>
      <w:r>
        <w:rPr/>
        <w:t>which</w:t>
      </w:r>
      <w:r>
        <w:rPr>
          <w:spacing w:val="-8"/>
        </w:rPr>
        <w:t> </w:t>
      </w:r>
      <w:r>
        <w:rPr/>
        <w:t>contains</w:t>
      </w:r>
      <w:r>
        <w:rPr>
          <w:spacing w:val="-8"/>
        </w:rPr>
        <w:t> </w:t>
      </w:r>
      <w:r>
        <w:rPr/>
        <w:t>different</w:t>
      </w:r>
      <w:r>
        <w:rPr>
          <w:spacing w:val="-5"/>
        </w:rPr>
        <w:t> </w:t>
      </w:r>
      <w:r>
        <w:rPr/>
        <w:t>hydrocarbon</w:t>
      </w:r>
      <w:r>
        <w:rPr>
          <w:spacing w:val="-4"/>
        </w:rPr>
        <w:t> </w:t>
      </w:r>
      <w:r>
        <w:rPr/>
        <w:t>mixture</w:t>
      </w:r>
      <w:r>
        <w:rPr>
          <w:spacing w:val="-9"/>
        </w:rPr>
        <w:t> </w:t>
      </w:r>
      <w:r>
        <w:rPr/>
        <w:t>obtained</w:t>
      </w:r>
      <w:r>
        <w:rPr>
          <w:spacing w:val="-8"/>
        </w:rPr>
        <w:t> </w:t>
      </w:r>
      <w:r>
        <w:rPr/>
        <w:t>from</w:t>
      </w:r>
      <w:r>
        <w:rPr>
          <w:spacing w:val="-6"/>
        </w:rPr>
        <w:t> </w:t>
      </w:r>
      <w:r>
        <w:rPr/>
        <w:t>the</w:t>
      </w:r>
      <w:r>
        <w:rPr>
          <w:spacing w:val="-9"/>
        </w:rPr>
        <w:t> </w:t>
      </w:r>
      <w:r>
        <w:rPr/>
        <w:t>remains of plants and animals that existed for several millions of years ago. This fuel is liquid in nature found</w:t>
      </w:r>
      <w:r>
        <w:rPr>
          <w:spacing w:val="-8"/>
        </w:rPr>
        <w:t> </w:t>
      </w:r>
      <w:r>
        <w:rPr/>
        <w:t>in</w:t>
      </w:r>
      <w:r>
        <w:rPr>
          <w:spacing w:val="-7"/>
        </w:rPr>
        <w:t> </w:t>
      </w:r>
      <w:r>
        <w:rPr/>
        <w:t>underground</w:t>
      </w:r>
      <w:r>
        <w:rPr>
          <w:spacing w:val="-7"/>
        </w:rPr>
        <w:t> </w:t>
      </w:r>
      <w:r>
        <w:rPr/>
        <w:t>reservoirs,</w:t>
      </w:r>
      <w:r>
        <w:rPr>
          <w:spacing w:val="-7"/>
        </w:rPr>
        <w:t> </w:t>
      </w:r>
      <w:r>
        <w:rPr/>
        <w:t>in</w:t>
      </w:r>
      <w:r>
        <w:rPr>
          <w:spacing w:val="-6"/>
        </w:rPr>
        <w:t> </w:t>
      </w:r>
      <w:r>
        <w:rPr/>
        <w:t>spaces</w:t>
      </w:r>
      <w:r>
        <w:rPr>
          <w:spacing w:val="-7"/>
        </w:rPr>
        <w:t> </w:t>
      </w:r>
      <w:r>
        <w:rPr/>
        <w:t>inside</w:t>
      </w:r>
      <w:r>
        <w:rPr>
          <w:spacing w:val="-8"/>
        </w:rPr>
        <w:t> </w:t>
      </w:r>
      <w:r>
        <w:rPr/>
        <w:t>sedimentary</w:t>
      </w:r>
      <w:r>
        <w:rPr>
          <w:spacing w:val="-12"/>
        </w:rPr>
        <w:t> </w:t>
      </w:r>
      <w:r>
        <w:rPr/>
        <w:t>rocks</w:t>
      </w:r>
      <w:r>
        <w:rPr>
          <w:spacing w:val="-7"/>
        </w:rPr>
        <w:t> </w:t>
      </w:r>
      <w:r>
        <w:rPr/>
        <w:t>and</w:t>
      </w:r>
      <w:r>
        <w:rPr>
          <w:spacing w:val="-3"/>
        </w:rPr>
        <w:t> </w:t>
      </w:r>
      <w:r>
        <w:rPr/>
        <w:t>close</w:t>
      </w:r>
      <w:r>
        <w:rPr>
          <w:spacing w:val="-8"/>
        </w:rPr>
        <w:t> </w:t>
      </w:r>
      <w:r>
        <w:rPr/>
        <w:t>to</w:t>
      </w:r>
      <w:r>
        <w:rPr>
          <w:spacing w:val="-7"/>
        </w:rPr>
        <w:t> </w:t>
      </w:r>
      <w:r>
        <w:rPr/>
        <w:t>the</w:t>
      </w:r>
      <w:r>
        <w:rPr>
          <w:spacing w:val="-8"/>
        </w:rPr>
        <w:t> </w:t>
      </w:r>
      <w:r>
        <w:rPr/>
        <w:t>surface</w:t>
      </w:r>
      <w:r>
        <w:rPr>
          <w:spacing w:val="-8"/>
        </w:rPr>
        <w:t> </w:t>
      </w:r>
      <w:r>
        <w:rPr/>
        <w:t>of</w:t>
      </w:r>
      <w:r>
        <w:rPr>
          <w:spacing w:val="-8"/>
        </w:rPr>
        <w:t> </w:t>
      </w:r>
      <w:r>
        <w:rPr/>
        <w:t>tar sands</w:t>
      </w:r>
      <w:r>
        <w:rPr>
          <w:spacing w:val="-15"/>
        </w:rPr>
        <w:t> </w:t>
      </w:r>
      <w:r>
        <w:rPr/>
        <w:t>(Bennet,</w:t>
      </w:r>
      <w:r>
        <w:rPr>
          <w:spacing w:val="-15"/>
        </w:rPr>
        <w:t> </w:t>
      </w:r>
      <w:r>
        <w:rPr/>
        <w:t>2016).</w:t>
      </w:r>
      <w:r>
        <w:rPr>
          <w:spacing w:val="-15"/>
        </w:rPr>
        <w:t> </w:t>
      </w:r>
      <w:r>
        <w:rPr/>
        <w:t>Petroleum</w:t>
      </w:r>
      <w:r>
        <w:rPr>
          <w:spacing w:val="-15"/>
        </w:rPr>
        <w:t> </w:t>
      </w:r>
      <w:r>
        <w:rPr/>
        <w:t>oil</w:t>
      </w:r>
      <w:r>
        <w:rPr>
          <w:spacing w:val="-15"/>
        </w:rPr>
        <w:t> </w:t>
      </w:r>
      <w:r>
        <w:rPr/>
        <w:t>is</w:t>
      </w:r>
      <w:r>
        <w:rPr>
          <w:spacing w:val="-15"/>
        </w:rPr>
        <w:t> </w:t>
      </w:r>
      <w:r>
        <w:rPr/>
        <w:t>the</w:t>
      </w:r>
      <w:r>
        <w:rPr>
          <w:spacing w:val="-15"/>
        </w:rPr>
        <w:t> </w:t>
      </w:r>
      <w:r>
        <w:rPr/>
        <w:t>main</w:t>
      </w:r>
      <w:r>
        <w:rPr>
          <w:spacing w:val="-15"/>
        </w:rPr>
        <w:t> </w:t>
      </w:r>
      <w:r>
        <w:rPr/>
        <w:t>energy</w:t>
      </w:r>
      <w:r>
        <w:rPr>
          <w:spacing w:val="-15"/>
        </w:rPr>
        <w:t> </w:t>
      </w:r>
      <w:r>
        <w:rPr/>
        <w:t>source</w:t>
      </w:r>
      <w:r>
        <w:rPr>
          <w:spacing w:val="-15"/>
        </w:rPr>
        <w:t> </w:t>
      </w:r>
      <w:r>
        <w:rPr/>
        <w:t>used</w:t>
      </w:r>
      <w:r>
        <w:rPr>
          <w:spacing w:val="-15"/>
        </w:rPr>
        <w:t> </w:t>
      </w:r>
      <w:r>
        <w:rPr/>
        <w:t>by</w:t>
      </w:r>
      <w:r>
        <w:rPr>
          <w:spacing w:val="-15"/>
        </w:rPr>
        <w:t> </w:t>
      </w:r>
      <w:r>
        <w:rPr/>
        <w:t>most</w:t>
      </w:r>
      <w:r>
        <w:rPr>
          <w:spacing w:val="-15"/>
        </w:rPr>
        <w:t> </w:t>
      </w:r>
      <w:r>
        <w:rPr/>
        <w:t>industries</w:t>
      </w:r>
      <w:r>
        <w:rPr>
          <w:spacing w:val="-15"/>
        </w:rPr>
        <w:t> </w:t>
      </w:r>
      <w:r>
        <w:rPr/>
        <w:t>in</w:t>
      </w:r>
      <w:r>
        <w:rPr>
          <w:spacing w:val="-15"/>
        </w:rPr>
        <w:t> </w:t>
      </w:r>
      <w:r>
        <w:rPr/>
        <w:t>the</w:t>
      </w:r>
      <w:r>
        <w:rPr>
          <w:spacing w:val="-15"/>
        </w:rPr>
        <w:t> </w:t>
      </w:r>
      <w:r>
        <w:rPr/>
        <w:t>world. The main energy source and feedstock in the chemical industries is the petroleum hydrocarbon, which is known to be extensively used by these industries and have led to an increased attention on soil pollution as well as it’s environmentally</w:t>
      </w:r>
      <w:r>
        <w:rPr>
          <w:spacing w:val="-3"/>
        </w:rPr>
        <w:t> </w:t>
      </w:r>
      <w:r>
        <w:rPr/>
        <w:t>harmfully effects in the world. Various activities involved</w:t>
      </w:r>
      <w:r>
        <w:rPr>
          <w:spacing w:val="-15"/>
        </w:rPr>
        <w:t> </w:t>
      </w:r>
      <w:r>
        <w:rPr/>
        <w:t>in</w:t>
      </w:r>
      <w:r>
        <w:rPr>
          <w:spacing w:val="-15"/>
        </w:rPr>
        <w:t> </w:t>
      </w:r>
      <w:r>
        <w:rPr/>
        <w:t>oil</w:t>
      </w:r>
      <w:r>
        <w:rPr>
          <w:spacing w:val="-15"/>
        </w:rPr>
        <w:t> </w:t>
      </w:r>
      <w:r>
        <w:rPr/>
        <w:t>exploration,</w:t>
      </w:r>
      <w:r>
        <w:rPr>
          <w:spacing w:val="-15"/>
        </w:rPr>
        <w:t> </w:t>
      </w:r>
      <w:r>
        <w:rPr/>
        <w:t>sabotage,</w:t>
      </w:r>
      <w:r>
        <w:rPr>
          <w:spacing w:val="-13"/>
        </w:rPr>
        <w:t> </w:t>
      </w:r>
      <w:r>
        <w:rPr/>
        <w:t>transportation</w:t>
      </w:r>
      <w:r>
        <w:rPr>
          <w:spacing w:val="-15"/>
        </w:rPr>
        <w:t> </w:t>
      </w:r>
      <w:r>
        <w:rPr/>
        <w:t>and</w:t>
      </w:r>
      <w:r>
        <w:rPr>
          <w:spacing w:val="-13"/>
        </w:rPr>
        <w:t> </w:t>
      </w:r>
      <w:r>
        <w:rPr/>
        <w:t>accidental</w:t>
      </w:r>
      <w:r>
        <w:rPr>
          <w:spacing w:val="-15"/>
        </w:rPr>
        <w:t> </w:t>
      </w:r>
      <w:r>
        <w:rPr/>
        <w:t>oil</w:t>
      </w:r>
      <w:r>
        <w:rPr>
          <w:spacing w:val="-15"/>
        </w:rPr>
        <w:t> </w:t>
      </w:r>
      <w:r>
        <w:rPr/>
        <w:t>seepage</w:t>
      </w:r>
      <w:r>
        <w:rPr>
          <w:spacing w:val="-14"/>
        </w:rPr>
        <w:t> </w:t>
      </w:r>
      <w:r>
        <w:rPr/>
        <w:t>or</w:t>
      </w:r>
      <w:r>
        <w:rPr>
          <w:spacing w:val="-12"/>
        </w:rPr>
        <w:t> </w:t>
      </w:r>
      <w:r>
        <w:rPr/>
        <w:t>leakage</w:t>
      </w:r>
      <w:r>
        <w:rPr>
          <w:spacing w:val="-15"/>
        </w:rPr>
        <w:t> </w:t>
      </w:r>
      <w:r>
        <w:rPr/>
        <w:t>involved in several oil recovery processes have led to the discharge of extremely large quantity of hydrocarbon pollutants in the environment that result to serious</w:t>
      </w:r>
      <w:r>
        <w:rPr/>
        <w:t> pollution</w:t>
      </w:r>
      <w:r>
        <w:rPr/>
        <w:t> (Peng</w:t>
      </w:r>
      <w:r>
        <w:rPr/>
        <w:t> </w:t>
      </w:r>
      <w:r>
        <w:rPr>
          <w:i/>
        </w:rPr>
        <w:t>et</w:t>
      </w:r>
      <w:r>
        <w:rPr>
          <w:i/>
        </w:rPr>
        <w:t> al</w:t>
      </w:r>
      <w:r>
        <w:rPr/>
        <w:t>.,</w:t>
      </w:r>
      <w:r>
        <w:rPr/>
        <w:t> 2008; Almeida </w:t>
      </w:r>
      <w:r>
        <w:rPr>
          <w:i/>
        </w:rPr>
        <w:t>et al</w:t>
      </w:r>
      <w:r>
        <w:rPr/>
        <w:t>., 2016; Patowary </w:t>
      </w:r>
      <w:r>
        <w:rPr>
          <w:i/>
        </w:rPr>
        <w:t>et al</w:t>
      </w:r>
      <w:r>
        <w:rPr/>
        <w:t>., 2018).</w:t>
      </w:r>
    </w:p>
    <w:p>
      <w:pPr>
        <w:pStyle w:val="BodyText"/>
        <w:spacing w:line="480" w:lineRule="auto" w:before="201"/>
        <w:ind w:left="120" w:right="115"/>
        <w:jc w:val="both"/>
      </w:pPr>
      <w:r>
        <w:rPr/>
        <w:t>Hydrocarbon</w:t>
      </w:r>
      <w:r>
        <w:rPr>
          <w:spacing w:val="-11"/>
        </w:rPr>
        <w:t> </w:t>
      </w:r>
      <w:r>
        <w:rPr/>
        <w:t>pollutants</w:t>
      </w:r>
      <w:r>
        <w:rPr>
          <w:spacing w:val="-10"/>
        </w:rPr>
        <w:t> </w:t>
      </w:r>
      <w:r>
        <w:rPr/>
        <w:t>are</w:t>
      </w:r>
      <w:r>
        <w:rPr>
          <w:spacing w:val="-12"/>
        </w:rPr>
        <w:t> </w:t>
      </w:r>
      <w:r>
        <w:rPr/>
        <w:t>recalcitrants,</w:t>
      </w:r>
      <w:r>
        <w:rPr>
          <w:spacing w:val="-7"/>
        </w:rPr>
        <w:t> </w:t>
      </w:r>
      <w:r>
        <w:rPr/>
        <w:t>extremely</w:t>
      </w:r>
      <w:r>
        <w:rPr>
          <w:spacing w:val="-13"/>
        </w:rPr>
        <w:t> </w:t>
      </w:r>
      <w:r>
        <w:rPr/>
        <w:t>hydrophobic</w:t>
      </w:r>
      <w:r>
        <w:rPr>
          <w:spacing w:val="-12"/>
        </w:rPr>
        <w:t> </w:t>
      </w:r>
      <w:r>
        <w:rPr/>
        <w:t>and</w:t>
      </w:r>
      <w:r>
        <w:rPr>
          <w:spacing w:val="-11"/>
        </w:rPr>
        <w:t> </w:t>
      </w:r>
      <w:r>
        <w:rPr/>
        <w:t>persist</w:t>
      </w:r>
      <w:r>
        <w:rPr>
          <w:spacing w:val="-10"/>
        </w:rPr>
        <w:t> </w:t>
      </w:r>
      <w:r>
        <w:rPr/>
        <w:t>in</w:t>
      </w:r>
      <w:r>
        <w:rPr>
          <w:spacing w:val="-10"/>
        </w:rPr>
        <w:t> </w:t>
      </w:r>
      <w:r>
        <w:rPr/>
        <w:t>the</w:t>
      </w:r>
      <w:r>
        <w:rPr>
          <w:spacing w:val="-11"/>
        </w:rPr>
        <w:t> </w:t>
      </w:r>
      <w:r>
        <w:rPr/>
        <w:t>environment</w:t>
      </w:r>
      <w:r>
        <w:rPr>
          <w:spacing w:val="-10"/>
        </w:rPr>
        <w:t> </w:t>
      </w:r>
      <w:r>
        <w:rPr/>
        <w:t>as they are naturally very difficult for environmental degradation. Plants that grow in hydrocarbon polluted sites often take up these pollutants and are therefore transferred to animals and humans when they feed on them (Alagic </w:t>
      </w:r>
      <w:r>
        <w:rPr>
          <w:i/>
        </w:rPr>
        <w:t>et al</w:t>
      </w:r>
      <w:r>
        <w:rPr/>
        <w:t>., 2015; Patowary </w:t>
      </w:r>
      <w:r>
        <w:rPr>
          <w:i/>
        </w:rPr>
        <w:t>et al</w:t>
      </w:r>
      <w:r>
        <w:rPr/>
        <w:t>., 2018). Crude oil contains polyaromatic hydrocarbons (PAHs), which is one of the toxic substances with their possible mutagenic</w:t>
      </w:r>
      <w:r>
        <w:rPr>
          <w:spacing w:val="-9"/>
        </w:rPr>
        <w:t> </w:t>
      </w:r>
      <w:r>
        <w:rPr/>
        <w:t>and</w:t>
      </w:r>
      <w:r>
        <w:rPr>
          <w:spacing w:val="-8"/>
        </w:rPr>
        <w:t> </w:t>
      </w:r>
      <w:r>
        <w:rPr/>
        <w:t>carcinogenic</w:t>
      </w:r>
      <w:r>
        <w:rPr>
          <w:spacing w:val="-9"/>
        </w:rPr>
        <w:t> </w:t>
      </w:r>
      <w:r>
        <w:rPr/>
        <w:t>properties.</w:t>
      </w:r>
      <w:r>
        <w:rPr>
          <w:spacing w:val="-8"/>
        </w:rPr>
        <w:t> </w:t>
      </w:r>
      <w:r>
        <w:rPr/>
        <w:t>This</w:t>
      </w:r>
      <w:r>
        <w:rPr>
          <w:spacing w:val="-8"/>
        </w:rPr>
        <w:t> </w:t>
      </w:r>
      <w:r>
        <w:rPr/>
        <w:t>substance</w:t>
      </w:r>
      <w:r>
        <w:rPr>
          <w:spacing w:val="-9"/>
        </w:rPr>
        <w:t> </w:t>
      </w:r>
      <w:r>
        <w:rPr/>
        <w:t>is</w:t>
      </w:r>
      <w:r>
        <w:rPr>
          <w:spacing w:val="-8"/>
        </w:rPr>
        <w:t> </w:t>
      </w:r>
      <w:r>
        <w:rPr/>
        <w:t>placed</w:t>
      </w:r>
      <w:r>
        <w:rPr>
          <w:spacing w:val="-8"/>
        </w:rPr>
        <w:t> </w:t>
      </w:r>
      <w:r>
        <w:rPr/>
        <w:t>in</w:t>
      </w:r>
      <w:r>
        <w:rPr>
          <w:spacing w:val="-8"/>
        </w:rPr>
        <w:t> </w:t>
      </w:r>
      <w:r>
        <w:rPr/>
        <w:t>position</w:t>
      </w:r>
      <w:r>
        <w:rPr>
          <w:spacing w:val="-13"/>
        </w:rPr>
        <w:t> </w:t>
      </w:r>
      <w:r>
        <w:rPr/>
        <w:t>9</w:t>
      </w:r>
      <w:r>
        <w:rPr>
          <w:spacing w:val="-8"/>
        </w:rPr>
        <w:t> </w:t>
      </w:r>
      <w:r>
        <w:rPr/>
        <w:t>of</w:t>
      </w:r>
      <w:r>
        <w:rPr>
          <w:spacing w:val="-9"/>
        </w:rPr>
        <w:t> </w:t>
      </w:r>
      <w:r>
        <w:rPr/>
        <w:t>Agency</w:t>
      </w:r>
      <w:r>
        <w:rPr>
          <w:spacing w:val="-13"/>
        </w:rPr>
        <w:t> </w:t>
      </w:r>
      <w:r>
        <w:rPr/>
        <w:t>for</w:t>
      </w:r>
      <w:r>
        <w:rPr>
          <w:spacing w:val="-6"/>
        </w:rPr>
        <w:t> </w:t>
      </w:r>
      <w:r>
        <w:rPr/>
        <w:t>Toxic Substances</w:t>
      </w:r>
      <w:r>
        <w:rPr>
          <w:spacing w:val="-15"/>
        </w:rPr>
        <w:t> </w:t>
      </w:r>
      <w:r>
        <w:rPr/>
        <w:t>and</w:t>
      </w:r>
      <w:r>
        <w:rPr>
          <w:spacing w:val="-15"/>
        </w:rPr>
        <w:t> </w:t>
      </w:r>
      <w:r>
        <w:rPr/>
        <w:t>Disease</w:t>
      </w:r>
      <w:r>
        <w:rPr>
          <w:spacing w:val="-14"/>
        </w:rPr>
        <w:t> </w:t>
      </w:r>
      <w:r>
        <w:rPr/>
        <w:t>Registry</w:t>
      </w:r>
      <w:r>
        <w:rPr>
          <w:spacing w:val="-15"/>
        </w:rPr>
        <w:t> </w:t>
      </w:r>
      <w:r>
        <w:rPr/>
        <w:t>list</w:t>
      </w:r>
      <w:r>
        <w:rPr>
          <w:spacing w:val="-14"/>
        </w:rPr>
        <w:t> </w:t>
      </w:r>
      <w:r>
        <w:rPr/>
        <w:t>(Yoon</w:t>
      </w:r>
      <w:r>
        <w:rPr>
          <w:spacing w:val="-12"/>
        </w:rPr>
        <w:t> </w:t>
      </w:r>
      <w:r>
        <w:rPr>
          <w:i/>
        </w:rPr>
        <w:t>et</w:t>
      </w:r>
      <w:r>
        <w:rPr>
          <w:i/>
          <w:spacing w:val="-12"/>
        </w:rPr>
        <w:t> </w:t>
      </w:r>
      <w:r>
        <w:rPr>
          <w:i/>
        </w:rPr>
        <w:t>al</w:t>
      </w:r>
      <w:r>
        <w:rPr/>
        <w:t>.,</w:t>
      </w:r>
      <w:r>
        <w:rPr>
          <w:spacing w:val="-12"/>
        </w:rPr>
        <w:t> </w:t>
      </w:r>
      <w:r>
        <w:rPr/>
        <w:t>2007).</w:t>
      </w:r>
      <w:r>
        <w:rPr>
          <w:spacing w:val="-14"/>
        </w:rPr>
        <w:t> </w:t>
      </w:r>
      <w:r>
        <w:rPr/>
        <w:t>Thus,</w:t>
      </w:r>
      <w:r>
        <w:rPr>
          <w:spacing w:val="-14"/>
        </w:rPr>
        <w:t> </w:t>
      </w:r>
      <w:r>
        <w:rPr/>
        <w:t>it</w:t>
      </w:r>
      <w:r>
        <w:rPr>
          <w:spacing w:val="-14"/>
        </w:rPr>
        <w:t> </w:t>
      </w:r>
      <w:r>
        <w:rPr/>
        <w:t>is</w:t>
      </w:r>
      <w:r>
        <w:rPr>
          <w:spacing w:val="-14"/>
        </w:rPr>
        <w:t> </w:t>
      </w:r>
      <w:r>
        <w:rPr/>
        <w:t>highly</w:t>
      </w:r>
      <w:r>
        <w:rPr>
          <w:spacing w:val="-15"/>
        </w:rPr>
        <w:t> </w:t>
      </w:r>
      <w:r>
        <w:rPr/>
        <w:t>important</w:t>
      </w:r>
      <w:r>
        <w:rPr>
          <w:spacing w:val="-14"/>
        </w:rPr>
        <w:t> </w:t>
      </w:r>
      <w:r>
        <w:rPr/>
        <w:t>that</w:t>
      </w:r>
      <w:r>
        <w:rPr>
          <w:spacing w:val="-14"/>
        </w:rPr>
        <w:t> </w:t>
      </w:r>
      <w:r>
        <w:rPr/>
        <w:t>strategies for</w:t>
      </w:r>
      <w:r>
        <w:rPr/>
        <w:t> their</w:t>
      </w:r>
      <w:r>
        <w:rPr/>
        <w:t> level</w:t>
      </w:r>
      <w:r>
        <w:rPr/>
        <w:t> reduction</w:t>
      </w:r>
      <w:r>
        <w:rPr/>
        <w:t> are</w:t>
      </w:r>
      <w:r>
        <w:rPr/>
        <w:t> ensured</w:t>
      </w:r>
      <w:r>
        <w:rPr/>
        <w:t> in</w:t>
      </w:r>
      <w:r>
        <w:rPr/>
        <w:t> the</w:t>
      </w:r>
      <w:r>
        <w:rPr/>
        <w:t> environment.</w:t>
      </w:r>
      <w:r>
        <w:rPr/>
        <w:t> Environmental</w:t>
      </w:r>
      <w:r>
        <w:rPr/>
        <w:t> consequences have resulted</w:t>
      </w:r>
      <w:r>
        <w:rPr>
          <w:spacing w:val="54"/>
        </w:rPr>
        <w:t> </w:t>
      </w:r>
      <w:r>
        <w:rPr/>
        <w:t>to</w:t>
      </w:r>
      <w:r>
        <w:rPr>
          <w:spacing w:val="55"/>
        </w:rPr>
        <w:t> </w:t>
      </w:r>
      <w:r>
        <w:rPr/>
        <w:t>researchers</w:t>
      </w:r>
      <w:r>
        <w:rPr>
          <w:spacing w:val="54"/>
        </w:rPr>
        <w:t> </w:t>
      </w:r>
      <w:r>
        <w:rPr/>
        <w:t>continuous</w:t>
      </w:r>
      <w:r>
        <w:rPr>
          <w:spacing w:val="55"/>
        </w:rPr>
        <w:t> </w:t>
      </w:r>
      <w:r>
        <w:rPr/>
        <w:t>research</w:t>
      </w:r>
      <w:r>
        <w:rPr>
          <w:spacing w:val="55"/>
        </w:rPr>
        <w:t> </w:t>
      </w:r>
      <w:r>
        <w:rPr/>
        <w:t>on</w:t>
      </w:r>
      <w:r>
        <w:rPr>
          <w:spacing w:val="54"/>
        </w:rPr>
        <w:t> </w:t>
      </w:r>
      <w:r>
        <w:rPr/>
        <w:t>sustainable</w:t>
      </w:r>
      <w:r>
        <w:rPr>
          <w:spacing w:val="54"/>
        </w:rPr>
        <w:t> </w:t>
      </w:r>
      <w:r>
        <w:rPr/>
        <w:t>approach</w:t>
      </w:r>
      <w:r>
        <w:rPr>
          <w:spacing w:val="55"/>
        </w:rPr>
        <w:t> </w:t>
      </w:r>
      <w:r>
        <w:rPr/>
        <w:t>that</w:t>
      </w:r>
      <w:r>
        <w:rPr>
          <w:spacing w:val="55"/>
        </w:rPr>
        <w:t> </w:t>
      </w:r>
      <w:r>
        <w:rPr/>
        <w:t>involve</w:t>
      </w:r>
      <w:r>
        <w:rPr>
          <w:spacing w:val="54"/>
        </w:rPr>
        <w:t> </w:t>
      </w:r>
      <w:r>
        <w:rPr/>
        <w:t>the</w:t>
      </w:r>
      <w:r>
        <w:rPr>
          <w:spacing w:val="54"/>
        </w:rPr>
        <w:t> </w:t>
      </w:r>
      <w:r>
        <w:rPr/>
        <w:t>use</w:t>
      </w:r>
      <w:r>
        <w:rPr>
          <w:spacing w:val="53"/>
        </w:rPr>
        <w:t> </w:t>
      </w:r>
      <w:r>
        <w:rPr>
          <w:spacing w:val="-5"/>
        </w:rPr>
        <w:t>of</w:t>
      </w:r>
    </w:p>
    <w:p>
      <w:pPr>
        <w:spacing w:after="0" w:line="480" w:lineRule="auto"/>
        <w:jc w:val="both"/>
        <w:sectPr>
          <w:pgSz w:w="12240" w:h="15840"/>
          <w:pgMar w:header="0" w:footer="1015" w:top="1360" w:bottom="1200" w:left="1320" w:right="1320"/>
        </w:sectPr>
      </w:pPr>
    </w:p>
    <w:p>
      <w:pPr>
        <w:pStyle w:val="BodyText"/>
        <w:spacing w:line="482" w:lineRule="auto" w:before="72"/>
        <w:ind w:left="120" w:right="123"/>
        <w:jc w:val="both"/>
      </w:pPr>
      <w:r>
        <w:rPr/>
        <w:t>biodegradable substances acquired from living organisms (known as biosurfactants) for the cleanup of sites contaminated with hydrocarbon (Chaprão </w:t>
      </w:r>
      <w:r>
        <w:rPr>
          <w:i/>
        </w:rPr>
        <w:t>et al</w:t>
      </w:r>
      <w:r>
        <w:rPr/>
        <w:t>., 2018).</w:t>
      </w:r>
    </w:p>
    <w:p>
      <w:pPr>
        <w:pStyle w:val="BodyText"/>
        <w:spacing w:line="480" w:lineRule="auto" w:before="194"/>
        <w:ind w:left="120" w:right="117"/>
        <w:jc w:val="both"/>
      </w:pPr>
      <w:r>
        <w:rPr/>
        <w:t>Biosurfactants are biomolecules synthesized by microorganisms, consisting of both hydrophobic and hydrophilic moieties, whose action is between two liquids that are different in polarities (for example, water</w:t>
      </w:r>
      <w:r>
        <w:rPr>
          <w:spacing w:val="40"/>
        </w:rPr>
        <w:t> </w:t>
      </w:r>
      <w:r>
        <w:rPr/>
        <w:t>and</w:t>
      </w:r>
      <w:r>
        <w:rPr/>
        <w:t> oil),</w:t>
      </w:r>
      <w:r>
        <w:rPr/>
        <w:t> penetrating</w:t>
      </w:r>
      <w:r>
        <w:rPr/>
        <w:t> hydrophobic</w:t>
      </w:r>
      <w:r>
        <w:rPr/>
        <w:t> substances by increasing the contact area between two immiscible compounds as well as enhancing their mobility and bioavailability, resulting in the degradation of the substrate (Chaprão</w:t>
      </w:r>
      <w:r>
        <w:rPr/>
        <w:t> </w:t>
      </w:r>
      <w:r>
        <w:rPr>
          <w:i/>
        </w:rPr>
        <w:t>et al</w:t>
      </w:r>
      <w:r>
        <w:rPr/>
        <w:t>., 2018). These characteristics make biosurfactants</w:t>
      </w:r>
      <w:r>
        <w:rPr>
          <w:spacing w:val="-10"/>
        </w:rPr>
        <w:t> </w:t>
      </w:r>
      <w:r>
        <w:rPr/>
        <w:t>to</w:t>
      </w:r>
      <w:r>
        <w:rPr>
          <w:spacing w:val="-10"/>
        </w:rPr>
        <w:t> </w:t>
      </w:r>
      <w:r>
        <w:rPr/>
        <w:t>be</w:t>
      </w:r>
      <w:r>
        <w:rPr>
          <w:spacing w:val="-9"/>
        </w:rPr>
        <w:t> </w:t>
      </w:r>
      <w:r>
        <w:rPr/>
        <w:t>able</w:t>
      </w:r>
      <w:r>
        <w:rPr>
          <w:spacing w:val="-11"/>
        </w:rPr>
        <w:t> </w:t>
      </w:r>
      <w:r>
        <w:rPr/>
        <w:t>to</w:t>
      </w:r>
      <w:r>
        <w:rPr>
          <w:spacing w:val="-11"/>
        </w:rPr>
        <w:t> </w:t>
      </w:r>
      <w:r>
        <w:rPr/>
        <w:t>decrease</w:t>
      </w:r>
      <w:r>
        <w:rPr>
          <w:spacing w:val="-11"/>
        </w:rPr>
        <w:t> </w:t>
      </w:r>
      <w:r>
        <w:rPr/>
        <w:t>surface</w:t>
      </w:r>
      <w:r>
        <w:rPr>
          <w:spacing w:val="-10"/>
        </w:rPr>
        <w:t> </w:t>
      </w:r>
      <w:r>
        <w:rPr/>
        <w:t>and</w:t>
      </w:r>
      <w:r>
        <w:rPr>
          <w:spacing w:val="-11"/>
        </w:rPr>
        <w:t> </w:t>
      </w:r>
      <w:r>
        <w:rPr/>
        <w:t>interfacial</w:t>
      </w:r>
      <w:r>
        <w:rPr>
          <w:spacing w:val="-11"/>
        </w:rPr>
        <w:t> </w:t>
      </w:r>
      <w:r>
        <w:rPr/>
        <w:t>tension</w:t>
      </w:r>
      <w:r>
        <w:rPr>
          <w:spacing w:val="-10"/>
        </w:rPr>
        <w:t> </w:t>
      </w:r>
      <w:r>
        <w:rPr/>
        <w:t>and</w:t>
      </w:r>
      <w:r>
        <w:rPr>
          <w:spacing w:val="-9"/>
        </w:rPr>
        <w:t> </w:t>
      </w:r>
      <w:r>
        <w:rPr/>
        <w:t>also</w:t>
      </w:r>
      <w:r>
        <w:rPr>
          <w:spacing w:val="-10"/>
        </w:rPr>
        <w:t> </w:t>
      </w:r>
      <w:r>
        <w:rPr/>
        <w:t>form</w:t>
      </w:r>
      <w:r>
        <w:rPr>
          <w:spacing w:val="-11"/>
        </w:rPr>
        <w:t> </w:t>
      </w:r>
      <w:r>
        <w:rPr/>
        <w:t>microemulsions, which enable hydrocarbons to be soluble in water.</w:t>
      </w:r>
      <w:r>
        <w:rPr/>
        <w:t> Properties such as emulsification, foaming capacity, lubrication and phase dispersion make biosurfactants to be applicable in industries. In comparison to the synthetic biosurfactants, biosurfactants are stable over wide conditions of the environment, safe and biodegradable.</w:t>
      </w:r>
    </w:p>
    <w:p>
      <w:pPr>
        <w:pStyle w:val="BodyText"/>
        <w:spacing w:line="480" w:lineRule="auto" w:before="200"/>
        <w:ind w:left="120" w:right="113"/>
        <w:jc w:val="both"/>
      </w:pPr>
      <w:r>
        <w:rPr/>
        <w:t>Biosurfactant producing microorganisms can be found in different environments. Several strains of</w:t>
      </w:r>
      <w:r>
        <w:rPr/>
        <w:t> microorganisms such as </w:t>
      </w:r>
      <w:r>
        <w:rPr>
          <w:i/>
        </w:rPr>
        <w:t>Serratia mercencis, Pseudomonas </w:t>
      </w:r>
      <w:r>
        <w:rPr/>
        <w:t>sp., </w:t>
      </w:r>
      <w:r>
        <w:rPr>
          <w:i/>
        </w:rPr>
        <w:t>Bacillus subtilis, Mycobacterium</w:t>
      </w:r>
      <w:r>
        <w:rPr>
          <w:i/>
          <w:spacing w:val="-4"/>
        </w:rPr>
        <w:t> </w:t>
      </w:r>
      <w:r>
        <w:rPr/>
        <w:t>sp.,</w:t>
      </w:r>
      <w:r>
        <w:rPr>
          <w:spacing w:val="-4"/>
        </w:rPr>
        <w:t> </w:t>
      </w:r>
      <w:r>
        <w:rPr>
          <w:i/>
        </w:rPr>
        <w:t>Candida</w:t>
      </w:r>
      <w:r>
        <w:rPr>
          <w:i/>
          <w:spacing w:val="-3"/>
        </w:rPr>
        <w:t> </w:t>
      </w:r>
      <w:r>
        <w:rPr/>
        <w:t>sp.,</w:t>
      </w:r>
      <w:r>
        <w:rPr>
          <w:spacing w:val="-4"/>
        </w:rPr>
        <w:t> </w:t>
      </w:r>
      <w:r>
        <w:rPr>
          <w:i/>
        </w:rPr>
        <w:t>Rhodococcus</w:t>
      </w:r>
      <w:r>
        <w:rPr>
          <w:i/>
          <w:spacing w:val="-4"/>
        </w:rPr>
        <w:t> </w:t>
      </w:r>
      <w:r>
        <w:rPr/>
        <w:t>sp.,</w:t>
      </w:r>
      <w:r>
        <w:rPr>
          <w:spacing w:val="-4"/>
        </w:rPr>
        <w:t> </w:t>
      </w:r>
      <w:r>
        <w:rPr>
          <w:i/>
        </w:rPr>
        <w:t>Arthrobacter</w:t>
      </w:r>
      <w:r>
        <w:rPr>
          <w:i/>
          <w:spacing w:val="-4"/>
        </w:rPr>
        <w:t> </w:t>
      </w:r>
      <w:r>
        <w:rPr/>
        <w:t>sp.</w:t>
      </w:r>
      <w:r>
        <w:rPr>
          <w:spacing w:val="-4"/>
        </w:rPr>
        <w:t> </w:t>
      </w:r>
      <w:r>
        <w:rPr/>
        <w:t>are</w:t>
      </w:r>
      <w:r>
        <w:rPr>
          <w:spacing w:val="-6"/>
        </w:rPr>
        <w:t> </w:t>
      </w:r>
      <w:r>
        <w:rPr/>
        <w:t>known</w:t>
      </w:r>
      <w:r>
        <w:rPr>
          <w:spacing w:val="-4"/>
        </w:rPr>
        <w:t> </w:t>
      </w:r>
      <w:r>
        <w:rPr/>
        <w:t>with</w:t>
      </w:r>
      <w:r>
        <w:rPr>
          <w:spacing w:val="-4"/>
        </w:rPr>
        <w:t> </w:t>
      </w:r>
      <w:r>
        <w:rPr/>
        <w:t>the</w:t>
      </w:r>
      <w:r>
        <w:rPr>
          <w:spacing w:val="-4"/>
        </w:rPr>
        <w:t> </w:t>
      </w:r>
      <w:r>
        <w:rPr/>
        <w:t>potential of producing biosurfactant either naturally or as a result of response to stress (Patowary </w:t>
      </w:r>
      <w:r>
        <w:rPr>
          <w:i/>
        </w:rPr>
        <w:t>et al</w:t>
      </w:r>
      <w:r>
        <w:rPr/>
        <w:t>., 2018). The large production of biosurfactants is the commercial success of microbial surfactants and it is presently</w:t>
      </w:r>
      <w:r>
        <w:rPr>
          <w:spacing w:val="-3"/>
        </w:rPr>
        <w:t> </w:t>
      </w:r>
      <w:r>
        <w:rPr/>
        <w:t>hindered by</w:t>
      </w:r>
      <w:r>
        <w:rPr>
          <w:spacing w:val="-3"/>
        </w:rPr>
        <w:t> </w:t>
      </w:r>
      <w:r>
        <w:rPr/>
        <w:t>high production cost. Optimization of the conditions of growth by the use of cheap, sustainable substrates coupled with novel and effective downstream processing approaches</w:t>
      </w:r>
      <w:r>
        <w:rPr>
          <w:spacing w:val="40"/>
        </w:rPr>
        <w:t> </w:t>
      </w:r>
      <w:r>
        <w:rPr/>
        <w:t>could result in the production of</w:t>
      </w:r>
      <w:r>
        <w:rPr>
          <w:spacing w:val="40"/>
        </w:rPr>
        <w:t> </w:t>
      </w:r>
      <w:r>
        <w:rPr/>
        <w:t>cheap and economically feasible biosurfactants, resulting in success of large scale production (Almeida </w:t>
      </w:r>
      <w:r>
        <w:rPr>
          <w:i/>
        </w:rPr>
        <w:t>et al</w:t>
      </w:r>
      <w:r>
        <w:rPr/>
        <w:t>., 2016; Patil and Pratap,</w:t>
      </w:r>
      <w:r>
        <w:rPr/>
        <w:t> 2018; Patowary </w:t>
      </w:r>
      <w:r>
        <w:rPr>
          <w:i/>
        </w:rPr>
        <w:t>et al</w:t>
      </w:r>
      <w:r>
        <w:rPr/>
        <w:t>., 2018).</w:t>
      </w:r>
    </w:p>
    <w:p>
      <w:pPr>
        <w:spacing w:after="0" w:line="480" w:lineRule="auto"/>
        <w:jc w:val="both"/>
        <w:sectPr>
          <w:pgSz w:w="12240" w:h="15840"/>
          <w:pgMar w:header="0" w:footer="1015" w:top="1360" w:bottom="1200" w:left="1320" w:right="1320"/>
        </w:sectPr>
      </w:pPr>
    </w:p>
    <w:p>
      <w:pPr>
        <w:pStyle w:val="BodyText"/>
        <w:spacing w:line="480" w:lineRule="auto" w:before="72"/>
        <w:ind w:left="120" w:right="113"/>
        <w:jc w:val="both"/>
      </w:pPr>
      <w:r>
        <w:rPr/>
        <w:t>Surfactin biosurfactants are the most broadly studied surfactants produced by </w:t>
      </w:r>
      <w:r>
        <w:rPr>
          <w:i/>
        </w:rPr>
        <w:t>Bacillus subtilis</w:t>
      </w:r>
      <w:r>
        <w:rPr/>
        <w:t>, sorpholipids by </w:t>
      </w:r>
      <w:r>
        <w:rPr>
          <w:i/>
        </w:rPr>
        <w:t>Candida antartica </w:t>
      </w:r>
      <w:r>
        <w:rPr/>
        <w:t>(Kitamoto </w:t>
      </w:r>
      <w:r>
        <w:rPr>
          <w:i/>
        </w:rPr>
        <w:t>et al</w:t>
      </w:r>
      <w:r>
        <w:rPr/>
        <w:t>., 1993) and rhamnolipid by </w:t>
      </w:r>
      <w:r>
        <w:rPr>
          <w:i/>
        </w:rPr>
        <w:t>Pseudomonas aeruginosa </w:t>
      </w:r>
      <w:r>
        <w:rPr/>
        <w:t>(Maier and Soberón-Chávez, 2000). Different researches are of the opinion that biosurfactants are necessary for microorganisms to grow and survive in a wide range of environments. </w:t>
      </w:r>
      <w:r>
        <w:rPr>
          <w:i/>
        </w:rPr>
        <w:t>Alcaligenes faecalis </w:t>
      </w:r>
      <w:r>
        <w:rPr/>
        <w:t>strains have been reported to produce biosurfactants but their biosurfactants are yet to be studied extensively</w:t>
      </w:r>
      <w:r>
        <w:rPr>
          <w:spacing w:val="-1"/>
        </w:rPr>
        <w:t> </w:t>
      </w:r>
      <w:r>
        <w:rPr/>
        <w:t>and characterized (Pleaza </w:t>
      </w:r>
      <w:r>
        <w:rPr>
          <w:i/>
        </w:rPr>
        <w:t>et al., </w:t>
      </w:r>
      <w:r>
        <w:rPr/>
        <w:t>2005; Chikere </w:t>
      </w:r>
      <w:r>
        <w:rPr>
          <w:i/>
        </w:rPr>
        <w:t>et al., </w:t>
      </w:r>
      <w:r>
        <w:rPr/>
        <w:t>2009; Bharali </w:t>
      </w:r>
      <w:r>
        <w:rPr>
          <w:i/>
        </w:rPr>
        <w:t>et al.</w:t>
      </w:r>
      <w:r>
        <w:rPr/>
        <w:t>, 2011).</w:t>
      </w:r>
    </w:p>
    <w:p>
      <w:pPr>
        <w:pStyle w:val="BodyText"/>
        <w:spacing w:line="480" w:lineRule="auto" w:before="200"/>
        <w:ind w:left="120" w:right="116"/>
        <w:jc w:val="both"/>
      </w:pPr>
      <w:r>
        <w:rPr/>
        <w:t>In comparison</w:t>
      </w:r>
      <w:r>
        <w:rPr>
          <w:spacing w:val="-2"/>
        </w:rPr>
        <w:t> </w:t>
      </w:r>
      <w:r>
        <w:rPr/>
        <w:t>to</w:t>
      </w:r>
      <w:r>
        <w:rPr>
          <w:spacing w:val="-2"/>
        </w:rPr>
        <w:t> </w:t>
      </w:r>
      <w:r>
        <w:rPr/>
        <w:t>the</w:t>
      </w:r>
      <w:r>
        <w:rPr>
          <w:spacing w:val="-3"/>
        </w:rPr>
        <w:t> </w:t>
      </w:r>
      <w:r>
        <w:rPr/>
        <w:t>conventional</w:t>
      </w:r>
      <w:r>
        <w:rPr>
          <w:spacing w:val="-2"/>
        </w:rPr>
        <w:t> </w:t>
      </w:r>
      <w:r>
        <w:rPr/>
        <w:t>physical</w:t>
      </w:r>
      <w:r>
        <w:rPr>
          <w:spacing w:val="-1"/>
        </w:rPr>
        <w:t> </w:t>
      </w:r>
      <w:r>
        <w:rPr/>
        <w:t>and</w:t>
      </w:r>
      <w:r>
        <w:rPr>
          <w:spacing w:val="-1"/>
        </w:rPr>
        <w:t> </w:t>
      </w:r>
      <w:r>
        <w:rPr/>
        <w:t>chemical</w:t>
      </w:r>
      <w:r>
        <w:rPr>
          <w:spacing w:val="-1"/>
        </w:rPr>
        <w:t> </w:t>
      </w:r>
      <w:r>
        <w:rPr/>
        <w:t>approaches</w:t>
      </w:r>
      <w:r>
        <w:rPr>
          <w:spacing w:val="-1"/>
        </w:rPr>
        <w:t> </w:t>
      </w:r>
      <w:r>
        <w:rPr/>
        <w:t>in</w:t>
      </w:r>
      <w:r>
        <w:rPr>
          <w:spacing w:val="-1"/>
        </w:rPr>
        <w:t> </w:t>
      </w:r>
      <w:r>
        <w:rPr/>
        <w:t>remediating</w:t>
      </w:r>
      <w:r>
        <w:rPr>
          <w:spacing w:val="-4"/>
        </w:rPr>
        <w:t> </w:t>
      </w:r>
      <w:r>
        <w:rPr/>
        <w:t>hydrocarbon polluted environment, bioremediation has attracted an increased attention because of its ecologically</w:t>
      </w:r>
      <w:r>
        <w:rPr>
          <w:spacing w:val="-15"/>
        </w:rPr>
        <w:t> </w:t>
      </w:r>
      <w:r>
        <w:rPr/>
        <w:t>friendly</w:t>
      </w:r>
      <w:r>
        <w:rPr>
          <w:spacing w:val="-15"/>
        </w:rPr>
        <w:t> </w:t>
      </w:r>
      <w:r>
        <w:rPr/>
        <w:t>and</w:t>
      </w:r>
      <w:r>
        <w:rPr>
          <w:spacing w:val="-7"/>
        </w:rPr>
        <w:t> </w:t>
      </w:r>
      <w:r>
        <w:rPr/>
        <w:t>economical</w:t>
      </w:r>
      <w:r>
        <w:rPr>
          <w:spacing w:val="-8"/>
        </w:rPr>
        <w:t> </w:t>
      </w:r>
      <w:r>
        <w:rPr/>
        <w:t>characteristics.</w:t>
      </w:r>
      <w:r>
        <w:rPr>
          <w:spacing w:val="-10"/>
        </w:rPr>
        <w:t> </w:t>
      </w:r>
      <w:r>
        <w:rPr/>
        <w:t>Among</w:t>
      </w:r>
      <w:r>
        <w:rPr>
          <w:spacing w:val="-11"/>
        </w:rPr>
        <w:t> </w:t>
      </w:r>
      <w:r>
        <w:rPr/>
        <w:t>the</w:t>
      </w:r>
      <w:r>
        <w:rPr>
          <w:spacing w:val="-11"/>
        </w:rPr>
        <w:t> </w:t>
      </w:r>
      <w:r>
        <w:rPr/>
        <w:t>numerous</w:t>
      </w:r>
      <w:r>
        <w:rPr>
          <w:spacing w:val="-9"/>
        </w:rPr>
        <w:t> </w:t>
      </w:r>
      <w:r>
        <w:rPr/>
        <w:t>methods</w:t>
      </w:r>
      <w:r>
        <w:rPr>
          <w:spacing w:val="-10"/>
        </w:rPr>
        <w:t> </w:t>
      </w:r>
      <w:r>
        <w:rPr/>
        <w:t>(incineration, land filling, and chemical treatments) used for remediating oil polluted environment, bioremediation using biosurfactants is a promising approach as it is environmentally</w:t>
      </w:r>
      <w:r>
        <w:rPr>
          <w:spacing w:val="-1"/>
        </w:rPr>
        <w:t> </w:t>
      </w:r>
      <w:r>
        <w:rPr/>
        <w:t>compatible, less toxic, cheap and biodegradable as compared to the physical and chemical based approaches, which are costly, toxic and non-biodegradable (Guntupalli </w:t>
      </w:r>
      <w:r>
        <w:rPr>
          <w:i/>
        </w:rPr>
        <w:t>et al</w:t>
      </w:r>
      <w:r>
        <w:rPr/>
        <w:t>., 2016; Patowary </w:t>
      </w:r>
      <w:r>
        <w:rPr>
          <w:i/>
        </w:rPr>
        <w:t>et al</w:t>
      </w:r>
      <w:r>
        <w:rPr/>
        <w:t>., 2018). Several researches have reported that microorganisms from oil polluted sites are able to clean up oil polluted environment but with low degradability due to their recalcitrant nature and low availability of such organic compounds to microbes.</w:t>
      </w:r>
      <w:r>
        <w:rPr>
          <w:spacing w:val="40"/>
        </w:rPr>
        <w:t> </w:t>
      </w:r>
      <w:r>
        <w:rPr/>
        <w:t>Therefore, biosurfactant helps to speed up the biodegradation process (Bharali </w:t>
      </w:r>
      <w:r>
        <w:rPr>
          <w:i/>
        </w:rPr>
        <w:t>et al.</w:t>
      </w:r>
      <w:r>
        <w:rPr/>
        <w:t>, 2011; Zhang </w:t>
      </w:r>
      <w:r>
        <w:rPr>
          <w:i/>
        </w:rPr>
        <w:t>et al</w:t>
      </w:r>
      <w:r>
        <w:rPr/>
        <w:t>., 2014; Patowary </w:t>
      </w:r>
      <w:r>
        <w:rPr>
          <w:i/>
        </w:rPr>
        <w:t>et al</w:t>
      </w:r>
      <w:r>
        <w:rPr/>
        <w:t>., 2018). One of the limitations of using biosurfactants is their low penetration in soil interface. The search for more efficient approach for the remediation of polluted environment has led to the use of </w:t>
      </w:r>
      <w:r>
        <w:rPr>
          <w:spacing w:val="-2"/>
        </w:rPr>
        <w:t>nanoremediation.</w:t>
      </w:r>
    </w:p>
    <w:p>
      <w:pPr>
        <w:pStyle w:val="BodyText"/>
        <w:spacing w:line="480" w:lineRule="auto" w:before="201"/>
        <w:ind w:left="120" w:right="116"/>
        <w:jc w:val="both"/>
      </w:pPr>
      <w:r>
        <w:rPr/>
        <w:t>Nanotechnology has aroused a significant</w:t>
      </w:r>
      <w:r>
        <w:rPr/>
        <w:t> interest because of its perceived impact in areas of catalysis</w:t>
      </w:r>
      <w:r>
        <w:rPr>
          <w:spacing w:val="44"/>
        </w:rPr>
        <w:t> </w:t>
      </w:r>
      <w:r>
        <w:rPr/>
        <w:t>and</w:t>
      </w:r>
      <w:r>
        <w:rPr>
          <w:spacing w:val="45"/>
        </w:rPr>
        <w:t> </w:t>
      </w:r>
      <w:r>
        <w:rPr/>
        <w:t>its</w:t>
      </w:r>
      <w:r>
        <w:rPr>
          <w:spacing w:val="45"/>
        </w:rPr>
        <w:t> </w:t>
      </w:r>
      <w:r>
        <w:rPr/>
        <w:t>extensive</w:t>
      </w:r>
      <w:r>
        <w:rPr>
          <w:spacing w:val="43"/>
        </w:rPr>
        <w:t> </w:t>
      </w:r>
      <w:r>
        <w:rPr/>
        <w:t>use</w:t>
      </w:r>
      <w:r>
        <w:rPr>
          <w:spacing w:val="44"/>
        </w:rPr>
        <w:t> </w:t>
      </w:r>
      <w:r>
        <w:rPr/>
        <w:t>to</w:t>
      </w:r>
      <w:r>
        <w:rPr>
          <w:spacing w:val="45"/>
        </w:rPr>
        <w:t> </w:t>
      </w:r>
      <w:r>
        <w:rPr/>
        <w:t>improve</w:t>
      </w:r>
      <w:r>
        <w:rPr>
          <w:spacing w:val="43"/>
        </w:rPr>
        <w:t> </w:t>
      </w:r>
      <w:r>
        <w:rPr/>
        <w:t>several</w:t>
      </w:r>
      <w:r>
        <w:rPr>
          <w:spacing w:val="45"/>
        </w:rPr>
        <w:t> </w:t>
      </w:r>
      <w:r>
        <w:rPr/>
        <w:t>reactions</w:t>
      </w:r>
      <w:r>
        <w:rPr>
          <w:spacing w:val="44"/>
        </w:rPr>
        <w:t> </w:t>
      </w:r>
      <w:r>
        <w:rPr/>
        <w:t>as</w:t>
      </w:r>
      <w:r>
        <w:rPr>
          <w:spacing w:val="45"/>
        </w:rPr>
        <w:t> </w:t>
      </w:r>
      <w:r>
        <w:rPr/>
        <w:t>reductants</w:t>
      </w:r>
      <w:r>
        <w:rPr>
          <w:spacing w:val="45"/>
        </w:rPr>
        <w:t> </w:t>
      </w:r>
      <w:r>
        <w:rPr/>
        <w:t>and/or</w:t>
      </w:r>
      <w:r>
        <w:rPr>
          <w:spacing w:val="44"/>
        </w:rPr>
        <w:t> </w:t>
      </w:r>
      <w:r>
        <w:rPr/>
        <w:t>catalysts</w:t>
      </w:r>
      <w:r>
        <w:rPr>
          <w:spacing w:val="44"/>
        </w:rPr>
        <w:t> </w:t>
      </w:r>
      <w:r>
        <w:rPr>
          <w:spacing w:val="-5"/>
        </w:rPr>
        <w:t>in</w:t>
      </w:r>
    </w:p>
    <w:p>
      <w:pPr>
        <w:spacing w:after="0" w:line="480" w:lineRule="auto"/>
        <w:jc w:val="both"/>
        <w:sectPr>
          <w:pgSz w:w="12240" w:h="15840"/>
          <w:pgMar w:header="0" w:footer="1015" w:top="1360" w:bottom="1200" w:left="1320" w:right="1320"/>
        </w:sectPr>
      </w:pPr>
    </w:p>
    <w:p>
      <w:pPr>
        <w:pStyle w:val="BodyText"/>
        <w:spacing w:line="480" w:lineRule="auto" w:before="72"/>
        <w:ind w:left="120" w:right="115"/>
        <w:jc w:val="both"/>
      </w:pPr>
      <w:r>
        <w:rPr/>
        <w:t>chemistry as a result of their large surface areas and properties. These nanomaterials have the capacity to act as carrier of larger molecules and seep through tiny pores in the soil subsurface, reaching locations/areas farther than where larger particles such as biosurfactants can reach. Nanotechnology</w:t>
      </w:r>
      <w:r>
        <w:rPr>
          <w:spacing w:val="-6"/>
        </w:rPr>
        <w:t> </w:t>
      </w:r>
      <w:r>
        <w:rPr/>
        <w:t>is</w:t>
      </w:r>
      <w:r>
        <w:rPr>
          <w:spacing w:val="-1"/>
        </w:rPr>
        <w:t> </w:t>
      </w:r>
      <w:r>
        <w:rPr/>
        <w:t>an</w:t>
      </w:r>
      <w:r>
        <w:rPr>
          <w:spacing w:val="-1"/>
        </w:rPr>
        <w:t> </w:t>
      </w:r>
      <w:r>
        <w:rPr/>
        <w:t>emerging</w:t>
      </w:r>
      <w:r>
        <w:rPr>
          <w:spacing w:val="-3"/>
        </w:rPr>
        <w:t> </w:t>
      </w:r>
      <w:r>
        <w:rPr/>
        <w:t>field</w:t>
      </w:r>
      <w:r>
        <w:rPr>
          <w:spacing w:val="-1"/>
        </w:rPr>
        <w:t> </w:t>
      </w:r>
      <w:r>
        <w:rPr/>
        <w:t>for</w:t>
      </w:r>
      <w:r>
        <w:rPr>
          <w:spacing w:val="-3"/>
        </w:rPr>
        <w:t> </w:t>
      </w:r>
      <w:r>
        <w:rPr/>
        <w:t>the</w:t>
      </w:r>
      <w:r>
        <w:rPr>
          <w:spacing w:val="-2"/>
        </w:rPr>
        <w:t> </w:t>
      </w:r>
      <w:r>
        <w:rPr/>
        <w:t>production</w:t>
      </w:r>
      <w:r>
        <w:rPr>
          <w:spacing w:val="-1"/>
        </w:rPr>
        <w:t> </w:t>
      </w:r>
      <w:r>
        <w:rPr/>
        <w:t>of nanoscale</w:t>
      </w:r>
      <w:r>
        <w:rPr>
          <w:spacing w:val="-2"/>
        </w:rPr>
        <w:t> </w:t>
      </w:r>
      <w:r>
        <w:rPr/>
        <w:t>substances</w:t>
      </w:r>
      <w:r>
        <w:rPr>
          <w:spacing w:val="-1"/>
        </w:rPr>
        <w:t> </w:t>
      </w:r>
      <w:r>
        <w:rPr/>
        <w:t>whose</w:t>
      </w:r>
      <w:r>
        <w:rPr>
          <w:spacing w:val="-3"/>
        </w:rPr>
        <w:t> </w:t>
      </w:r>
      <w:r>
        <w:rPr/>
        <w:t>reactivity is more effective with larger surface</w:t>
      </w:r>
      <w:r>
        <w:rPr/>
        <w:t> area</w:t>
      </w:r>
      <w:r>
        <w:rPr/>
        <w:t> than</w:t>
      </w:r>
      <w:r>
        <w:rPr/>
        <w:t> its bulk phase. These special properties of nanoparticles</w:t>
      </w:r>
      <w:r>
        <w:rPr>
          <w:spacing w:val="-2"/>
        </w:rPr>
        <w:t> </w:t>
      </w:r>
      <w:r>
        <w:rPr/>
        <w:t>provide</w:t>
      </w:r>
      <w:r>
        <w:rPr>
          <w:spacing w:val="-4"/>
        </w:rPr>
        <w:t> </w:t>
      </w:r>
      <w:r>
        <w:rPr/>
        <w:t>huge</w:t>
      </w:r>
      <w:r>
        <w:rPr>
          <w:spacing w:val="-1"/>
        </w:rPr>
        <w:t> </w:t>
      </w:r>
      <w:r>
        <w:rPr/>
        <w:t>potential</w:t>
      </w:r>
      <w:r>
        <w:rPr>
          <w:spacing w:val="-2"/>
        </w:rPr>
        <w:t> </w:t>
      </w:r>
      <w:r>
        <w:rPr/>
        <w:t>for</w:t>
      </w:r>
      <w:r>
        <w:rPr>
          <w:spacing w:val="-1"/>
        </w:rPr>
        <w:t> </w:t>
      </w:r>
      <w:r>
        <w:rPr/>
        <w:t>them</w:t>
      </w:r>
      <w:r>
        <w:rPr>
          <w:spacing w:val="-2"/>
        </w:rPr>
        <w:t> </w:t>
      </w:r>
      <w:r>
        <w:rPr/>
        <w:t>to</w:t>
      </w:r>
      <w:r>
        <w:rPr>
          <w:spacing w:val="-2"/>
        </w:rPr>
        <w:t> </w:t>
      </w:r>
      <w:r>
        <w:rPr/>
        <w:t>be</w:t>
      </w:r>
      <w:r>
        <w:rPr>
          <w:spacing w:val="-3"/>
        </w:rPr>
        <w:t> </w:t>
      </w:r>
      <w:r>
        <w:rPr/>
        <w:t>applied</w:t>
      </w:r>
      <w:r>
        <w:rPr>
          <w:spacing w:val="-2"/>
        </w:rPr>
        <w:t> </w:t>
      </w:r>
      <w:r>
        <w:rPr/>
        <w:t>in</w:t>
      </w:r>
      <w:r>
        <w:rPr>
          <w:spacing w:val="-2"/>
        </w:rPr>
        <w:t> </w:t>
      </w:r>
      <w:r>
        <w:rPr/>
        <w:t>the</w:t>
      </w:r>
      <w:r>
        <w:rPr>
          <w:spacing w:val="-3"/>
        </w:rPr>
        <w:t> </w:t>
      </w:r>
      <w:r>
        <w:rPr/>
        <w:t>cleanup of</w:t>
      </w:r>
      <w:r>
        <w:rPr>
          <w:spacing w:val="-3"/>
        </w:rPr>
        <w:t> </w:t>
      </w:r>
      <w:r>
        <w:rPr/>
        <w:t>organic</w:t>
      </w:r>
      <w:r>
        <w:rPr>
          <w:spacing w:val="-1"/>
        </w:rPr>
        <w:t> </w:t>
      </w:r>
      <w:r>
        <w:rPr/>
        <w:t>compounds, pesticides and metals contaminants. Nanoparticles (NPs) are used directly for removing organic pollutants by adsorbtion or chemical modification (Kumari and Singh, 2016) or to facilitate microbial degradation of pollutants either by stimulating the growth of microorganisms by the immobilization of the agents of remediation or by inducing the production of microbial enzymes used in remediation.</w:t>
      </w:r>
    </w:p>
    <w:p>
      <w:pPr>
        <w:pStyle w:val="BodyText"/>
        <w:spacing w:line="480" w:lineRule="auto" w:before="200"/>
        <w:ind w:left="120" w:right="113"/>
        <w:jc w:val="both"/>
      </w:pPr>
      <w:r>
        <w:rPr/>
        <w:t>Use</w:t>
      </w:r>
      <w:r>
        <w:rPr>
          <w:spacing w:val="-7"/>
        </w:rPr>
        <w:t> </w:t>
      </w:r>
      <w:r>
        <w:rPr/>
        <w:t>of</w:t>
      </w:r>
      <w:r>
        <w:rPr>
          <w:spacing w:val="-7"/>
        </w:rPr>
        <w:t> </w:t>
      </w:r>
      <w:r>
        <w:rPr/>
        <w:t>nanoparticles</w:t>
      </w:r>
      <w:r>
        <w:rPr>
          <w:spacing w:val="-6"/>
        </w:rPr>
        <w:t> </w:t>
      </w:r>
      <w:r>
        <w:rPr/>
        <w:t>to</w:t>
      </w:r>
      <w:r>
        <w:rPr>
          <w:spacing w:val="-3"/>
        </w:rPr>
        <w:t> </w:t>
      </w:r>
      <w:r>
        <w:rPr/>
        <w:t>enhance</w:t>
      </w:r>
      <w:r>
        <w:rPr>
          <w:spacing w:val="-6"/>
        </w:rPr>
        <w:t> </w:t>
      </w:r>
      <w:r>
        <w:rPr/>
        <w:t>biosurfactants</w:t>
      </w:r>
      <w:r>
        <w:rPr>
          <w:spacing w:val="-4"/>
        </w:rPr>
        <w:t> </w:t>
      </w:r>
      <w:r>
        <w:rPr/>
        <w:t>production</w:t>
      </w:r>
      <w:r>
        <w:rPr>
          <w:spacing w:val="-5"/>
        </w:rPr>
        <w:t> </w:t>
      </w:r>
      <w:r>
        <w:rPr/>
        <w:t>in</w:t>
      </w:r>
      <w:r>
        <w:rPr>
          <w:spacing w:val="-5"/>
        </w:rPr>
        <w:t> </w:t>
      </w:r>
      <w:r>
        <w:rPr/>
        <w:t>microbes</w:t>
      </w:r>
      <w:r>
        <w:rPr>
          <w:spacing w:val="-6"/>
        </w:rPr>
        <w:t> </w:t>
      </w:r>
      <w:r>
        <w:rPr/>
        <w:t>also</w:t>
      </w:r>
      <w:r>
        <w:rPr>
          <w:spacing w:val="-6"/>
        </w:rPr>
        <w:t> </w:t>
      </w:r>
      <w:r>
        <w:rPr/>
        <w:t>improve</w:t>
      </w:r>
      <w:r>
        <w:rPr>
          <w:spacing w:val="-6"/>
        </w:rPr>
        <w:t> </w:t>
      </w:r>
      <w:r>
        <w:rPr/>
        <w:t>the</w:t>
      </w:r>
      <w:r>
        <w:rPr>
          <w:spacing w:val="-6"/>
        </w:rPr>
        <w:t> </w:t>
      </w:r>
      <w:r>
        <w:rPr/>
        <w:t>solubility of</w:t>
      </w:r>
      <w:r>
        <w:rPr>
          <w:spacing w:val="-2"/>
        </w:rPr>
        <w:t> </w:t>
      </w:r>
      <w:r>
        <w:rPr/>
        <w:t>the</w:t>
      </w:r>
      <w:r>
        <w:rPr>
          <w:spacing w:val="-2"/>
        </w:rPr>
        <w:t> </w:t>
      </w:r>
      <w:r>
        <w:rPr/>
        <w:t>hydrophobic</w:t>
      </w:r>
      <w:r>
        <w:rPr>
          <w:spacing w:val="-2"/>
        </w:rPr>
        <w:t> </w:t>
      </w:r>
      <w:r>
        <w:rPr/>
        <w:t>substrates,</w:t>
      </w:r>
      <w:r>
        <w:rPr>
          <w:spacing w:val="-2"/>
        </w:rPr>
        <w:t> </w:t>
      </w:r>
      <w:r>
        <w:rPr/>
        <w:t>thereby, creating</w:t>
      </w:r>
      <w:r>
        <w:rPr>
          <w:spacing w:val="-4"/>
        </w:rPr>
        <w:t> </w:t>
      </w:r>
      <w:r>
        <w:rPr/>
        <w:t>a conducive</w:t>
      </w:r>
      <w:r>
        <w:rPr>
          <w:spacing w:val="-2"/>
        </w:rPr>
        <w:t> </w:t>
      </w:r>
      <w:r>
        <w:rPr/>
        <w:t>conditions</w:t>
      </w:r>
      <w:r>
        <w:rPr>
          <w:spacing w:val="-1"/>
        </w:rPr>
        <w:t> </w:t>
      </w:r>
      <w:r>
        <w:rPr/>
        <w:t>for</w:t>
      </w:r>
      <w:r>
        <w:rPr>
          <w:spacing w:val="-3"/>
        </w:rPr>
        <w:t> </w:t>
      </w:r>
      <w:r>
        <w:rPr/>
        <w:t>the</w:t>
      </w:r>
      <w:r>
        <w:rPr>
          <w:spacing w:val="-2"/>
        </w:rPr>
        <w:t> </w:t>
      </w:r>
      <w:r>
        <w:rPr/>
        <w:t>degradation</w:t>
      </w:r>
      <w:r>
        <w:rPr>
          <w:spacing w:val="-1"/>
        </w:rPr>
        <w:t> </w:t>
      </w:r>
      <w:r>
        <w:rPr/>
        <w:t>of</w:t>
      </w:r>
      <w:r>
        <w:rPr>
          <w:spacing w:val="-2"/>
        </w:rPr>
        <w:t> </w:t>
      </w:r>
      <w:r>
        <w:rPr/>
        <w:t>the substance by microorganisms in the environment (Kumari and Singh, 2016). Nanoparticles are able</w:t>
      </w:r>
      <w:r>
        <w:rPr>
          <w:spacing w:val="-15"/>
        </w:rPr>
        <w:t> </w:t>
      </w:r>
      <w:r>
        <w:rPr/>
        <w:t>to</w:t>
      </w:r>
      <w:r>
        <w:rPr>
          <w:spacing w:val="-15"/>
        </w:rPr>
        <w:t> </w:t>
      </w:r>
      <w:r>
        <w:rPr/>
        <w:t>penetrate</w:t>
      </w:r>
      <w:r>
        <w:rPr>
          <w:spacing w:val="-15"/>
        </w:rPr>
        <w:t> </w:t>
      </w:r>
      <w:r>
        <w:rPr/>
        <w:t>through</w:t>
      </w:r>
      <w:r>
        <w:rPr>
          <w:spacing w:val="-15"/>
        </w:rPr>
        <w:t> </w:t>
      </w:r>
      <w:r>
        <w:rPr/>
        <w:t>tiny</w:t>
      </w:r>
      <w:r>
        <w:rPr>
          <w:spacing w:val="-15"/>
        </w:rPr>
        <w:t> </w:t>
      </w:r>
      <w:r>
        <w:rPr/>
        <w:t>pores</w:t>
      </w:r>
      <w:r>
        <w:rPr>
          <w:spacing w:val="-15"/>
        </w:rPr>
        <w:t> </w:t>
      </w:r>
      <w:r>
        <w:rPr/>
        <w:t>in</w:t>
      </w:r>
      <w:r>
        <w:rPr>
          <w:spacing w:val="-15"/>
        </w:rPr>
        <w:t> </w:t>
      </w:r>
      <w:r>
        <w:rPr/>
        <w:t>soil</w:t>
      </w:r>
      <w:r>
        <w:rPr>
          <w:spacing w:val="-15"/>
        </w:rPr>
        <w:t> </w:t>
      </w:r>
      <w:r>
        <w:rPr/>
        <w:t>or</w:t>
      </w:r>
      <w:r>
        <w:rPr>
          <w:spacing w:val="-15"/>
        </w:rPr>
        <w:t> </w:t>
      </w:r>
      <w:r>
        <w:rPr/>
        <w:t>they</w:t>
      </w:r>
      <w:r>
        <w:rPr>
          <w:spacing w:val="-15"/>
        </w:rPr>
        <w:t> </w:t>
      </w:r>
      <w:r>
        <w:rPr/>
        <w:t>can</w:t>
      </w:r>
      <w:r>
        <w:rPr>
          <w:spacing w:val="-15"/>
        </w:rPr>
        <w:t> </w:t>
      </w:r>
      <w:r>
        <w:rPr/>
        <w:t>remain</w:t>
      </w:r>
      <w:r>
        <w:rPr>
          <w:spacing w:val="-15"/>
        </w:rPr>
        <w:t> </w:t>
      </w:r>
      <w:r>
        <w:rPr/>
        <w:t>suspended</w:t>
      </w:r>
      <w:r>
        <w:rPr>
          <w:spacing w:val="-15"/>
        </w:rPr>
        <w:t> </w:t>
      </w:r>
      <w:r>
        <w:rPr/>
        <w:t>in</w:t>
      </w:r>
      <w:r>
        <w:rPr>
          <w:spacing w:val="-15"/>
        </w:rPr>
        <w:t> </w:t>
      </w:r>
      <w:r>
        <w:rPr/>
        <w:t>groundwater.</w:t>
      </w:r>
      <w:r>
        <w:rPr>
          <w:spacing w:val="-14"/>
        </w:rPr>
        <w:t> </w:t>
      </w:r>
      <w:r>
        <w:rPr/>
        <w:t>However, due to agglomeration and adsorption processes, the nanomaterials have been reported to have a limited radius of influence. Notwithstanding, these nanoparticles have a huge potential in the remediation of the environment. From the most commonly reported nanoparticles, iron nanoparticles and iron oxide nanoparticles are the commonly used ones and they have demonstrated to be very effective and efficient for removing wide varieties of pollutants like pharmaceutical</w:t>
      </w:r>
      <w:r>
        <w:rPr>
          <w:spacing w:val="-6"/>
        </w:rPr>
        <w:t> </w:t>
      </w:r>
      <w:r>
        <w:rPr/>
        <w:t>products,</w:t>
      </w:r>
      <w:r>
        <w:rPr>
          <w:spacing w:val="-6"/>
        </w:rPr>
        <w:t> </w:t>
      </w:r>
      <w:r>
        <w:rPr/>
        <w:t>chlorinated</w:t>
      </w:r>
      <w:r>
        <w:rPr>
          <w:spacing w:val="-7"/>
        </w:rPr>
        <w:t> </w:t>
      </w:r>
      <w:r>
        <w:rPr/>
        <w:t>solvents</w:t>
      </w:r>
      <w:r>
        <w:rPr>
          <w:spacing w:val="-4"/>
        </w:rPr>
        <w:t> </w:t>
      </w:r>
      <w:r>
        <w:rPr/>
        <w:t>and</w:t>
      </w:r>
      <w:r>
        <w:rPr>
          <w:spacing w:val="-4"/>
        </w:rPr>
        <w:t> </w:t>
      </w:r>
      <w:r>
        <w:rPr/>
        <w:t>metals</w:t>
      </w:r>
      <w:r>
        <w:rPr>
          <w:spacing w:val="-7"/>
        </w:rPr>
        <w:t> </w:t>
      </w:r>
      <w:r>
        <w:rPr/>
        <w:t>(Crane</w:t>
      </w:r>
      <w:r>
        <w:rPr>
          <w:spacing w:val="-5"/>
        </w:rPr>
        <w:t> </w:t>
      </w:r>
      <w:r>
        <w:rPr/>
        <w:t>and</w:t>
      </w:r>
      <w:r>
        <w:rPr>
          <w:spacing w:val="-7"/>
        </w:rPr>
        <w:t> </w:t>
      </w:r>
      <w:r>
        <w:rPr/>
        <w:t>Scott,</w:t>
      </w:r>
      <w:r>
        <w:rPr>
          <w:spacing w:val="-4"/>
        </w:rPr>
        <w:t> </w:t>
      </w:r>
      <w:r>
        <w:rPr/>
        <w:t>2012;</w:t>
      </w:r>
      <w:r>
        <w:rPr>
          <w:spacing w:val="-6"/>
        </w:rPr>
        <w:t> </w:t>
      </w:r>
      <w:r>
        <w:rPr/>
        <w:t>Machado</w:t>
      </w:r>
      <w:r>
        <w:rPr>
          <w:spacing w:val="-2"/>
        </w:rPr>
        <w:t> </w:t>
      </w:r>
      <w:r>
        <w:rPr>
          <w:i/>
        </w:rPr>
        <w:t>et</w:t>
      </w:r>
      <w:r>
        <w:rPr>
          <w:i/>
          <w:spacing w:val="-6"/>
        </w:rPr>
        <w:t> </w:t>
      </w:r>
      <w:r>
        <w:rPr>
          <w:i/>
        </w:rPr>
        <w:t>al</w:t>
      </w:r>
      <w:r>
        <w:rPr/>
        <w:t>., </w:t>
      </w:r>
      <w:r>
        <w:rPr>
          <w:spacing w:val="-2"/>
        </w:rPr>
        <w:t>2015).</w:t>
      </w:r>
    </w:p>
    <w:p>
      <w:pPr>
        <w:spacing w:after="0" w:line="480" w:lineRule="auto"/>
        <w:jc w:val="both"/>
        <w:sectPr>
          <w:pgSz w:w="12240" w:h="15840"/>
          <w:pgMar w:header="0" w:footer="1015" w:top="1360" w:bottom="1200" w:left="1320" w:right="1320"/>
        </w:sectPr>
      </w:pPr>
    </w:p>
    <w:p>
      <w:pPr>
        <w:pStyle w:val="BodyText"/>
        <w:spacing w:line="480" w:lineRule="auto" w:before="72"/>
        <w:ind w:left="120" w:right="120"/>
        <w:jc w:val="both"/>
      </w:pPr>
      <w:r>
        <w:rPr/>
        <w:t>Although iron nanoparticles possess high reactivity in the soil but this alone is not enough for successful and effective field application. Control of particles aggregation, movement in permeable</w:t>
      </w:r>
      <w:r>
        <w:rPr>
          <w:spacing w:val="-3"/>
        </w:rPr>
        <w:t> </w:t>
      </w:r>
      <w:r>
        <w:rPr/>
        <w:t>environments,</w:t>
      </w:r>
      <w:r>
        <w:rPr>
          <w:spacing w:val="-2"/>
        </w:rPr>
        <w:t> </w:t>
      </w:r>
      <w:r>
        <w:rPr/>
        <w:t>chemical</w:t>
      </w:r>
      <w:r>
        <w:rPr>
          <w:spacing w:val="-2"/>
        </w:rPr>
        <w:t> </w:t>
      </w:r>
      <w:r>
        <w:rPr/>
        <w:t>reaction</w:t>
      </w:r>
      <w:r>
        <w:rPr>
          <w:spacing w:val="-2"/>
        </w:rPr>
        <w:t> </w:t>
      </w:r>
      <w:r>
        <w:rPr/>
        <w:t>and</w:t>
      </w:r>
      <w:r>
        <w:rPr>
          <w:spacing w:val="-2"/>
        </w:rPr>
        <w:t> </w:t>
      </w:r>
      <w:r>
        <w:rPr/>
        <w:t>long</w:t>
      </w:r>
      <w:r>
        <w:rPr>
          <w:spacing w:val="-4"/>
        </w:rPr>
        <w:t> </w:t>
      </w:r>
      <w:r>
        <w:rPr/>
        <w:t>lasting</w:t>
      </w:r>
      <w:r>
        <w:rPr>
          <w:spacing w:val="-4"/>
        </w:rPr>
        <w:t> </w:t>
      </w:r>
      <w:r>
        <w:rPr/>
        <w:t>effect</w:t>
      </w:r>
      <w:r>
        <w:rPr>
          <w:spacing w:val="-2"/>
        </w:rPr>
        <w:t> </w:t>
      </w:r>
      <w:r>
        <w:rPr/>
        <w:t>in</w:t>
      </w:r>
      <w:r>
        <w:rPr>
          <w:spacing w:val="-2"/>
        </w:rPr>
        <w:t> </w:t>
      </w:r>
      <w:r>
        <w:rPr/>
        <w:t>the</w:t>
      </w:r>
      <w:r>
        <w:rPr>
          <w:spacing w:val="-3"/>
        </w:rPr>
        <w:t> </w:t>
      </w:r>
      <w:r>
        <w:rPr/>
        <w:t>subsurface</w:t>
      </w:r>
      <w:r>
        <w:rPr>
          <w:spacing w:val="-3"/>
        </w:rPr>
        <w:t> </w:t>
      </w:r>
      <w:r>
        <w:rPr/>
        <w:t>environment are important dominant factors for an efficient and effective clean up of polluted environments (Cecchin </w:t>
      </w:r>
      <w:r>
        <w:rPr>
          <w:i/>
        </w:rPr>
        <w:t>et al., </w:t>
      </w:r>
      <w:r>
        <w:rPr/>
        <w:t>2016).</w:t>
      </w:r>
    </w:p>
    <w:p>
      <w:pPr>
        <w:pStyle w:val="BodyText"/>
        <w:spacing w:line="480" w:lineRule="auto" w:before="199"/>
        <w:ind w:left="120" w:right="118"/>
        <w:jc w:val="both"/>
      </w:pPr>
      <w:r>
        <w:rPr/>
        <w:t>As early as 90s, iron has been explored and used as a reducing agent for contaminants and the main</w:t>
      </w:r>
      <w:r>
        <w:rPr>
          <w:spacing w:val="-6"/>
        </w:rPr>
        <w:t> </w:t>
      </w:r>
      <w:r>
        <w:rPr/>
        <w:t>focus</w:t>
      </w:r>
      <w:r>
        <w:rPr>
          <w:spacing w:val="-6"/>
        </w:rPr>
        <w:t> </w:t>
      </w:r>
      <w:r>
        <w:rPr/>
        <w:t>has</w:t>
      </w:r>
      <w:r>
        <w:rPr>
          <w:spacing w:val="-6"/>
        </w:rPr>
        <w:t> </w:t>
      </w:r>
      <w:r>
        <w:rPr/>
        <w:t>been</w:t>
      </w:r>
      <w:r>
        <w:rPr>
          <w:spacing w:val="-6"/>
        </w:rPr>
        <w:t> </w:t>
      </w:r>
      <w:r>
        <w:rPr/>
        <w:t>on</w:t>
      </w:r>
      <w:r>
        <w:rPr>
          <w:spacing w:val="-4"/>
        </w:rPr>
        <w:t> </w:t>
      </w:r>
      <w:r>
        <w:rPr/>
        <w:t>treating</w:t>
      </w:r>
      <w:r>
        <w:rPr>
          <w:spacing w:val="-6"/>
        </w:rPr>
        <w:t> </w:t>
      </w:r>
      <w:r>
        <w:rPr/>
        <w:t>water</w:t>
      </w:r>
      <w:r>
        <w:rPr>
          <w:spacing w:val="-7"/>
        </w:rPr>
        <w:t> </w:t>
      </w:r>
      <w:r>
        <w:rPr/>
        <w:t>polluted</w:t>
      </w:r>
      <w:r>
        <w:rPr>
          <w:spacing w:val="-6"/>
        </w:rPr>
        <w:t> </w:t>
      </w:r>
      <w:r>
        <w:rPr/>
        <w:t>with</w:t>
      </w:r>
      <w:r>
        <w:rPr>
          <w:spacing w:val="-6"/>
        </w:rPr>
        <w:t> </w:t>
      </w:r>
      <w:r>
        <w:rPr/>
        <w:t>persistent</w:t>
      </w:r>
      <w:r>
        <w:rPr>
          <w:spacing w:val="-5"/>
        </w:rPr>
        <w:t> </w:t>
      </w:r>
      <w:r>
        <w:rPr/>
        <w:t>chlorinated</w:t>
      </w:r>
      <w:r>
        <w:rPr>
          <w:spacing w:val="-4"/>
        </w:rPr>
        <w:t> </w:t>
      </w:r>
      <w:r>
        <w:rPr/>
        <w:t>hydrocarbons</w:t>
      </w:r>
      <w:r>
        <w:rPr>
          <w:spacing w:val="-4"/>
        </w:rPr>
        <w:t> </w:t>
      </w:r>
      <w:r>
        <w:rPr/>
        <w:t>(Cecchin </w:t>
      </w:r>
      <w:r>
        <w:rPr>
          <w:i/>
        </w:rPr>
        <w:t>et al., </w:t>
      </w:r>
      <w:r>
        <w:rPr/>
        <w:t>2016). The first field trials of zerovalent ironnanoparticles (nZVI) was its use as a filling material in permeable reactive barriers. Several researchers’ have reported the use of zerovalent iron</w:t>
      </w:r>
      <w:r>
        <w:rPr>
          <w:spacing w:val="-6"/>
        </w:rPr>
        <w:t> </w:t>
      </w:r>
      <w:r>
        <w:rPr/>
        <w:t>as</w:t>
      </w:r>
      <w:r>
        <w:rPr>
          <w:spacing w:val="-6"/>
        </w:rPr>
        <w:t> </w:t>
      </w:r>
      <w:r>
        <w:rPr/>
        <w:t>a</w:t>
      </w:r>
      <w:r>
        <w:rPr>
          <w:spacing w:val="-7"/>
        </w:rPr>
        <w:t> </w:t>
      </w:r>
      <w:r>
        <w:rPr/>
        <w:t>reducing</w:t>
      </w:r>
      <w:r>
        <w:rPr>
          <w:spacing w:val="-8"/>
        </w:rPr>
        <w:t> </w:t>
      </w:r>
      <w:r>
        <w:rPr/>
        <w:t>agent</w:t>
      </w:r>
      <w:r>
        <w:rPr>
          <w:spacing w:val="-5"/>
        </w:rPr>
        <w:t> </w:t>
      </w:r>
      <w:r>
        <w:rPr/>
        <w:t>to</w:t>
      </w:r>
      <w:r>
        <w:rPr>
          <w:spacing w:val="-5"/>
        </w:rPr>
        <w:t> </w:t>
      </w:r>
      <w:r>
        <w:rPr/>
        <w:t>clean</w:t>
      </w:r>
      <w:r>
        <w:rPr>
          <w:spacing w:val="-6"/>
        </w:rPr>
        <w:t> </w:t>
      </w:r>
      <w:r>
        <w:rPr/>
        <w:t>up</w:t>
      </w:r>
      <w:r>
        <w:rPr>
          <w:spacing w:val="-6"/>
        </w:rPr>
        <w:t> </w:t>
      </w:r>
      <w:r>
        <w:rPr/>
        <w:t>environment</w:t>
      </w:r>
      <w:r>
        <w:rPr>
          <w:spacing w:val="-5"/>
        </w:rPr>
        <w:t> </w:t>
      </w:r>
      <w:r>
        <w:rPr/>
        <w:t>polluted</w:t>
      </w:r>
      <w:r>
        <w:rPr>
          <w:spacing w:val="-6"/>
        </w:rPr>
        <w:t> </w:t>
      </w:r>
      <w:r>
        <w:rPr/>
        <w:t>with</w:t>
      </w:r>
      <w:r>
        <w:rPr>
          <w:spacing w:val="-5"/>
        </w:rPr>
        <w:t> </w:t>
      </w:r>
      <w:r>
        <w:rPr/>
        <w:t>aromatic</w:t>
      </w:r>
      <w:r>
        <w:rPr>
          <w:spacing w:val="-7"/>
        </w:rPr>
        <w:t> </w:t>
      </w:r>
      <w:r>
        <w:rPr/>
        <w:t>polycyclic</w:t>
      </w:r>
      <w:r>
        <w:rPr>
          <w:spacing w:val="-7"/>
        </w:rPr>
        <w:t> </w:t>
      </w:r>
      <w:r>
        <w:rPr/>
        <w:t>hydrocarbons, polychlorinated biphenyls, herbicides, pesticides and metals. It has been established that the use of zerovalent iron in its nano-size can significantly increase the surface area and reactivity (Sakulchaicharoen </w:t>
      </w:r>
      <w:r>
        <w:rPr>
          <w:i/>
        </w:rPr>
        <w:t>et al</w:t>
      </w:r>
      <w:r>
        <w:rPr/>
        <w:t>., 2010; Cecchin </w:t>
      </w:r>
      <w:r>
        <w:rPr>
          <w:i/>
        </w:rPr>
        <w:t>et al</w:t>
      </w:r>
      <w:r>
        <w:rPr/>
        <w:t>., 2016).</w:t>
      </w:r>
    </w:p>
    <w:p>
      <w:pPr>
        <w:pStyle w:val="BodyText"/>
        <w:spacing w:line="480" w:lineRule="auto" w:before="201"/>
        <w:ind w:left="120" w:right="114"/>
        <w:jc w:val="both"/>
      </w:pPr>
      <w:r>
        <w:rPr/>
        <w:t>Several modifications of surface have been assessed by scientists in the search for preventing particles agglomeration as well as efficient delivery into the soil. Coating of particles using polymeric substances to act as a barrier in preventing particle agglomeration have been reported. Stabilized particles when compared to non stabilized (agglomerated) particles, offer several important advantages. Non stabilized nanoparticles aggregate quickly while stabilized nanoparticles</w:t>
      </w:r>
      <w:r>
        <w:rPr>
          <w:spacing w:val="-5"/>
        </w:rPr>
        <w:t> </w:t>
      </w:r>
      <w:r>
        <w:rPr/>
        <w:t>is</w:t>
      </w:r>
      <w:r>
        <w:rPr>
          <w:spacing w:val="-4"/>
        </w:rPr>
        <w:t> </w:t>
      </w:r>
      <w:r>
        <w:rPr/>
        <w:t>left</w:t>
      </w:r>
      <w:r>
        <w:rPr>
          <w:spacing w:val="-5"/>
        </w:rPr>
        <w:t> </w:t>
      </w:r>
      <w:r>
        <w:rPr/>
        <w:t>in</w:t>
      </w:r>
      <w:r>
        <w:rPr>
          <w:spacing w:val="-4"/>
        </w:rPr>
        <w:t> </w:t>
      </w:r>
      <w:r>
        <w:rPr/>
        <w:t>the</w:t>
      </w:r>
      <w:r>
        <w:rPr>
          <w:spacing w:val="-6"/>
        </w:rPr>
        <w:t> </w:t>
      </w:r>
      <w:r>
        <w:rPr/>
        <w:t>nanoscale</w:t>
      </w:r>
      <w:r>
        <w:rPr>
          <w:spacing w:val="-2"/>
        </w:rPr>
        <w:t> </w:t>
      </w:r>
      <w:r>
        <w:rPr/>
        <w:t>and</w:t>
      </w:r>
      <w:r>
        <w:rPr>
          <w:spacing w:val="-5"/>
        </w:rPr>
        <w:t> </w:t>
      </w:r>
      <w:r>
        <w:rPr/>
        <w:t>are</w:t>
      </w:r>
      <w:r>
        <w:rPr>
          <w:spacing w:val="-7"/>
        </w:rPr>
        <w:t> </w:t>
      </w:r>
      <w:r>
        <w:rPr/>
        <w:t>therefore,</w:t>
      </w:r>
      <w:r>
        <w:rPr>
          <w:spacing w:val="-5"/>
        </w:rPr>
        <w:t> </w:t>
      </w:r>
      <w:r>
        <w:rPr/>
        <w:t>delivered</w:t>
      </w:r>
      <w:r>
        <w:rPr>
          <w:spacing w:val="-3"/>
        </w:rPr>
        <w:t> </w:t>
      </w:r>
      <w:r>
        <w:rPr/>
        <w:t>into</w:t>
      </w:r>
      <w:r>
        <w:rPr>
          <w:spacing w:val="-5"/>
        </w:rPr>
        <w:t> </w:t>
      </w:r>
      <w:r>
        <w:rPr/>
        <w:t>the</w:t>
      </w:r>
      <w:r>
        <w:rPr>
          <w:spacing w:val="-5"/>
        </w:rPr>
        <w:t> </w:t>
      </w:r>
      <w:r>
        <w:rPr/>
        <w:t>soil</w:t>
      </w:r>
      <w:r>
        <w:rPr>
          <w:spacing w:val="-4"/>
        </w:rPr>
        <w:t> </w:t>
      </w:r>
      <w:r>
        <w:rPr/>
        <w:t>sediment.</w:t>
      </w:r>
      <w:r>
        <w:rPr>
          <w:spacing w:val="-5"/>
        </w:rPr>
        <w:t> </w:t>
      </w:r>
      <w:r>
        <w:rPr/>
        <w:t>Stabilized nanoparticles present significant reactivity than non-stabilized equivalents, which lead to more efficient and total dechlorination. The use of stabilizers of different physico-chemical properties (e.g.</w:t>
      </w:r>
      <w:r>
        <w:rPr>
          <w:spacing w:val="9"/>
        </w:rPr>
        <w:t> </w:t>
      </w:r>
      <w:r>
        <w:rPr/>
        <w:t>functionality,</w:t>
      </w:r>
      <w:r>
        <w:rPr>
          <w:spacing w:val="10"/>
        </w:rPr>
        <w:t> </w:t>
      </w:r>
      <w:r>
        <w:rPr/>
        <w:t>molecular</w:t>
      </w:r>
      <w:r>
        <w:rPr>
          <w:spacing w:val="9"/>
        </w:rPr>
        <w:t> </w:t>
      </w:r>
      <w:r>
        <w:rPr/>
        <w:t>weight,</w:t>
      </w:r>
      <w:r>
        <w:rPr>
          <w:spacing w:val="12"/>
        </w:rPr>
        <w:t> </w:t>
      </w:r>
      <w:r>
        <w:rPr/>
        <w:t>degree</w:t>
      </w:r>
      <w:r>
        <w:rPr>
          <w:spacing w:val="16"/>
        </w:rPr>
        <w:t> </w:t>
      </w:r>
      <w:r>
        <w:rPr/>
        <w:t>of</w:t>
      </w:r>
      <w:r>
        <w:rPr>
          <w:spacing w:val="9"/>
        </w:rPr>
        <w:t> </w:t>
      </w:r>
      <w:r>
        <w:rPr/>
        <w:t>substitution,</w:t>
      </w:r>
      <w:r>
        <w:rPr>
          <w:spacing w:val="12"/>
        </w:rPr>
        <w:t> </w:t>
      </w:r>
      <w:r>
        <w:rPr/>
        <w:t>matrix</w:t>
      </w:r>
      <w:r>
        <w:rPr>
          <w:spacing w:val="12"/>
        </w:rPr>
        <w:t> </w:t>
      </w:r>
      <w:r>
        <w:rPr/>
        <w:t>type</w:t>
      </w:r>
      <w:r>
        <w:rPr>
          <w:spacing w:val="11"/>
        </w:rPr>
        <w:t> </w:t>
      </w:r>
      <w:r>
        <w:rPr/>
        <w:t>and</w:t>
      </w:r>
      <w:r>
        <w:rPr>
          <w:spacing w:val="11"/>
        </w:rPr>
        <w:t> </w:t>
      </w:r>
      <w:r>
        <w:rPr/>
        <w:t>viscosity)</w:t>
      </w:r>
      <w:r>
        <w:rPr>
          <w:spacing w:val="12"/>
        </w:rPr>
        <w:t> </w:t>
      </w:r>
      <w:r>
        <w:rPr>
          <w:spacing w:val="-2"/>
        </w:rPr>
        <w:t>enhance</w:t>
      </w:r>
    </w:p>
    <w:p>
      <w:pPr>
        <w:spacing w:after="0" w:line="480" w:lineRule="auto"/>
        <w:jc w:val="both"/>
        <w:sectPr>
          <w:pgSz w:w="12240" w:h="15840"/>
          <w:pgMar w:header="0" w:footer="1015" w:top="1360" w:bottom="1200" w:left="1320" w:right="1320"/>
        </w:sectPr>
      </w:pPr>
    </w:p>
    <w:p>
      <w:pPr>
        <w:pStyle w:val="BodyText"/>
        <w:spacing w:line="482" w:lineRule="auto" w:before="72"/>
        <w:ind w:left="120" w:right="118"/>
        <w:jc w:val="both"/>
      </w:pPr>
      <w:r>
        <w:rPr/>
        <w:t>physical dispersibility, chemical reactivity and longevity of stabilized nanoparticles (Zhao </w:t>
      </w:r>
      <w:r>
        <w:rPr>
          <w:i/>
        </w:rPr>
        <w:t>et al</w:t>
      </w:r>
      <w:r>
        <w:rPr/>
        <w:t>., </w:t>
      </w:r>
      <w:r>
        <w:rPr>
          <w:spacing w:val="-2"/>
        </w:rPr>
        <w:t>2016).</w:t>
      </w:r>
    </w:p>
    <w:p>
      <w:pPr>
        <w:pStyle w:val="Heading2"/>
        <w:numPr>
          <w:ilvl w:val="1"/>
          <w:numId w:val="1"/>
        </w:numPr>
        <w:tabs>
          <w:tab w:pos="841" w:val="left" w:leader="none"/>
        </w:tabs>
        <w:spacing w:line="240" w:lineRule="auto" w:before="199" w:after="0"/>
        <w:ind w:left="840" w:right="0" w:hanging="721"/>
        <w:jc w:val="both"/>
      </w:pPr>
      <w:r>
        <w:rPr/>
        <w:t>Statement</w:t>
      </w:r>
      <w:r>
        <w:rPr>
          <w:spacing w:val="-10"/>
        </w:rPr>
        <w:t> </w:t>
      </w:r>
      <w:r>
        <w:rPr/>
        <w:t>of</w:t>
      </w:r>
      <w:r>
        <w:rPr>
          <w:spacing w:val="-9"/>
        </w:rPr>
        <w:t> </w:t>
      </w:r>
      <w:r>
        <w:rPr/>
        <w:t>Research</w:t>
      </w:r>
      <w:r>
        <w:rPr>
          <w:spacing w:val="-7"/>
        </w:rPr>
        <w:t> </w:t>
      </w:r>
      <w:r>
        <w:rPr>
          <w:spacing w:val="-2"/>
        </w:rPr>
        <w:t>Problem</w:t>
      </w:r>
    </w:p>
    <w:p>
      <w:pPr>
        <w:pStyle w:val="BodyText"/>
        <w:spacing w:before="6"/>
        <w:rPr>
          <w:b/>
          <w:sz w:val="23"/>
        </w:rPr>
      </w:pPr>
    </w:p>
    <w:p>
      <w:pPr>
        <w:pStyle w:val="BodyText"/>
        <w:spacing w:line="480" w:lineRule="auto"/>
        <w:ind w:left="120" w:right="113"/>
        <w:jc w:val="both"/>
      </w:pPr>
      <w:r>
        <w:rPr/>
        <w:t>According to Nwilo and Badejo (2006), about 1,820,410.5 barrels equivalent to (77 %) of oil spilled</w:t>
      </w:r>
      <w:r>
        <w:rPr>
          <w:spacing w:val="-11"/>
        </w:rPr>
        <w:t> </w:t>
      </w:r>
      <w:r>
        <w:rPr/>
        <w:t>between</w:t>
      </w:r>
      <w:r>
        <w:rPr>
          <w:spacing w:val="-11"/>
        </w:rPr>
        <w:t> </w:t>
      </w:r>
      <w:r>
        <w:rPr/>
        <w:t>1976</w:t>
      </w:r>
      <w:r>
        <w:rPr>
          <w:spacing w:val="-11"/>
        </w:rPr>
        <w:t> </w:t>
      </w:r>
      <w:r>
        <w:rPr/>
        <w:t>and</w:t>
      </w:r>
      <w:r>
        <w:rPr>
          <w:spacing w:val="-9"/>
        </w:rPr>
        <w:t> </w:t>
      </w:r>
      <w:r>
        <w:rPr/>
        <w:t>1996</w:t>
      </w:r>
      <w:r>
        <w:rPr>
          <w:spacing w:val="-11"/>
        </w:rPr>
        <w:t> </w:t>
      </w:r>
      <w:r>
        <w:rPr/>
        <w:t>were</w:t>
      </w:r>
      <w:r>
        <w:rPr>
          <w:spacing w:val="-12"/>
        </w:rPr>
        <w:t> </w:t>
      </w:r>
      <w:r>
        <w:rPr/>
        <w:t>not</w:t>
      </w:r>
      <w:r>
        <w:rPr>
          <w:spacing w:val="-10"/>
        </w:rPr>
        <w:t> </w:t>
      </w:r>
      <w:r>
        <w:rPr/>
        <w:t>recovered</w:t>
      </w:r>
      <w:r>
        <w:rPr>
          <w:spacing w:val="-9"/>
        </w:rPr>
        <w:t> </w:t>
      </w:r>
      <w:r>
        <w:rPr/>
        <w:t>and</w:t>
      </w:r>
      <w:r>
        <w:rPr>
          <w:spacing w:val="-8"/>
        </w:rPr>
        <w:t> </w:t>
      </w:r>
      <w:r>
        <w:rPr/>
        <w:t>are</w:t>
      </w:r>
      <w:r>
        <w:rPr>
          <w:spacing w:val="-12"/>
        </w:rPr>
        <w:t> </w:t>
      </w:r>
      <w:r>
        <w:rPr/>
        <w:t>therefore,</w:t>
      </w:r>
      <w:r>
        <w:rPr>
          <w:spacing w:val="-11"/>
        </w:rPr>
        <w:t> </w:t>
      </w:r>
      <w:r>
        <w:rPr/>
        <w:t>left</w:t>
      </w:r>
      <w:r>
        <w:rPr>
          <w:spacing w:val="-11"/>
        </w:rPr>
        <w:t> </w:t>
      </w:r>
      <w:r>
        <w:rPr/>
        <w:t>in</w:t>
      </w:r>
      <w:r>
        <w:rPr>
          <w:spacing w:val="-10"/>
        </w:rPr>
        <w:t> </w:t>
      </w:r>
      <w:r>
        <w:rPr/>
        <w:t>the</w:t>
      </w:r>
      <w:r>
        <w:rPr>
          <w:spacing w:val="-11"/>
        </w:rPr>
        <w:t> </w:t>
      </w:r>
      <w:r>
        <w:rPr/>
        <w:t>environment</w:t>
      </w:r>
      <w:r>
        <w:rPr>
          <w:spacing w:val="-10"/>
        </w:rPr>
        <w:t> </w:t>
      </w:r>
      <w:r>
        <w:rPr/>
        <w:t>while about 549,060 barrels equivalent to 23.17 % of the total oil spilt were recovered. This has led to loss</w:t>
      </w:r>
      <w:r>
        <w:rPr>
          <w:spacing w:val="-1"/>
        </w:rPr>
        <w:t> </w:t>
      </w:r>
      <w:r>
        <w:rPr/>
        <w:t>of</w:t>
      </w:r>
      <w:r>
        <w:rPr>
          <w:spacing w:val="-2"/>
        </w:rPr>
        <w:t> </w:t>
      </w:r>
      <w:r>
        <w:rPr/>
        <w:t>soil</w:t>
      </w:r>
      <w:r>
        <w:rPr>
          <w:spacing w:val="-1"/>
        </w:rPr>
        <w:t> </w:t>
      </w:r>
      <w:r>
        <w:rPr/>
        <w:t>fertility</w:t>
      </w:r>
      <w:r>
        <w:rPr>
          <w:spacing w:val="-9"/>
        </w:rPr>
        <w:t> </w:t>
      </w:r>
      <w:r>
        <w:rPr/>
        <w:t>resulting</w:t>
      </w:r>
      <w:r>
        <w:rPr>
          <w:spacing w:val="-2"/>
        </w:rPr>
        <w:t> </w:t>
      </w:r>
      <w:r>
        <w:rPr/>
        <w:t>from</w:t>
      </w:r>
      <w:r>
        <w:rPr>
          <w:spacing w:val="-1"/>
        </w:rPr>
        <w:t> </w:t>
      </w:r>
      <w:r>
        <w:rPr/>
        <w:t>soil microbes’</w:t>
      </w:r>
      <w:r>
        <w:rPr>
          <w:spacing w:val="-2"/>
        </w:rPr>
        <w:t> </w:t>
      </w:r>
      <w:r>
        <w:rPr/>
        <w:t>destruction,</w:t>
      </w:r>
      <w:r>
        <w:rPr>
          <w:spacing w:val="-1"/>
        </w:rPr>
        <w:t> </w:t>
      </w:r>
      <w:r>
        <w:rPr/>
        <w:t>groundwater pollution,</w:t>
      </w:r>
      <w:r>
        <w:rPr>
          <w:spacing w:val="-1"/>
        </w:rPr>
        <w:t> </w:t>
      </w:r>
      <w:r>
        <w:rPr/>
        <w:t>alteration</w:t>
      </w:r>
      <w:r>
        <w:rPr>
          <w:spacing w:val="-1"/>
        </w:rPr>
        <w:t> </w:t>
      </w:r>
      <w:r>
        <w:rPr/>
        <w:t>of geotechnical properties of the contaminated soil, poisoning of sea foods and other aquacultures, (Ahmadu, 2013; Ejiba </w:t>
      </w:r>
      <w:r>
        <w:rPr>
          <w:i/>
        </w:rPr>
        <w:t>et al</w:t>
      </w:r>
      <w:r>
        <w:rPr/>
        <w:t>., 2016). Contamination of the soils with harmful and persistent compounds constitutes lot of hazards</w:t>
      </w:r>
      <w:r>
        <w:rPr>
          <w:spacing w:val="-1"/>
        </w:rPr>
        <w:t> </w:t>
      </w:r>
      <w:r>
        <w:rPr/>
        <w:t>to human</w:t>
      </w:r>
      <w:r>
        <w:rPr>
          <w:spacing w:val="-1"/>
        </w:rPr>
        <w:t> </w:t>
      </w:r>
      <w:r>
        <w:rPr/>
        <w:t>and the</w:t>
      </w:r>
      <w:r>
        <w:rPr>
          <w:spacing w:val="-1"/>
        </w:rPr>
        <w:t> </w:t>
      </w:r>
      <w:r>
        <w:rPr/>
        <w:t>environment (Cocârtă</w:t>
      </w:r>
      <w:r>
        <w:rPr>
          <w:spacing w:val="-1"/>
        </w:rPr>
        <w:t> </w:t>
      </w:r>
      <w:r>
        <w:rPr>
          <w:i/>
        </w:rPr>
        <w:t>et al</w:t>
      </w:r>
      <w:r>
        <w:rPr/>
        <w:t>., 2017). Apart from the environmental impacts posed by</w:t>
      </w:r>
      <w:r>
        <w:rPr>
          <w:spacing w:val="-3"/>
        </w:rPr>
        <w:t> </w:t>
      </w:r>
      <w:r>
        <w:rPr/>
        <w:t>oil spill, loss of oil, cost of cleanup and compensation, damage to agricultural lands, fishery and wildlife are some economic challenges caused by this spill as well as social impact, which includes conflicts, violence and frustration between communities, leading to tourism reduction and militancy (Baghebo </w:t>
      </w:r>
      <w:r>
        <w:rPr>
          <w:i/>
        </w:rPr>
        <w:t>et al., </w:t>
      </w:r>
      <w:r>
        <w:rPr/>
        <w:t>2012).</w:t>
      </w:r>
    </w:p>
    <w:p>
      <w:pPr>
        <w:pStyle w:val="BodyText"/>
        <w:spacing w:line="480" w:lineRule="auto" w:before="201"/>
        <w:ind w:left="120" w:right="114"/>
        <w:jc w:val="both"/>
      </w:pPr>
      <w:r>
        <w:rPr/>
        <w:t>Crude</w:t>
      </w:r>
      <w:r>
        <w:rPr>
          <w:spacing w:val="-2"/>
        </w:rPr>
        <w:t> </w:t>
      </w:r>
      <w:r>
        <w:rPr/>
        <w:t>oil</w:t>
      </w:r>
      <w:r>
        <w:rPr>
          <w:spacing w:val="-1"/>
        </w:rPr>
        <w:t> </w:t>
      </w:r>
      <w:r>
        <w:rPr/>
        <w:t>contains</w:t>
      </w:r>
      <w:r>
        <w:rPr>
          <w:spacing w:val="-1"/>
        </w:rPr>
        <w:t> </w:t>
      </w:r>
      <w:r>
        <w:rPr/>
        <w:t>polyaromatic</w:t>
      </w:r>
      <w:r>
        <w:rPr>
          <w:spacing w:val="-1"/>
        </w:rPr>
        <w:t> </w:t>
      </w:r>
      <w:r>
        <w:rPr/>
        <w:t>hydrocarbons</w:t>
      </w:r>
      <w:r>
        <w:rPr>
          <w:spacing w:val="-1"/>
        </w:rPr>
        <w:t> </w:t>
      </w:r>
      <w:r>
        <w:rPr/>
        <w:t>(PAHs)</w:t>
      </w:r>
      <w:r>
        <w:rPr>
          <w:spacing w:val="-1"/>
        </w:rPr>
        <w:t> </w:t>
      </w:r>
      <w:r>
        <w:rPr/>
        <w:t>with</w:t>
      </w:r>
      <w:r>
        <w:rPr>
          <w:spacing w:val="-1"/>
        </w:rPr>
        <w:t> </w:t>
      </w:r>
      <w:r>
        <w:rPr/>
        <w:t>possible</w:t>
      </w:r>
      <w:r>
        <w:rPr>
          <w:spacing w:val="-1"/>
        </w:rPr>
        <w:t> </w:t>
      </w:r>
      <w:r>
        <w:rPr/>
        <w:t>mutagenic</w:t>
      </w:r>
      <w:r>
        <w:rPr>
          <w:spacing w:val="-1"/>
        </w:rPr>
        <w:t> </w:t>
      </w:r>
      <w:r>
        <w:rPr/>
        <w:t>and carcinogenic property.</w:t>
      </w:r>
      <w:r>
        <w:rPr>
          <w:spacing w:val="-6"/>
        </w:rPr>
        <w:t> </w:t>
      </w:r>
      <w:r>
        <w:rPr/>
        <w:t>Physical</w:t>
      </w:r>
      <w:r>
        <w:rPr>
          <w:spacing w:val="-5"/>
        </w:rPr>
        <w:t> </w:t>
      </w:r>
      <w:r>
        <w:rPr/>
        <w:t>and</w:t>
      </w:r>
      <w:r>
        <w:rPr>
          <w:spacing w:val="-6"/>
        </w:rPr>
        <w:t> </w:t>
      </w:r>
      <w:r>
        <w:rPr/>
        <w:t>chemical</w:t>
      </w:r>
      <w:r>
        <w:rPr>
          <w:spacing w:val="-5"/>
        </w:rPr>
        <w:t> </w:t>
      </w:r>
      <w:r>
        <w:rPr/>
        <w:t>methods</w:t>
      </w:r>
      <w:r>
        <w:rPr>
          <w:spacing w:val="-6"/>
        </w:rPr>
        <w:t> </w:t>
      </w:r>
      <w:r>
        <w:rPr/>
        <w:t>for</w:t>
      </w:r>
      <w:r>
        <w:rPr>
          <w:spacing w:val="-6"/>
        </w:rPr>
        <w:t> </w:t>
      </w:r>
      <w:r>
        <w:rPr/>
        <w:t>the</w:t>
      </w:r>
      <w:r>
        <w:rPr>
          <w:spacing w:val="-6"/>
        </w:rPr>
        <w:t> </w:t>
      </w:r>
      <w:r>
        <w:rPr/>
        <w:t>removal</w:t>
      </w:r>
      <w:r>
        <w:rPr>
          <w:spacing w:val="-6"/>
        </w:rPr>
        <w:t> </w:t>
      </w:r>
      <w:r>
        <w:rPr/>
        <w:t>and</w:t>
      </w:r>
      <w:r>
        <w:rPr>
          <w:spacing w:val="-6"/>
        </w:rPr>
        <w:t> </w:t>
      </w:r>
      <w:r>
        <w:rPr/>
        <w:t>cleaning</w:t>
      </w:r>
      <w:r>
        <w:rPr>
          <w:spacing w:val="-7"/>
        </w:rPr>
        <w:t> </w:t>
      </w:r>
      <w:r>
        <w:rPr/>
        <w:t>up</w:t>
      </w:r>
      <w:r>
        <w:rPr>
          <w:spacing w:val="-6"/>
        </w:rPr>
        <w:t> </w:t>
      </w:r>
      <w:r>
        <w:rPr/>
        <w:t>of</w:t>
      </w:r>
      <w:r>
        <w:rPr>
          <w:spacing w:val="-4"/>
        </w:rPr>
        <w:t> </w:t>
      </w:r>
      <w:r>
        <w:rPr/>
        <w:t>PAHs</w:t>
      </w:r>
      <w:r>
        <w:rPr>
          <w:spacing w:val="-6"/>
        </w:rPr>
        <w:t> </w:t>
      </w:r>
      <w:r>
        <w:rPr/>
        <w:t>are</w:t>
      </w:r>
      <w:r>
        <w:rPr>
          <w:spacing w:val="-7"/>
        </w:rPr>
        <w:t> </w:t>
      </w:r>
      <w:r>
        <w:rPr/>
        <w:t>expensive, rarely</w:t>
      </w:r>
      <w:r>
        <w:rPr>
          <w:spacing w:val="-15"/>
        </w:rPr>
        <w:t> </w:t>
      </w:r>
      <w:r>
        <w:rPr/>
        <w:t>successful</w:t>
      </w:r>
      <w:r>
        <w:rPr>
          <w:spacing w:val="-11"/>
        </w:rPr>
        <w:t> </w:t>
      </w:r>
      <w:r>
        <w:rPr/>
        <w:t>and</w:t>
      </w:r>
      <w:r>
        <w:rPr>
          <w:spacing w:val="-12"/>
        </w:rPr>
        <w:t> </w:t>
      </w:r>
      <w:r>
        <w:rPr/>
        <w:t>generate</w:t>
      </w:r>
      <w:r>
        <w:rPr>
          <w:spacing w:val="-12"/>
        </w:rPr>
        <w:t> </w:t>
      </w:r>
      <w:r>
        <w:rPr/>
        <w:t>toxic</w:t>
      </w:r>
      <w:r>
        <w:rPr>
          <w:spacing w:val="-12"/>
        </w:rPr>
        <w:t> </w:t>
      </w:r>
      <w:r>
        <w:rPr/>
        <w:t>byproducts.</w:t>
      </w:r>
      <w:r>
        <w:rPr>
          <w:spacing w:val="-12"/>
        </w:rPr>
        <w:t> </w:t>
      </w:r>
      <w:r>
        <w:rPr/>
        <w:t>Synthetic</w:t>
      </w:r>
      <w:r>
        <w:rPr>
          <w:spacing w:val="-12"/>
        </w:rPr>
        <w:t> </w:t>
      </w:r>
      <w:r>
        <w:rPr/>
        <w:t>surfactants</w:t>
      </w:r>
      <w:r>
        <w:rPr>
          <w:spacing w:val="-11"/>
        </w:rPr>
        <w:t> </w:t>
      </w:r>
      <w:r>
        <w:rPr/>
        <w:t>used</w:t>
      </w:r>
      <w:r>
        <w:rPr>
          <w:spacing w:val="-12"/>
        </w:rPr>
        <w:t> </w:t>
      </w:r>
      <w:r>
        <w:rPr/>
        <w:t>in</w:t>
      </w:r>
      <w:r>
        <w:rPr>
          <w:spacing w:val="-11"/>
        </w:rPr>
        <w:t> </w:t>
      </w:r>
      <w:r>
        <w:rPr/>
        <w:t>petroleum</w:t>
      </w:r>
      <w:r>
        <w:rPr>
          <w:spacing w:val="-11"/>
        </w:rPr>
        <w:t> </w:t>
      </w:r>
      <w:r>
        <w:rPr/>
        <w:t>industries for oil cleanup are toxic, unsafe with low degradability, necessitating the need for an alternative method (Guntupalli </w:t>
      </w:r>
      <w:r>
        <w:rPr>
          <w:i/>
        </w:rPr>
        <w:t>et al., </w:t>
      </w:r>
      <w:r>
        <w:rPr/>
        <w:t>2016). The use of single technology to remediate persistent pollutants is costly</w:t>
      </w:r>
      <w:r>
        <w:rPr>
          <w:spacing w:val="-2"/>
        </w:rPr>
        <w:t> </w:t>
      </w:r>
      <w:r>
        <w:rPr/>
        <w:t>and inefficient necessitating</w:t>
      </w:r>
      <w:r>
        <w:rPr>
          <w:spacing w:val="-2"/>
        </w:rPr>
        <w:t> </w:t>
      </w:r>
      <w:r>
        <w:rPr/>
        <w:t>the need to search for and make use of several technologies such as bioremediation and nanoremediation. Thus, this research is to develop technologies to surmount the differences in each of the technologies and make their processes cost effective.</w:t>
      </w:r>
    </w:p>
    <w:p>
      <w:pPr>
        <w:spacing w:after="0" w:line="480" w:lineRule="auto"/>
        <w:jc w:val="both"/>
        <w:sectPr>
          <w:pgSz w:w="12240" w:h="15840"/>
          <w:pgMar w:header="0" w:footer="1015" w:top="1360" w:bottom="1200" w:left="1320" w:right="1320"/>
        </w:sectPr>
      </w:pPr>
    </w:p>
    <w:p>
      <w:pPr>
        <w:pStyle w:val="BodyText"/>
        <w:spacing w:line="480" w:lineRule="auto" w:before="72"/>
        <w:ind w:left="120" w:right="115"/>
        <w:jc w:val="both"/>
      </w:pPr>
      <w:r>
        <w:rPr/>
        <w:t>Physicochemical techniques have been used in synthesis of iron nanoparticles of particular sizes and configurations. These techniques utilise lethal chemicals such as stabilizing agents, non- biodegradable reducing agents or organic solvents which are hazardous to the earth and organic systems</w:t>
      </w:r>
      <w:r>
        <w:rPr>
          <w:spacing w:val="-15"/>
        </w:rPr>
        <w:t> </w:t>
      </w:r>
      <w:r>
        <w:rPr/>
        <w:t>and</w:t>
      </w:r>
      <w:r>
        <w:rPr>
          <w:spacing w:val="-15"/>
        </w:rPr>
        <w:t> </w:t>
      </w:r>
      <w:r>
        <w:rPr/>
        <w:t>are</w:t>
      </w:r>
      <w:r>
        <w:rPr>
          <w:spacing w:val="-15"/>
        </w:rPr>
        <w:t> </w:t>
      </w:r>
      <w:r>
        <w:rPr/>
        <w:t>costly</w:t>
      </w:r>
      <w:r>
        <w:rPr>
          <w:spacing w:val="-15"/>
        </w:rPr>
        <w:t> </w:t>
      </w:r>
      <w:r>
        <w:rPr/>
        <w:t>and</w:t>
      </w:r>
      <w:r>
        <w:rPr>
          <w:spacing w:val="-15"/>
        </w:rPr>
        <w:t> </w:t>
      </w:r>
      <w:r>
        <w:rPr/>
        <w:t>time</w:t>
      </w:r>
      <w:r>
        <w:rPr>
          <w:spacing w:val="-15"/>
        </w:rPr>
        <w:t> </w:t>
      </w:r>
      <w:r>
        <w:rPr/>
        <w:t>consuming</w:t>
      </w:r>
      <w:r>
        <w:rPr>
          <w:spacing w:val="-14"/>
        </w:rPr>
        <w:t> </w:t>
      </w:r>
      <w:r>
        <w:rPr/>
        <w:t>(Wang</w:t>
      </w:r>
      <w:r>
        <w:rPr>
          <w:spacing w:val="-9"/>
        </w:rPr>
        <w:t> </w:t>
      </w:r>
      <w:r>
        <w:rPr>
          <w:i/>
        </w:rPr>
        <w:t>et</w:t>
      </w:r>
      <w:r>
        <w:rPr>
          <w:i/>
          <w:spacing w:val="-14"/>
        </w:rPr>
        <w:t> </w:t>
      </w:r>
      <w:r>
        <w:rPr>
          <w:i/>
        </w:rPr>
        <w:t>al</w:t>
      </w:r>
      <w:r>
        <w:rPr/>
        <w:t>.,</w:t>
      </w:r>
      <w:r>
        <w:rPr>
          <w:spacing w:val="-14"/>
        </w:rPr>
        <w:t> </w:t>
      </w:r>
      <w:r>
        <w:rPr/>
        <w:t>2014).</w:t>
      </w:r>
      <w:r>
        <w:rPr>
          <w:spacing w:val="-14"/>
        </w:rPr>
        <w:t> </w:t>
      </w:r>
      <w:r>
        <w:rPr/>
        <w:t>Therefore,</w:t>
      </w:r>
      <w:r>
        <w:rPr>
          <w:spacing w:val="-14"/>
        </w:rPr>
        <w:t> </w:t>
      </w:r>
      <w:r>
        <w:rPr/>
        <w:t>it</w:t>
      </w:r>
      <w:r>
        <w:rPr>
          <w:spacing w:val="-11"/>
        </w:rPr>
        <w:t> </w:t>
      </w:r>
      <w:r>
        <w:rPr/>
        <w:t>is</w:t>
      </w:r>
      <w:r>
        <w:rPr>
          <w:spacing w:val="-14"/>
        </w:rPr>
        <w:t> </w:t>
      </w:r>
      <w:r>
        <w:rPr/>
        <w:t>necessary</w:t>
      </w:r>
      <w:r>
        <w:rPr>
          <w:spacing w:val="-15"/>
        </w:rPr>
        <w:t> </w:t>
      </w:r>
      <w:r>
        <w:rPr/>
        <w:t>to</w:t>
      </w:r>
      <w:r>
        <w:rPr>
          <w:spacing w:val="-14"/>
        </w:rPr>
        <w:t> </w:t>
      </w:r>
      <w:r>
        <w:rPr/>
        <w:t>search for an alternative and efficient approach to overcome the drawback, resulting in the use of green approach (Campos </w:t>
      </w:r>
      <w:r>
        <w:rPr>
          <w:i/>
        </w:rPr>
        <w:t>et al., </w:t>
      </w:r>
      <w:r>
        <w:rPr/>
        <w:t>2015). Pollution of land, water</w:t>
      </w:r>
      <w:r>
        <w:rPr/>
        <w:t> and</w:t>
      </w:r>
      <w:r>
        <w:rPr/>
        <w:t> air</w:t>
      </w:r>
      <w:r>
        <w:rPr/>
        <w:t> resulting from dumping and burning</w:t>
      </w:r>
      <w:r>
        <w:rPr>
          <w:spacing w:val="-6"/>
        </w:rPr>
        <w:t> </w:t>
      </w:r>
      <w:r>
        <w:rPr/>
        <w:t>of</w:t>
      </w:r>
      <w:r>
        <w:rPr>
          <w:spacing w:val="-2"/>
        </w:rPr>
        <w:t> </w:t>
      </w:r>
      <w:r>
        <w:rPr/>
        <w:t>agro</w:t>
      </w:r>
      <w:r>
        <w:rPr>
          <w:spacing w:val="-3"/>
        </w:rPr>
        <w:t> </w:t>
      </w:r>
      <w:r>
        <w:rPr/>
        <w:t>wastes</w:t>
      </w:r>
      <w:r>
        <w:rPr>
          <w:spacing w:val="-3"/>
        </w:rPr>
        <w:t> </w:t>
      </w:r>
      <w:r>
        <w:rPr/>
        <w:t>have</w:t>
      </w:r>
      <w:r>
        <w:rPr>
          <w:spacing w:val="-4"/>
        </w:rPr>
        <w:t> </w:t>
      </w:r>
      <w:r>
        <w:rPr/>
        <w:t>been</w:t>
      </w:r>
      <w:r>
        <w:rPr>
          <w:spacing w:val="-1"/>
        </w:rPr>
        <w:t> </w:t>
      </w:r>
      <w:r>
        <w:rPr/>
        <w:t>a</w:t>
      </w:r>
      <w:r>
        <w:rPr>
          <w:spacing w:val="-4"/>
        </w:rPr>
        <w:t> </w:t>
      </w:r>
      <w:r>
        <w:rPr/>
        <w:t>major</w:t>
      </w:r>
      <w:r>
        <w:rPr>
          <w:spacing w:val="-4"/>
        </w:rPr>
        <w:t> </w:t>
      </w:r>
      <w:r>
        <w:rPr/>
        <w:t>environmental</w:t>
      </w:r>
      <w:r>
        <w:rPr>
          <w:spacing w:val="-3"/>
        </w:rPr>
        <w:t> </w:t>
      </w:r>
      <w:r>
        <w:rPr/>
        <w:t>problem</w:t>
      </w:r>
      <w:r>
        <w:rPr>
          <w:spacing w:val="-3"/>
        </w:rPr>
        <w:t> </w:t>
      </w:r>
      <w:r>
        <w:rPr/>
        <w:t>(Nagendran,</w:t>
      </w:r>
      <w:r>
        <w:rPr>
          <w:spacing w:val="-3"/>
        </w:rPr>
        <w:t> </w:t>
      </w:r>
      <w:r>
        <w:rPr/>
        <w:t>2011).</w:t>
      </w:r>
      <w:r>
        <w:rPr>
          <w:spacing w:val="-3"/>
        </w:rPr>
        <w:t> </w:t>
      </w:r>
      <w:r>
        <w:rPr/>
        <w:t>When</w:t>
      </w:r>
      <w:r>
        <w:rPr>
          <w:spacing w:val="-3"/>
        </w:rPr>
        <w:t> </w:t>
      </w:r>
      <w:r>
        <w:rPr/>
        <w:t>corn is</w:t>
      </w:r>
      <w:r>
        <w:rPr>
          <w:spacing w:val="-12"/>
        </w:rPr>
        <w:t> </w:t>
      </w:r>
      <w:r>
        <w:rPr/>
        <w:t>harvested</w:t>
      </w:r>
      <w:r>
        <w:rPr>
          <w:spacing w:val="-10"/>
        </w:rPr>
        <w:t> </w:t>
      </w:r>
      <w:r>
        <w:rPr/>
        <w:t>and</w:t>
      </w:r>
      <w:r>
        <w:rPr>
          <w:spacing w:val="-12"/>
        </w:rPr>
        <w:t> </w:t>
      </w:r>
      <w:r>
        <w:rPr/>
        <w:t>consumed,</w:t>
      </w:r>
      <w:r>
        <w:rPr>
          <w:spacing w:val="-12"/>
        </w:rPr>
        <w:t> </w:t>
      </w:r>
      <w:r>
        <w:rPr/>
        <w:t>the</w:t>
      </w:r>
      <w:r>
        <w:rPr>
          <w:spacing w:val="-13"/>
        </w:rPr>
        <w:t> </w:t>
      </w:r>
      <w:r>
        <w:rPr/>
        <w:t>remains</w:t>
      </w:r>
      <w:r>
        <w:rPr>
          <w:spacing w:val="-11"/>
        </w:rPr>
        <w:t> </w:t>
      </w:r>
      <w:r>
        <w:rPr/>
        <w:t>such</w:t>
      </w:r>
      <w:r>
        <w:rPr>
          <w:spacing w:val="-12"/>
        </w:rPr>
        <w:t> </w:t>
      </w:r>
      <w:r>
        <w:rPr/>
        <w:t>as</w:t>
      </w:r>
      <w:r>
        <w:rPr>
          <w:spacing w:val="-10"/>
        </w:rPr>
        <w:t> </w:t>
      </w:r>
      <w:r>
        <w:rPr/>
        <w:t>the</w:t>
      </w:r>
      <w:r>
        <w:rPr>
          <w:spacing w:val="-10"/>
        </w:rPr>
        <w:t> </w:t>
      </w:r>
      <w:r>
        <w:rPr/>
        <w:t>husk,</w:t>
      </w:r>
      <w:r>
        <w:rPr>
          <w:spacing w:val="-12"/>
        </w:rPr>
        <w:t> </w:t>
      </w:r>
      <w:r>
        <w:rPr/>
        <w:t>silk</w:t>
      </w:r>
      <w:r>
        <w:rPr>
          <w:spacing w:val="-12"/>
        </w:rPr>
        <w:t> </w:t>
      </w:r>
      <w:r>
        <w:rPr/>
        <w:t>and</w:t>
      </w:r>
      <w:r>
        <w:rPr>
          <w:spacing w:val="-12"/>
        </w:rPr>
        <w:t> </w:t>
      </w:r>
      <w:r>
        <w:rPr/>
        <w:t>cob</w:t>
      </w:r>
      <w:r>
        <w:rPr>
          <w:spacing w:val="-10"/>
        </w:rPr>
        <w:t> </w:t>
      </w:r>
      <w:r>
        <w:rPr/>
        <w:t>are</w:t>
      </w:r>
      <w:r>
        <w:rPr>
          <w:spacing w:val="-13"/>
        </w:rPr>
        <w:t> </w:t>
      </w:r>
      <w:r>
        <w:rPr/>
        <w:t>discarded</w:t>
      </w:r>
      <w:r>
        <w:rPr>
          <w:spacing w:val="-10"/>
        </w:rPr>
        <w:t> </w:t>
      </w:r>
      <w:r>
        <w:rPr/>
        <w:t>mostly</w:t>
      </w:r>
      <w:r>
        <w:rPr>
          <w:spacing w:val="-15"/>
        </w:rPr>
        <w:t> </w:t>
      </w:r>
      <w:r>
        <w:rPr/>
        <w:t>thrown on the street or dump sites, which cause environmental pollution. When matured plantain plants are harvested, the trunks and other parts are left to decompose or dry</w:t>
      </w:r>
      <w:r>
        <w:rPr>
          <w:spacing w:val="-3"/>
        </w:rPr>
        <w:t> </w:t>
      </w:r>
      <w:r>
        <w:rPr/>
        <w:t>up and later burnt resulting in air pollution.</w:t>
      </w:r>
    </w:p>
    <w:p>
      <w:pPr>
        <w:pStyle w:val="Heading2"/>
        <w:numPr>
          <w:ilvl w:val="1"/>
          <w:numId w:val="1"/>
        </w:numPr>
        <w:tabs>
          <w:tab w:pos="841" w:val="left" w:leader="none"/>
        </w:tabs>
        <w:spacing w:line="240" w:lineRule="auto" w:before="205" w:after="0"/>
        <w:ind w:left="840" w:right="0" w:hanging="721"/>
        <w:jc w:val="both"/>
      </w:pPr>
      <w:r>
        <w:rPr/>
        <w:t>Justification</w:t>
      </w:r>
      <w:r>
        <w:rPr>
          <w:spacing w:val="-6"/>
        </w:rPr>
        <w:t> </w:t>
      </w:r>
      <w:r>
        <w:rPr/>
        <w:t>for</w:t>
      </w:r>
      <w:r>
        <w:rPr>
          <w:spacing w:val="-5"/>
        </w:rPr>
        <w:t> </w:t>
      </w:r>
      <w:r>
        <w:rPr/>
        <w:t>the</w:t>
      </w:r>
      <w:r>
        <w:rPr>
          <w:spacing w:val="-4"/>
        </w:rPr>
        <w:t> </w:t>
      </w:r>
      <w:r>
        <w:rPr>
          <w:spacing w:val="-2"/>
        </w:rPr>
        <w:t>Study</w:t>
      </w:r>
    </w:p>
    <w:p>
      <w:pPr>
        <w:pStyle w:val="BodyText"/>
        <w:spacing w:before="7"/>
        <w:rPr>
          <w:b/>
          <w:sz w:val="23"/>
        </w:rPr>
      </w:pPr>
    </w:p>
    <w:p>
      <w:pPr>
        <w:pStyle w:val="BodyText"/>
        <w:spacing w:line="480" w:lineRule="auto"/>
        <w:ind w:left="120" w:right="115"/>
        <w:jc w:val="both"/>
      </w:pPr>
      <w:r>
        <w:rPr/>
        <w:t>The methods currently in use for the cleanup of oil polluted soils are classified into physical, chemical</w:t>
      </w:r>
      <w:r>
        <w:rPr>
          <w:spacing w:val="-15"/>
        </w:rPr>
        <w:t> </w:t>
      </w:r>
      <w:r>
        <w:rPr/>
        <w:t>and</w:t>
      </w:r>
      <w:r>
        <w:rPr>
          <w:spacing w:val="-15"/>
        </w:rPr>
        <w:t> </w:t>
      </w:r>
      <w:r>
        <w:rPr/>
        <w:t>biological</w:t>
      </w:r>
      <w:r>
        <w:rPr>
          <w:spacing w:val="-15"/>
        </w:rPr>
        <w:t> </w:t>
      </w:r>
      <w:r>
        <w:rPr/>
        <w:t>processes.</w:t>
      </w:r>
      <w:r>
        <w:rPr>
          <w:spacing w:val="-15"/>
        </w:rPr>
        <w:t> </w:t>
      </w:r>
      <w:r>
        <w:rPr/>
        <w:t>However,</w:t>
      </w:r>
      <w:r>
        <w:rPr>
          <w:spacing w:val="-15"/>
        </w:rPr>
        <w:t> </w:t>
      </w:r>
      <w:r>
        <w:rPr/>
        <w:t>physical</w:t>
      </w:r>
      <w:r>
        <w:rPr>
          <w:spacing w:val="-15"/>
        </w:rPr>
        <w:t> </w:t>
      </w:r>
      <w:r>
        <w:rPr/>
        <w:t>and</w:t>
      </w:r>
      <w:r>
        <w:rPr>
          <w:spacing w:val="-15"/>
        </w:rPr>
        <w:t> </w:t>
      </w:r>
      <w:r>
        <w:rPr/>
        <w:t>chemical</w:t>
      </w:r>
      <w:r>
        <w:rPr>
          <w:spacing w:val="-15"/>
        </w:rPr>
        <w:t> </w:t>
      </w:r>
      <w:r>
        <w:rPr/>
        <w:t>methods</w:t>
      </w:r>
      <w:r>
        <w:rPr>
          <w:spacing w:val="-15"/>
        </w:rPr>
        <w:t> </w:t>
      </w:r>
      <w:r>
        <w:rPr/>
        <w:t>are</w:t>
      </w:r>
      <w:r>
        <w:rPr>
          <w:spacing w:val="-15"/>
        </w:rPr>
        <w:t> </w:t>
      </w:r>
      <w:r>
        <w:rPr/>
        <w:t>not</w:t>
      </w:r>
      <w:r>
        <w:rPr>
          <w:spacing w:val="-14"/>
        </w:rPr>
        <w:t> </w:t>
      </w:r>
      <w:r>
        <w:rPr/>
        <w:t>very</w:t>
      </w:r>
      <w:r>
        <w:rPr>
          <w:spacing w:val="-15"/>
        </w:rPr>
        <w:t> </w:t>
      </w:r>
      <w:r>
        <w:rPr/>
        <w:t>effective as biological methods for the treatment of hazardous organic compounds (Patowary</w:t>
      </w:r>
      <w:r>
        <w:rPr>
          <w:spacing w:val="-1"/>
        </w:rPr>
        <w:t> </w:t>
      </w:r>
      <w:r>
        <w:rPr>
          <w:i/>
        </w:rPr>
        <w:t>et al</w:t>
      </w:r>
      <w:r>
        <w:rPr/>
        <w:t>., 2018). Bioremediation</w:t>
      </w:r>
      <w:r>
        <w:rPr>
          <w:spacing w:val="-3"/>
        </w:rPr>
        <w:t> </w:t>
      </w:r>
      <w:r>
        <w:rPr/>
        <w:t>has</w:t>
      </w:r>
      <w:r>
        <w:rPr>
          <w:spacing w:val="-3"/>
        </w:rPr>
        <w:t> </w:t>
      </w:r>
      <w:r>
        <w:rPr/>
        <w:t>been</w:t>
      </w:r>
      <w:r>
        <w:rPr>
          <w:spacing w:val="-3"/>
        </w:rPr>
        <w:t> </w:t>
      </w:r>
      <w:r>
        <w:rPr/>
        <w:t>known</w:t>
      </w:r>
      <w:r>
        <w:rPr>
          <w:spacing w:val="-3"/>
        </w:rPr>
        <w:t> </w:t>
      </w:r>
      <w:r>
        <w:rPr/>
        <w:t>to</w:t>
      </w:r>
      <w:r>
        <w:rPr>
          <w:spacing w:val="-3"/>
        </w:rPr>
        <w:t> </w:t>
      </w:r>
      <w:r>
        <w:rPr/>
        <w:t>be</w:t>
      </w:r>
      <w:r>
        <w:rPr>
          <w:spacing w:val="-4"/>
        </w:rPr>
        <w:t> </w:t>
      </w:r>
      <w:r>
        <w:rPr/>
        <w:t>the</w:t>
      </w:r>
      <w:r>
        <w:rPr>
          <w:spacing w:val="-3"/>
        </w:rPr>
        <w:t> </w:t>
      </w:r>
      <w:r>
        <w:rPr/>
        <w:t>most</w:t>
      </w:r>
      <w:r>
        <w:rPr>
          <w:spacing w:val="-5"/>
        </w:rPr>
        <w:t> </w:t>
      </w:r>
      <w:r>
        <w:rPr/>
        <w:t>promising</w:t>
      </w:r>
      <w:r>
        <w:rPr>
          <w:spacing w:val="-4"/>
        </w:rPr>
        <w:t> </w:t>
      </w:r>
      <w:r>
        <w:rPr/>
        <w:t>approach</w:t>
      </w:r>
      <w:r>
        <w:rPr>
          <w:spacing w:val="-3"/>
        </w:rPr>
        <w:t> </w:t>
      </w:r>
      <w:r>
        <w:rPr/>
        <w:t>because</w:t>
      </w:r>
      <w:r>
        <w:rPr>
          <w:spacing w:val="-2"/>
        </w:rPr>
        <w:t> </w:t>
      </w:r>
      <w:r>
        <w:rPr/>
        <w:t>of</w:t>
      </w:r>
      <w:r>
        <w:rPr>
          <w:spacing w:val="-3"/>
        </w:rPr>
        <w:t> </w:t>
      </w:r>
      <w:r>
        <w:rPr/>
        <w:t>its</w:t>
      </w:r>
      <w:r>
        <w:rPr>
          <w:spacing w:val="-3"/>
        </w:rPr>
        <w:t> </w:t>
      </w:r>
      <w:r>
        <w:rPr/>
        <w:t>low</w:t>
      </w:r>
      <w:r>
        <w:rPr>
          <w:spacing w:val="-6"/>
        </w:rPr>
        <w:t> </w:t>
      </w:r>
      <w:r>
        <w:rPr/>
        <w:t>production cost, safety, pollutants bioavailability</w:t>
      </w:r>
      <w:r>
        <w:rPr>
          <w:spacing w:val="-1"/>
        </w:rPr>
        <w:t> </w:t>
      </w:r>
      <w:r>
        <w:rPr/>
        <w:t>and biodegradability. Bioremediation of the soil refers to a process of degrading organic pollutants by soil microorganisms and the conversion of these pollutants into harmless and non toxic products like methane, water and carbon (iv)oxide </w:t>
      </w:r>
      <w:r>
        <w:rPr>
          <w:spacing w:val="9"/>
        </w:rPr>
        <w:t>(Erdogan </w:t>
      </w:r>
      <w:r>
        <w:rPr/>
        <w:t>and </w:t>
      </w:r>
      <w:r>
        <w:rPr>
          <w:spacing w:val="9"/>
        </w:rPr>
        <w:t>Karaca, 2011).</w:t>
      </w:r>
    </w:p>
    <w:p>
      <w:pPr>
        <w:pStyle w:val="BodyText"/>
        <w:spacing w:line="480" w:lineRule="auto" w:before="200"/>
        <w:ind w:left="120" w:right="116"/>
        <w:jc w:val="both"/>
      </w:pPr>
      <w:r>
        <w:rPr/>
        <w:t>Biosurfactants are known to decrease both surface tension and interfacial tension and form microemulsions,</w:t>
      </w:r>
      <w:r>
        <w:rPr>
          <w:spacing w:val="-6"/>
        </w:rPr>
        <w:t> </w:t>
      </w:r>
      <w:r>
        <w:rPr/>
        <w:t>which</w:t>
      </w:r>
      <w:r>
        <w:rPr>
          <w:spacing w:val="-6"/>
        </w:rPr>
        <w:t> </w:t>
      </w:r>
      <w:r>
        <w:rPr/>
        <w:t>solubilise</w:t>
      </w:r>
      <w:r>
        <w:rPr>
          <w:spacing w:val="-6"/>
        </w:rPr>
        <w:t> </w:t>
      </w:r>
      <w:r>
        <w:rPr/>
        <w:t>hydrocarbons</w:t>
      </w:r>
      <w:r>
        <w:rPr>
          <w:spacing w:val="-6"/>
        </w:rPr>
        <w:t> </w:t>
      </w:r>
      <w:r>
        <w:rPr/>
        <w:t>in</w:t>
      </w:r>
      <w:r>
        <w:rPr>
          <w:spacing w:val="-3"/>
        </w:rPr>
        <w:t> </w:t>
      </w:r>
      <w:r>
        <w:rPr/>
        <w:t>water</w:t>
      </w:r>
      <w:r>
        <w:rPr>
          <w:spacing w:val="-6"/>
        </w:rPr>
        <w:t> </w:t>
      </w:r>
      <w:r>
        <w:rPr/>
        <w:t>(Patowary</w:t>
      </w:r>
      <w:r>
        <w:rPr>
          <w:spacing w:val="-5"/>
        </w:rPr>
        <w:t> </w:t>
      </w:r>
      <w:r>
        <w:rPr>
          <w:i/>
        </w:rPr>
        <w:t>et</w:t>
      </w:r>
      <w:r>
        <w:rPr>
          <w:i/>
          <w:spacing w:val="-5"/>
        </w:rPr>
        <w:t> </w:t>
      </w:r>
      <w:r>
        <w:rPr>
          <w:i/>
        </w:rPr>
        <w:t>al</w:t>
      </w:r>
      <w:r>
        <w:rPr/>
        <w:t>.,</w:t>
      </w:r>
      <w:r>
        <w:rPr>
          <w:spacing w:val="-6"/>
        </w:rPr>
        <w:t> </w:t>
      </w:r>
      <w:r>
        <w:rPr/>
        <w:t>2018).</w:t>
      </w:r>
      <w:r>
        <w:rPr>
          <w:spacing w:val="40"/>
        </w:rPr>
        <w:t> </w:t>
      </w:r>
      <w:r>
        <w:rPr/>
        <w:t>Biosurfactant</w:t>
      </w:r>
      <w:r>
        <w:rPr>
          <w:spacing w:val="-5"/>
        </w:rPr>
        <w:t> </w:t>
      </w:r>
      <w:r>
        <w:rPr/>
        <w:t>is non</w:t>
      </w:r>
      <w:r>
        <w:rPr>
          <w:spacing w:val="69"/>
        </w:rPr>
        <w:t> </w:t>
      </w:r>
      <w:r>
        <w:rPr/>
        <w:t>toxic</w:t>
      </w:r>
      <w:r>
        <w:rPr>
          <w:spacing w:val="69"/>
        </w:rPr>
        <w:t> </w:t>
      </w:r>
      <w:r>
        <w:rPr/>
        <w:t>and</w:t>
      </w:r>
      <w:r>
        <w:rPr>
          <w:spacing w:val="70"/>
        </w:rPr>
        <w:t> </w:t>
      </w:r>
      <w:r>
        <w:rPr/>
        <w:t>biodegrable</w:t>
      </w:r>
      <w:r>
        <w:rPr>
          <w:spacing w:val="71"/>
        </w:rPr>
        <w:t> </w:t>
      </w:r>
      <w:r>
        <w:rPr/>
        <w:t>unlike</w:t>
      </w:r>
      <w:r>
        <w:rPr>
          <w:spacing w:val="69"/>
        </w:rPr>
        <w:t> </w:t>
      </w:r>
      <w:r>
        <w:rPr/>
        <w:t>the</w:t>
      </w:r>
      <w:r>
        <w:rPr>
          <w:spacing w:val="69"/>
        </w:rPr>
        <w:t> </w:t>
      </w:r>
      <w:r>
        <w:rPr/>
        <w:t>chemical</w:t>
      </w:r>
      <w:r>
        <w:rPr>
          <w:spacing w:val="72"/>
        </w:rPr>
        <w:t> </w:t>
      </w:r>
      <w:r>
        <w:rPr/>
        <w:t>surfactants</w:t>
      </w:r>
      <w:r>
        <w:rPr>
          <w:spacing w:val="73"/>
        </w:rPr>
        <w:t> </w:t>
      </w:r>
      <w:r>
        <w:rPr/>
        <w:t>and</w:t>
      </w:r>
      <w:r>
        <w:rPr>
          <w:spacing w:val="69"/>
        </w:rPr>
        <w:t> </w:t>
      </w:r>
      <w:r>
        <w:rPr/>
        <w:t>with</w:t>
      </w:r>
      <w:r>
        <w:rPr>
          <w:spacing w:val="70"/>
        </w:rPr>
        <w:t> </w:t>
      </w:r>
      <w:r>
        <w:rPr/>
        <w:t>the</w:t>
      </w:r>
      <w:r>
        <w:rPr>
          <w:spacing w:val="69"/>
        </w:rPr>
        <w:t> </w:t>
      </w:r>
      <w:r>
        <w:rPr/>
        <w:t>high</w:t>
      </w:r>
      <w:r>
        <w:rPr>
          <w:spacing w:val="70"/>
        </w:rPr>
        <w:t> </w:t>
      </w:r>
      <w:r>
        <w:rPr/>
        <w:t>demand</w:t>
      </w:r>
      <w:r>
        <w:rPr>
          <w:spacing w:val="69"/>
        </w:rPr>
        <w:t> </w:t>
      </w:r>
      <w:r>
        <w:rPr>
          <w:spacing w:val="-5"/>
        </w:rPr>
        <w:t>for</w:t>
      </w:r>
    </w:p>
    <w:p>
      <w:pPr>
        <w:spacing w:after="0" w:line="480" w:lineRule="auto"/>
        <w:jc w:val="both"/>
        <w:sectPr>
          <w:pgSz w:w="12240" w:h="15840"/>
          <w:pgMar w:header="0" w:footer="1015" w:top="1360" w:bottom="1200" w:left="1320" w:right="1320"/>
        </w:sectPr>
      </w:pPr>
    </w:p>
    <w:p>
      <w:pPr>
        <w:pStyle w:val="BodyText"/>
        <w:spacing w:line="480" w:lineRule="auto" w:before="72"/>
        <w:ind w:left="120" w:right="118"/>
        <w:jc w:val="both"/>
      </w:pPr>
      <w:r>
        <w:rPr/>
        <w:t>biosurfactant</w:t>
      </w:r>
      <w:r>
        <w:rPr/>
        <w:t> in</w:t>
      </w:r>
      <w:r>
        <w:rPr/>
        <w:t> petroleum</w:t>
      </w:r>
      <w:r>
        <w:rPr/>
        <w:t> industry,</w:t>
      </w:r>
      <w:r>
        <w:rPr/>
        <w:t> there</w:t>
      </w:r>
      <w:r>
        <w:rPr/>
        <w:t> is need to explore microorganisms for biosurfactant production. Several researches have reported microorganisms from oil polluted sites are able to clean up oil polluted environment utilizing the oil as sole carbon and energy source but with low degradability due to the high recalcitrant and low availability of such organic compounds to microorganisms. However,</w:t>
      </w:r>
      <w:r>
        <w:rPr>
          <w:spacing w:val="-15"/>
        </w:rPr>
        <w:t> </w:t>
      </w:r>
      <w:r>
        <w:rPr/>
        <w:t>biosurfactant</w:t>
      </w:r>
      <w:r>
        <w:rPr>
          <w:spacing w:val="-15"/>
        </w:rPr>
        <w:t> </w:t>
      </w:r>
      <w:r>
        <w:rPr/>
        <w:t>helps</w:t>
      </w:r>
      <w:r>
        <w:rPr>
          <w:spacing w:val="-15"/>
        </w:rPr>
        <w:t> </w:t>
      </w:r>
      <w:r>
        <w:rPr/>
        <w:t>to</w:t>
      </w:r>
      <w:r>
        <w:rPr>
          <w:spacing w:val="-14"/>
        </w:rPr>
        <w:t> </w:t>
      </w:r>
      <w:r>
        <w:rPr/>
        <w:t>speed</w:t>
      </w:r>
      <w:r>
        <w:rPr>
          <w:spacing w:val="-15"/>
        </w:rPr>
        <w:t> </w:t>
      </w:r>
      <w:r>
        <w:rPr/>
        <w:t>up</w:t>
      </w:r>
      <w:r>
        <w:rPr>
          <w:spacing w:val="-15"/>
        </w:rPr>
        <w:t> </w:t>
      </w:r>
      <w:r>
        <w:rPr/>
        <w:t>the</w:t>
      </w:r>
      <w:r>
        <w:rPr>
          <w:spacing w:val="-15"/>
        </w:rPr>
        <w:t> </w:t>
      </w:r>
      <w:r>
        <w:rPr/>
        <w:t>biodegradation</w:t>
      </w:r>
      <w:r>
        <w:rPr>
          <w:spacing w:val="-15"/>
        </w:rPr>
        <w:t> </w:t>
      </w:r>
      <w:r>
        <w:rPr/>
        <w:t>process</w:t>
      </w:r>
      <w:r>
        <w:rPr>
          <w:spacing w:val="-15"/>
        </w:rPr>
        <w:t> </w:t>
      </w:r>
      <w:r>
        <w:rPr/>
        <w:t>by</w:t>
      </w:r>
      <w:r>
        <w:rPr>
          <w:spacing w:val="-15"/>
        </w:rPr>
        <w:t> </w:t>
      </w:r>
      <w:r>
        <w:rPr/>
        <w:t>breaking the oil into microemulsions and increasing the oil bioavailability and biodegradability to microorganisms (Pei </w:t>
      </w:r>
      <w:r>
        <w:rPr>
          <w:i/>
        </w:rPr>
        <w:t>et al</w:t>
      </w:r>
      <w:r>
        <w:rPr/>
        <w:t>., 2010; Patowary </w:t>
      </w:r>
      <w:r>
        <w:rPr>
          <w:i/>
        </w:rPr>
        <w:t>et al</w:t>
      </w:r>
      <w:r>
        <w:rPr/>
        <w:t>., 2018).</w:t>
      </w:r>
    </w:p>
    <w:p>
      <w:pPr>
        <w:pStyle w:val="BodyText"/>
        <w:spacing w:before="11"/>
        <w:rPr>
          <w:sz w:val="20"/>
        </w:rPr>
      </w:pPr>
    </w:p>
    <w:p>
      <w:pPr>
        <w:pStyle w:val="BodyText"/>
        <w:spacing w:line="480" w:lineRule="auto"/>
        <w:ind w:left="120" w:right="116"/>
        <w:jc w:val="both"/>
      </w:pPr>
      <w:r>
        <w:rPr/>
        <w:t>The main limitation of using biosurfactants is their low penetration in soil interface. The use of biosurfactants</w:t>
      </w:r>
      <w:r>
        <w:rPr>
          <w:spacing w:val="40"/>
        </w:rPr>
        <w:t> </w:t>
      </w:r>
      <w:r>
        <w:rPr/>
        <w:t>together with iron nanoparticles is a more efficient approach since nanoparticles have</w:t>
      </w:r>
      <w:r>
        <w:rPr>
          <w:spacing w:val="-15"/>
        </w:rPr>
        <w:t> </w:t>
      </w:r>
      <w:r>
        <w:rPr/>
        <w:t>the</w:t>
      </w:r>
      <w:r>
        <w:rPr>
          <w:spacing w:val="-15"/>
        </w:rPr>
        <w:t> </w:t>
      </w:r>
      <w:r>
        <w:rPr/>
        <w:t>capacity</w:t>
      </w:r>
      <w:r>
        <w:rPr>
          <w:spacing w:val="-15"/>
        </w:rPr>
        <w:t> </w:t>
      </w:r>
      <w:r>
        <w:rPr/>
        <w:t>to</w:t>
      </w:r>
      <w:r>
        <w:rPr>
          <w:spacing w:val="-15"/>
        </w:rPr>
        <w:t> </w:t>
      </w:r>
      <w:r>
        <w:rPr/>
        <w:t>act</w:t>
      </w:r>
      <w:r>
        <w:rPr>
          <w:spacing w:val="-15"/>
        </w:rPr>
        <w:t> </w:t>
      </w:r>
      <w:r>
        <w:rPr/>
        <w:t>as</w:t>
      </w:r>
      <w:r>
        <w:rPr>
          <w:spacing w:val="-13"/>
        </w:rPr>
        <w:t> </w:t>
      </w:r>
      <w:r>
        <w:rPr/>
        <w:t>carrier</w:t>
      </w:r>
      <w:r>
        <w:rPr>
          <w:spacing w:val="-14"/>
        </w:rPr>
        <w:t> </w:t>
      </w:r>
      <w:r>
        <w:rPr/>
        <w:t>of</w:t>
      </w:r>
      <w:r>
        <w:rPr>
          <w:spacing w:val="-15"/>
        </w:rPr>
        <w:t> </w:t>
      </w:r>
      <w:r>
        <w:rPr/>
        <w:t>larger</w:t>
      </w:r>
      <w:r>
        <w:rPr>
          <w:spacing w:val="-15"/>
        </w:rPr>
        <w:t> </w:t>
      </w:r>
      <w:r>
        <w:rPr/>
        <w:t>molecules</w:t>
      </w:r>
      <w:r>
        <w:rPr>
          <w:spacing w:val="-14"/>
        </w:rPr>
        <w:t> </w:t>
      </w:r>
      <w:r>
        <w:rPr/>
        <w:t>and</w:t>
      </w:r>
      <w:r>
        <w:rPr>
          <w:spacing w:val="-14"/>
        </w:rPr>
        <w:t> </w:t>
      </w:r>
      <w:r>
        <w:rPr/>
        <w:t>penetrate</w:t>
      </w:r>
      <w:r>
        <w:rPr>
          <w:spacing w:val="-15"/>
        </w:rPr>
        <w:t> </w:t>
      </w:r>
      <w:r>
        <w:rPr/>
        <w:t>tiny</w:t>
      </w:r>
      <w:r>
        <w:rPr>
          <w:spacing w:val="-15"/>
        </w:rPr>
        <w:t> </w:t>
      </w:r>
      <w:r>
        <w:rPr/>
        <w:t>pores</w:t>
      </w:r>
      <w:r>
        <w:rPr>
          <w:spacing w:val="-14"/>
        </w:rPr>
        <w:t> </w:t>
      </w:r>
      <w:r>
        <w:rPr/>
        <w:t>in</w:t>
      </w:r>
      <w:r>
        <w:rPr>
          <w:spacing w:val="-14"/>
        </w:rPr>
        <w:t> </w:t>
      </w:r>
      <w:r>
        <w:rPr/>
        <w:t>the</w:t>
      </w:r>
      <w:r>
        <w:rPr>
          <w:spacing w:val="-15"/>
        </w:rPr>
        <w:t> </w:t>
      </w:r>
      <w:r>
        <w:rPr/>
        <w:t>soil</w:t>
      </w:r>
      <w:r>
        <w:rPr>
          <w:spacing w:val="-14"/>
        </w:rPr>
        <w:t> </w:t>
      </w:r>
      <w:r>
        <w:rPr/>
        <w:t>subsurface and have been reported to remove hydrocarbon pollutants through adsorption, chemical modification and facilitating microbial cleanup of pollutants either by promoting</w:t>
      </w:r>
      <w:r>
        <w:rPr>
          <w:spacing w:val="40"/>
        </w:rPr>
        <w:t> </w:t>
      </w:r>
      <w:r>
        <w:rPr/>
        <w:t>microbial growth,</w:t>
      </w:r>
      <w:r>
        <w:rPr>
          <w:spacing w:val="40"/>
        </w:rPr>
        <w:t> </w:t>
      </w:r>
      <w:r>
        <w:rPr/>
        <w:t>immobilizing the agent of remediation</w:t>
      </w:r>
      <w:r>
        <w:rPr>
          <w:spacing w:val="40"/>
        </w:rPr>
        <w:t> </w:t>
      </w:r>
      <w:r>
        <w:rPr/>
        <w:t>or by enhancing microbes to produce enzymes involved in bioremediation (Kumari and Singh, 2016). Among other nanoparticles, iron oxide nanopaticles have been reported to be very effective in removing of a wide variety of pollutants and safe (Machado </w:t>
      </w:r>
      <w:r>
        <w:rPr>
          <w:i/>
        </w:rPr>
        <w:t>et al</w:t>
      </w:r>
      <w:r>
        <w:rPr/>
        <w:t>., 2015; Cecchin </w:t>
      </w:r>
      <w:r>
        <w:rPr>
          <w:i/>
        </w:rPr>
        <w:t>et al., </w:t>
      </w:r>
      <w:r>
        <w:rPr/>
        <w:t>2017).</w:t>
      </w:r>
    </w:p>
    <w:p>
      <w:pPr>
        <w:pStyle w:val="BodyText"/>
        <w:spacing w:line="480" w:lineRule="auto" w:before="200"/>
        <w:ind w:left="120" w:right="117"/>
        <w:jc w:val="both"/>
      </w:pPr>
      <w:r>
        <w:rPr/>
        <w:t>Biological</w:t>
      </w:r>
      <w:r>
        <w:rPr>
          <w:spacing w:val="-14"/>
        </w:rPr>
        <w:t> </w:t>
      </w:r>
      <w:r>
        <w:rPr/>
        <w:t>method</w:t>
      </w:r>
      <w:r>
        <w:rPr>
          <w:spacing w:val="-14"/>
        </w:rPr>
        <w:t> </w:t>
      </w:r>
      <w:r>
        <w:rPr/>
        <w:t>is</w:t>
      </w:r>
      <w:r>
        <w:rPr>
          <w:spacing w:val="-13"/>
        </w:rPr>
        <w:t> </w:t>
      </w:r>
      <w:r>
        <w:rPr/>
        <w:t>regarded</w:t>
      </w:r>
      <w:r>
        <w:rPr>
          <w:spacing w:val="-14"/>
        </w:rPr>
        <w:t> </w:t>
      </w:r>
      <w:r>
        <w:rPr/>
        <w:t>as</w:t>
      </w:r>
      <w:r>
        <w:rPr>
          <w:spacing w:val="-14"/>
        </w:rPr>
        <w:t> </w:t>
      </w:r>
      <w:r>
        <w:rPr/>
        <w:t>an</w:t>
      </w:r>
      <w:r>
        <w:rPr>
          <w:spacing w:val="-10"/>
        </w:rPr>
        <w:t> </w:t>
      </w:r>
      <w:r>
        <w:rPr/>
        <w:t>effective</w:t>
      </w:r>
      <w:r>
        <w:rPr>
          <w:spacing w:val="-13"/>
        </w:rPr>
        <w:t> </w:t>
      </w:r>
      <w:r>
        <w:rPr/>
        <w:t>green</w:t>
      </w:r>
      <w:r>
        <w:rPr>
          <w:spacing w:val="-12"/>
        </w:rPr>
        <w:t> </w:t>
      </w:r>
      <w:r>
        <w:rPr/>
        <w:t>approach</w:t>
      </w:r>
      <w:r>
        <w:rPr>
          <w:spacing w:val="-10"/>
        </w:rPr>
        <w:t> </w:t>
      </w:r>
      <w:r>
        <w:rPr/>
        <w:t>for</w:t>
      </w:r>
      <w:r>
        <w:rPr>
          <w:spacing w:val="-15"/>
        </w:rPr>
        <w:t> </w:t>
      </w:r>
      <w:r>
        <w:rPr/>
        <w:t>nanoparticles</w:t>
      </w:r>
      <w:r>
        <w:rPr>
          <w:spacing w:val="-14"/>
        </w:rPr>
        <w:t> </w:t>
      </w:r>
      <w:r>
        <w:rPr/>
        <w:t>production</w:t>
      </w:r>
      <w:r>
        <w:rPr>
          <w:spacing w:val="-14"/>
        </w:rPr>
        <w:t> </w:t>
      </w:r>
      <w:r>
        <w:rPr/>
        <w:t>because it is simple, cheap, eco-friendly, requires short reaction time and result in more stable nanomaterials compare to physico-chemical approaches. Plants</w:t>
      </w:r>
      <w:r>
        <w:rPr/>
        <w:t> materials used for reduction, capping and stabilization of nanoparticles are in abundance (Machado </w:t>
      </w:r>
      <w:r>
        <w:rPr>
          <w:i/>
        </w:rPr>
        <w:t>et al</w:t>
      </w:r>
      <w:r>
        <w:rPr/>
        <w:t>., 2015). Therefore, corn</w:t>
      </w:r>
      <w:r>
        <w:rPr>
          <w:spacing w:val="-3"/>
        </w:rPr>
        <w:t> </w:t>
      </w:r>
      <w:r>
        <w:rPr/>
        <w:t>silk</w:t>
      </w:r>
      <w:r>
        <w:rPr>
          <w:spacing w:val="-3"/>
        </w:rPr>
        <w:t> </w:t>
      </w:r>
      <w:r>
        <w:rPr/>
        <w:t>extract</w:t>
      </w:r>
      <w:r>
        <w:rPr>
          <w:spacing w:val="-3"/>
        </w:rPr>
        <w:t> </w:t>
      </w:r>
      <w:r>
        <w:rPr/>
        <w:t>could</w:t>
      </w:r>
      <w:r>
        <w:rPr>
          <w:spacing w:val="-3"/>
        </w:rPr>
        <w:t> </w:t>
      </w:r>
      <w:r>
        <w:rPr/>
        <w:t>be</w:t>
      </w:r>
      <w:r>
        <w:rPr>
          <w:spacing w:val="-2"/>
        </w:rPr>
        <w:t> </w:t>
      </w:r>
      <w:r>
        <w:rPr/>
        <w:t>a</w:t>
      </w:r>
      <w:r>
        <w:rPr>
          <w:spacing w:val="-2"/>
        </w:rPr>
        <w:t> </w:t>
      </w:r>
      <w:r>
        <w:rPr/>
        <w:t>good</w:t>
      </w:r>
      <w:r>
        <w:rPr>
          <w:spacing w:val="-2"/>
        </w:rPr>
        <w:t> </w:t>
      </w:r>
      <w:r>
        <w:rPr/>
        <w:t>biological</w:t>
      </w:r>
      <w:r>
        <w:rPr>
          <w:spacing w:val="-3"/>
        </w:rPr>
        <w:t> </w:t>
      </w:r>
      <w:r>
        <w:rPr/>
        <w:t>agent</w:t>
      </w:r>
      <w:r>
        <w:rPr>
          <w:spacing w:val="-1"/>
        </w:rPr>
        <w:t> </w:t>
      </w:r>
      <w:r>
        <w:rPr/>
        <w:t>for</w:t>
      </w:r>
      <w:r>
        <w:rPr>
          <w:spacing w:val="-3"/>
        </w:rPr>
        <w:t> </w:t>
      </w:r>
      <w:r>
        <w:rPr/>
        <w:t>iron</w:t>
      </w:r>
      <w:r>
        <w:rPr>
          <w:spacing w:val="-3"/>
        </w:rPr>
        <w:t> </w:t>
      </w:r>
      <w:r>
        <w:rPr/>
        <w:t>oxide</w:t>
      </w:r>
      <w:r>
        <w:rPr>
          <w:spacing w:val="-3"/>
        </w:rPr>
        <w:t> </w:t>
      </w:r>
      <w:r>
        <w:rPr/>
        <w:t>nanoparticles</w:t>
      </w:r>
      <w:r>
        <w:rPr>
          <w:spacing w:val="-3"/>
        </w:rPr>
        <w:t> </w:t>
      </w:r>
      <w:r>
        <w:rPr/>
        <w:t>production,</w:t>
      </w:r>
      <w:r>
        <w:rPr>
          <w:spacing w:val="-3"/>
        </w:rPr>
        <w:t> </w:t>
      </w:r>
      <w:r>
        <w:rPr/>
        <w:t>since</w:t>
      </w:r>
      <w:r>
        <w:rPr>
          <w:spacing w:val="-5"/>
        </w:rPr>
        <w:t> </w:t>
      </w:r>
      <w:r>
        <w:rPr/>
        <w:t>it contains polyphenolic compounds and acts as antioxidant.</w:t>
      </w:r>
    </w:p>
    <w:p>
      <w:pPr>
        <w:spacing w:after="0" w:line="480" w:lineRule="auto"/>
        <w:jc w:val="both"/>
        <w:sectPr>
          <w:pgSz w:w="12240" w:h="15840"/>
          <w:pgMar w:header="0" w:footer="1015" w:top="1360" w:bottom="1200" w:left="1320" w:right="1320"/>
        </w:sectPr>
      </w:pPr>
    </w:p>
    <w:p>
      <w:pPr>
        <w:pStyle w:val="BodyText"/>
        <w:spacing w:line="480" w:lineRule="auto" w:before="72"/>
        <w:ind w:left="120" w:right="113"/>
        <w:jc w:val="both"/>
      </w:pPr>
      <w:r>
        <w:rPr/>
        <w:t>Several</w:t>
      </w:r>
      <w:r>
        <w:rPr>
          <w:spacing w:val="-7"/>
        </w:rPr>
        <w:t> </w:t>
      </w:r>
      <w:r>
        <w:rPr/>
        <w:t>reports</w:t>
      </w:r>
      <w:r>
        <w:rPr>
          <w:spacing w:val="-8"/>
        </w:rPr>
        <w:t> </w:t>
      </w:r>
      <w:r>
        <w:rPr/>
        <w:t>have</w:t>
      </w:r>
      <w:r>
        <w:rPr>
          <w:spacing w:val="-8"/>
        </w:rPr>
        <w:t> </w:t>
      </w:r>
      <w:r>
        <w:rPr/>
        <w:t>shown</w:t>
      </w:r>
      <w:r>
        <w:rPr>
          <w:spacing w:val="-10"/>
        </w:rPr>
        <w:t> </w:t>
      </w:r>
      <w:r>
        <w:rPr/>
        <w:t>that</w:t>
      </w:r>
      <w:r>
        <w:rPr>
          <w:spacing w:val="-10"/>
        </w:rPr>
        <w:t> </w:t>
      </w:r>
      <w:r>
        <w:rPr/>
        <w:t>the</w:t>
      </w:r>
      <w:r>
        <w:rPr>
          <w:spacing w:val="-8"/>
        </w:rPr>
        <w:t> </w:t>
      </w:r>
      <w:r>
        <w:rPr/>
        <w:t>use</w:t>
      </w:r>
      <w:r>
        <w:rPr>
          <w:spacing w:val="-8"/>
        </w:rPr>
        <w:t> </w:t>
      </w:r>
      <w:r>
        <w:rPr/>
        <w:t>of</w:t>
      </w:r>
      <w:r>
        <w:rPr>
          <w:spacing w:val="-10"/>
        </w:rPr>
        <w:t> </w:t>
      </w:r>
      <w:r>
        <w:rPr/>
        <w:t>biochar</w:t>
      </w:r>
      <w:r>
        <w:rPr>
          <w:spacing w:val="-8"/>
        </w:rPr>
        <w:t> </w:t>
      </w:r>
      <w:r>
        <w:rPr/>
        <w:t>is</w:t>
      </w:r>
      <w:r>
        <w:rPr>
          <w:spacing w:val="-9"/>
        </w:rPr>
        <w:t> </w:t>
      </w:r>
      <w:r>
        <w:rPr/>
        <w:t>very</w:t>
      </w:r>
      <w:r>
        <w:rPr>
          <w:spacing w:val="-11"/>
        </w:rPr>
        <w:t> </w:t>
      </w:r>
      <w:r>
        <w:rPr/>
        <w:t>useful</w:t>
      </w:r>
      <w:r>
        <w:rPr>
          <w:spacing w:val="-8"/>
        </w:rPr>
        <w:t> </w:t>
      </w:r>
      <w:r>
        <w:rPr/>
        <w:t>in</w:t>
      </w:r>
      <w:r>
        <w:rPr>
          <w:spacing w:val="-9"/>
        </w:rPr>
        <w:t> </w:t>
      </w:r>
      <w:r>
        <w:rPr/>
        <w:t>improving</w:t>
      </w:r>
      <w:r>
        <w:rPr>
          <w:spacing w:val="-12"/>
        </w:rPr>
        <w:t> </w:t>
      </w:r>
      <w:r>
        <w:rPr/>
        <w:t>soil</w:t>
      </w:r>
      <w:r>
        <w:rPr>
          <w:spacing w:val="-9"/>
        </w:rPr>
        <w:t> </w:t>
      </w:r>
      <w:r>
        <w:rPr/>
        <w:t>organic</w:t>
      </w:r>
      <w:r>
        <w:rPr>
          <w:spacing w:val="-8"/>
        </w:rPr>
        <w:t> </w:t>
      </w:r>
      <w:r>
        <w:rPr/>
        <w:t>carbon, water holding capacity, increasing microbial population size and diversity, decreasing nutrient to the</w:t>
      </w:r>
      <w:r>
        <w:rPr>
          <w:spacing w:val="80"/>
        </w:rPr>
        <w:t> </w:t>
      </w:r>
      <w:r>
        <w:rPr/>
        <w:t>groundwater,</w:t>
      </w:r>
      <w:r>
        <w:rPr>
          <w:spacing w:val="80"/>
        </w:rPr>
        <w:t> </w:t>
      </w:r>
      <w:r>
        <w:rPr/>
        <w:t>availability</w:t>
      </w:r>
      <w:r>
        <w:rPr>
          <w:spacing w:val="80"/>
        </w:rPr>
        <w:t> </w:t>
      </w:r>
      <w:r>
        <w:rPr/>
        <w:t>and</w:t>
      </w:r>
      <w:r>
        <w:rPr>
          <w:spacing w:val="80"/>
        </w:rPr>
        <w:t> </w:t>
      </w:r>
      <w:r>
        <w:rPr/>
        <w:t>retention</w:t>
      </w:r>
      <w:r>
        <w:rPr>
          <w:spacing w:val="80"/>
        </w:rPr>
        <w:t> </w:t>
      </w:r>
      <w:r>
        <w:rPr/>
        <w:t>of</w:t>
      </w:r>
      <w:r>
        <w:rPr>
          <w:spacing w:val="80"/>
        </w:rPr>
        <w:t> </w:t>
      </w:r>
      <w:r>
        <w:rPr/>
        <w:t>nutrients,</w:t>
      </w:r>
      <w:r>
        <w:rPr>
          <w:spacing w:val="80"/>
        </w:rPr>
        <w:t> </w:t>
      </w:r>
      <w:r>
        <w:rPr/>
        <w:t>increased</w:t>
      </w:r>
      <w:r>
        <w:rPr>
          <w:spacing w:val="80"/>
        </w:rPr>
        <w:t> </w:t>
      </w:r>
      <w:r>
        <w:rPr/>
        <w:t>in</w:t>
      </w:r>
      <w:r>
        <w:rPr>
          <w:spacing w:val="80"/>
        </w:rPr>
        <w:t> </w:t>
      </w:r>
      <w:r>
        <w:rPr/>
        <w:t>soil</w:t>
      </w:r>
      <w:r>
        <w:rPr>
          <w:spacing w:val="80"/>
        </w:rPr>
        <w:t> </w:t>
      </w:r>
      <w:r>
        <w:rPr/>
        <w:t>aeration</w:t>
      </w:r>
      <w:r>
        <w:rPr>
          <w:spacing w:val="80"/>
        </w:rPr>
        <w:t> </w:t>
      </w:r>
      <w:r>
        <w:rPr/>
        <w:t>and pH.</w:t>
      </w:r>
      <w:r>
        <w:rPr>
          <w:spacing w:val="80"/>
        </w:rPr>
        <w:t> </w:t>
      </w:r>
      <w:r>
        <w:rPr/>
        <w:t>Therefore, use of biosurfactant, iron oxide nanoparticles and biochar are far more effective bioremediation strategy of petroleum polluted soil.</w:t>
      </w:r>
      <w:r>
        <w:rPr>
          <w:spacing w:val="40"/>
        </w:rPr>
        <w:t> </w:t>
      </w:r>
      <w:r>
        <w:rPr/>
        <w:t>Corn silk and plantain trunk are regarded as agricultural waste and use of these wastes in the synthesis of nanoparticles and biochar could be considered as waste management process; a beneficial way of managing agro wastes in the </w:t>
      </w:r>
      <w:r>
        <w:rPr>
          <w:spacing w:val="-2"/>
        </w:rPr>
        <w:t>environment.</w:t>
      </w:r>
    </w:p>
    <w:p>
      <w:pPr>
        <w:pStyle w:val="Heading2"/>
        <w:numPr>
          <w:ilvl w:val="1"/>
          <w:numId w:val="1"/>
        </w:numPr>
        <w:tabs>
          <w:tab w:pos="841" w:val="left" w:leader="none"/>
        </w:tabs>
        <w:spacing w:line="240" w:lineRule="auto" w:before="205" w:after="0"/>
        <w:ind w:left="840" w:right="0" w:hanging="721"/>
        <w:jc w:val="both"/>
      </w:pPr>
      <w:r>
        <w:rPr/>
        <w:t>Aim</w:t>
      </w:r>
      <w:r>
        <w:rPr>
          <w:spacing w:val="-8"/>
        </w:rPr>
        <w:t> </w:t>
      </w:r>
      <w:r>
        <w:rPr/>
        <w:t>and</w:t>
      </w:r>
      <w:r>
        <w:rPr>
          <w:spacing w:val="-4"/>
        </w:rPr>
        <w:t> </w:t>
      </w:r>
      <w:r>
        <w:rPr/>
        <w:t>Objectives</w:t>
      </w:r>
      <w:r>
        <w:rPr>
          <w:spacing w:val="-4"/>
        </w:rPr>
        <w:t> </w:t>
      </w:r>
      <w:r>
        <w:rPr/>
        <w:t>of</w:t>
      </w:r>
      <w:r>
        <w:rPr>
          <w:spacing w:val="-3"/>
        </w:rPr>
        <w:t> </w:t>
      </w:r>
      <w:r>
        <w:rPr/>
        <w:t>the</w:t>
      </w:r>
      <w:r>
        <w:rPr>
          <w:spacing w:val="-4"/>
        </w:rPr>
        <w:t> </w:t>
      </w:r>
      <w:r>
        <w:rPr>
          <w:spacing w:val="-2"/>
        </w:rPr>
        <w:t>Study</w:t>
      </w:r>
    </w:p>
    <w:p>
      <w:pPr>
        <w:pStyle w:val="BodyText"/>
        <w:spacing w:before="7"/>
        <w:rPr>
          <w:b/>
          <w:sz w:val="23"/>
        </w:rPr>
      </w:pPr>
    </w:p>
    <w:p>
      <w:pPr>
        <w:pStyle w:val="ListParagraph"/>
        <w:numPr>
          <w:ilvl w:val="2"/>
          <w:numId w:val="1"/>
        </w:numPr>
        <w:tabs>
          <w:tab w:pos="841" w:val="left" w:leader="none"/>
        </w:tabs>
        <w:spacing w:line="482" w:lineRule="auto" w:before="0" w:after="0"/>
        <w:ind w:left="120" w:right="115" w:firstLine="0"/>
        <w:jc w:val="both"/>
        <w:rPr>
          <w:sz w:val="24"/>
        </w:rPr>
      </w:pPr>
      <w:r>
        <w:rPr>
          <w:b/>
          <w:sz w:val="24"/>
        </w:rPr>
        <w:t>Aim:</w:t>
      </w:r>
      <w:r>
        <w:rPr>
          <w:b/>
          <w:spacing w:val="-7"/>
          <w:sz w:val="24"/>
        </w:rPr>
        <w:t> </w:t>
      </w:r>
      <w:r>
        <w:rPr>
          <w:sz w:val="24"/>
        </w:rPr>
        <w:t>The</w:t>
      </w:r>
      <w:r>
        <w:rPr>
          <w:spacing w:val="-7"/>
          <w:sz w:val="24"/>
        </w:rPr>
        <w:t> </w:t>
      </w:r>
      <w:r>
        <w:rPr>
          <w:sz w:val="24"/>
        </w:rPr>
        <w:t>aim</w:t>
      </w:r>
      <w:r>
        <w:rPr>
          <w:spacing w:val="-5"/>
          <w:sz w:val="24"/>
        </w:rPr>
        <w:t> </w:t>
      </w:r>
      <w:r>
        <w:rPr>
          <w:sz w:val="24"/>
        </w:rPr>
        <w:t>of</w:t>
      </w:r>
      <w:r>
        <w:rPr>
          <w:spacing w:val="-7"/>
          <w:sz w:val="24"/>
        </w:rPr>
        <w:t> </w:t>
      </w:r>
      <w:r>
        <w:rPr>
          <w:sz w:val="24"/>
        </w:rPr>
        <w:t>this</w:t>
      </w:r>
      <w:r>
        <w:rPr>
          <w:spacing w:val="-6"/>
          <w:sz w:val="24"/>
        </w:rPr>
        <w:t> </w:t>
      </w:r>
      <w:r>
        <w:rPr>
          <w:sz w:val="24"/>
        </w:rPr>
        <w:t>study</w:t>
      </w:r>
      <w:r>
        <w:rPr>
          <w:spacing w:val="-11"/>
          <w:sz w:val="24"/>
        </w:rPr>
        <w:t> </w:t>
      </w:r>
      <w:r>
        <w:rPr>
          <w:sz w:val="24"/>
        </w:rPr>
        <w:t>was</w:t>
      </w:r>
      <w:r>
        <w:rPr>
          <w:spacing w:val="-6"/>
          <w:sz w:val="24"/>
        </w:rPr>
        <w:t> </w:t>
      </w:r>
      <w:r>
        <w:rPr>
          <w:sz w:val="24"/>
        </w:rPr>
        <w:t>to</w:t>
      </w:r>
      <w:r>
        <w:rPr>
          <w:spacing w:val="-5"/>
          <w:sz w:val="24"/>
        </w:rPr>
        <w:t> </w:t>
      </w:r>
      <w:r>
        <w:rPr>
          <w:sz w:val="24"/>
        </w:rPr>
        <w:t>develop</w:t>
      </w:r>
      <w:r>
        <w:rPr>
          <w:spacing w:val="-5"/>
          <w:sz w:val="24"/>
        </w:rPr>
        <w:t> </w:t>
      </w:r>
      <w:r>
        <w:rPr>
          <w:sz w:val="24"/>
        </w:rPr>
        <w:t>biosurfactants-ironoxide</w:t>
      </w:r>
      <w:r>
        <w:rPr>
          <w:spacing w:val="-6"/>
          <w:sz w:val="24"/>
        </w:rPr>
        <w:t> </w:t>
      </w:r>
      <w:r>
        <w:rPr>
          <w:sz w:val="24"/>
        </w:rPr>
        <w:t>nanoparticles-biochar formulation for remediation of crude oil contaminated soil.</w:t>
      </w:r>
    </w:p>
    <w:p>
      <w:pPr>
        <w:pStyle w:val="ListParagraph"/>
        <w:numPr>
          <w:ilvl w:val="2"/>
          <w:numId w:val="1"/>
        </w:numPr>
        <w:tabs>
          <w:tab w:pos="841" w:val="left" w:leader="none"/>
        </w:tabs>
        <w:spacing w:line="240" w:lineRule="auto" w:before="194" w:after="0"/>
        <w:ind w:left="840" w:right="0" w:hanging="721"/>
        <w:jc w:val="both"/>
        <w:rPr>
          <w:sz w:val="24"/>
        </w:rPr>
      </w:pPr>
      <w:r>
        <w:rPr>
          <w:b/>
          <w:sz w:val="24"/>
        </w:rPr>
        <w:t>Objectives</w:t>
      </w:r>
      <w:r>
        <w:rPr>
          <w:sz w:val="24"/>
        </w:rPr>
        <w:t>:</w:t>
      </w:r>
      <w:r>
        <w:rPr>
          <w:spacing w:val="-4"/>
          <w:sz w:val="24"/>
        </w:rPr>
        <w:t> </w:t>
      </w:r>
      <w:r>
        <w:rPr>
          <w:sz w:val="24"/>
        </w:rPr>
        <w:t>The</w:t>
      </w:r>
      <w:r>
        <w:rPr>
          <w:spacing w:val="-4"/>
          <w:sz w:val="24"/>
        </w:rPr>
        <w:t> </w:t>
      </w:r>
      <w:r>
        <w:rPr>
          <w:sz w:val="24"/>
        </w:rPr>
        <w:t>objectives</w:t>
      </w:r>
      <w:r>
        <w:rPr>
          <w:spacing w:val="-3"/>
          <w:sz w:val="24"/>
        </w:rPr>
        <w:t> </w:t>
      </w:r>
      <w:r>
        <w:rPr>
          <w:sz w:val="24"/>
        </w:rPr>
        <w:t>of</w:t>
      </w:r>
      <w:r>
        <w:rPr>
          <w:spacing w:val="-4"/>
          <w:sz w:val="24"/>
        </w:rPr>
        <w:t> </w:t>
      </w:r>
      <w:r>
        <w:rPr>
          <w:sz w:val="24"/>
        </w:rPr>
        <w:t>this</w:t>
      </w:r>
      <w:r>
        <w:rPr>
          <w:spacing w:val="-3"/>
          <w:sz w:val="24"/>
        </w:rPr>
        <w:t> </w:t>
      </w:r>
      <w:r>
        <w:rPr>
          <w:sz w:val="24"/>
        </w:rPr>
        <w:t>study</w:t>
      </w:r>
      <w:r>
        <w:rPr>
          <w:spacing w:val="-8"/>
          <w:sz w:val="24"/>
        </w:rPr>
        <w:t> </w:t>
      </w:r>
      <w:r>
        <w:rPr>
          <w:sz w:val="24"/>
        </w:rPr>
        <w:t>were</w:t>
      </w:r>
      <w:r>
        <w:rPr>
          <w:spacing w:val="-6"/>
          <w:sz w:val="24"/>
        </w:rPr>
        <w:t> </w:t>
      </w:r>
      <w:r>
        <w:rPr>
          <w:spacing w:val="-5"/>
          <w:sz w:val="24"/>
        </w:rPr>
        <w:t>to</w:t>
      </w:r>
    </w:p>
    <w:p>
      <w:pPr>
        <w:pStyle w:val="BodyText"/>
      </w:pPr>
    </w:p>
    <w:p>
      <w:pPr>
        <w:pStyle w:val="ListParagraph"/>
        <w:numPr>
          <w:ilvl w:val="0"/>
          <w:numId w:val="2"/>
        </w:numPr>
        <w:tabs>
          <w:tab w:pos="320" w:val="left" w:leader="none"/>
        </w:tabs>
        <w:spacing w:line="240" w:lineRule="auto" w:before="0" w:after="0"/>
        <w:ind w:left="319" w:right="0" w:hanging="200"/>
        <w:jc w:val="left"/>
        <w:rPr>
          <w:sz w:val="24"/>
        </w:rPr>
      </w:pPr>
      <w:r>
        <w:rPr>
          <w:sz w:val="24"/>
        </w:rPr>
        <w:t>confirm</w:t>
      </w:r>
      <w:r>
        <w:rPr>
          <w:spacing w:val="-8"/>
          <w:sz w:val="24"/>
        </w:rPr>
        <w:t> </w:t>
      </w:r>
      <w:r>
        <w:rPr>
          <w:sz w:val="24"/>
        </w:rPr>
        <w:t>the</w:t>
      </w:r>
      <w:r>
        <w:rPr>
          <w:spacing w:val="-8"/>
          <w:sz w:val="24"/>
        </w:rPr>
        <w:t> </w:t>
      </w:r>
      <w:r>
        <w:rPr>
          <w:sz w:val="24"/>
        </w:rPr>
        <w:t>identity</w:t>
      </w:r>
      <w:r>
        <w:rPr>
          <w:spacing w:val="-11"/>
          <w:sz w:val="24"/>
        </w:rPr>
        <w:t> </w:t>
      </w:r>
      <w:r>
        <w:rPr>
          <w:sz w:val="24"/>
        </w:rPr>
        <w:t>of</w:t>
      </w:r>
      <w:r>
        <w:rPr>
          <w:spacing w:val="-7"/>
          <w:sz w:val="24"/>
        </w:rPr>
        <w:t> </w:t>
      </w:r>
      <w:r>
        <w:rPr>
          <w:sz w:val="24"/>
        </w:rPr>
        <w:t>a</w:t>
      </w:r>
      <w:r>
        <w:rPr>
          <w:spacing w:val="-7"/>
          <w:sz w:val="24"/>
        </w:rPr>
        <w:t> </w:t>
      </w:r>
      <w:r>
        <w:rPr>
          <w:sz w:val="24"/>
        </w:rPr>
        <w:t>potential</w:t>
      </w:r>
      <w:r>
        <w:rPr>
          <w:spacing w:val="-7"/>
          <w:sz w:val="24"/>
        </w:rPr>
        <w:t> </w:t>
      </w:r>
      <w:r>
        <w:rPr>
          <w:sz w:val="24"/>
        </w:rPr>
        <w:t>biosurfactant</w:t>
      </w:r>
      <w:r>
        <w:rPr>
          <w:spacing w:val="-7"/>
          <w:sz w:val="24"/>
        </w:rPr>
        <w:t> </w:t>
      </w:r>
      <w:r>
        <w:rPr>
          <w:sz w:val="24"/>
        </w:rPr>
        <w:t>producing</w:t>
      </w:r>
      <w:r>
        <w:rPr>
          <w:spacing w:val="-10"/>
          <w:sz w:val="24"/>
        </w:rPr>
        <w:t> </w:t>
      </w:r>
      <w:r>
        <w:rPr>
          <w:spacing w:val="-2"/>
          <w:sz w:val="24"/>
        </w:rPr>
        <w:t>bacterium</w:t>
      </w:r>
    </w:p>
    <w:p>
      <w:pPr>
        <w:pStyle w:val="BodyText"/>
      </w:pPr>
    </w:p>
    <w:p>
      <w:pPr>
        <w:pStyle w:val="ListParagraph"/>
        <w:numPr>
          <w:ilvl w:val="0"/>
          <w:numId w:val="2"/>
        </w:numPr>
        <w:tabs>
          <w:tab w:pos="399" w:val="left" w:leader="none"/>
        </w:tabs>
        <w:spacing w:line="240" w:lineRule="auto" w:before="0" w:after="0"/>
        <w:ind w:left="398" w:right="0" w:hanging="279"/>
        <w:jc w:val="left"/>
        <w:rPr>
          <w:sz w:val="24"/>
        </w:rPr>
      </w:pPr>
      <w:r>
        <w:rPr>
          <w:sz w:val="24"/>
        </w:rPr>
        <w:t>confirm</w:t>
      </w:r>
      <w:r>
        <w:rPr>
          <w:spacing w:val="-9"/>
          <w:sz w:val="24"/>
        </w:rPr>
        <w:t> </w:t>
      </w:r>
      <w:r>
        <w:rPr>
          <w:sz w:val="24"/>
        </w:rPr>
        <w:t>the</w:t>
      </w:r>
      <w:r>
        <w:rPr>
          <w:spacing w:val="-8"/>
          <w:sz w:val="24"/>
        </w:rPr>
        <w:t> </w:t>
      </w:r>
      <w:r>
        <w:rPr>
          <w:sz w:val="24"/>
        </w:rPr>
        <w:t>biosurfactant</w:t>
      </w:r>
      <w:r>
        <w:rPr>
          <w:spacing w:val="-8"/>
          <w:sz w:val="24"/>
        </w:rPr>
        <w:t> </w:t>
      </w:r>
      <w:r>
        <w:rPr>
          <w:sz w:val="24"/>
        </w:rPr>
        <w:t>production</w:t>
      </w:r>
      <w:r>
        <w:rPr>
          <w:spacing w:val="-8"/>
          <w:sz w:val="24"/>
        </w:rPr>
        <w:t> </w:t>
      </w:r>
      <w:r>
        <w:rPr>
          <w:sz w:val="24"/>
        </w:rPr>
        <w:t>potential</w:t>
      </w:r>
      <w:r>
        <w:rPr>
          <w:spacing w:val="-8"/>
          <w:sz w:val="24"/>
        </w:rPr>
        <w:t> </w:t>
      </w:r>
      <w:r>
        <w:rPr>
          <w:sz w:val="24"/>
        </w:rPr>
        <w:t>of</w:t>
      </w:r>
      <w:r>
        <w:rPr>
          <w:spacing w:val="-8"/>
          <w:sz w:val="24"/>
        </w:rPr>
        <w:t> </w:t>
      </w:r>
      <w:r>
        <w:rPr>
          <w:sz w:val="24"/>
        </w:rPr>
        <w:t>the</w:t>
      </w:r>
      <w:r>
        <w:rPr>
          <w:spacing w:val="-8"/>
          <w:sz w:val="24"/>
        </w:rPr>
        <w:t> </w:t>
      </w:r>
      <w:r>
        <w:rPr>
          <w:spacing w:val="-2"/>
          <w:sz w:val="24"/>
        </w:rPr>
        <w:t>bacterium</w:t>
      </w:r>
    </w:p>
    <w:p>
      <w:pPr>
        <w:pStyle w:val="BodyText"/>
      </w:pPr>
    </w:p>
    <w:p>
      <w:pPr>
        <w:pStyle w:val="ListParagraph"/>
        <w:numPr>
          <w:ilvl w:val="0"/>
          <w:numId w:val="2"/>
        </w:numPr>
        <w:tabs>
          <w:tab w:pos="479" w:val="left" w:leader="none"/>
        </w:tabs>
        <w:spacing w:line="240" w:lineRule="auto" w:before="0" w:after="0"/>
        <w:ind w:left="478" w:right="0" w:hanging="359"/>
        <w:jc w:val="left"/>
        <w:rPr>
          <w:sz w:val="24"/>
        </w:rPr>
      </w:pPr>
      <w:r>
        <w:rPr>
          <w:sz w:val="24"/>
        </w:rPr>
        <w:t>produce</w:t>
      </w:r>
      <w:r>
        <w:rPr>
          <w:spacing w:val="-11"/>
          <w:sz w:val="24"/>
        </w:rPr>
        <w:t> </w:t>
      </w:r>
      <w:r>
        <w:rPr>
          <w:sz w:val="24"/>
        </w:rPr>
        <w:t>and</w:t>
      </w:r>
      <w:r>
        <w:rPr>
          <w:spacing w:val="-7"/>
          <w:sz w:val="24"/>
        </w:rPr>
        <w:t> </w:t>
      </w:r>
      <w:r>
        <w:rPr>
          <w:sz w:val="24"/>
        </w:rPr>
        <w:t>characterize</w:t>
      </w:r>
      <w:r>
        <w:rPr>
          <w:spacing w:val="-10"/>
          <w:sz w:val="24"/>
        </w:rPr>
        <w:t> </w:t>
      </w:r>
      <w:r>
        <w:rPr>
          <w:sz w:val="24"/>
        </w:rPr>
        <w:t>biosurfactant</w:t>
      </w:r>
      <w:r>
        <w:rPr>
          <w:spacing w:val="-9"/>
          <w:sz w:val="24"/>
        </w:rPr>
        <w:t> </w:t>
      </w:r>
      <w:r>
        <w:rPr>
          <w:sz w:val="24"/>
        </w:rPr>
        <w:t>from</w:t>
      </w:r>
      <w:r>
        <w:rPr>
          <w:spacing w:val="-10"/>
          <w:sz w:val="24"/>
        </w:rPr>
        <w:t> </w:t>
      </w:r>
      <w:r>
        <w:rPr>
          <w:sz w:val="24"/>
        </w:rPr>
        <w:t>the</w:t>
      </w:r>
      <w:r>
        <w:rPr>
          <w:spacing w:val="-9"/>
          <w:sz w:val="24"/>
        </w:rPr>
        <w:t> </w:t>
      </w:r>
      <w:r>
        <w:rPr>
          <w:sz w:val="24"/>
        </w:rPr>
        <w:t>bacterium</w:t>
      </w:r>
      <w:r>
        <w:rPr>
          <w:spacing w:val="-9"/>
          <w:sz w:val="24"/>
        </w:rPr>
        <w:t> </w:t>
      </w:r>
      <w:r>
        <w:rPr>
          <w:spacing w:val="-2"/>
          <w:sz w:val="24"/>
        </w:rPr>
        <w:t>isolate</w:t>
      </w:r>
    </w:p>
    <w:p>
      <w:pPr>
        <w:pStyle w:val="BodyText"/>
        <w:spacing w:before="2"/>
      </w:pPr>
    </w:p>
    <w:p>
      <w:pPr>
        <w:pStyle w:val="ListParagraph"/>
        <w:numPr>
          <w:ilvl w:val="0"/>
          <w:numId w:val="2"/>
        </w:numPr>
        <w:tabs>
          <w:tab w:pos="493" w:val="left" w:leader="none"/>
        </w:tabs>
        <w:spacing w:line="240" w:lineRule="auto" w:before="1" w:after="0"/>
        <w:ind w:left="492" w:right="0" w:hanging="373"/>
        <w:jc w:val="left"/>
        <w:rPr>
          <w:sz w:val="24"/>
        </w:rPr>
      </w:pPr>
      <w:r>
        <w:rPr>
          <w:sz w:val="24"/>
        </w:rPr>
        <w:t>produce</w:t>
      </w:r>
      <w:r>
        <w:rPr>
          <w:spacing w:val="-2"/>
          <w:sz w:val="24"/>
        </w:rPr>
        <w:t> </w:t>
      </w:r>
      <w:r>
        <w:rPr>
          <w:sz w:val="24"/>
        </w:rPr>
        <w:t>and</w:t>
      </w:r>
      <w:r>
        <w:rPr>
          <w:spacing w:val="-2"/>
          <w:sz w:val="24"/>
        </w:rPr>
        <w:t> </w:t>
      </w:r>
      <w:r>
        <w:rPr>
          <w:sz w:val="24"/>
        </w:rPr>
        <w:t>characterize</w:t>
      </w:r>
      <w:r>
        <w:rPr>
          <w:spacing w:val="-2"/>
          <w:sz w:val="24"/>
        </w:rPr>
        <w:t> </w:t>
      </w:r>
      <w:r>
        <w:rPr>
          <w:sz w:val="24"/>
        </w:rPr>
        <w:t>iron oxide</w:t>
      </w:r>
      <w:r>
        <w:rPr>
          <w:spacing w:val="-2"/>
          <w:sz w:val="24"/>
        </w:rPr>
        <w:t> </w:t>
      </w:r>
      <w:r>
        <w:rPr>
          <w:sz w:val="24"/>
        </w:rPr>
        <w:t>nanoparticles</w:t>
      </w:r>
      <w:r>
        <w:rPr>
          <w:spacing w:val="-1"/>
          <w:sz w:val="24"/>
        </w:rPr>
        <w:t> </w:t>
      </w:r>
      <w:r>
        <w:rPr>
          <w:sz w:val="24"/>
        </w:rPr>
        <w:t>using</w:t>
      </w:r>
      <w:r>
        <w:rPr>
          <w:spacing w:val="-1"/>
          <w:sz w:val="24"/>
        </w:rPr>
        <w:t> </w:t>
      </w:r>
      <w:r>
        <w:rPr>
          <w:sz w:val="24"/>
        </w:rPr>
        <w:t>corn</w:t>
      </w:r>
      <w:r>
        <w:rPr>
          <w:spacing w:val="-1"/>
          <w:sz w:val="24"/>
        </w:rPr>
        <w:t> </w:t>
      </w:r>
      <w:r>
        <w:rPr>
          <w:sz w:val="24"/>
        </w:rPr>
        <w:t>silk</w:t>
      </w:r>
      <w:r>
        <w:rPr>
          <w:spacing w:val="-1"/>
          <w:sz w:val="24"/>
        </w:rPr>
        <w:t> </w:t>
      </w:r>
      <w:r>
        <w:rPr>
          <w:spacing w:val="-2"/>
          <w:sz w:val="24"/>
        </w:rPr>
        <w:t>extract</w:t>
      </w:r>
    </w:p>
    <w:p>
      <w:pPr>
        <w:pStyle w:val="BodyText"/>
        <w:rPr>
          <w:sz w:val="26"/>
        </w:rPr>
      </w:pPr>
    </w:p>
    <w:p>
      <w:pPr>
        <w:pStyle w:val="ListParagraph"/>
        <w:numPr>
          <w:ilvl w:val="0"/>
          <w:numId w:val="2"/>
        </w:numPr>
        <w:tabs>
          <w:tab w:pos="414" w:val="left" w:leader="none"/>
        </w:tabs>
        <w:spacing w:line="240" w:lineRule="auto" w:before="176" w:after="0"/>
        <w:ind w:left="413" w:right="0" w:hanging="294"/>
        <w:jc w:val="left"/>
        <w:rPr>
          <w:sz w:val="24"/>
        </w:rPr>
      </w:pPr>
      <w:r>
        <w:rPr>
          <w:sz w:val="24"/>
        </w:rPr>
        <w:t>produce</w:t>
      </w:r>
      <w:r>
        <w:rPr>
          <w:spacing w:val="-1"/>
          <w:sz w:val="24"/>
        </w:rPr>
        <w:t> </w:t>
      </w:r>
      <w:r>
        <w:rPr>
          <w:sz w:val="24"/>
        </w:rPr>
        <w:t>and</w:t>
      </w:r>
      <w:r>
        <w:rPr>
          <w:spacing w:val="-1"/>
          <w:sz w:val="24"/>
        </w:rPr>
        <w:t> </w:t>
      </w:r>
      <w:r>
        <w:rPr>
          <w:sz w:val="24"/>
        </w:rPr>
        <w:t>characterize</w:t>
      </w:r>
      <w:r>
        <w:rPr>
          <w:spacing w:val="-3"/>
          <w:sz w:val="24"/>
        </w:rPr>
        <w:t> </w:t>
      </w:r>
      <w:r>
        <w:rPr>
          <w:sz w:val="24"/>
        </w:rPr>
        <w:t>biochar</w:t>
      </w:r>
      <w:r>
        <w:rPr>
          <w:spacing w:val="-1"/>
          <w:sz w:val="24"/>
        </w:rPr>
        <w:t> </w:t>
      </w:r>
      <w:r>
        <w:rPr>
          <w:sz w:val="24"/>
        </w:rPr>
        <w:t>from</w:t>
      </w:r>
      <w:r>
        <w:rPr>
          <w:spacing w:val="-2"/>
          <w:sz w:val="24"/>
        </w:rPr>
        <w:t> </w:t>
      </w:r>
      <w:r>
        <w:rPr>
          <w:sz w:val="24"/>
        </w:rPr>
        <w:t>plantain</w:t>
      </w:r>
      <w:r>
        <w:rPr>
          <w:spacing w:val="1"/>
          <w:sz w:val="24"/>
        </w:rPr>
        <w:t> </w:t>
      </w:r>
      <w:r>
        <w:rPr>
          <w:spacing w:val="-2"/>
          <w:sz w:val="24"/>
        </w:rPr>
        <w:t>trunk</w:t>
      </w:r>
    </w:p>
    <w:p>
      <w:pPr>
        <w:pStyle w:val="BodyText"/>
      </w:pPr>
    </w:p>
    <w:p>
      <w:pPr>
        <w:pStyle w:val="ListParagraph"/>
        <w:numPr>
          <w:ilvl w:val="0"/>
          <w:numId w:val="2"/>
        </w:numPr>
        <w:tabs>
          <w:tab w:pos="524" w:val="left" w:leader="none"/>
        </w:tabs>
        <w:spacing w:line="480" w:lineRule="auto" w:before="0" w:after="0"/>
        <w:ind w:left="120" w:right="115" w:firstLine="0"/>
        <w:jc w:val="left"/>
        <w:rPr>
          <w:sz w:val="24"/>
        </w:rPr>
      </w:pPr>
      <w:r>
        <w:rPr>
          <w:sz w:val="24"/>
        </w:rPr>
        <w:t>remediate</w:t>
      </w:r>
      <w:r>
        <w:rPr>
          <w:spacing w:val="27"/>
          <w:sz w:val="24"/>
        </w:rPr>
        <w:t> </w:t>
      </w:r>
      <w:r>
        <w:rPr>
          <w:sz w:val="24"/>
        </w:rPr>
        <w:t>crude</w:t>
      </w:r>
      <w:r>
        <w:rPr>
          <w:spacing w:val="25"/>
          <w:sz w:val="24"/>
        </w:rPr>
        <w:t> </w:t>
      </w:r>
      <w:r>
        <w:rPr>
          <w:sz w:val="24"/>
        </w:rPr>
        <w:t>oil</w:t>
      </w:r>
      <w:r>
        <w:rPr>
          <w:spacing w:val="26"/>
          <w:sz w:val="24"/>
        </w:rPr>
        <w:t> </w:t>
      </w:r>
      <w:r>
        <w:rPr>
          <w:sz w:val="24"/>
        </w:rPr>
        <w:t>polluted</w:t>
      </w:r>
      <w:r>
        <w:rPr>
          <w:spacing w:val="25"/>
          <w:sz w:val="24"/>
        </w:rPr>
        <w:t> </w:t>
      </w:r>
      <w:r>
        <w:rPr>
          <w:sz w:val="24"/>
        </w:rPr>
        <w:t>soil</w:t>
      </w:r>
      <w:r>
        <w:rPr>
          <w:spacing w:val="26"/>
          <w:sz w:val="24"/>
        </w:rPr>
        <w:t> </w:t>
      </w:r>
      <w:r>
        <w:rPr>
          <w:sz w:val="24"/>
        </w:rPr>
        <w:t>using</w:t>
      </w:r>
      <w:r>
        <w:rPr>
          <w:spacing w:val="26"/>
          <w:sz w:val="24"/>
        </w:rPr>
        <w:t> </w:t>
      </w:r>
      <w:r>
        <w:rPr>
          <w:sz w:val="24"/>
        </w:rPr>
        <w:t>the</w:t>
      </w:r>
      <w:r>
        <w:rPr>
          <w:spacing w:val="27"/>
          <w:sz w:val="24"/>
        </w:rPr>
        <w:t> </w:t>
      </w:r>
      <w:r>
        <w:rPr>
          <w:sz w:val="24"/>
        </w:rPr>
        <w:t>produced</w:t>
      </w:r>
      <w:r>
        <w:rPr>
          <w:spacing w:val="27"/>
          <w:sz w:val="24"/>
        </w:rPr>
        <w:t> </w:t>
      </w:r>
      <w:r>
        <w:rPr>
          <w:sz w:val="24"/>
        </w:rPr>
        <w:t>biosurfactant,</w:t>
      </w:r>
      <w:r>
        <w:rPr>
          <w:spacing w:val="28"/>
          <w:sz w:val="24"/>
        </w:rPr>
        <w:t> </w:t>
      </w:r>
      <w:r>
        <w:rPr>
          <w:sz w:val="24"/>
        </w:rPr>
        <w:t>biochar</w:t>
      </w:r>
      <w:r>
        <w:rPr>
          <w:spacing w:val="27"/>
          <w:sz w:val="24"/>
        </w:rPr>
        <w:t> </w:t>
      </w:r>
      <w:r>
        <w:rPr>
          <w:sz w:val="24"/>
        </w:rPr>
        <w:t>and</w:t>
      </w:r>
      <w:r>
        <w:rPr>
          <w:spacing w:val="27"/>
          <w:sz w:val="24"/>
        </w:rPr>
        <w:t> </w:t>
      </w:r>
      <w:r>
        <w:rPr>
          <w:sz w:val="24"/>
        </w:rPr>
        <w:t>iron</w:t>
      </w:r>
      <w:r>
        <w:rPr>
          <w:spacing w:val="33"/>
          <w:sz w:val="24"/>
        </w:rPr>
        <w:t> </w:t>
      </w:r>
      <w:r>
        <w:rPr>
          <w:sz w:val="24"/>
        </w:rPr>
        <w:t>oxide nanoparticles formulation</w:t>
      </w:r>
    </w:p>
    <w:p>
      <w:pPr>
        <w:pStyle w:val="ListParagraph"/>
        <w:numPr>
          <w:ilvl w:val="0"/>
          <w:numId w:val="2"/>
        </w:numPr>
        <w:tabs>
          <w:tab w:pos="572" w:val="left" w:leader="none"/>
        </w:tabs>
        <w:spacing w:line="240" w:lineRule="auto" w:before="1" w:after="0"/>
        <w:ind w:left="571" w:right="0" w:hanging="452"/>
        <w:jc w:val="left"/>
        <w:rPr>
          <w:sz w:val="24"/>
        </w:rPr>
      </w:pPr>
      <w:r>
        <w:rPr>
          <w:sz w:val="24"/>
        </w:rPr>
        <w:t>determine</w:t>
      </w:r>
      <w:r>
        <w:rPr>
          <w:spacing w:val="-9"/>
          <w:sz w:val="24"/>
        </w:rPr>
        <w:t> </w:t>
      </w:r>
      <w:r>
        <w:rPr>
          <w:sz w:val="24"/>
        </w:rPr>
        <w:t>the</w:t>
      </w:r>
      <w:r>
        <w:rPr>
          <w:spacing w:val="-7"/>
          <w:sz w:val="24"/>
        </w:rPr>
        <w:t> </w:t>
      </w:r>
      <w:r>
        <w:rPr>
          <w:sz w:val="24"/>
        </w:rPr>
        <w:t>rate</w:t>
      </w:r>
      <w:r>
        <w:rPr>
          <w:spacing w:val="-7"/>
          <w:sz w:val="24"/>
        </w:rPr>
        <w:t> </w:t>
      </w:r>
      <w:r>
        <w:rPr>
          <w:sz w:val="24"/>
        </w:rPr>
        <w:t>of</w:t>
      </w:r>
      <w:r>
        <w:rPr>
          <w:spacing w:val="-7"/>
          <w:sz w:val="24"/>
        </w:rPr>
        <w:t> </w:t>
      </w:r>
      <w:r>
        <w:rPr>
          <w:sz w:val="24"/>
        </w:rPr>
        <w:t>biodegradation</w:t>
      </w:r>
      <w:r>
        <w:rPr>
          <w:spacing w:val="-7"/>
          <w:sz w:val="24"/>
        </w:rPr>
        <w:t> </w:t>
      </w:r>
      <w:r>
        <w:rPr>
          <w:sz w:val="24"/>
        </w:rPr>
        <w:t>of</w:t>
      </w:r>
      <w:r>
        <w:rPr>
          <w:spacing w:val="-6"/>
          <w:sz w:val="24"/>
        </w:rPr>
        <w:t> </w:t>
      </w:r>
      <w:r>
        <w:rPr>
          <w:sz w:val="24"/>
        </w:rPr>
        <w:t>crude</w:t>
      </w:r>
      <w:r>
        <w:rPr>
          <w:spacing w:val="-8"/>
          <w:sz w:val="24"/>
        </w:rPr>
        <w:t> </w:t>
      </w:r>
      <w:r>
        <w:rPr>
          <w:spacing w:val="-5"/>
          <w:sz w:val="24"/>
        </w:rPr>
        <w:t>oil</w:t>
      </w:r>
    </w:p>
    <w:p>
      <w:pPr>
        <w:spacing w:after="0" w:line="240" w:lineRule="auto"/>
        <w:jc w:val="left"/>
        <w:rPr>
          <w:sz w:val="24"/>
        </w:rPr>
        <w:sectPr>
          <w:pgSz w:w="12240" w:h="15840"/>
          <w:pgMar w:header="0" w:footer="1015" w:top="1360" w:bottom="1200" w:left="1320" w:right="1320"/>
        </w:sectPr>
      </w:pPr>
    </w:p>
    <w:p>
      <w:pPr>
        <w:pStyle w:val="Heading1"/>
        <w:spacing w:before="76"/>
        <w:ind w:left="3309" w:right="3309"/>
      </w:pPr>
      <w:r>
        <w:rPr/>
        <w:t>CHAPTER</w:t>
      </w:r>
      <w:r>
        <w:rPr>
          <w:spacing w:val="-13"/>
        </w:rPr>
        <w:t> </w:t>
      </w:r>
      <w:r>
        <w:rPr>
          <w:spacing w:val="-5"/>
        </w:rPr>
        <w:t>TWO</w:t>
      </w:r>
    </w:p>
    <w:p>
      <w:pPr>
        <w:pStyle w:val="BodyText"/>
        <w:spacing w:before="3"/>
        <w:rPr>
          <w:b/>
          <w:sz w:val="16"/>
        </w:rPr>
      </w:pPr>
    </w:p>
    <w:p>
      <w:pPr>
        <w:pStyle w:val="ListParagraph"/>
        <w:numPr>
          <w:ilvl w:val="1"/>
          <w:numId w:val="3"/>
        </w:numPr>
        <w:tabs>
          <w:tab w:pos="841" w:val="left" w:leader="none"/>
        </w:tabs>
        <w:spacing w:line="240" w:lineRule="auto" w:before="90" w:after="0"/>
        <w:ind w:left="840" w:right="0" w:hanging="721"/>
        <w:jc w:val="both"/>
        <w:rPr>
          <w:b/>
          <w:sz w:val="24"/>
        </w:rPr>
      </w:pPr>
      <w:r>
        <w:rPr>
          <w:b/>
          <w:sz w:val="24"/>
        </w:rPr>
        <w:t>LITERATURE</w:t>
      </w:r>
      <w:r>
        <w:rPr>
          <w:b/>
          <w:spacing w:val="-12"/>
          <w:sz w:val="24"/>
        </w:rPr>
        <w:t> </w:t>
      </w:r>
      <w:r>
        <w:rPr>
          <w:b/>
          <w:spacing w:val="-2"/>
          <w:sz w:val="24"/>
        </w:rPr>
        <w:t>REVIEW</w:t>
      </w:r>
    </w:p>
    <w:p>
      <w:pPr>
        <w:pStyle w:val="BodyText"/>
        <w:rPr>
          <w:b/>
        </w:rPr>
      </w:pPr>
    </w:p>
    <w:p>
      <w:pPr>
        <w:pStyle w:val="Heading2"/>
        <w:numPr>
          <w:ilvl w:val="1"/>
          <w:numId w:val="3"/>
        </w:numPr>
        <w:tabs>
          <w:tab w:pos="841" w:val="left" w:leader="none"/>
        </w:tabs>
        <w:spacing w:line="240" w:lineRule="auto" w:before="0" w:after="0"/>
        <w:ind w:left="840" w:right="0" w:hanging="721"/>
        <w:jc w:val="both"/>
      </w:pPr>
      <w:r>
        <w:rPr/>
        <w:t>Oil</w:t>
      </w:r>
      <w:r>
        <w:rPr>
          <w:spacing w:val="-5"/>
        </w:rPr>
        <w:t> </w:t>
      </w:r>
      <w:r>
        <w:rPr/>
        <w:t>Spill</w:t>
      </w:r>
      <w:r>
        <w:rPr>
          <w:spacing w:val="-2"/>
        </w:rPr>
        <w:t> </w:t>
      </w:r>
      <w:r>
        <w:rPr/>
        <w:t>in</w:t>
      </w:r>
      <w:r>
        <w:rPr>
          <w:spacing w:val="-2"/>
        </w:rPr>
        <w:t> Nigeria</w:t>
      </w:r>
    </w:p>
    <w:p>
      <w:pPr>
        <w:pStyle w:val="BodyText"/>
        <w:spacing w:before="6"/>
        <w:rPr>
          <w:b/>
          <w:sz w:val="23"/>
        </w:rPr>
      </w:pPr>
    </w:p>
    <w:p>
      <w:pPr>
        <w:pStyle w:val="BodyText"/>
        <w:spacing w:line="480" w:lineRule="auto" w:before="1"/>
        <w:ind w:left="120" w:right="113"/>
        <w:jc w:val="both"/>
      </w:pPr>
      <w:r>
        <w:rPr/>
        <w:t>Oil spill is an indeliberate discharge of liquid petroleum hydrocarbons into the environment resulting from human activities. Oil spill is a common event usually resulting from accidents involved by oil tankers, refineries, pipelines and oil storage facilities. Accidents may also be caused by</w:t>
      </w:r>
      <w:r>
        <w:rPr>
          <w:spacing w:val="-4"/>
        </w:rPr>
        <w:t> </w:t>
      </w:r>
      <w:r>
        <w:rPr/>
        <w:t>man’s negligence and natural disaster like</w:t>
      </w:r>
      <w:r>
        <w:rPr>
          <w:spacing w:val="-1"/>
        </w:rPr>
        <w:t> </w:t>
      </w:r>
      <w:r>
        <w:rPr/>
        <w:t>earthquakes as well as activities of</w:t>
      </w:r>
      <w:r>
        <w:rPr>
          <w:spacing w:val="-1"/>
        </w:rPr>
        <w:t> </w:t>
      </w:r>
      <w:r>
        <w:rPr/>
        <w:t>militants or vandals. Lack of proper maintenance of storage tanks and pipelines is the main cause of oil spillage. Some pipelines found at the flow stations are absolutely very old and make them susceptible to corrosion resulting in leakage. Lack of proper surveillance on pipes laid above the ground expose them to wear and tear and other environmental problems. Pipelines</w:t>
      </w:r>
      <w:r>
        <w:rPr/>
        <w:t> that</w:t>
      </w:r>
      <w:r>
        <w:rPr/>
        <w:t> are damaged</w:t>
      </w:r>
      <w:r>
        <w:rPr/>
        <w:t> may</w:t>
      </w:r>
      <w:r>
        <w:rPr/>
        <w:t> remain</w:t>
      </w:r>
      <w:r>
        <w:rPr/>
        <w:t> unnoticed</w:t>
      </w:r>
      <w:r>
        <w:rPr/>
        <w:t> for</w:t>
      </w:r>
      <w:r>
        <w:rPr/>
        <w:t> several days, and repair may even take longer (Abii and Nwosu,</w:t>
      </w:r>
      <w:r>
        <w:rPr>
          <w:spacing w:val="-15"/>
        </w:rPr>
        <w:t> </w:t>
      </w:r>
      <w:r>
        <w:rPr/>
        <w:t>2009).</w:t>
      </w:r>
      <w:r>
        <w:rPr>
          <w:spacing w:val="-14"/>
        </w:rPr>
        <w:t> </w:t>
      </w:r>
      <w:r>
        <w:rPr/>
        <w:t>Vandals</w:t>
      </w:r>
      <w:r>
        <w:rPr>
          <w:spacing w:val="-12"/>
        </w:rPr>
        <w:t> </w:t>
      </w:r>
      <w:r>
        <w:rPr/>
        <w:t>cause</w:t>
      </w:r>
      <w:r>
        <w:rPr>
          <w:spacing w:val="-14"/>
        </w:rPr>
        <w:t> </w:t>
      </w:r>
      <w:r>
        <w:rPr/>
        <w:t>damage</w:t>
      </w:r>
      <w:r>
        <w:rPr>
          <w:spacing w:val="-14"/>
        </w:rPr>
        <w:t> </w:t>
      </w:r>
      <w:r>
        <w:rPr/>
        <w:t>to</w:t>
      </w:r>
      <w:r>
        <w:rPr>
          <w:spacing w:val="-13"/>
        </w:rPr>
        <w:t> </w:t>
      </w:r>
      <w:r>
        <w:rPr/>
        <w:t>pipelines</w:t>
      </w:r>
      <w:r>
        <w:rPr>
          <w:spacing w:val="-13"/>
        </w:rPr>
        <w:t> </w:t>
      </w:r>
      <w:r>
        <w:rPr/>
        <w:t>while</w:t>
      </w:r>
      <w:r>
        <w:rPr>
          <w:spacing w:val="-14"/>
        </w:rPr>
        <w:t> </w:t>
      </w:r>
      <w:r>
        <w:rPr/>
        <w:t>attempting</w:t>
      </w:r>
      <w:r>
        <w:rPr>
          <w:spacing w:val="-15"/>
        </w:rPr>
        <w:t> </w:t>
      </w:r>
      <w:r>
        <w:rPr/>
        <w:t>to</w:t>
      </w:r>
      <w:r>
        <w:rPr>
          <w:spacing w:val="-13"/>
        </w:rPr>
        <w:t> </w:t>
      </w:r>
      <w:r>
        <w:rPr/>
        <w:t>illegally</w:t>
      </w:r>
      <w:r>
        <w:rPr>
          <w:spacing w:val="-15"/>
        </w:rPr>
        <w:t> </w:t>
      </w:r>
      <w:r>
        <w:rPr/>
        <w:t>take</w:t>
      </w:r>
      <w:r>
        <w:rPr>
          <w:spacing w:val="-14"/>
        </w:rPr>
        <w:t> </w:t>
      </w:r>
      <w:r>
        <w:rPr/>
        <w:t>oil</w:t>
      </w:r>
      <w:r>
        <w:rPr>
          <w:spacing w:val="-12"/>
        </w:rPr>
        <w:t> </w:t>
      </w:r>
      <w:r>
        <w:rPr/>
        <w:t>from</w:t>
      </w:r>
      <w:r>
        <w:rPr>
          <w:spacing w:val="-13"/>
        </w:rPr>
        <w:t> </w:t>
      </w:r>
      <w:r>
        <w:rPr/>
        <w:t>them. About</w:t>
      </w:r>
      <w:r>
        <w:rPr>
          <w:spacing w:val="-1"/>
        </w:rPr>
        <w:t> </w:t>
      </w:r>
      <w:r>
        <w:rPr/>
        <w:t>50</w:t>
      </w:r>
      <w:r>
        <w:rPr>
          <w:spacing w:val="-1"/>
        </w:rPr>
        <w:t> </w:t>
      </w:r>
      <w:r>
        <w:rPr/>
        <w:t>%</w:t>
      </w:r>
      <w:r>
        <w:rPr>
          <w:spacing w:val="-2"/>
        </w:rPr>
        <w:t> </w:t>
      </w:r>
      <w:r>
        <w:rPr/>
        <w:t>of</w:t>
      </w:r>
      <w:r>
        <w:rPr>
          <w:spacing w:val="-2"/>
        </w:rPr>
        <w:t> </w:t>
      </w:r>
      <w:r>
        <w:rPr/>
        <w:t>oil</w:t>
      </w:r>
      <w:r>
        <w:rPr>
          <w:spacing w:val="-1"/>
        </w:rPr>
        <w:t> </w:t>
      </w:r>
      <w:r>
        <w:rPr/>
        <w:t>spills</w:t>
      </w:r>
      <w:r>
        <w:rPr>
          <w:spacing w:val="-1"/>
        </w:rPr>
        <w:t> </w:t>
      </w:r>
      <w:r>
        <w:rPr/>
        <w:t>result from</w:t>
      </w:r>
      <w:r>
        <w:rPr>
          <w:spacing w:val="-1"/>
        </w:rPr>
        <w:t> </w:t>
      </w:r>
      <w:r>
        <w:rPr/>
        <w:t>accident</w:t>
      </w:r>
      <w:r>
        <w:rPr>
          <w:spacing w:val="-1"/>
        </w:rPr>
        <w:t> </w:t>
      </w:r>
      <w:r>
        <w:rPr/>
        <w:t>involving</w:t>
      </w:r>
      <w:r>
        <w:rPr>
          <w:spacing w:val="-3"/>
        </w:rPr>
        <w:t> </w:t>
      </w:r>
      <w:r>
        <w:rPr/>
        <w:t>pipeline</w:t>
      </w:r>
      <w:r>
        <w:rPr>
          <w:spacing w:val="-2"/>
        </w:rPr>
        <w:t> </w:t>
      </w:r>
      <w:r>
        <w:rPr/>
        <w:t>and</w:t>
      </w:r>
      <w:r>
        <w:rPr>
          <w:spacing w:val="-1"/>
        </w:rPr>
        <w:t> </w:t>
      </w:r>
      <w:r>
        <w:rPr/>
        <w:t>tankers while</w:t>
      </w:r>
      <w:r>
        <w:rPr>
          <w:spacing w:val="-2"/>
        </w:rPr>
        <w:t> </w:t>
      </w:r>
      <w:r>
        <w:rPr/>
        <w:t>28 %</w:t>
      </w:r>
      <w:r>
        <w:rPr>
          <w:spacing w:val="-4"/>
        </w:rPr>
        <w:t> </w:t>
      </w:r>
      <w:r>
        <w:rPr/>
        <w:t>is</w:t>
      </w:r>
      <w:r>
        <w:rPr>
          <w:spacing w:val="-1"/>
        </w:rPr>
        <w:t> </w:t>
      </w:r>
      <w:r>
        <w:rPr/>
        <w:t>caused by</w:t>
      </w:r>
      <w:r>
        <w:rPr>
          <w:spacing w:val="-7"/>
        </w:rPr>
        <w:t> </w:t>
      </w:r>
      <w:r>
        <w:rPr/>
        <w:t>sabotage</w:t>
      </w:r>
      <w:r>
        <w:rPr>
          <w:spacing w:val="-1"/>
        </w:rPr>
        <w:t> </w:t>
      </w:r>
      <w:r>
        <w:rPr/>
        <w:t>and</w:t>
      </w:r>
      <w:r>
        <w:rPr>
          <w:spacing w:val="-2"/>
        </w:rPr>
        <w:t> </w:t>
      </w:r>
      <w:r>
        <w:rPr/>
        <w:t>oil</w:t>
      </w:r>
      <w:r>
        <w:rPr>
          <w:spacing w:val="-2"/>
        </w:rPr>
        <w:t> </w:t>
      </w:r>
      <w:r>
        <w:rPr/>
        <w:t>production</w:t>
      </w:r>
      <w:r>
        <w:rPr>
          <w:spacing w:val="-2"/>
        </w:rPr>
        <w:t> </w:t>
      </w:r>
      <w:r>
        <w:rPr/>
        <w:t>operations</w:t>
      </w:r>
      <w:r>
        <w:rPr>
          <w:spacing w:val="-2"/>
        </w:rPr>
        <w:t> </w:t>
      </w:r>
      <w:r>
        <w:rPr/>
        <w:t>accounting</w:t>
      </w:r>
      <w:r>
        <w:rPr>
          <w:spacing w:val="-5"/>
        </w:rPr>
        <w:t> </w:t>
      </w:r>
      <w:r>
        <w:rPr/>
        <w:t>for</w:t>
      </w:r>
      <w:r>
        <w:rPr>
          <w:spacing w:val="-2"/>
        </w:rPr>
        <w:t> </w:t>
      </w:r>
      <w:r>
        <w:rPr/>
        <w:t>21 %</w:t>
      </w:r>
      <w:r>
        <w:rPr>
          <w:spacing w:val="-1"/>
        </w:rPr>
        <w:t> </w:t>
      </w:r>
      <w:r>
        <w:rPr/>
        <w:t>and</w:t>
      </w:r>
      <w:r>
        <w:rPr>
          <w:spacing w:val="-2"/>
        </w:rPr>
        <w:t> </w:t>
      </w:r>
      <w:r>
        <w:rPr/>
        <w:t>1 %</w:t>
      </w:r>
      <w:r>
        <w:rPr>
          <w:spacing w:val="-1"/>
        </w:rPr>
        <w:t> </w:t>
      </w:r>
      <w:r>
        <w:rPr/>
        <w:t>accounted</w:t>
      </w:r>
      <w:r>
        <w:rPr>
          <w:spacing w:val="-2"/>
        </w:rPr>
        <w:t> </w:t>
      </w:r>
      <w:r>
        <w:rPr/>
        <w:t>for</w:t>
      </w:r>
      <w:r>
        <w:rPr>
          <w:spacing w:val="-1"/>
        </w:rPr>
        <w:t> </w:t>
      </w:r>
      <w:r>
        <w:rPr/>
        <w:t>inadequate or damaged production equipment (Ahmadu and Egbodion, 2013).</w:t>
      </w:r>
    </w:p>
    <w:p>
      <w:pPr>
        <w:pStyle w:val="BodyText"/>
        <w:spacing w:line="480" w:lineRule="auto" w:before="200"/>
        <w:ind w:left="120" w:right="114"/>
        <w:jc w:val="both"/>
      </w:pPr>
      <w:r>
        <w:rPr/>
        <w:t>Oil</w:t>
      </w:r>
      <w:r>
        <w:rPr>
          <w:spacing w:val="-10"/>
        </w:rPr>
        <w:t> </w:t>
      </w:r>
      <w:r>
        <w:rPr/>
        <w:t>spill</w:t>
      </w:r>
      <w:r>
        <w:rPr>
          <w:spacing w:val="-10"/>
        </w:rPr>
        <w:t> </w:t>
      </w:r>
      <w:r>
        <w:rPr/>
        <w:t>has</w:t>
      </w:r>
      <w:r>
        <w:rPr>
          <w:spacing w:val="-10"/>
        </w:rPr>
        <w:t> </w:t>
      </w:r>
      <w:r>
        <w:rPr/>
        <w:t>been</w:t>
      </w:r>
      <w:r>
        <w:rPr>
          <w:spacing w:val="-10"/>
        </w:rPr>
        <w:t> </w:t>
      </w:r>
      <w:r>
        <w:rPr/>
        <w:t>the</w:t>
      </w:r>
      <w:r>
        <w:rPr>
          <w:spacing w:val="-10"/>
        </w:rPr>
        <w:t> </w:t>
      </w:r>
      <w:r>
        <w:rPr/>
        <w:t>main</w:t>
      </w:r>
      <w:r>
        <w:rPr>
          <w:spacing w:val="-10"/>
        </w:rPr>
        <w:t> </w:t>
      </w:r>
      <w:r>
        <w:rPr/>
        <w:t>problem</w:t>
      </w:r>
      <w:r>
        <w:rPr>
          <w:spacing w:val="-10"/>
        </w:rPr>
        <w:t> </w:t>
      </w:r>
      <w:r>
        <w:rPr/>
        <w:t>of</w:t>
      </w:r>
      <w:r>
        <w:rPr>
          <w:spacing w:val="-10"/>
        </w:rPr>
        <w:t> </w:t>
      </w:r>
      <w:r>
        <w:rPr/>
        <w:t>concern</w:t>
      </w:r>
      <w:r>
        <w:rPr>
          <w:spacing w:val="-10"/>
        </w:rPr>
        <w:t> </w:t>
      </w:r>
      <w:r>
        <w:rPr/>
        <w:t>in</w:t>
      </w:r>
      <w:r>
        <w:rPr>
          <w:spacing w:val="-10"/>
        </w:rPr>
        <w:t> </w:t>
      </w:r>
      <w:r>
        <w:rPr/>
        <w:t>the</w:t>
      </w:r>
      <w:r>
        <w:rPr>
          <w:spacing w:val="-11"/>
        </w:rPr>
        <w:t> </w:t>
      </w:r>
      <w:r>
        <w:rPr/>
        <w:t>Niger</w:t>
      </w:r>
      <w:r>
        <w:rPr>
          <w:spacing w:val="-10"/>
        </w:rPr>
        <w:t> </w:t>
      </w:r>
      <w:r>
        <w:rPr/>
        <w:t>Delta</w:t>
      </w:r>
      <w:r>
        <w:rPr>
          <w:spacing w:val="-11"/>
        </w:rPr>
        <w:t> </w:t>
      </w:r>
      <w:r>
        <w:rPr/>
        <w:t>states</w:t>
      </w:r>
      <w:r>
        <w:rPr>
          <w:spacing w:val="-10"/>
        </w:rPr>
        <w:t> </w:t>
      </w:r>
      <w:r>
        <w:rPr/>
        <w:t>(Figure</w:t>
      </w:r>
      <w:r>
        <w:rPr>
          <w:spacing w:val="-11"/>
        </w:rPr>
        <w:t> </w:t>
      </w:r>
      <w:r>
        <w:rPr/>
        <w:t>1).</w:t>
      </w:r>
      <w:r>
        <w:rPr>
          <w:spacing w:val="-10"/>
        </w:rPr>
        <w:t> </w:t>
      </w:r>
      <w:r>
        <w:rPr/>
        <w:t>Oil</w:t>
      </w:r>
      <w:r>
        <w:rPr>
          <w:spacing w:val="-10"/>
        </w:rPr>
        <w:t> </w:t>
      </w:r>
      <w:r>
        <w:rPr/>
        <w:t>exploration activities in this region have made every</w:t>
      </w:r>
      <w:r>
        <w:rPr>
          <w:spacing w:val="-3"/>
        </w:rPr>
        <w:t> </w:t>
      </w:r>
      <w:r>
        <w:rPr/>
        <w:t>individual aware of the environmental effect it poses on the</w:t>
      </w:r>
      <w:r>
        <w:rPr>
          <w:spacing w:val="-5"/>
        </w:rPr>
        <w:t> </w:t>
      </w:r>
      <w:r>
        <w:rPr/>
        <w:t>lives</w:t>
      </w:r>
      <w:r>
        <w:rPr>
          <w:spacing w:val="-5"/>
        </w:rPr>
        <w:t> </w:t>
      </w:r>
      <w:r>
        <w:rPr/>
        <w:t>of</w:t>
      </w:r>
      <w:r>
        <w:rPr>
          <w:spacing w:val="-6"/>
        </w:rPr>
        <w:t> </w:t>
      </w:r>
      <w:r>
        <w:rPr/>
        <w:t>the</w:t>
      </w:r>
      <w:r>
        <w:rPr>
          <w:spacing w:val="-5"/>
        </w:rPr>
        <w:t> </w:t>
      </w:r>
      <w:r>
        <w:rPr/>
        <w:t>people,</w:t>
      </w:r>
      <w:r>
        <w:rPr>
          <w:spacing w:val="-5"/>
        </w:rPr>
        <w:t> </w:t>
      </w:r>
      <w:r>
        <w:rPr/>
        <w:t>plants</w:t>
      </w:r>
      <w:r>
        <w:rPr>
          <w:spacing w:val="-4"/>
        </w:rPr>
        <w:t> </w:t>
      </w:r>
      <w:r>
        <w:rPr/>
        <w:t>and</w:t>
      </w:r>
      <w:r>
        <w:rPr>
          <w:spacing w:val="-5"/>
        </w:rPr>
        <w:t> </w:t>
      </w:r>
      <w:r>
        <w:rPr/>
        <w:t>animals</w:t>
      </w:r>
      <w:r>
        <w:rPr>
          <w:spacing w:val="-4"/>
        </w:rPr>
        <w:t> </w:t>
      </w:r>
      <w:r>
        <w:rPr/>
        <w:t>present</w:t>
      </w:r>
      <w:r>
        <w:rPr>
          <w:spacing w:val="-2"/>
        </w:rPr>
        <w:t> </w:t>
      </w:r>
      <w:r>
        <w:rPr/>
        <w:t>(Ayuba,</w:t>
      </w:r>
      <w:r>
        <w:rPr>
          <w:spacing w:val="-5"/>
        </w:rPr>
        <w:t> </w:t>
      </w:r>
      <w:r>
        <w:rPr/>
        <w:t>2012). It</w:t>
      </w:r>
      <w:r>
        <w:rPr>
          <w:spacing w:val="-4"/>
        </w:rPr>
        <w:t> </w:t>
      </w:r>
      <w:r>
        <w:rPr/>
        <w:t>has</w:t>
      </w:r>
      <w:r>
        <w:rPr>
          <w:spacing w:val="-5"/>
        </w:rPr>
        <w:t> </w:t>
      </w:r>
      <w:r>
        <w:rPr/>
        <w:t>been</w:t>
      </w:r>
      <w:r>
        <w:rPr>
          <w:spacing w:val="-5"/>
        </w:rPr>
        <w:t> </w:t>
      </w:r>
      <w:r>
        <w:rPr/>
        <w:t>estimated</w:t>
      </w:r>
      <w:r>
        <w:rPr>
          <w:spacing w:val="-5"/>
        </w:rPr>
        <w:t> </w:t>
      </w:r>
      <w:r>
        <w:rPr/>
        <w:t>that</w:t>
      </w:r>
      <w:r>
        <w:rPr>
          <w:spacing w:val="-5"/>
        </w:rPr>
        <w:t> </w:t>
      </w:r>
      <w:r>
        <w:rPr/>
        <w:t>about 240,000 barrels of oil spill in Niger Delta each year. This spill poses a significant impact on the ecosystem</w:t>
      </w:r>
      <w:r>
        <w:rPr>
          <w:spacing w:val="-5"/>
        </w:rPr>
        <w:t> </w:t>
      </w:r>
      <w:r>
        <w:rPr/>
        <w:t>where</w:t>
      </w:r>
      <w:r>
        <w:rPr>
          <w:spacing w:val="-7"/>
        </w:rPr>
        <w:t> </w:t>
      </w:r>
      <w:r>
        <w:rPr/>
        <w:t>it</w:t>
      </w:r>
      <w:r>
        <w:rPr>
          <w:spacing w:val="-4"/>
        </w:rPr>
        <w:t> </w:t>
      </w:r>
      <w:r>
        <w:rPr/>
        <w:t>is</w:t>
      </w:r>
      <w:r>
        <w:rPr>
          <w:spacing w:val="-4"/>
        </w:rPr>
        <w:t> </w:t>
      </w:r>
      <w:r>
        <w:rPr/>
        <w:t>released.</w:t>
      </w:r>
      <w:r>
        <w:rPr>
          <w:spacing w:val="-5"/>
        </w:rPr>
        <w:t> </w:t>
      </w:r>
      <w:r>
        <w:rPr/>
        <w:t>When</w:t>
      </w:r>
      <w:r>
        <w:rPr>
          <w:spacing w:val="-5"/>
        </w:rPr>
        <w:t> </w:t>
      </w:r>
      <w:r>
        <w:rPr/>
        <w:t>populated</w:t>
      </w:r>
      <w:r>
        <w:rPr>
          <w:spacing w:val="-5"/>
        </w:rPr>
        <w:t> </w:t>
      </w:r>
      <w:r>
        <w:rPr/>
        <w:t>areas</w:t>
      </w:r>
      <w:r>
        <w:rPr>
          <w:spacing w:val="-2"/>
        </w:rPr>
        <w:t> </w:t>
      </w:r>
      <w:r>
        <w:rPr/>
        <w:t>experience</w:t>
      </w:r>
      <w:r>
        <w:rPr>
          <w:spacing w:val="-6"/>
        </w:rPr>
        <w:t> </w:t>
      </w:r>
      <w:r>
        <w:rPr/>
        <w:t>oil</w:t>
      </w:r>
      <w:r>
        <w:rPr>
          <w:spacing w:val="-4"/>
        </w:rPr>
        <w:t> </w:t>
      </w:r>
      <w:r>
        <w:rPr/>
        <w:t>spill,</w:t>
      </w:r>
      <w:r>
        <w:rPr>
          <w:spacing w:val="-4"/>
        </w:rPr>
        <w:t> </w:t>
      </w:r>
      <w:r>
        <w:rPr/>
        <w:t>it</w:t>
      </w:r>
      <w:r>
        <w:rPr>
          <w:spacing w:val="-4"/>
        </w:rPr>
        <w:t> </w:t>
      </w:r>
      <w:r>
        <w:rPr/>
        <w:t>usually</w:t>
      </w:r>
      <w:r>
        <w:rPr>
          <w:spacing w:val="-10"/>
        </w:rPr>
        <w:t> </w:t>
      </w:r>
      <w:r>
        <w:rPr/>
        <w:t>spread</w:t>
      </w:r>
      <w:r>
        <w:rPr>
          <w:spacing w:val="-5"/>
        </w:rPr>
        <w:t> </w:t>
      </w:r>
      <w:r>
        <w:rPr/>
        <w:t>over</w:t>
      </w:r>
      <w:r>
        <w:rPr>
          <w:spacing w:val="-2"/>
        </w:rPr>
        <w:t> </w:t>
      </w:r>
      <w:r>
        <w:rPr/>
        <w:t>a large</w:t>
      </w:r>
      <w:r>
        <w:rPr>
          <w:spacing w:val="-8"/>
        </w:rPr>
        <w:t> </w:t>
      </w:r>
      <w:r>
        <w:rPr/>
        <w:t>area,</w:t>
      </w:r>
      <w:r>
        <w:rPr>
          <w:spacing w:val="-10"/>
        </w:rPr>
        <w:t> </w:t>
      </w:r>
      <w:r>
        <w:rPr/>
        <w:t>destroying</w:t>
      </w:r>
      <w:r>
        <w:rPr>
          <w:spacing w:val="-10"/>
        </w:rPr>
        <w:t> </w:t>
      </w:r>
      <w:r>
        <w:rPr/>
        <w:t>crops</w:t>
      </w:r>
      <w:r>
        <w:rPr>
          <w:spacing w:val="-9"/>
        </w:rPr>
        <w:t> </w:t>
      </w:r>
      <w:r>
        <w:rPr/>
        <w:t>and</w:t>
      </w:r>
      <w:r>
        <w:rPr>
          <w:spacing w:val="-10"/>
        </w:rPr>
        <w:t> </w:t>
      </w:r>
      <w:r>
        <w:rPr/>
        <w:t>aquacultures</w:t>
      </w:r>
      <w:r>
        <w:rPr>
          <w:spacing w:val="-7"/>
        </w:rPr>
        <w:t> </w:t>
      </w:r>
      <w:r>
        <w:rPr/>
        <w:t>resulting</w:t>
      </w:r>
      <w:r>
        <w:rPr>
          <w:spacing w:val="-12"/>
        </w:rPr>
        <w:t> </w:t>
      </w:r>
      <w:r>
        <w:rPr/>
        <w:t>from</w:t>
      </w:r>
      <w:r>
        <w:rPr>
          <w:spacing w:val="-9"/>
        </w:rPr>
        <w:t> </w:t>
      </w:r>
      <w:r>
        <w:rPr/>
        <w:t>the</w:t>
      </w:r>
      <w:r>
        <w:rPr>
          <w:spacing w:val="-10"/>
        </w:rPr>
        <w:t> </w:t>
      </w:r>
      <w:r>
        <w:rPr/>
        <w:t>pollution</w:t>
      </w:r>
      <w:r>
        <w:rPr>
          <w:spacing w:val="-10"/>
        </w:rPr>
        <w:t> </w:t>
      </w:r>
      <w:r>
        <w:rPr/>
        <w:t>of</w:t>
      </w:r>
      <w:r>
        <w:rPr>
          <w:spacing w:val="-8"/>
        </w:rPr>
        <w:t> </w:t>
      </w:r>
      <w:r>
        <w:rPr/>
        <w:t>soil</w:t>
      </w:r>
      <w:r>
        <w:rPr>
          <w:spacing w:val="-9"/>
        </w:rPr>
        <w:t> </w:t>
      </w:r>
      <w:r>
        <w:rPr/>
        <w:t>and</w:t>
      </w:r>
      <w:r>
        <w:rPr>
          <w:spacing w:val="-7"/>
        </w:rPr>
        <w:t> </w:t>
      </w:r>
      <w:r>
        <w:rPr/>
        <w:t>groundwater. In</w:t>
      </w:r>
      <w:r>
        <w:rPr>
          <w:spacing w:val="-9"/>
        </w:rPr>
        <w:t> </w:t>
      </w:r>
      <w:r>
        <w:rPr/>
        <w:t>communities</w:t>
      </w:r>
      <w:r>
        <w:rPr>
          <w:spacing w:val="-7"/>
        </w:rPr>
        <w:t> </w:t>
      </w:r>
      <w:r>
        <w:rPr/>
        <w:t>where</w:t>
      </w:r>
      <w:r>
        <w:rPr>
          <w:spacing w:val="-9"/>
        </w:rPr>
        <w:t> </w:t>
      </w:r>
      <w:r>
        <w:rPr/>
        <w:t>agricultural</w:t>
      </w:r>
      <w:r>
        <w:rPr>
          <w:spacing w:val="-6"/>
        </w:rPr>
        <w:t> </w:t>
      </w:r>
      <w:r>
        <w:rPr/>
        <w:t>activities</w:t>
      </w:r>
      <w:r>
        <w:rPr>
          <w:spacing w:val="-7"/>
        </w:rPr>
        <w:t> </w:t>
      </w:r>
      <w:r>
        <w:rPr/>
        <w:t>are</w:t>
      </w:r>
      <w:r>
        <w:rPr>
          <w:spacing w:val="-9"/>
        </w:rPr>
        <w:t> </w:t>
      </w:r>
      <w:r>
        <w:rPr/>
        <w:t>carried</w:t>
      </w:r>
      <w:r>
        <w:rPr>
          <w:spacing w:val="-8"/>
        </w:rPr>
        <w:t> </w:t>
      </w:r>
      <w:r>
        <w:rPr/>
        <w:t>out,</w:t>
      </w:r>
      <w:r>
        <w:rPr>
          <w:spacing w:val="-6"/>
        </w:rPr>
        <w:t> </w:t>
      </w:r>
      <w:r>
        <w:rPr/>
        <w:t>usually</w:t>
      </w:r>
      <w:r>
        <w:rPr>
          <w:spacing w:val="-14"/>
        </w:rPr>
        <w:t> </w:t>
      </w:r>
      <w:r>
        <w:rPr/>
        <w:t>a</w:t>
      </w:r>
      <w:r>
        <w:rPr>
          <w:spacing w:val="-3"/>
        </w:rPr>
        <w:t> </w:t>
      </w:r>
      <w:r>
        <w:rPr/>
        <w:t>year’s</w:t>
      </w:r>
      <w:r>
        <w:rPr>
          <w:spacing w:val="-5"/>
        </w:rPr>
        <w:t> </w:t>
      </w:r>
      <w:r>
        <w:rPr/>
        <w:t>supply</w:t>
      </w:r>
      <w:r>
        <w:rPr>
          <w:spacing w:val="-13"/>
        </w:rPr>
        <w:t> </w:t>
      </w:r>
      <w:r>
        <w:rPr/>
        <w:t>of</w:t>
      </w:r>
      <w:r>
        <w:rPr>
          <w:spacing w:val="-8"/>
        </w:rPr>
        <w:t> </w:t>
      </w:r>
      <w:r>
        <w:rPr/>
        <w:t>food</w:t>
      </w:r>
      <w:r>
        <w:rPr>
          <w:spacing w:val="-8"/>
        </w:rPr>
        <w:t> </w:t>
      </w:r>
      <w:r>
        <w:rPr/>
        <w:t>can</w:t>
      </w:r>
      <w:r>
        <w:rPr>
          <w:spacing w:val="-6"/>
        </w:rPr>
        <w:t> </w:t>
      </w:r>
      <w:r>
        <w:rPr>
          <w:spacing w:val="-5"/>
        </w:rPr>
        <w:t>be</w:t>
      </w:r>
    </w:p>
    <w:p>
      <w:pPr>
        <w:spacing w:after="0" w:line="480" w:lineRule="auto"/>
        <w:jc w:val="both"/>
        <w:sectPr>
          <w:pgSz w:w="12240" w:h="15840"/>
          <w:pgMar w:header="0" w:footer="1015" w:top="1360" w:bottom="1200" w:left="1320" w:right="1320"/>
        </w:sectPr>
      </w:pPr>
    </w:p>
    <w:p>
      <w:pPr>
        <w:pStyle w:val="BodyText"/>
        <w:spacing w:line="480" w:lineRule="auto" w:before="72"/>
        <w:ind w:left="120" w:right="115"/>
        <w:jc w:val="both"/>
      </w:pPr>
      <w:r>
        <w:rPr/>
        <w:drawing>
          <wp:anchor distT="0" distB="0" distL="0" distR="0" allowOverlap="1" layoutInCell="1" locked="0" behindDoc="0" simplePos="0" relativeHeight="0">
            <wp:simplePos x="0" y="0"/>
            <wp:positionH relativeFrom="page">
              <wp:posOffset>934211</wp:posOffset>
            </wp:positionH>
            <wp:positionV relativeFrom="paragraph">
              <wp:posOffset>2504479</wp:posOffset>
            </wp:positionV>
            <wp:extent cx="5842695" cy="3927157"/>
            <wp:effectExtent l="0" t="0" r="0" b="0"/>
            <wp:wrapTopAndBottom/>
            <wp:docPr id="1" name="image1.jpeg" descr="download.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842695" cy="3927157"/>
                    </a:xfrm>
                    <a:prstGeom prst="rect">
                      <a:avLst/>
                    </a:prstGeom>
                  </pic:spPr>
                </pic:pic>
              </a:graphicData>
            </a:graphic>
          </wp:anchor>
        </w:drawing>
      </w:r>
      <w:r>
        <w:rPr/>
        <w:t>destroyed</w:t>
      </w:r>
      <w:r>
        <w:rPr>
          <w:spacing w:val="-3"/>
        </w:rPr>
        <w:t> </w:t>
      </w:r>
      <w:r>
        <w:rPr/>
        <w:t>instantaneously</w:t>
      </w:r>
      <w:r>
        <w:rPr>
          <w:spacing w:val="-6"/>
        </w:rPr>
        <w:t> </w:t>
      </w:r>
      <w:r>
        <w:rPr/>
        <w:t>following</w:t>
      </w:r>
      <w:r>
        <w:rPr>
          <w:spacing w:val="-6"/>
        </w:rPr>
        <w:t> </w:t>
      </w:r>
      <w:r>
        <w:rPr/>
        <w:t>a</w:t>
      </w:r>
      <w:r>
        <w:rPr>
          <w:spacing w:val="-4"/>
        </w:rPr>
        <w:t> </w:t>
      </w:r>
      <w:r>
        <w:rPr/>
        <w:t>minor</w:t>
      </w:r>
      <w:r>
        <w:rPr>
          <w:spacing w:val="-3"/>
        </w:rPr>
        <w:t> </w:t>
      </w:r>
      <w:r>
        <w:rPr/>
        <w:t>leak</w:t>
      </w:r>
      <w:r>
        <w:rPr>
          <w:spacing w:val="-3"/>
        </w:rPr>
        <w:t> </w:t>
      </w:r>
      <w:r>
        <w:rPr/>
        <w:t>in</w:t>
      </w:r>
      <w:r>
        <w:rPr>
          <w:spacing w:val="-3"/>
        </w:rPr>
        <w:t> </w:t>
      </w:r>
      <w:r>
        <w:rPr/>
        <w:t>pipes</w:t>
      </w:r>
      <w:r>
        <w:rPr>
          <w:spacing w:val="-3"/>
        </w:rPr>
        <w:t> </w:t>
      </w:r>
      <w:r>
        <w:rPr/>
        <w:t>and</w:t>
      </w:r>
      <w:r>
        <w:rPr>
          <w:spacing w:val="-3"/>
        </w:rPr>
        <w:t> </w:t>
      </w:r>
      <w:r>
        <w:rPr/>
        <w:t>storage</w:t>
      </w:r>
      <w:r>
        <w:rPr>
          <w:spacing w:val="-5"/>
        </w:rPr>
        <w:t> </w:t>
      </w:r>
      <w:r>
        <w:rPr/>
        <w:t>vessels.</w:t>
      </w:r>
      <w:r>
        <w:rPr>
          <w:spacing w:val="-1"/>
        </w:rPr>
        <w:t> </w:t>
      </w:r>
      <w:r>
        <w:rPr/>
        <w:t>In</w:t>
      </w:r>
      <w:r>
        <w:rPr>
          <w:spacing w:val="-3"/>
        </w:rPr>
        <w:t> </w:t>
      </w:r>
      <w:r>
        <w:rPr/>
        <w:t>the</w:t>
      </w:r>
      <w:r>
        <w:rPr>
          <w:spacing w:val="-3"/>
        </w:rPr>
        <w:t> </w:t>
      </w:r>
      <w:r>
        <w:rPr/>
        <w:t>Niger</w:t>
      </w:r>
      <w:r>
        <w:rPr>
          <w:spacing w:val="-3"/>
        </w:rPr>
        <w:t> </w:t>
      </w:r>
      <w:r>
        <w:rPr/>
        <w:t>Delta, the</w:t>
      </w:r>
      <w:r>
        <w:rPr>
          <w:spacing w:val="-1"/>
        </w:rPr>
        <w:t> </w:t>
      </w:r>
      <w:r>
        <w:rPr/>
        <w:t>environment is becoming</w:t>
      </w:r>
      <w:r>
        <w:rPr>
          <w:spacing w:val="-2"/>
        </w:rPr>
        <w:t> </w:t>
      </w:r>
      <w:r>
        <w:rPr/>
        <w:t>uninhabitable</w:t>
      </w:r>
      <w:r>
        <w:rPr>
          <w:spacing w:val="-1"/>
        </w:rPr>
        <w:t> </w:t>
      </w:r>
      <w:r>
        <w:rPr/>
        <w:t>because</w:t>
      </w:r>
      <w:r>
        <w:rPr>
          <w:spacing w:val="-1"/>
        </w:rPr>
        <w:t> </w:t>
      </w:r>
      <w:r>
        <w:rPr/>
        <w:t>of</w:t>
      </w:r>
      <w:r>
        <w:rPr>
          <w:spacing w:val="-1"/>
        </w:rPr>
        <w:t> </w:t>
      </w:r>
      <w:r>
        <w:rPr/>
        <w:t>the careless way</w:t>
      </w:r>
      <w:r>
        <w:rPr>
          <w:spacing w:val="-4"/>
        </w:rPr>
        <w:t> </w:t>
      </w:r>
      <w:r>
        <w:rPr/>
        <w:t>oil operations are</w:t>
      </w:r>
      <w:r>
        <w:rPr>
          <w:spacing w:val="-1"/>
        </w:rPr>
        <w:t> </w:t>
      </w:r>
      <w:r>
        <w:rPr/>
        <w:t>carried out, which affects people’s health causing skin lesions, problems in breathing and loss of access to</w:t>
      </w:r>
      <w:r>
        <w:rPr>
          <w:spacing w:val="-3"/>
        </w:rPr>
        <w:t> </w:t>
      </w:r>
      <w:r>
        <w:rPr/>
        <w:t>food,</w:t>
      </w:r>
      <w:r>
        <w:rPr>
          <w:spacing w:val="-3"/>
        </w:rPr>
        <w:t> </w:t>
      </w:r>
      <w:r>
        <w:rPr/>
        <w:t>clean</w:t>
      </w:r>
      <w:r>
        <w:rPr>
          <w:spacing w:val="-3"/>
        </w:rPr>
        <w:t> </w:t>
      </w:r>
      <w:r>
        <w:rPr/>
        <w:t>water</w:t>
      </w:r>
      <w:r>
        <w:rPr>
          <w:spacing w:val="-2"/>
        </w:rPr>
        <w:t> </w:t>
      </w:r>
      <w:r>
        <w:rPr/>
        <w:t>and</w:t>
      </w:r>
      <w:r>
        <w:rPr>
          <w:spacing w:val="-1"/>
        </w:rPr>
        <w:t> </w:t>
      </w:r>
      <w:r>
        <w:rPr/>
        <w:t>other</w:t>
      </w:r>
      <w:r>
        <w:rPr>
          <w:spacing w:val="-5"/>
        </w:rPr>
        <w:t> </w:t>
      </w:r>
      <w:r>
        <w:rPr/>
        <w:t>basic</w:t>
      </w:r>
      <w:r>
        <w:rPr>
          <w:spacing w:val="-4"/>
        </w:rPr>
        <w:t> </w:t>
      </w:r>
      <w:r>
        <w:rPr/>
        <w:t>human</w:t>
      </w:r>
      <w:r>
        <w:rPr>
          <w:spacing w:val="-1"/>
        </w:rPr>
        <w:t> </w:t>
      </w:r>
      <w:r>
        <w:rPr/>
        <w:t>rights.</w:t>
      </w:r>
      <w:r>
        <w:rPr>
          <w:spacing w:val="-1"/>
        </w:rPr>
        <w:t> </w:t>
      </w:r>
      <w:r>
        <w:rPr/>
        <w:t>A</w:t>
      </w:r>
      <w:r>
        <w:rPr>
          <w:spacing w:val="-4"/>
        </w:rPr>
        <w:t> </w:t>
      </w:r>
      <w:r>
        <w:rPr/>
        <w:t>study</w:t>
      </w:r>
      <w:r>
        <w:rPr>
          <w:spacing w:val="-6"/>
        </w:rPr>
        <w:t> </w:t>
      </w:r>
      <w:r>
        <w:rPr/>
        <w:t>conducted</w:t>
      </w:r>
      <w:r>
        <w:rPr>
          <w:spacing w:val="-3"/>
        </w:rPr>
        <w:t> </w:t>
      </w:r>
      <w:r>
        <w:rPr/>
        <w:t>in</w:t>
      </w:r>
      <w:r>
        <w:rPr>
          <w:spacing w:val="-3"/>
        </w:rPr>
        <w:t> </w:t>
      </w:r>
      <w:r>
        <w:rPr/>
        <w:t>Switzerland’s</w:t>
      </w:r>
      <w:r>
        <w:rPr>
          <w:spacing w:val="-3"/>
        </w:rPr>
        <w:t> </w:t>
      </w:r>
      <w:r>
        <w:rPr/>
        <w:t>University of</w:t>
      </w:r>
      <w:r>
        <w:rPr>
          <w:spacing w:val="-1"/>
        </w:rPr>
        <w:t> </w:t>
      </w:r>
      <w:r>
        <w:rPr/>
        <w:t>Saint</w:t>
      </w:r>
      <w:r>
        <w:rPr>
          <w:spacing w:val="-1"/>
        </w:rPr>
        <w:t> </w:t>
      </w:r>
      <w:r>
        <w:rPr/>
        <w:t>Gallen</w:t>
      </w:r>
      <w:r>
        <w:rPr>
          <w:spacing w:val="-1"/>
        </w:rPr>
        <w:t> </w:t>
      </w:r>
      <w:r>
        <w:rPr/>
        <w:t>revealed</w:t>
      </w:r>
      <w:r>
        <w:rPr>
          <w:spacing w:val="-1"/>
        </w:rPr>
        <w:t> </w:t>
      </w:r>
      <w:r>
        <w:rPr/>
        <w:t>that</w:t>
      </w:r>
      <w:r>
        <w:rPr>
          <w:spacing w:val="-1"/>
        </w:rPr>
        <w:t> </w:t>
      </w:r>
      <w:r>
        <w:rPr/>
        <w:t>a</w:t>
      </w:r>
      <w:r>
        <w:rPr>
          <w:spacing w:val="-1"/>
        </w:rPr>
        <w:t> </w:t>
      </w:r>
      <w:r>
        <w:rPr/>
        <w:t>baby</w:t>
      </w:r>
      <w:r>
        <w:rPr>
          <w:spacing w:val="-4"/>
        </w:rPr>
        <w:t> </w:t>
      </w:r>
      <w:r>
        <w:rPr/>
        <w:t>born</w:t>
      </w:r>
      <w:r>
        <w:rPr>
          <w:spacing w:val="-2"/>
        </w:rPr>
        <w:t> </w:t>
      </w:r>
      <w:r>
        <w:rPr/>
        <w:t>in</w:t>
      </w:r>
      <w:r>
        <w:rPr>
          <w:spacing w:val="-1"/>
        </w:rPr>
        <w:t> </w:t>
      </w:r>
      <w:r>
        <w:rPr/>
        <w:t>the Niger</w:t>
      </w:r>
      <w:r>
        <w:rPr>
          <w:spacing w:val="-1"/>
        </w:rPr>
        <w:t> </w:t>
      </w:r>
      <w:r>
        <w:rPr/>
        <w:t>Delta</w:t>
      </w:r>
      <w:r>
        <w:rPr>
          <w:spacing w:val="-2"/>
        </w:rPr>
        <w:t> </w:t>
      </w:r>
      <w:r>
        <w:rPr/>
        <w:t>region</w:t>
      </w:r>
      <w:r>
        <w:rPr>
          <w:spacing w:val="-1"/>
        </w:rPr>
        <w:t> </w:t>
      </w:r>
      <w:r>
        <w:rPr/>
        <w:t>is</w:t>
      </w:r>
      <w:r>
        <w:rPr>
          <w:spacing w:val="-1"/>
        </w:rPr>
        <w:t> </w:t>
      </w:r>
      <w:r>
        <w:rPr/>
        <w:t>twice as</w:t>
      </w:r>
      <w:r>
        <w:rPr>
          <w:spacing w:val="-1"/>
        </w:rPr>
        <w:t> </w:t>
      </w:r>
      <w:r>
        <w:rPr/>
        <w:t>likely</w:t>
      </w:r>
      <w:r>
        <w:rPr>
          <w:spacing w:val="-6"/>
        </w:rPr>
        <w:t> </w:t>
      </w:r>
      <w:r>
        <w:rPr/>
        <w:t>to</w:t>
      </w:r>
      <w:r>
        <w:rPr>
          <w:spacing w:val="-1"/>
        </w:rPr>
        <w:t> </w:t>
      </w:r>
      <w:r>
        <w:rPr/>
        <w:t>die</w:t>
      </w:r>
      <w:r>
        <w:rPr>
          <w:spacing w:val="-2"/>
        </w:rPr>
        <w:t> </w:t>
      </w:r>
      <w:r>
        <w:rPr/>
        <w:t>during the first month of life, if the mother was living in an oil spill area before becoming pregnant (Ridgwell, 2017).</w:t>
      </w:r>
    </w:p>
    <w:p>
      <w:pPr>
        <w:pStyle w:val="BodyText"/>
        <w:spacing w:before="2"/>
        <w:rPr>
          <w:sz w:val="23"/>
        </w:rPr>
      </w:pPr>
    </w:p>
    <w:p>
      <w:pPr>
        <w:pStyle w:val="Heading2"/>
        <w:ind w:left="120" w:firstLine="0"/>
        <w:rPr>
          <w:b w:val="0"/>
        </w:rPr>
      </w:pPr>
      <w:r>
        <w:rPr/>
        <w:t>Figure</w:t>
      </w:r>
      <w:r>
        <w:rPr>
          <w:spacing w:val="-7"/>
        </w:rPr>
        <w:t> </w:t>
      </w:r>
      <w:r>
        <w:rPr/>
        <w:t>2.1:</w:t>
      </w:r>
      <w:r>
        <w:rPr>
          <w:spacing w:val="-4"/>
        </w:rPr>
        <w:t> </w:t>
      </w:r>
      <w:r>
        <w:rPr/>
        <w:t>Photographic</w:t>
      </w:r>
      <w:r>
        <w:rPr>
          <w:spacing w:val="-6"/>
        </w:rPr>
        <w:t> </w:t>
      </w:r>
      <w:r>
        <w:rPr/>
        <w:t>representation</w:t>
      </w:r>
      <w:r>
        <w:rPr>
          <w:spacing w:val="-4"/>
        </w:rPr>
        <w:t> </w:t>
      </w:r>
      <w:r>
        <w:rPr/>
        <w:t>of</w:t>
      </w:r>
      <w:r>
        <w:rPr>
          <w:spacing w:val="-5"/>
        </w:rPr>
        <w:t> </w:t>
      </w:r>
      <w:r>
        <w:rPr/>
        <w:t>oil</w:t>
      </w:r>
      <w:r>
        <w:rPr>
          <w:spacing w:val="-5"/>
        </w:rPr>
        <w:t> </w:t>
      </w:r>
      <w:r>
        <w:rPr/>
        <w:t>spill</w:t>
      </w:r>
      <w:r>
        <w:rPr>
          <w:spacing w:val="-1"/>
        </w:rPr>
        <w:t> </w:t>
      </w:r>
      <w:r>
        <w:rPr>
          <w:b w:val="0"/>
        </w:rPr>
        <w:t>(Ayuba,</w:t>
      </w:r>
      <w:r>
        <w:rPr>
          <w:b w:val="0"/>
          <w:spacing w:val="-5"/>
        </w:rPr>
        <w:t> </w:t>
      </w:r>
      <w:r>
        <w:rPr>
          <w:b w:val="0"/>
          <w:spacing w:val="-2"/>
        </w:rPr>
        <w:t>2012)</w:t>
      </w:r>
    </w:p>
    <w:p>
      <w:pPr>
        <w:pStyle w:val="BodyText"/>
        <w:rPr>
          <w:sz w:val="26"/>
        </w:rPr>
      </w:pPr>
    </w:p>
    <w:p>
      <w:pPr>
        <w:pStyle w:val="BodyText"/>
        <w:spacing w:line="480" w:lineRule="auto" w:before="175"/>
        <w:ind w:left="120" w:right="118"/>
        <w:jc w:val="both"/>
      </w:pPr>
      <w:r>
        <w:rPr/>
        <w:t>The health and livelihood of people inhabiting nearby communities where gas flares occur are greatly affected because gas flares posses potentially harmful effect due to the poisonous gases such</w:t>
      </w:r>
      <w:r>
        <w:rPr>
          <w:spacing w:val="49"/>
        </w:rPr>
        <w:t> </w:t>
      </w:r>
      <w:r>
        <w:rPr/>
        <w:t>as</w:t>
      </w:r>
      <w:r>
        <w:rPr>
          <w:spacing w:val="49"/>
        </w:rPr>
        <w:t> </w:t>
      </w:r>
      <w:r>
        <w:rPr/>
        <w:t>nitrogen</w:t>
      </w:r>
      <w:r>
        <w:rPr>
          <w:spacing w:val="49"/>
        </w:rPr>
        <w:t> </w:t>
      </w:r>
      <w:r>
        <w:rPr/>
        <w:t>(IV)</w:t>
      </w:r>
      <w:r>
        <w:rPr>
          <w:spacing w:val="46"/>
        </w:rPr>
        <w:t> </w:t>
      </w:r>
      <w:r>
        <w:rPr/>
        <w:t>oxides,</w:t>
      </w:r>
      <w:r>
        <w:rPr>
          <w:spacing w:val="48"/>
        </w:rPr>
        <w:t> </w:t>
      </w:r>
      <w:r>
        <w:rPr/>
        <w:t>sulphur</w:t>
      </w:r>
      <w:r>
        <w:rPr>
          <w:spacing w:val="49"/>
        </w:rPr>
        <w:t> </w:t>
      </w:r>
      <w:r>
        <w:rPr/>
        <w:t>(IV)</w:t>
      </w:r>
      <w:r>
        <w:rPr>
          <w:spacing w:val="51"/>
        </w:rPr>
        <w:t> </w:t>
      </w:r>
      <w:r>
        <w:rPr/>
        <w:t>oxide,</w:t>
      </w:r>
      <w:r>
        <w:rPr>
          <w:spacing w:val="49"/>
        </w:rPr>
        <w:t> </w:t>
      </w:r>
      <w:r>
        <w:rPr/>
        <w:t>volatile</w:t>
      </w:r>
      <w:r>
        <w:rPr>
          <w:spacing w:val="48"/>
        </w:rPr>
        <w:t> </w:t>
      </w:r>
      <w:r>
        <w:rPr/>
        <w:t>organic</w:t>
      </w:r>
      <w:r>
        <w:rPr>
          <w:spacing w:val="50"/>
        </w:rPr>
        <w:t> </w:t>
      </w:r>
      <w:r>
        <w:rPr/>
        <w:t>compounds</w:t>
      </w:r>
      <w:r>
        <w:rPr>
          <w:spacing w:val="50"/>
        </w:rPr>
        <w:t> </w:t>
      </w:r>
      <w:r>
        <w:rPr/>
        <w:t>like</w:t>
      </w:r>
      <w:r>
        <w:rPr>
          <w:spacing w:val="48"/>
        </w:rPr>
        <w:t> </w:t>
      </w:r>
      <w:r>
        <w:rPr>
          <w:spacing w:val="-2"/>
        </w:rPr>
        <w:t>benzene,</w:t>
      </w:r>
    </w:p>
    <w:p>
      <w:pPr>
        <w:spacing w:after="0" w:line="480" w:lineRule="auto"/>
        <w:jc w:val="both"/>
        <w:sectPr>
          <w:pgSz w:w="12240" w:h="15840"/>
          <w:pgMar w:header="0" w:footer="1015" w:top="1360" w:bottom="1200" w:left="1320" w:right="1320"/>
        </w:sectPr>
      </w:pPr>
    </w:p>
    <w:p>
      <w:pPr>
        <w:pStyle w:val="BodyText"/>
        <w:spacing w:line="480" w:lineRule="auto" w:before="72"/>
        <w:ind w:left="120" w:right="123"/>
        <w:jc w:val="both"/>
      </w:pPr>
      <w:r>
        <w:rPr/>
        <w:t>toluene,</w:t>
      </w:r>
      <w:r>
        <w:rPr>
          <w:spacing w:val="-1"/>
        </w:rPr>
        <w:t> </w:t>
      </w:r>
      <w:r>
        <w:rPr/>
        <w:t>xylene, and</w:t>
      </w:r>
      <w:r>
        <w:rPr>
          <w:spacing w:val="-1"/>
        </w:rPr>
        <w:t> </w:t>
      </w:r>
      <w:r>
        <w:rPr/>
        <w:t>hydrogen sulphide,</w:t>
      </w:r>
      <w:r>
        <w:rPr>
          <w:spacing w:val="-2"/>
        </w:rPr>
        <w:t> </w:t>
      </w:r>
      <w:r>
        <w:rPr/>
        <w:t>as well as carcinogens</w:t>
      </w:r>
      <w:r>
        <w:rPr>
          <w:spacing w:val="-1"/>
        </w:rPr>
        <w:t> </w:t>
      </w:r>
      <w:r>
        <w:rPr/>
        <w:t>like benzapyrene and</w:t>
      </w:r>
      <w:r>
        <w:rPr>
          <w:spacing w:val="-1"/>
        </w:rPr>
        <w:t> </w:t>
      </w:r>
      <w:r>
        <w:rPr/>
        <w:t>dioxins</w:t>
      </w:r>
      <w:r>
        <w:rPr>
          <w:spacing w:val="-1"/>
        </w:rPr>
        <w:t> </w:t>
      </w:r>
      <w:r>
        <w:rPr/>
        <w:t>that were</w:t>
      </w:r>
      <w:r>
        <w:rPr/>
        <w:t> released. These chemicals cause difficulties in breathing and pain, as well as chronic bronchitis, leukemia and other blood related diseases (Ayuba, 2012).</w:t>
      </w:r>
    </w:p>
    <w:p>
      <w:pPr>
        <w:pStyle w:val="BodyText"/>
        <w:rPr>
          <w:sz w:val="26"/>
        </w:rPr>
      </w:pPr>
    </w:p>
    <w:p>
      <w:pPr>
        <w:pStyle w:val="Heading2"/>
        <w:numPr>
          <w:ilvl w:val="1"/>
          <w:numId w:val="3"/>
        </w:numPr>
        <w:tabs>
          <w:tab w:pos="841" w:val="left" w:leader="none"/>
        </w:tabs>
        <w:spacing w:line="240" w:lineRule="auto" w:before="186" w:after="0"/>
        <w:ind w:left="840" w:right="0" w:hanging="721"/>
        <w:jc w:val="both"/>
      </w:pPr>
      <w:r>
        <w:rPr/>
        <w:t>Petroleum</w:t>
      </w:r>
      <w:r>
        <w:rPr>
          <w:spacing w:val="-6"/>
        </w:rPr>
        <w:t> </w:t>
      </w:r>
      <w:r>
        <w:rPr>
          <w:spacing w:val="-2"/>
        </w:rPr>
        <w:t>Hydrocarbon</w:t>
      </w:r>
    </w:p>
    <w:p>
      <w:pPr>
        <w:pStyle w:val="BodyText"/>
        <w:spacing w:before="7"/>
        <w:rPr>
          <w:b/>
          <w:sz w:val="23"/>
        </w:rPr>
      </w:pPr>
    </w:p>
    <w:p>
      <w:pPr>
        <w:pStyle w:val="BodyText"/>
        <w:spacing w:line="480" w:lineRule="auto"/>
        <w:ind w:left="120" w:right="117"/>
        <w:jc w:val="both"/>
      </w:pPr>
      <w:r>
        <w:rPr/>
        <w:t>Hydrocarbons, sometimes referred to as petroleum hydrocarbons (PHs) are important source of energy</w:t>
      </w:r>
      <w:r>
        <w:rPr>
          <w:spacing w:val="-3"/>
        </w:rPr>
        <w:t> </w:t>
      </w:r>
      <w:r>
        <w:rPr/>
        <w:t>and feedstock for many</w:t>
      </w:r>
      <w:r>
        <w:rPr>
          <w:spacing w:val="-3"/>
        </w:rPr>
        <w:t> </w:t>
      </w:r>
      <w:r>
        <w:rPr/>
        <w:t>industries (Varjani and Upasani, 2016). When PHs are</w:t>
      </w:r>
      <w:r>
        <w:rPr>
          <w:spacing w:val="-1"/>
        </w:rPr>
        <w:t> </w:t>
      </w:r>
      <w:r>
        <w:rPr/>
        <w:t>utilized as source</w:t>
      </w:r>
      <w:r>
        <w:rPr>
          <w:spacing w:val="-6"/>
        </w:rPr>
        <w:t> </w:t>
      </w:r>
      <w:r>
        <w:rPr/>
        <w:t>of</w:t>
      </w:r>
      <w:r>
        <w:rPr>
          <w:spacing w:val="-6"/>
        </w:rPr>
        <w:t> </w:t>
      </w:r>
      <w:r>
        <w:rPr/>
        <w:t>energy,</w:t>
      </w:r>
      <w:r>
        <w:rPr>
          <w:spacing w:val="-5"/>
        </w:rPr>
        <w:t> </w:t>
      </w:r>
      <w:r>
        <w:rPr/>
        <w:t>they</w:t>
      </w:r>
      <w:r>
        <w:rPr>
          <w:spacing w:val="-10"/>
        </w:rPr>
        <w:t> </w:t>
      </w:r>
      <w:r>
        <w:rPr/>
        <w:t>cause</w:t>
      </w:r>
      <w:r>
        <w:rPr>
          <w:spacing w:val="-6"/>
        </w:rPr>
        <w:t> </w:t>
      </w:r>
      <w:r>
        <w:rPr/>
        <w:t>a</w:t>
      </w:r>
      <w:r>
        <w:rPr>
          <w:spacing w:val="-6"/>
        </w:rPr>
        <w:t> </w:t>
      </w:r>
      <w:r>
        <w:rPr/>
        <w:t>lot</w:t>
      </w:r>
      <w:r>
        <w:rPr>
          <w:spacing w:val="-4"/>
        </w:rPr>
        <w:t> </w:t>
      </w:r>
      <w:r>
        <w:rPr/>
        <w:t>of</w:t>
      </w:r>
      <w:r>
        <w:rPr>
          <w:spacing w:val="-6"/>
        </w:rPr>
        <w:t> </w:t>
      </w:r>
      <w:r>
        <w:rPr/>
        <w:t>threat</w:t>
      </w:r>
      <w:r>
        <w:rPr>
          <w:spacing w:val="-4"/>
        </w:rPr>
        <w:t> </w:t>
      </w:r>
      <w:r>
        <w:rPr/>
        <w:t>in</w:t>
      </w:r>
      <w:r>
        <w:rPr>
          <w:spacing w:val="-7"/>
        </w:rPr>
        <w:t> </w:t>
      </w:r>
      <w:r>
        <w:rPr/>
        <w:t>the</w:t>
      </w:r>
      <w:r>
        <w:rPr>
          <w:spacing w:val="-5"/>
        </w:rPr>
        <w:t> </w:t>
      </w:r>
      <w:r>
        <w:rPr/>
        <w:t>environment.</w:t>
      </w:r>
      <w:r>
        <w:rPr>
          <w:spacing w:val="-4"/>
        </w:rPr>
        <w:t> </w:t>
      </w:r>
      <w:r>
        <w:rPr/>
        <w:t>They</w:t>
      </w:r>
      <w:r>
        <w:rPr>
          <w:spacing w:val="-10"/>
        </w:rPr>
        <w:t> </w:t>
      </w:r>
      <w:r>
        <w:rPr/>
        <w:t>are</w:t>
      </w:r>
      <w:r>
        <w:rPr>
          <w:spacing w:val="-6"/>
        </w:rPr>
        <w:t> </w:t>
      </w:r>
      <w:r>
        <w:rPr/>
        <w:t>the</w:t>
      </w:r>
      <w:r>
        <w:rPr>
          <w:spacing w:val="-5"/>
        </w:rPr>
        <w:t> </w:t>
      </w:r>
      <w:r>
        <w:rPr/>
        <w:t>main</w:t>
      </w:r>
      <w:r>
        <w:rPr>
          <w:spacing w:val="-5"/>
        </w:rPr>
        <w:t> </w:t>
      </w:r>
      <w:r>
        <w:rPr/>
        <w:t>pollutants</w:t>
      </w:r>
      <w:r>
        <w:rPr>
          <w:spacing w:val="-5"/>
        </w:rPr>
        <w:t> </w:t>
      </w:r>
      <w:r>
        <w:rPr/>
        <w:t>of</w:t>
      </w:r>
      <w:r>
        <w:rPr>
          <w:spacing w:val="-6"/>
        </w:rPr>
        <w:t> </w:t>
      </w:r>
      <w:r>
        <w:rPr/>
        <w:t>the environment usually</w:t>
      </w:r>
      <w:r>
        <w:rPr>
          <w:spacing w:val="-3"/>
        </w:rPr>
        <w:t> </w:t>
      </w:r>
      <w:r>
        <w:rPr/>
        <w:t>arising from accidental spillage, offshore oil production, refining of oil, and burning of fossil fuel (Arulazhagan </w:t>
      </w:r>
      <w:r>
        <w:rPr>
          <w:i/>
        </w:rPr>
        <w:t>et al</w:t>
      </w:r>
      <w:r>
        <w:rPr/>
        <w:t>., 2010). Human activities, such as waste waters from homes and that, released by industries, cause PHs pollution which have negative effect in the environment and constitutes direct and indirect health problems to living</w:t>
      </w:r>
      <w:r>
        <w:rPr>
          <w:spacing w:val="-1"/>
        </w:rPr>
        <w:t> </w:t>
      </w:r>
      <w:r>
        <w:rPr/>
        <w:t>organisms (Sajna </w:t>
      </w:r>
      <w:r>
        <w:rPr>
          <w:i/>
        </w:rPr>
        <w:t>et al</w:t>
      </w:r>
      <w:r>
        <w:rPr/>
        <w:t>., 2015). PHs are usually</w:t>
      </w:r>
      <w:r>
        <w:rPr>
          <w:spacing w:val="-3"/>
        </w:rPr>
        <w:t> </w:t>
      </w:r>
      <w:r>
        <w:rPr/>
        <w:t>classified as priority</w:t>
      </w:r>
      <w:r>
        <w:rPr>
          <w:spacing w:val="-5"/>
        </w:rPr>
        <w:t> </w:t>
      </w:r>
      <w:r>
        <w:rPr/>
        <w:t>pollutants because their compounds are highly</w:t>
      </w:r>
      <w:r>
        <w:rPr>
          <w:spacing w:val="-5"/>
        </w:rPr>
        <w:t> </w:t>
      </w:r>
      <w:r>
        <w:rPr/>
        <w:t>toxic. Therefore, when an accidental leakage occurs, its recovery or removal from the site is usually facilitated</w:t>
      </w:r>
      <w:r>
        <w:rPr>
          <w:spacing w:val="-8"/>
        </w:rPr>
        <w:t> </w:t>
      </w:r>
      <w:r>
        <w:rPr/>
        <w:t>but</w:t>
      </w:r>
      <w:r>
        <w:rPr>
          <w:spacing w:val="-7"/>
        </w:rPr>
        <w:t> </w:t>
      </w:r>
      <w:r>
        <w:rPr/>
        <w:t>spillage</w:t>
      </w:r>
      <w:r>
        <w:rPr>
          <w:spacing w:val="-6"/>
        </w:rPr>
        <w:t> </w:t>
      </w:r>
      <w:r>
        <w:rPr/>
        <w:t>found</w:t>
      </w:r>
      <w:r>
        <w:rPr>
          <w:spacing w:val="-7"/>
        </w:rPr>
        <w:t> </w:t>
      </w:r>
      <w:r>
        <w:rPr/>
        <w:t>in</w:t>
      </w:r>
      <w:r>
        <w:rPr>
          <w:spacing w:val="-7"/>
        </w:rPr>
        <w:t> </w:t>
      </w:r>
      <w:r>
        <w:rPr/>
        <w:t>petrol</w:t>
      </w:r>
      <w:r>
        <w:rPr>
          <w:spacing w:val="-7"/>
        </w:rPr>
        <w:t> </w:t>
      </w:r>
      <w:r>
        <w:rPr/>
        <w:t>stations</w:t>
      </w:r>
      <w:r>
        <w:rPr>
          <w:spacing w:val="-7"/>
        </w:rPr>
        <w:t> </w:t>
      </w:r>
      <w:r>
        <w:rPr/>
        <w:t>is</w:t>
      </w:r>
      <w:r>
        <w:rPr>
          <w:spacing w:val="-7"/>
        </w:rPr>
        <w:t> </w:t>
      </w:r>
      <w:r>
        <w:rPr/>
        <w:t>neglected</w:t>
      </w:r>
      <w:r>
        <w:rPr>
          <w:spacing w:val="-5"/>
        </w:rPr>
        <w:t> </w:t>
      </w:r>
      <w:r>
        <w:rPr/>
        <w:t>and</w:t>
      </w:r>
      <w:r>
        <w:rPr>
          <w:spacing w:val="-7"/>
        </w:rPr>
        <w:t> </w:t>
      </w:r>
      <w:r>
        <w:rPr/>
        <w:t>persists</w:t>
      </w:r>
      <w:r>
        <w:rPr>
          <w:spacing w:val="-7"/>
        </w:rPr>
        <w:t> </w:t>
      </w:r>
      <w:r>
        <w:rPr/>
        <w:t>due</w:t>
      </w:r>
      <w:r>
        <w:rPr>
          <w:spacing w:val="-6"/>
        </w:rPr>
        <w:t> </w:t>
      </w:r>
      <w:r>
        <w:rPr/>
        <w:t>to</w:t>
      </w:r>
      <w:r>
        <w:rPr>
          <w:spacing w:val="-7"/>
        </w:rPr>
        <w:t> </w:t>
      </w:r>
      <w:r>
        <w:rPr/>
        <w:t>the</w:t>
      </w:r>
      <w:r>
        <w:rPr>
          <w:spacing w:val="-8"/>
        </w:rPr>
        <w:t> </w:t>
      </w:r>
      <w:r>
        <w:rPr/>
        <w:t>small</w:t>
      </w:r>
      <w:r>
        <w:rPr>
          <w:spacing w:val="-7"/>
        </w:rPr>
        <w:t> </w:t>
      </w:r>
      <w:r>
        <w:rPr/>
        <w:t>amount</w:t>
      </w:r>
      <w:r>
        <w:rPr>
          <w:spacing w:val="-7"/>
        </w:rPr>
        <w:t> </w:t>
      </w:r>
      <w:r>
        <w:rPr/>
        <w:t>of leakage (Costa </w:t>
      </w:r>
      <w:r>
        <w:rPr>
          <w:i/>
        </w:rPr>
        <w:t>et al</w:t>
      </w:r>
      <w:r>
        <w:rPr/>
        <w:t>., 2012).</w:t>
      </w:r>
    </w:p>
    <w:p>
      <w:pPr>
        <w:pStyle w:val="Heading2"/>
        <w:numPr>
          <w:ilvl w:val="1"/>
          <w:numId w:val="3"/>
        </w:numPr>
        <w:tabs>
          <w:tab w:pos="841" w:val="left" w:leader="none"/>
        </w:tabs>
        <w:spacing w:line="240" w:lineRule="auto" w:before="205" w:after="0"/>
        <w:ind w:left="840" w:right="0" w:hanging="721"/>
        <w:jc w:val="both"/>
      </w:pPr>
      <w:r>
        <w:rPr/>
        <w:t>Bioremediation</w:t>
      </w:r>
      <w:r>
        <w:rPr>
          <w:spacing w:val="-10"/>
        </w:rPr>
        <w:t> </w:t>
      </w:r>
      <w:r>
        <w:rPr/>
        <w:t>of</w:t>
      </w:r>
      <w:r>
        <w:rPr>
          <w:spacing w:val="-9"/>
        </w:rPr>
        <w:t> </w:t>
      </w:r>
      <w:r>
        <w:rPr/>
        <w:t>Petroleum</w:t>
      </w:r>
      <w:r>
        <w:rPr>
          <w:spacing w:val="-12"/>
        </w:rPr>
        <w:t> </w:t>
      </w:r>
      <w:r>
        <w:rPr>
          <w:spacing w:val="-2"/>
        </w:rPr>
        <w:t>Hydrocarbons</w:t>
      </w:r>
    </w:p>
    <w:p>
      <w:pPr>
        <w:pStyle w:val="BodyText"/>
        <w:spacing w:before="7"/>
        <w:rPr>
          <w:b/>
          <w:sz w:val="23"/>
        </w:rPr>
      </w:pPr>
    </w:p>
    <w:p>
      <w:pPr>
        <w:pStyle w:val="BodyText"/>
        <w:spacing w:line="480" w:lineRule="auto"/>
        <w:ind w:left="120" w:right="116"/>
        <w:jc w:val="both"/>
      </w:pPr>
      <w:r>
        <w:rPr/>
        <w:t>Petroleum hydrocarbon pollutants have become the most prevalent pollutants in the petroleum industry. The sources of this contamination mainly come from the oil spills. PHs are made up of two major components, which are, aliphatic and aromatic hydrocarbons. These components are recalcitrant</w:t>
      </w:r>
      <w:r>
        <w:rPr>
          <w:spacing w:val="-8"/>
        </w:rPr>
        <w:t> </w:t>
      </w:r>
      <w:r>
        <w:rPr/>
        <w:t>and</w:t>
      </w:r>
      <w:r>
        <w:rPr>
          <w:spacing w:val="-8"/>
        </w:rPr>
        <w:t> </w:t>
      </w:r>
      <w:r>
        <w:rPr/>
        <w:t>are</w:t>
      </w:r>
      <w:r>
        <w:rPr>
          <w:spacing w:val="-10"/>
        </w:rPr>
        <w:t> </w:t>
      </w:r>
      <w:r>
        <w:rPr/>
        <w:t>therefore</w:t>
      </w:r>
      <w:r>
        <w:rPr>
          <w:spacing w:val="-10"/>
        </w:rPr>
        <w:t> </w:t>
      </w:r>
      <w:r>
        <w:rPr/>
        <w:t>harmful</w:t>
      </w:r>
      <w:r>
        <w:rPr>
          <w:spacing w:val="-8"/>
        </w:rPr>
        <w:t> </w:t>
      </w:r>
      <w:r>
        <w:rPr/>
        <w:t>to</w:t>
      </w:r>
      <w:r>
        <w:rPr>
          <w:spacing w:val="-8"/>
        </w:rPr>
        <w:t> </w:t>
      </w:r>
      <w:r>
        <w:rPr/>
        <w:t>life.</w:t>
      </w:r>
      <w:r>
        <w:rPr>
          <w:spacing w:val="-8"/>
        </w:rPr>
        <w:t> </w:t>
      </w:r>
      <w:r>
        <w:rPr/>
        <w:t>Microorganisms</w:t>
      </w:r>
      <w:r>
        <w:rPr>
          <w:spacing w:val="-8"/>
        </w:rPr>
        <w:t> </w:t>
      </w:r>
      <w:r>
        <w:rPr/>
        <w:t>usually</w:t>
      </w:r>
      <w:r>
        <w:rPr>
          <w:spacing w:val="-13"/>
        </w:rPr>
        <w:t> </w:t>
      </w:r>
      <w:r>
        <w:rPr/>
        <w:t>easily</w:t>
      </w:r>
      <w:r>
        <w:rPr>
          <w:spacing w:val="-11"/>
        </w:rPr>
        <w:t> </w:t>
      </w:r>
      <w:r>
        <w:rPr/>
        <w:t>degrade</w:t>
      </w:r>
      <w:r>
        <w:rPr>
          <w:spacing w:val="-9"/>
        </w:rPr>
        <w:t> </w:t>
      </w:r>
      <w:r>
        <w:rPr/>
        <w:t>the</w:t>
      </w:r>
      <w:r>
        <w:rPr>
          <w:spacing w:val="-9"/>
        </w:rPr>
        <w:t> </w:t>
      </w:r>
      <w:r>
        <w:rPr/>
        <w:t>aliphatics but</w:t>
      </w:r>
      <w:r>
        <w:rPr>
          <w:spacing w:val="-9"/>
        </w:rPr>
        <w:t> </w:t>
      </w:r>
      <w:r>
        <w:rPr/>
        <w:t>the</w:t>
      </w:r>
      <w:r>
        <w:rPr>
          <w:spacing w:val="-10"/>
        </w:rPr>
        <w:t> </w:t>
      </w:r>
      <w:r>
        <w:rPr/>
        <w:t>aliphatic</w:t>
      </w:r>
      <w:r>
        <w:rPr>
          <w:spacing w:val="-11"/>
        </w:rPr>
        <w:t> </w:t>
      </w:r>
      <w:r>
        <w:rPr/>
        <w:t>hydrocarbons</w:t>
      </w:r>
      <w:r>
        <w:rPr>
          <w:spacing w:val="-9"/>
        </w:rPr>
        <w:t> </w:t>
      </w:r>
      <w:r>
        <w:rPr/>
        <w:t>that</w:t>
      </w:r>
      <w:r>
        <w:rPr>
          <w:spacing w:val="-10"/>
        </w:rPr>
        <w:t> </w:t>
      </w:r>
      <w:r>
        <w:rPr/>
        <w:t>contain</w:t>
      </w:r>
      <w:r>
        <w:rPr>
          <w:spacing w:val="-10"/>
        </w:rPr>
        <w:t> </w:t>
      </w:r>
      <w:r>
        <w:rPr/>
        <w:t>large</w:t>
      </w:r>
      <w:r>
        <w:rPr>
          <w:spacing w:val="-11"/>
        </w:rPr>
        <w:t> </w:t>
      </w:r>
      <w:r>
        <w:rPr/>
        <w:t>branches</w:t>
      </w:r>
      <w:r>
        <w:rPr>
          <w:spacing w:val="-9"/>
        </w:rPr>
        <w:t> </w:t>
      </w:r>
      <w:r>
        <w:rPr/>
        <w:t>are</w:t>
      </w:r>
      <w:r>
        <w:rPr>
          <w:spacing w:val="-11"/>
        </w:rPr>
        <w:t> </w:t>
      </w:r>
      <w:r>
        <w:rPr/>
        <w:t>not</w:t>
      </w:r>
      <w:r>
        <w:rPr>
          <w:spacing w:val="-9"/>
        </w:rPr>
        <w:t> </w:t>
      </w:r>
      <w:r>
        <w:rPr/>
        <w:t>usually</w:t>
      </w:r>
      <w:r>
        <w:rPr>
          <w:spacing w:val="-14"/>
        </w:rPr>
        <w:t> </w:t>
      </w:r>
      <w:r>
        <w:rPr/>
        <w:t>degraded</w:t>
      </w:r>
      <w:r>
        <w:rPr>
          <w:spacing w:val="-10"/>
        </w:rPr>
        <w:t> </w:t>
      </w:r>
      <w:r>
        <w:rPr/>
        <w:t>easily</w:t>
      </w:r>
      <w:r>
        <w:rPr>
          <w:spacing w:val="-12"/>
        </w:rPr>
        <w:t> </w:t>
      </w:r>
      <w:r>
        <w:rPr/>
        <w:t>and</w:t>
      </w:r>
      <w:r>
        <w:rPr>
          <w:spacing w:val="-10"/>
        </w:rPr>
        <w:t> </w:t>
      </w:r>
      <w:r>
        <w:rPr/>
        <w:t>they therefore</w:t>
      </w:r>
      <w:r>
        <w:rPr>
          <w:spacing w:val="39"/>
        </w:rPr>
        <w:t> </w:t>
      </w:r>
      <w:r>
        <w:rPr/>
        <w:t>persist</w:t>
      </w:r>
      <w:r>
        <w:rPr>
          <w:spacing w:val="41"/>
        </w:rPr>
        <w:t> </w:t>
      </w:r>
      <w:r>
        <w:rPr/>
        <w:t>in</w:t>
      </w:r>
      <w:r>
        <w:rPr>
          <w:spacing w:val="41"/>
        </w:rPr>
        <w:t> </w:t>
      </w:r>
      <w:r>
        <w:rPr/>
        <w:t>the</w:t>
      </w:r>
      <w:r>
        <w:rPr>
          <w:spacing w:val="39"/>
        </w:rPr>
        <w:t> </w:t>
      </w:r>
      <w:r>
        <w:rPr/>
        <w:t>environment</w:t>
      </w:r>
      <w:r>
        <w:rPr>
          <w:spacing w:val="41"/>
        </w:rPr>
        <w:t> </w:t>
      </w:r>
      <w:r>
        <w:rPr/>
        <w:t>where</w:t>
      </w:r>
      <w:r>
        <w:rPr>
          <w:spacing w:val="40"/>
        </w:rPr>
        <w:t> </w:t>
      </w:r>
      <w:r>
        <w:rPr/>
        <w:t>they</w:t>
      </w:r>
      <w:r>
        <w:rPr>
          <w:spacing w:val="38"/>
        </w:rPr>
        <w:t> </w:t>
      </w:r>
      <w:r>
        <w:rPr/>
        <w:t>are</w:t>
      </w:r>
      <w:r>
        <w:rPr>
          <w:spacing w:val="39"/>
        </w:rPr>
        <w:t> </w:t>
      </w:r>
      <w:r>
        <w:rPr/>
        <w:t>found</w:t>
      </w:r>
      <w:r>
        <w:rPr>
          <w:spacing w:val="39"/>
        </w:rPr>
        <w:t> </w:t>
      </w:r>
      <w:r>
        <w:rPr/>
        <w:t>(Varjani</w:t>
      </w:r>
      <w:r>
        <w:rPr>
          <w:spacing w:val="41"/>
        </w:rPr>
        <w:t> </w:t>
      </w:r>
      <w:r>
        <w:rPr/>
        <w:t>and</w:t>
      </w:r>
      <w:r>
        <w:rPr>
          <w:spacing w:val="43"/>
        </w:rPr>
        <w:t> </w:t>
      </w:r>
      <w:r>
        <w:rPr/>
        <w:t>Upasani,</w:t>
      </w:r>
      <w:r>
        <w:rPr>
          <w:spacing w:val="40"/>
        </w:rPr>
        <w:t> </w:t>
      </w:r>
      <w:r>
        <w:rPr/>
        <w:t>2017).</w:t>
      </w:r>
      <w:r>
        <w:rPr>
          <w:spacing w:val="40"/>
        </w:rPr>
        <w:t> </w:t>
      </w:r>
      <w:r>
        <w:rPr>
          <w:spacing w:val="-5"/>
        </w:rPr>
        <w:t>The</w:t>
      </w:r>
    </w:p>
    <w:p>
      <w:pPr>
        <w:spacing w:after="0" w:line="480" w:lineRule="auto"/>
        <w:jc w:val="both"/>
        <w:sectPr>
          <w:pgSz w:w="12240" w:h="15840"/>
          <w:pgMar w:header="0" w:footer="1015" w:top="1360" w:bottom="1200" w:left="1320" w:right="1320"/>
        </w:sectPr>
      </w:pPr>
    </w:p>
    <w:p>
      <w:pPr>
        <w:pStyle w:val="BodyText"/>
        <w:spacing w:line="480" w:lineRule="auto" w:before="72"/>
        <w:ind w:left="120" w:right="121"/>
        <w:jc w:val="both"/>
      </w:pPr>
      <w:r>
        <w:rPr/>
        <w:t>complex</w:t>
      </w:r>
      <w:r>
        <w:rPr>
          <w:spacing w:val="-15"/>
        </w:rPr>
        <w:t> </w:t>
      </w:r>
      <w:r>
        <w:rPr/>
        <w:t>nature</w:t>
      </w:r>
      <w:r>
        <w:rPr>
          <w:spacing w:val="-15"/>
        </w:rPr>
        <w:t> </w:t>
      </w:r>
      <w:r>
        <w:rPr/>
        <w:t>of</w:t>
      </w:r>
      <w:r>
        <w:rPr>
          <w:spacing w:val="-15"/>
        </w:rPr>
        <w:t> </w:t>
      </w:r>
      <w:r>
        <w:rPr/>
        <w:t>aromatic</w:t>
      </w:r>
      <w:r>
        <w:rPr>
          <w:spacing w:val="-15"/>
        </w:rPr>
        <w:t> </w:t>
      </w:r>
      <w:r>
        <w:rPr/>
        <w:t>hydrocarbons</w:t>
      </w:r>
      <w:r>
        <w:rPr>
          <w:spacing w:val="-15"/>
        </w:rPr>
        <w:t> </w:t>
      </w:r>
      <w:r>
        <w:rPr/>
        <w:t>makes</w:t>
      </w:r>
      <w:r>
        <w:rPr>
          <w:spacing w:val="-15"/>
        </w:rPr>
        <w:t> </w:t>
      </w:r>
      <w:r>
        <w:rPr/>
        <w:t>them</w:t>
      </w:r>
      <w:r>
        <w:rPr>
          <w:spacing w:val="-15"/>
        </w:rPr>
        <w:t> </w:t>
      </w:r>
      <w:r>
        <w:rPr/>
        <w:t>difficult</w:t>
      </w:r>
      <w:r>
        <w:rPr>
          <w:spacing w:val="-15"/>
        </w:rPr>
        <w:t> </w:t>
      </w:r>
      <w:r>
        <w:rPr/>
        <w:t>to</w:t>
      </w:r>
      <w:r>
        <w:rPr>
          <w:spacing w:val="-14"/>
        </w:rPr>
        <w:t> </w:t>
      </w:r>
      <w:r>
        <w:rPr/>
        <w:t>be</w:t>
      </w:r>
      <w:r>
        <w:rPr>
          <w:spacing w:val="-15"/>
        </w:rPr>
        <w:t> </w:t>
      </w:r>
      <w:r>
        <w:rPr/>
        <w:t>degraded</w:t>
      </w:r>
      <w:r>
        <w:rPr>
          <w:spacing w:val="-15"/>
        </w:rPr>
        <w:t> </w:t>
      </w:r>
      <w:r>
        <w:rPr/>
        <w:t>by</w:t>
      </w:r>
      <w:r>
        <w:rPr>
          <w:spacing w:val="-15"/>
        </w:rPr>
        <w:t> </w:t>
      </w:r>
      <w:r>
        <w:rPr/>
        <w:t>microorganisms. Researchers have reported from in vivo and in vitro experiments that polycyclic aromatic hydrocarbons (PAHs) are toxic to the environment as well as carcinogenic and cytotoxic. These compounds persist in the environment and accumulate to a very high level in the environment because they are highly resistant to biodegradation and chemical or physical treatment methods may even transform them to more toxic compounds (Varjani and Upasani, 2016).</w:t>
      </w:r>
    </w:p>
    <w:p>
      <w:pPr>
        <w:pStyle w:val="BodyText"/>
        <w:spacing w:line="480" w:lineRule="auto" w:before="200"/>
        <w:ind w:left="120" w:right="112"/>
        <w:jc w:val="both"/>
      </w:pPr>
      <w:r>
        <w:rPr/>
        <w:t>Biological method of treatment is the best choice for the removal of pollutants because this approach</w:t>
      </w:r>
      <w:r>
        <w:rPr>
          <w:spacing w:val="-1"/>
        </w:rPr>
        <w:t> </w:t>
      </w:r>
      <w:r>
        <w:rPr/>
        <w:t>does</w:t>
      </w:r>
      <w:r>
        <w:rPr>
          <w:spacing w:val="-1"/>
        </w:rPr>
        <w:t> </w:t>
      </w:r>
      <w:r>
        <w:rPr/>
        <w:t>not</w:t>
      </w:r>
      <w:r>
        <w:rPr>
          <w:spacing w:val="-1"/>
        </w:rPr>
        <w:t> </w:t>
      </w:r>
      <w:r>
        <w:rPr/>
        <w:t>result in</w:t>
      </w:r>
      <w:r>
        <w:rPr>
          <w:spacing w:val="-1"/>
        </w:rPr>
        <w:t> </w:t>
      </w:r>
      <w:r>
        <w:rPr/>
        <w:t>transformation</w:t>
      </w:r>
      <w:r>
        <w:rPr>
          <w:spacing w:val="-1"/>
        </w:rPr>
        <w:t> </w:t>
      </w:r>
      <w:r>
        <w:rPr/>
        <w:t>or generate</w:t>
      </w:r>
      <w:r>
        <w:rPr>
          <w:spacing w:val="-2"/>
        </w:rPr>
        <w:t> </w:t>
      </w:r>
      <w:r>
        <w:rPr/>
        <w:t>deleterious</w:t>
      </w:r>
      <w:r>
        <w:rPr>
          <w:spacing w:val="-1"/>
        </w:rPr>
        <w:t> </w:t>
      </w:r>
      <w:r>
        <w:rPr/>
        <w:t>effect</w:t>
      </w:r>
      <w:r>
        <w:rPr>
          <w:spacing w:val="-1"/>
        </w:rPr>
        <w:t> </w:t>
      </w:r>
      <w:r>
        <w:rPr/>
        <w:t>in the</w:t>
      </w:r>
      <w:r>
        <w:rPr>
          <w:spacing w:val="-2"/>
        </w:rPr>
        <w:t> </w:t>
      </w:r>
      <w:r>
        <w:rPr/>
        <w:t>environment.</w:t>
      </w:r>
      <w:r>
        <w:rPr>
          <w:spacing w:val="-1"/>
        </w:rPr>
        <w:t> </w:t>
      </w:r>
      <w:r>
        <w:rPr/>
        <w:t>This method</w:t>
      </w:r>
      <w:r>
        <w:rPr>
          <w:spacing w:val="-8"/>
        </w:rPr>
        <w:t> </w:t>
      </w:r>
      <w:r>
        <w:rPr/>
        <w:t>is</w:t>
      </w:r>
      <w:r>
        <w:rPr>
          <w:spacing w:val="-8"/>
        </w:rPr>
        <w:t> </w:t>
      </w:r>
      <w:r>
        <w:rPr/>
        <w:t>also</w:t>
      </w:r>
      <w:r>
        <w:rPr>
          <w:spacing w:val="-8"/>
        </w:rPr>
        <w:t> </w:t>
      </w:r>
      <w:r>
        <w:rPr/>
        <w:t>cheap</w:t>
      </w:r>
      <w:r>
        <w:rPr>
          <w:spacing w:val="-8"/>
        </w:rPr>
        <w:t> </w:t>
      </w:r>
      <w:r>
        <w:rPr/>
        <w:t>compared</w:t>
      </w:r>
      <w:r>
        <w:rPr>
          <w:spacing w:val="-8"/>
        </w:rPr>
        <w:t> </w:t>
      </w:r>
      <w:r>
        <w:rPr/>
        <w:t>to</w:t>
      </w:r>
      <w:r>
        <w:rPr>
          <w:spacing w:val="-8"/>
        </w:rPr>
        <w:t> </w:t>
      </w:r>
      <w:r>
        <w:rPr/>
        <w:t>other</w:t>
      </w:r>
      <w:r>
        <w:rPr>
          <w:spacing w:val="-9"/>
        </w:rPr>
        <w:t> </w:t>
      </w:r>
      <w:r>
        <w:rPr/>
        <w:t>approaches</w:t>
      </w:r>
      <w:r>
        <w:rPr>
          <w:spacing w:val="-8"/>
        </w:rPr>
        <w:t> </w:t>
      </w:r>
      <w:r>
        <w:rPr/>
        <w:t>but</w:t>
      </w:r>
      <w:r>
        <w:rPr>
          <w:spacing w:val="-8"/>
        </w:rPr>
        <w:t> </w:t>
      </w:r>
      <w:r>
        <w:rPr/>
        <w:t>its</w:t>
      </w:r>
      <w:r>
        <w:rPr>
          <w:spacing w:val="-8"/>
        </w:rPr>
        <w:t> </w:t>
      </w:r>
      <w:r>
        <w:rPr/>
        <w:t>success</w:t>
      </w:r>
      <w:r>
        <w:rPr>
          <w:spacing w:val="-8"/>
        </w:rPr>
        <w:t> </w:t>
      </w:r>
      <w:r>
        <w:rPr/>
        <w:t>is</w:t>
      </w:r>
      <w:r>
        <w:rPr>
          <w:spacing w:val="-8"/>
        </w:rPr>
        <w:t> </w:t>
      </w:r>
      <w:r>
        <w:rPr/>
        <w:t>dependent</w:t>
      </w:r>
      <w:r>
        <w:rPr>
          <w:spacing w:val="-8"/>
        </w:rPr>
        <w:t> </w:t>
      </w:r>
      <w:r>
        <w:rPr/>
        <w:t>on</w:t>
      </w:r>
      <w:r>
        <w:rPr>
          <w:spacing w:val="-8"/>
        </w:rPr>
        <w:t> </w:t>
      </w:r>
      <w:r>
        <w:rPr/>
        <w:t>the</w:t>
      </w:r>
      <w:r>
        <w:rPr>
          <w:spacing w:val="-9"/>
        </w:rPr>
        <w:t> </w:t>
      </w:r>
      <w:r>
        <w:rPr/>
        <w:t>availability of degrading organisms, bioavailability of the pollutant and optimization of the degradation process. Biodegradation by indigenous microorganisms is a more reliable approach because its mechanism</w:t>
      </w:r>
      <w:r>
        <w:rPr>
          <w:spacing w:val="-3"/>
        </w:rPr>
        <w:t> </w:t>
      </w:r>
      <w:r>
        <w:rPr/>
        <w:t>removes</w:t>
      </w:r>
      <w:r>
        <w:rPr>
          <w:spacing w:val="-3"/>
        </w:rPr>
        <w:t> </w:t>
      </w:r>
      <w:r>
        <w:rPr/>
        <w:t>pollutants</w:t>
      </w:r>
      <w:r>
        <w:rPr>
          <w:spacing w:val="-3"/>
        </w:rPr>
        <w:t> </w:t>
      </w:r>
      <w:r>
        <w:rPr/>
        <w:t>(crude</w:t>
      </w:r>
      <w:r>
        <w:rPr>
          <w:spacing w:val="-4"/>
        </w:rPr>
        <w:t> </w:t>
      </w:r>
      <w:r>
        <w:rPr/>
        <w:t>oil)</w:t>
      </w:r>
      <w:r>
        <w:rPr>
          <w:spacing w:val="-3"/>
        </w:rPr>
        <w:t> </w:t>
      </w:r>
      <w:r>
        <w:rPr/>
        <w:t>by</w:t>
      </w:r>
      <w:r>
        <w:rPr>
          <w:spacing w:val="-7"/>
        </w:rPr>
        <w:t> </w:t>
      </w:r>
      <w:r>
        <w:rPr/>
        <w:t>biological</w:t>
      </w:r>
      <w:r>
        <w:rPr>
          <w:spacing w:val="-3"/>
        </w:rPr>
        <w:t> </w:t>
      </w:r>
      <w:r>
        <w:rPr/>
        <w:t>means</w:t>
      </w:r>
      <w:r>
        <w:rPr>
          <w:spacing w:val="-3"/>
        </w:rPr>
        <w:t> </w:t>
      </w:r>
      <w:r>
        <w:rPr/>
        <w:t>(Ghanavati </w:t>
      </w:r>
      <w:r>
        <w:rPr>
          <w:i/>
        </w:rPr>
        <w:t>et</w:t>
      </w:r>
      <w:r>
        <w:rPr>
          <w:i/>
          <w:spacing w:val="-3"/>
        </w:rPr>
        <w:t> </w:t>
      </w:r>
      <w:r>
        <w:rPr>
          <w:i/>
        </w:rPr>
        <w:t>al</w:t>
      </w:r>
      <w:r>
        <w:rPr/>
        <w:t>.,</w:t>
      </w:r>
      <w:r>
        <w:rPr>
          <w:spacing w:val="-3"/>
        </w:rPr>
        <w:t> </w:t>
      </w:r>
      <w:r>
        <w:rPr/>
        <w:t>2017;</w:t>
      </w:r>
      <w:r>
        <w:rPr>
          <w:spacing w:val="-1"/>
        </w:rPr>
        <w:t> </w:t>
      </w:r>
      <w:r>
        <w:rPr/>
        <w:t>Liu</w:t>
      </w:r>
      <w:r>
        <w:rPr>
          <w:spacing w:val="-3"/>
        </w:rPr>
        <w:t> </w:t>
      </w:r>
      <w:r>
        <w:rPr>
          <w:i/>
        </w:rPr>
        <w:t>et</w:t>
      </w:r>
      <w:r>
        <w:rPr>
          <w:i/>
          <w:spacing w:val="-3"/>
        </w:rPr>
        <w:t> </w:t>
      </w:r>
      <w:r>
        <w:rPr>
          <w:i/>
        </w:rPr>
        <w:t>al., </w:t>
      </w:r>
      <w:r>
        <w:rPr/>
        <w:t>2017). Microorganisms that metabolize hydrocarbons are abundant in our environment but their population is higher in areas contaminated with petroleum. Hydrocarbon metabolizing ability is exhibited</w:t>
      </w:r>
      <w:r>
        <w:rPr>
          <w:spacing w:val="-15"/>
        </w:rPr>
        <w:t> </w:t>
      </w:r>
      <w:r>
        <w:rPr/>
        <w:t>by</w:t>
      </w:r>
      <w:r>
        <w:rPr>
          <w:spacing w:val="-15"/>
        </w:rPr>
        <w:t> </w:t>
      </w:r>
      <w:r>
        <w:rPr/>
        <w:t>many</w:t>
      </w:r>
      <w:r>
        <w:rPr>
          <w:spacing w:val="-15"/>
        </w:rPr>
        <w:t> </w:t>
      </w:r>
      <w:r>
        <w:rPr/>
        <w:t>microorganisms.</w:t>
      </w:r>
      <w:r>
        <w:rPr>
          <w:spacing w:val="-15"/>
        </w:rPr>
        <w:t> </w:t>
      </w:r>
      <w:r>
        <w:rPr/>
        <w:t>Microorganisms</w:t>
      </w:r>
      <w:r>
        <w:rPr>
          <w:spacing w:val="-15"/>
        </w:rPr>
        <w:t> </w:t>
      </w:r>
      <w:r>
        <w:rPr/>
        <w:t>such</w:t>
      </w:r>
      <w:r>
        <w:rPr>
          <w:spacing w:val="-15"/>
        </w:rPr>
        <w:t> </w:t>
      </w:r>
      <w:r>
        <w:rPr/>
        <w:t>as</w:t>
      </w:r>
      <w:r>
        <w:rPr>
          <w:spacing w:val="-14"/>
        </w:rPr>
        <w:t> </w:t>
      </w:r>
      <w:r>
        <w:rPr/>
        <w:t>bacteria,</w:t>
      </w:r>
      <w:r>
        <w:rPr>
          <w:spacing w:val="-13"/>
        </w:rPr>
        <w:t> </w:t>
      </w:r>
      <w:r>
        <w:rPr/>
        <w:t>fungi</w:t>
      </w:r>
      <w:r>
        <w:rPr>
          <w:spacing w:val="-12"/>
        </w:rPr>
        <w:t> </w:t>
      </w:r>
      <w:r>
        <w:rPr/>
        <w:t>and</w:t>
      </w:r>
      <w:r>
        <w:rPr>
          <w:spacing w:val="-10"/>
        </w:rPr>
        <w:t> </w:t>
      </w:r>
      <w:r>
        <w:rPr/>
        <w:t>yeasts</w:t>
      </w:r>
      <w:r>
        <w:rPr>
          <w:spacing w:val="-11"/>
        </w:rPr>
        <w:t> </w:t>
      </w:r>
      <w:r>
        <w:rPr/>
        <w:t>are</w:t>
      </w:r>
      <w:r>
        <w:rPr>
          <w:spacing w:val="-14"/>
        </w:rPr>
        <w:t> </w:t>
      </w:r>
      <w:r>
        <w:rPr/>
        <w:t>capable of</w:t>
      </w:r>
      <w:r>
        <w:rPr>
          <w:spacing w:val="-15"/>
        </w:rPr>
        <w:t> </w:t>
      </w:r>
      <w:r>
        <w:rPr/>
        <w:t>utilizing</w:t>
      </w:r>
      <w:r>
        <w:rPr>
          <w:spacing w:val="-15"/>
        </w:rPr>
        <w:t> </w:t>
      </w:r>
      <w:r>
        <w:rPr/>
        <w:t>PHs</w:t>
      </w:r>
      <w:r>
        <w:rPr>
          <w:spacing w:val="-15"/>
        </w:rPr>
        <w:t> </w:t>
      </w:r>
      <w:r>
        <w:rPr/>
        <w:t>(Haritash</w:t>
      </w:r>
      <w:r>
        <w:rPr>
          <w:spacing w:val="-15"/>
        </w:rPr>
        <w:t> </w:t>
      </w:r>
      <w:r>
        <w:rPr/>
        <w:t>and</w:t>
      </w:r>
      <w:r>
        <w:rPr>
          <w:spacing w:val="-15"/>
        </w:rPr>
        <w:t> </w:t>
      </w:r>
      <w:r>
        <w:rPr/>
        <w:t>Kaushik,</w:t>
      </w:r>
      <w:r>
        <w:rPr>
          <w:spacing w:val="-15"/>
        </w:rPr>
        <w:t> </w:t>
      </w:r>
      <w:r>
        <w:rPr/>
        <w:t>2009).</w:t>
      </w:r>
      <w:r>
        <w:rPr>
          <w:spacing w:val="-15"/>
        </w:rPr>
        <w:t> </w:t>
      </w:r>
      <w:r>
        <w:rPr>
          <w:i/>
        </w:rPr>
        <w:t>Aspergillus,</w:t>
      </w:r>
      <w:r>
        <w:rPr>
          <w:i/>
          <w:spacing w:val="-15"/>
        </w:rPr>
        <w:t> </w:t>
      </w:r>
      <w:r>
        <w:rPr>
          <w:i/>
        </w:rPr>
        <w:t>Penicillium,</w:t>
      </w:r>
      <w:r>
        <w:rPr>
          <w:i/>
          <w:spacing w:val="-15"/>
        </w:rPr>
        <w:t> </w:t>
      </w:r>
      <w:r>
        <w:rPr>
          <w:i/>
        </w:rPr>
        <w:t>Fusarium,</w:t>
      </w:r>
      <w:r>
        <w:rPr>
          <w:i/>
          <w:spacing w:val="-15"/>
        </w:rPr>
        <w:t> </w:t>
      </w:r>
      <w:r>
        <w:rPr>
          <w:i/>
        </w:rPr>
        <w:t>Amorphotheca, Neosartorya,</w:t>
      </w:r>
      <w:r>
        <w:rPr>
          <w:i/>
          <w:spacing w:val="-7"/>
        </w:rPr>
        <w:t> </w:t>
      </w:r>
      <w:r>
        <w:rPr>
          <w:i/>
        </w:rPr>
        <w:t>Paecilomyces,</w:t>
      </w:r>
      <w:r>
        <w:rPr>
          <w:i/>
          <w:spacing w:val="-7"/>
        </w:rPr>
        <w:t> </w:t>
      </w:r>
      <w:r>
        <w:rPr>
          <w:i/>
        </w:rPr>
        <w:t>Talaromyces,</w:t>
      </w:r>
      <w:r>
        <w:rPr>
          <w:i/>
          <w:spacing w:val="-4"/>
        </w:rPr>
        <w:t> </w:t>
      </w:r>
      <w:r>
        <w:rPr>
          <w:i/>
        </w:rPr>
        <w:t>Graphium</w:t>
      </w:r>
      <w:r>
        <w:rPr>
          <w:i/>
          <w:spacing w:val="-7"/>
        </w:rPr>
        <w:t> </w:t>
      </w:r>
      <w:r>
        <w:rPr>
          <w:i/>
        </w:rPr>
        <w:t>Cunninghamella</w:t>
      </w:r>
      <w:r>
        <w:rPr>
          <w:i/>
          <w:spacing w:val="-3"/>
        </w:rPr>
        <w:t> </w:t>
      </w:r>
      <w:r>
        <w:rPr/>
        <w:t>are</w:t>
      </w:r>
      <w:r>
        <w:rPr>
          <w:spacing w:val="-4"/>
        </w:rPr>
        <w:t> </w:t>
      </w:r>
      <w:r>
        <w:rPr/>
        <w:t>group</w:t>
      </w:r>
      <w:r>
        <w:rPr>
          <w:spacing w:val="-5"/>
        </w:rPr>
        <w:t> </w:t>
      </w:r>
      <w:r>
        <w:rPr/>
        <w:t>of</w:t>
      </w:r>
      <w:r>
        <w:rPr>
          <w:spacing w:val="-8"/>
        </w:rPr>
        <w:t> </w:t>
      </w:r>
      <w:r>
        <w:rPr/>
        <w:t>fungi</w:t>
      </w:r>
      <w:r>
        <w:rPr>
          <w:spacing w:val="-6"/>
        </w:rPr>
        <w:t> </w:t>
      </w:r>
      <w:r>
        <w:rPr/>
        <w:t>that</w:t>
      </w:r>
      <w:r>
        <w:rPr>
          <w:spacing w:val="-6"/>
        </w:rPr>
        <w:t> </w:t>
      </w:r>
      <w:r>
        <w:rPr/>
        <w:t>can break down recalcitrant pollutants (Obayori and Salam, 2010).</w:t>
      </w:r>
    </w:p>
    <w:p>
      <w:pPr>
        <w:pStyle w:val="BodyText"/>
        <w:rPr>
          <w:sz w:val="26"/>
        </w:rPr>
      </w:pPr>
    </w:p>
    <w:p>
      <w:pPr>
        <w:pStyle w:val="Heading2"/>
        <w:numPr>
          <w:ilvl w:val="1"/>
          <w:numId w:val="3"/>
        </w:numPr>
        <w:tabs>
          <w:tab w:pos="840" w:val="left" w:leader="none"/>
          <w:tab w:pos="841" w:val="left" w:leader="none"/>
        </w:tabs>
        <w:spacing w:line="240" w:lineRule="auto" w:before="188" w:after="0"/>
        <w:ind w:left="840" w:right="0" w:hanging="721"/>
        <w:jc w:val="left"/>
      </w:pPr>
      <w:r>
        <w:rPr/>
        <w:t>Factors</w:t>
      </w:r>
      <w:r>
        <w:rPr>
          <w:spacing w:val="-5"/>
        </w:rPr>
        <w:t> </w:t>
      </w:r>
      <w:r>
        <w:rPr/>
        <w:t>Influencing</w:t>
      </w:r>
      <w:r>
        <w:rPr>
          <w:spacing w:val="-5"/>
        </w:rPr>
        <w:t> </w:t>
      </w:r>
      <w:r>
        <w:rPr/>
        <w:t>Petroleum</w:t>
      </w:r>
      <w:r>
        <w:rPr>
          <w:spacing w:val="-8"/>
        </w:rPr>
        <w:t> </w:t>
      </w:r>
      <w:r>
        <w:rPr/>
        <w:t>Hydrocarbon</w:t>
      </w:r>
      <w:r>
        <w:rPr>
          <w:spacing w:val="-5"/>
        </w:rPr>
        <w:t> </w:t>
      </w:r>
      <w:r>
        <w:rPr>
          <w:spacing w:val="-2"/>
        </w:rPr>
        <w:t>Degradation</w:t>
      </w:r>
    </w:p>
    <w:p>
      <w:pPr>
        <w:pStyle w:val="BodyText"/>
        <w:spacing w:before="6"/>
        <w:rPr>
          <w:b/>
          <w:sz w:val="23"/>
        </w:rPr>
      </w:pPr>
    </w:p>
    <w:p>
      <w:pPr>
        <w:pStyle w:val="BodyText"/>
        <w:spacing w:line="482" w:lineRule="auto"/>
        <w:ind w:left="120" w:right="125"/>
        <w:jc w:val="both"/>
      </w:pPr>
      <w:r>
        <w:rPr/>
        <w:t>The activity of microbial can be affected by the following factors: temperature, oxygen, pH and </w:t>
      </w:r>
      <w:r>
        <w:rPr>
          <w:spacing w:val="-2"/>
        </w:rPr>
        <w:t>nutrients:</w:t>
      </w:r>
    </w:p>
    <w:p>
      <w:pPr>
        <w:spacing w:after="0" w:line="482" w:lineRule="auto"/>
        <w:jc w:val="both"/>
        <w:sectPr>
          <w:pgSz w:w="12240" w:h="15840"/>
          <w:pgMar w:header="0" w:footer="1015" w:top="1360" w:bottom="1200" w:left="1320" w:right="1320"/>
        </w:sectPr>
      </w:pPr>
    </w:p>
    <w:p>
      <w:pPr>
        <w:pStyle w:val="Heading2"/>
        <w:numPr>
          <w:ilvl w:val="2"/>
          <w:numId w:val="3"/>
        </w:numPr>
        <w:tabs>
          <w:tab w:pos="901" w:val="left" w:leader="none"/>
        </w:tabs>
        <w:spacing w:line="240" w:lineRule="auto" w:before="76" w:after="0"/>
        <w:ind w:left="900" w:right="0" w:hanging="781"/>
        <w:jc w:val="both"/>
      </w:pPr>
      <w:r>
        <w:rPr>
          <w:spacing w:val="-2"/>
        </w:rPr>
        <w:t>Temperature</w:t>
      </w:r>
    </w:p>
    <w:p>
      <w:pPr>
        <w:pStyle w:val="BodyText"/>
        <w:spacing w:before="7"/>
        <w:rPr>
          <w:b/>
          <w:sz w:val="23"/>
        </w:rPr>
      </w:pPr>
    </w:p>
    <w:p>
      <w:pPr>
        <w:pStyle w:val="BodyText"/>
        <w:spacing w:line="480" w:lineRule="auto" w:before="1"/>
        <w:ind w:left="120" w:right="113"/>
        <w:jc w:val="both"/>
      </w:pPr>
      <w:r>
        <w:rPr/>
        <w:t>One</w:t>
      </w:r>
      <w:r>
        <w:rPr>
          <w:spacing w:val="-14"/>
        </w:rPr>
        <w:t> </w:t>
      </w:r>
      <w:r>
        <w:rPr/>
        <w:t>of</w:t>
      </w:r>
      <w:r>
        <w:rPr>
          <w:spacing w:val="-13"/>
        </w:rPr>
        <w:t> </w:t>
      </w:r>
      <w:r>
        <w:rPr/>
        <w:t>the</w:t>
      </w:r>
      <w:r>
        <w:rPr>
          <w:spacing w:val="-10"/>
        </w:rPr>
        <w:t> </w:t>
      </w:r>
      <w:r>
        <w:rPr/>
        <w:t>factors</w:t>
      </w:r>
      <w:r>
        <w:rPr>
          <w:spacing w:val="-12"/>
        </w:rPr>
        <w:t> </w:t>
      </w:r>
      <w:r>
        <w:rPr/>
        <w:t>that</w:t>
      </w:r>
      <w:r>
        <w:rPr>
          <w:spacing w:val="-12"/>
        </w:rPr>
        <w:t> </w:t>
      </w:r>
      <w:r>
        <w:rPr/>
        <w:t>affect</w:t>
      </w:r>
      <w:r>
        <w:rPr>
          <w:spacing w:val="-12"/>
        </w:rPr>
        <w:t> </w:t>
      </w:r>
      <w:r>
        <w:rPr/>
        <w:t>the</w:t>
      </w:r>
      <w:r>
        <w:rPr>
          <w:spacing w:val="-13"/>
        </w:rPr>
        <w:t> </w:t>
      </w:r>
      <w:r>
        <w:rPr/>
        <w:t>biodegradation</w:t>
      </w:r>
      <w:r>
        <w:rPr>
          <w:spacing w:val="-12"/>
        </w:rPr>
        <w:t> </w:t>
      </w:r>
      <w:r>
        <w:rPr/>
        <w:t>of</w:t>
      </w:r>
      <w:r>
        <w:rPr>
          <w:spacing w:val="-8"/>
        </w:rPr>
        <w:t> </w:t>
      </w:r>
      <w:r>
        <w:rPr/>
        <w:t>PHs</w:t>
      </w:r>
      <w:r>
        <w:rPr>
          <w:spacing w:val="-12"/>
        </w:rPr>
        <w:t> </w:t>
      </w:r>
      <w:r>
        <w:rPr/>
        <w:t>is</w:t>
      </w:r>
      <w:r>
        <w:rPr>
          <w:spacing w:val="-11"/>
        </w:rPr>
        <w:t> </w:t>
      </w:r>
      <w:r>
        <w:rPr/>
        <w:t>temperature.</w:t>
      </w:r>
      <w:r>
        <w:rPr>
          <w:spacing w:val="-7"/>
        </w:rPr>
        <w:t> </w:t>
      </w:r>
      <w:r>
        <w:rPr/>
        <w:t>It</w:t>
      </w:r>
      <w:r>
        <w:rPr>
          <w:spacing w:val="-12"/>
        </w:rPr>
        <w:t> </w:t>
      </w:r>
      <w:r>
        <w:rPr/>
        <w:t>has</w:t>
      </w:r>
      <w:r>
        <w:rPr>
          <w:spacing w:val="-10"/>
        </w:rPr>
        <w:t> </w:t>
      </w:r>
      <w:r>
        <w:rPr/>
        <w:t>effect</w:t>
      </w:r>
      <w:r>
        <w:rPr>
          <w:spacing w:val="-12"/>
        </w:rPr>
        <w:t> </w:t>
      </w:r>
      <w:r>
        <w:rPr/>
        <w:t>on</w:t>
      </w:r>
      <w:r>
        <w:rPr>
          <w:spacing w:val="-12"/>
        </w:rPr>
        <w:t> </w:t>
      </w:r>
      <w:r>
        <w:rPr/>
        <w:t>the</w:t>
      </w:r>
      <w:r>
        <w:rPr>
          <w:spacing w:val="-13"/>
        </w:rPr>
        <w:t> </w:t>
      </w:r>
      <w:r>
        <w:rPr/>
        <w:t>physical and chemical makeup of PHs. Decrease in temperature usually results in decrease in the rate of biodegration resulting from a decrease in the rate of activity of enzymes (Bisht </w:t>
      </w:r>
      <w:r>
        <w:rPr>
          <w:i/>
        </w:rPr>
        <w:t>et al</w:t>
      </w:r>
      <w:r>
        <w:rPr/>
        <w:t>., 2015). Temperature range of 30°C to 40°C is the optimum temperature required for hydrocarbon metabolism</w:t>
      </w:r>
      <w:r>
        <w:rPr>
          <w:spacing w:val="-5"/>
        </w:rPr>
        <w:t> </w:t>
      </w:r>
      <w:r>
        <w:rPr/>
        <w:t>(Varjani</w:t>
      </w:r>
      <w:r>
        <w:rPr>
          <w:spacing w:val="-5"/>
        </w:rPr>
        <w:t> </w:t>
      </w:r>
      <w:r>
        <w:rPr/>
        <w:t>and</w:t>
      </w:r>
      <w:r>
        <w:rPr>
          <w:spacing w:val="-1"/>
        </w:rPr>
        <w:t> </w:t>
      </w:r>
      <w:r>
        <w:rPr/>
        <w:t>Upasani,</w:t>
      </w:r>
      <w:r>
        <w:rPr>
          <w:spacing w:val="-5"/>
        </w:rPr>
        <w:t> </w:t>
      </w:r>
      <w:r>
        <w:rPr/>
        <w:t>2017).</w:t>
      </w:r>
      <w:r>
        <w:rPr>
          <w:spacing w:val="-5"/>
        </w:rPr>
        <w:t> </w:t>
      </w:r>
      <w:r>
        <w:rPr/>
        <w:t>Although,</w:t>
      </w:r>
      <w:r>
        <w:rPr>
          <w:spacing w:val="-6"/>
        </w:rPr>
        <w:t> </w:t>
      </w:r>
      <w:r>
        <w:rPr/>
        <w:t>hydrocarbon</w:t>
      </w:r>
      <w:r>
        <w:rPr>
          <w:spacing w:val="-5"/>
        </w:rPr>
        <w:t> </w:t>
      </w:r>
      <w:r>
        <w:rPr/>
        <w:t>degradation</w:t>
      </w:r>
      <w:r>
        <w:rPr>
          <w:spacing w:val="-5"/>
        </w:rPr>
        <w:t> </w:t>
      </w:r>
      <w:r>
        <w:rPr/>
        <w:t>by</w:t>
      </w:r>
      <w:r>
        <w:rPr>
          <w:spacing w:val="-11"/>
        </w:rPr>
        <w:t> </w:t>
      </w:r>
      <w:r>
        <w:rPr/>
        <w:t>microorganisms can occur over a broad range of temperatures, decrease in temperature lead to a decrease in the rate of degradation.</w:t>
      </w:r>
    </w:p>
    <w:p>
      <w:pPr>
        <w:pStyle w:val="Heading2"/>
        <w:numPr>
          <w:ilvl w:val="2"/>
          <w:numId w:val="3"/>
        </w:numPr>
        <w:tabs>
          <w:tab w:pos="661" w:val="left" w:leader="none"/>
        </w:tabs>
        <w:spacing w:line="240" w:lineRule="auto" w:before="207" w:after="0"/>
        <w:ind w:left="660" w:right="0" w:hanging="541"/>
        <w:jc w:val="both"/>
      </w:pPr>
      <w:r>
        <w:rPr>
          <w:spacing w:val="-2"/>
        </w:rPr>
        <w:t>Nutrient</w:t>
      </w:r>
    </w:p>
    <w:p>
      <w:pPr>
        <w:pStyle w:val="BodyText"/>
        <w:spacing w:before="4"/>
        <w:rPr>
          <w:b/>
          <w:sz w:val="23"/>
        </w:rPr>
      </w:pPr>
    </w:p>
    <w:p>
      <w:pPr>
        <w:pStyle w:val="BodyText"/>
        <w:spacing w:line="480" w:lineRule="auto"/>
        <w:ind w:left="120" w:right="114"/>
        <w:jc w:val="both"/>
      </w:pPr>
      <w:r>
        <w:rPr/>
        <w:t>Nutrient</w:t>
      </w:r>
      <w:r>
        <w:rPr/>
        <w:t> is one of the factors for an effective biodegradation of contaminants, which include nitrogen, iron and phosphorus. Among</w:t>
      </w:r>
      <w:r>
        <w:rPr>
          <w:spacing w:val="-1"/>
        </w:rPr>
        <w:t> </w:t>
      </w:r>
      <w:r>
        <w:rPr/>
        <w:t>those nutrients, some of them</w:t>
      </w:r>
      <w:r>
        <w:rPr>
          <w:spacing w:val="-1"/>
        </w:rPr>
        <w:t> </w:t>
      </w:r>
      <w:r>
        <w:rPr/>
        <w:t>can be a limiting</w:t>
      </w:r>
      <w:r>
        <w:rPr>
          <w:spacing w:val="-1"/>
        </w:rPr>
        <w:t> </w:t>
      </w:r>
      <w:r>
        <w:rPr/>
        <w:t>factor and therefore have negative effect in the biodegradation processes. Carbon is obtained from organic compounds while water provides oxygen and hydrogen (Kalantary </w:t>
      </w:r>
      <w:r>
        <w:rPr>
          <w:i/>
        </w:rPr>
        <w:t>et al</w:t>
      </w:r>
      <w:r>
        <w:rPr/>
        <w:t>., 2014). When oil spill occur in fresh water</w:t>
      </w:r>
      <w:r>
        <w:rPr/>
        <w:t> and</w:t>
      </w:r>
      <w:r>
        <w:rPr/>
        <w:t> marine</w:t>
      </w:r>
      <w:r>
        <w:rPr/>
        <w:t> environments, the level of carbon increases while that of phosphorus and nitrogen decrease, therefore affecting the rate of biodegradation. The level of Phosphorus</w:t>
      </w:r>
      <w:r>
        <w:rPr>
          <w:spacing w:val="-3"/>
        </w:rPr>
        <w:t> </w:t>
      </w:r>
      <w:r>
        <w:rPr/>
        <w:t>and</w:t>
      </w:r>
      <w:r>
        <w:rPr>
          <w:spacing w:val="-3"/>
        </w:rPr>
        <w:t> </w:t>
      </w:r>
      <w:r>
        <w:rPr/>
        <w:t>nitrogen</w:t>
      </w:r>
      <w:r>
        <w:rPr>
          <w:spacing w:val="-3"/>
        </w:rPr>
        <w:t> </w:t>
      </w:r>
      <w:r>
        <w:rPr/>
        <w:t>are</w:t>
      </w:r>
      <w:r>
        <w:rPr>
          <w:spacing w:val="-5"/>
        </w:rPr>
        <w:t> </w:t>
      </w:r>
      <w:r>
        <w:rPr/>
        <w:t>low</w:t>
      </w:r>
      <w:r>
        <w:rPr>
          <w:spacing w:val="-3"/>
        </w:rPr>
        <w:t> </w:t>
      </w:r>
      <w:r>
        <w:rPr/>
        <w:t>in</w:t>
      </w:r>
      <w:r>
        <w:rPr>
          <w:spacing w:val="-3"/>
        </w:rPr>
        <w:t> </w:t>
      </w:r>
      <w:r>
        <w:rPr/>
        <w:t>marine</w:t>
      </w:r>
      <w:r>
        <w:rPr>
          <w:spacing w:val="-5"/>
        </w:rPr>
        <w:t> </w:t>
      </w:r>
      <w:r>
        <w:rPr/>
        <w:t>environment</w:t>
      </w:r>
      <w:r>
        <w:rPr>
          <w:spacing w:val="-3"/>
        </w:rPr>
        <w:t> </w:t>
      </w:r>
      <w:r>
        <w:rPr/>
        <w:t>and</w:t>
      </w:r>
      <w:r>
        <w:rPr>
          <w:spacing w:val="-3"/>
        </w:rPr>
        <w:t> </w:t>
      </w:r>
      <w:r>
        <w:rPr/>
        <w:t>the</w:t>
      </w:r>
      <w:r>
        <w:rPr>
          <w:spacing w:val="-4"/>
        </w:rPr>
        <w:t> </w:t>
      </w:r>
      <w:r>
        <w:rPr/>
        <w:t>wetlands</w:t>
      </w:r>
      <w:r>
        <w:rPr>
          <w:spacing w:val="-3"/>
        </w:rPr>
        <w:t> </w:t>
      </w:r>
      <w:r>
        <w:rPr/>
        <w:t>find</w:t>
      </w:r>
      <w:r>
        <w:rPr>
          <w:spacing w:val="-3"/>
        </w:rPr>
        <w:t> </w:t>
      </w:r>
      <w:r>
        <w:rPr/>
        <w:t>it</w:t>
      </w:r>
      <w:r>
        <w:rPr>
          <w:spacing w:val="-5"/>
        </w:rPr>
        <w:t> </w:t>
      </w:r>
      <w:r>
        <w:rPr/>
        <w:t>difficult</w:t>
      </w:r>
      <w:r>
        <w:rPr>
          <w:spacing w:val="-3"/>
        </w:rPr>
        <w:t> </w:t>
      </w:r>
      <w:r>
        <w:rPr/>
        <w:t>to</w:t>
      </w:r>
      <w:r>
        <w:rPr>
          <w:spacing w:val="-6"/>
        </w:rPr>
        <w:t> </w:t>
      </w:r>
      <w:r>
        <w:rPr/>
        <w:t>make available,</w:t>
      </w:r>
      <w:r>
        <w:rPr/>
        <w:t> enough</w:t>
      </w:r>
      <w:r>
        <w:rPr/>
        <w:t> nutrients</w:t>
      </w:r>
      <w:r>
        <w:rPr/>
        <w:t> due</w:t>
      </w:r>
      <w:r>
        <w:rPr/>
        <w:t> to</w:t>
      </w:r>
      <w:r>
        <w:rPr/>
        <w:t> the</w:t>
      </w:r>
      <w:r>
        <w:rPr/>
        <w:t> rise</w:t>
      </w:r>
      <w:r>
        <w:rPr/>
        <w:t> in</w:t>
      </w:r>
      <w:r>
        <w:rPr/>
        <w:t> the</w:t>
      </w:r>
      <w:r>
        <w:rPr/>
        <w:t> demand</w:t>
      </w:r>
      <w:r>
        <w:rPr/>
        <w:t> for</w:t>
      </w:r>
      <w:r>
        <w:rPr/>
        <w:t> nutrients</w:t>
      </w:r>
      <w:r>
        <w:rPr/>
        <w:t> by the</w:t>
      </w:r>
      <w:r>
        <w:rPr/>
        <w:t> growing</w:t>
      </w:r>
      <w:r>
        <w:rPr/>
        <w:t> plants. Therefore,</w:t>
      </w:r>
      <w:r>
        <w:rPr/>
        <w:t> nutrient</w:t>
      </w:r>
      <w:r>
        <w:rPr/>
        <w:t> supply</w:t>
      </w:r>
      <w:r>
        <w:rPr/>
        <w:t> is very important in promoting the biodegradation of contaminants (Hesnawi and Adbeib, 2013). From the report of Zafra </w:t>
      </w:r>
      <w:r>
        <w:rPr>
          <w:i/>
        </w:rPr>
        <w:t>et al</w:t>
      </w:r>
      <w:r>
        <w:rPr/>
        <w:t>. (2015) the biodegradation rate is influenced by the pollutants’ concentration; higher level of PAHs decreases the growth of PAHs degrading</w:t>
      </w:r>
      <w:r>
        <w:rPr>
          <w:spacing w:val="-7"/>
        </w:rPr>
        <w:t> </w:t>
      </w:r>
      <w:r>
        <w:rPr/>
        <w:t>microorganisms</w:t>
      </w:r>
      <w:r>
        <w:rPr>
          <w:spacing w:val="-4"/>
        </w:rPr>
        <w:t> </w:t>
      </w:r>
      <w:r>
        <w:rPr/>
        <w:t>and</w:t>
      </w:r>
      <w:r>
        <w:rPr>
          <w:spacing w:val="-4"/>
        </w:rPr>
        <w:t> </w:t>
      </w:r>
      <w:r>
        <w:rPr/>
        <w:t>affects</w:t>
      </w:r>
      <w:r>
        <w:rPr>
          <w:spacing w:val="-4"/>
        </w:rPr>
        <w:t> </w:t>
      </w:r>
      <w:r>
        <w:rPr/>
        <w:t>their</w:t>
      </w:r>
      <w:r>
        <w:rPr>
          <w:spacing w:val="-4"/>
        </w:rPr>
        <w:t> </w:t>
      </w:r>
      <w:r>
        <w:rPr/>
        <w:t>cell</w:t>
      </w:r>
      <w:r>
        <w:rPr>
          <w:spacing w:val="-2"/>
        </w:rPr>
        <w:t> </w:t>
      </w:r>
      <w:r>
        <w:rPr/>
        <w:t>membrane</w:t>
      </w:r>
      <w:r>
        <w:rPr>
          <w:spacing w:val="-5"/>
        </w:rPr>
        <w:t> </w:t>
      </w:r>
      <w:r>
        <w:rPr/>
        <w:t>structure</w:t>
      </w:r>
      <w:r>
        <w:rPr>
          <w:spacing w:val="-5"/>
        </w:rPr>
        <w:t> </w:t>
      </w:r>
      <w:r>
        <w:rPr/>
        <w:t>and</w:t>
      </w:r>
      <w:r>
        <w:rPr>
          <w:spacing w:val="-2"/>
        </w:rPr>
        <w:t> </w:t>
      </w:r>
      <w:r>
        <w:rPr/>
        <w:t>mycelia</w:t>
      </w:r>
      <w:r>
        <w:rPr>
          <w:spacing w:val="-5"/>
        </w:rPr>
        <w:t> </w:t>
      </w:r>
      <w:r>
        <w:rPr/>
        <w:t>pigmentation</w:t>
      </w:r>
      <w:r>
        <w:rPr>
          <w:spacing w:val="-4"/>
        </w:rPr>
        <w:t> </w:t>
      </w:r>
      <w:r>
        <w:rPr/>
        <w:t>as well as alters sporulation.</w:t>
      </w:r>
    </w:p>
    <w:p>
      <w:pPr>
        <w:pStyle w:val="Heading2"/>
        <w:numPr>
          <w:ilvl w:val="2"/>
          <w:numId w:val="3"/>
        </w:numPr>
        <w:tabs>
          <w:tab w:pos="661" w:val="left" w:leader="none"/>
        </w:tabs>
        <w:spacing w:line="240" w:lineRule="auto" w:before="7" w:after="0"/>
        <w:ind w:left="660" w:right="0" w:hanging="541"/>
        <w:jc w:val="both"/>
      </w:pPr>
      <w:r>
        <w:rPr>
          <w:spacing w:val="-2"/>
        </w:rPr>
        <w:t>Salinity</w:t>
      </w:r>
    </w:p>
    <w:p>
      <w:pPr>
        <w:spacing w:after="0" w:line="240" w:lineRule="auto"/>
        <w:jc w:val="both"/>
        <w:sectPr>
          <w:pgSz w:w="12240" w:h="15840"/>
          <w:pgMar w:header="0" w:footer="1015" w:top="1360" w:bottom="1200" w:left="1320" w:right="1320"/>
        </w:sectPr>
      </w:pPr>
    </w:p>
    <w:p>
      <w:pPr>
        <w:pStyle w:val="BodyText"/>
        <w:spacing w:line="480" w:lineRule="auto" w:before="72"/>
        <w:ind w:left="120" w:right="118" w:firstLine="60"/>
        <w:jc w:val="both"/>
      </w:pPr>
      <w:r>
        <w:rPr/>
        <w:t>There</w:t>
      </w:r>
      <w:r>
        <w:rPr>
          <w:spacing w:val="-15"/>
        </w:rPr>
        <w:t> </w:t>
      </w:r>
      <w:r>
        <w:rPr/>
        <w:t>is</w:t>
      </w:r>
      <w:r>
        <w:rPr>
          <w:spacing w:val="-14"/>
        </w:rPr>
        <w:t> </w:t>
      </w:r>
      <w:r>
        <w:rPr/>
        <w:t>a</w:t>
      </w:r>
      <w:r>
        <w:rPr>
          <w:spacing w:val="-15"/>
        </w:rPr>
        <w:t> </w:t>
      </w:r>
      <w:r>
        <w:rPr/>
        <w:t>positive</w:t>
      </w:r>
      <w:r>
        <w:rPr>
          <w:spacing w:val="-15"/>
        </w:rPr>
        <w:t> </w:t>
      </w:r>
      <w:r>
        <w:rPr/>
        <w:t>association</w:t>
      </w:r>
      <w:r>
        <w:rPr>
          <w:spacing w:val="-13"/>
        </w:rPr>
        <w:t> </w:t>
      </w:r>
      <w:r>
        <w:rPr/>
        <w:t>between</w:t>
      </w:r>
      <w:r>
        <w:rPr>
          <w:spacing w:val="-12"/>
        </w:rPr>
        <w:t> </w:t>
      </w:r>
      <w:r>
        <w:rPr/>
        <w:t>salinity</w:t>
      </w:r>
      <w:r>
        <w:rPr>
          <w:spacing w:val="-15"/>
        </w:rPr>
        <w:t> </w:t>
      </w:r>
      <w:r>
        <w:rPr/>
        <w:t>and</w:t>
      </w:r>
      <w:r>
        <w:rPr>
          <w:spacing w:val="-14"/>
        </w:rPr>
        <w:t> </w:t>
      </w:r>
      <w:r>
        <w:rPr/>
        <w:t>the</w:t>
      </w:r>
      <w:r>
        <w:rPr>
          <w:spacing w:val="-15"/>
        </w:rPr>
        <w:t> </w:t>
      </w:r>
      <w:r>
        <w:rPr/>
        <w:t>rate</w:t>
      </w:r>
      <w:r>
        <w:rPr>
          <w:spacing w:val="-15"/>
        </w:rPr>
        <w:t> </w:t>
      </w:r>
      <w:r>
        <w:rPr/>
        <w:t>of</w:t>
      </w:r>
      <w:r>
        <w:rPr>
          <w:spacing w:val="-14"/>
        </w:rPr>
        <w:t> </w:t>
      </w:r>
      <w:r>
        <w:rPr/>
        <w:t>mineralization</w:t>
      </w:r>
      <w:r>
        <w:rPr>
          <w:spacing w:val="-14"/>
        </w:rPr>
        <w:t> </w:t>
      </w:r>
      <w:r>
        <w:rPr/>
        <w:t>of</w:t>
      </w:r>
      <w:r>
        <w:rPr>
          <w:spacing w:val="-15"/>
        </w:rPr>
        <w:t> </w:t>
      </w:r>
      <w:r>
        <w:rPr/>
        <w:t>PAHs</w:t>
      </w:r>
      <w:r>
        <w:rPr>
          <w:spacing w:val="-14"/>
        </w:rPr>
        <w:t> </w:t>
      </w:r>
      <w:r>
        <w:rPr/>
        <w:t>in</w:t>
      </w:r>
      <w:r>
        <w:rPr>
          <w:spacing w:val="-12"/>
        </w:rPr>
        <w:t> </w:t>
      </w:r>
      <w:r>
        <w:rPr/>
        <w:t>estuarine environemnt.</w:t>
      </w:r>
      <w:r>
        <w:rPr>
          <w:spacing w:val="-8"/>
        </w:rPr>
        <w:t> </w:t>
      </w:r>
      <w:r>
        <w:rPr/>
        <w:t>When</w:t>
      </w:r>
      <w:r>
        <w:rPr>
          <w:spacing w:val="-8"/>
        </w:rPr>
        <w:t> </w:t>
      </w:r>
      <w:r>
        <w:rPr/>
        <w:t>salt</w:t>
      </w:r>
      <w:r>
        <w:rPr>
          <w:spacing w:val="-6"/>
        </w:rPr>
        <w:t> </w:t>
      </w:r>
      <w:r>
        <w:rPr/>
        <w:t>ponds</w:t>
      </w:r>
      <w:r>
        <w:rPr>
          <w:spacing w:val="-8"/>
        </w:rPr>
        <w:t> </w:t>
      </w:r>
      <w:r>
        <w:rPr/>
        <w:t>evaporate,</w:t>
      </w:r>
      <w:r>
        <w:rPr>
          <w:spacing w:val="-9"/>
        </w:rPr>
        <w:t> </w:t>
      </w:r>
      <w:r>
        <w:rPr/>
        <w:t>the</w:t>
      </w:r>
      <w:r>
        <w:rPr>
          <w:spacing w:val="-7"/>
        </w:rPr>
        <w:t> </w:t>
      </w:r>
      <w:r>
        <w:rPr/>
        <w:t>rate</w:t>
      </w:r>
      <w:r>
        <w:rPr>
          <w:spacing w:val="-7"/>
        </w:rPr>
        <w:t> </w:t>
      </w:r>
      <w:r>
        <w:rPr/>
        <w:t>at</w:t>
      </w:r>
      <w:r>
        <w:rPr>
          <w:spacing w:val="-8"/>
        </w:rPr>
        <w:t> </w:t>
      </w:r>
      <w:r>
        <w:rPr/>
        <w:t>which</w:t>
      </w:r>
      <w:r>
        <w:rPr>
          <w:spacing w:val="-8"/>
        </w:rPr>
        <w:t> </w:t>
      </w:r>
      <w:r>
        <w:rPr/>
        <w:t>hydrocarbon</w:t>
      </w:r>
      <w:r>
        <w:rPr>
          <w:spacing w:val="-5"/>
        </w:rPr>
        <w:t> </w:t>
      </w:r>
      <w:r>
        <w:rPr/>
        <w:t>is</w:t>
      </w:r>
      <w:r>
        <w:rPr>
          <w:spacing w:val="-8"/>
        </w:rPr>
        <w:t> </w:t>
      </w:r>
      <w:r>
        <w:rPr/>
        <w:t>a</w:t>
      </w:r>
      <w:r>
        <w:rPr>
          <w:spacing w:val="-9"/>
        </w:rPr>
        <w:t> </w:t>
      </w:r>
      <w:r>
        <w:rPr/>
        <w:t>metabolized</w:t>
      </w:r>
      <w:r>
        <w:rPr>
          <w:spacing w:val="-8"/>
        </w:rPr>
        <w:t> </w:t>
      </w:r>
      <w:r>
        <w:rPr/>
        <w:t>decrease due to an increase in salinity from 3.3 % to 28.4 % resulting in a general decrease in the rate of microbial metabolism. (Qin </w:t>
      </w:r>
      <w:r>
        <w:rPr>
          <w:i/>
        </w:rPr>
        <w:t>et al</w:t>
      </w:r>
      <w:r>
        <w:rPr/>
        <w:t>., 2015) reported that salinity is very important in the rate of biodegradation and bioremediation as well as microbial growth and diversity. It has a negative effect</w:t>
      </w:r>
      <w:r>
        <w:rPr>
          <w:spacing w:val="-1"/>
        </w:rPr>
        <w:t> </w:t>
      </w:r>
      <w:r>
        <w:rPr/>
        <w:t>on</w:t>
      </w:r>
      <w:r>
        <w:rPr>
          <w:spacing w:val="-1"/>
        </w:rPr>
        <w:t> </w:t>
      </w:r>
      <w:r>
        <w:rPr/>
        <w:t>some key</w:t>
      </w:r>
      <w:r>
        <w:rPr>
          <w:spacing w:val="-4"/>
        </w:rPr>
        <w:t> </w:t>
      </w:r>
      <w:r>
        <w:rPr/>
        <w:t>enzymatic</w:t>
      </w:r>
      <w:r>
        <w:rPr>
          <w:spacing w:val="-2"/>
        </w:rPr>
        <w:t> </w:t>
      </w:r>
      <w:r>
        <w:rPr/>
        <w:t>activities</w:t>
      </w:r>
      <w:r>
        <w:rPr>
          <w:spacing w:val="-2"/>
        </w:rPr>
        <w:t> </w:t>
      </w:r>
      <w:r>
        <w:rPr/>
        <w:t>involved in</w:t>
      </w:r>
      <w:r>
        <w:rPr>
          <w:spacing w:val="-1"/>
        </w:rPr>
        <w:t> </w:t>
      </w:r>
      <w:r>
        <w:rPr/>
        <w:t>the</w:t>
      </w:r>
      <w:r>
        <w:rPr>
          <w:spacing w:val="-2"/>
        </w:rPr>
        <w:t> </w:t>
      </w:r>
      <w:r>
        <w:rPr/>
        <w:t>degradation</w:t>
      </w:r>
      <w:r>
        <w:rPr>
          <w:spacing w:val="-1"/>
        </w:rPr>
        <w:t> </w:t>
      </w:r>
      <w:r>
        <w:rPr/>
        <w:t>of</w:t>
      </w:r>
      <w:r>
        <w:rPr>
          <w:spacing w:val="-2"/>
        </w:rPr>
        <w:t> </w:t>
      </w:r>
      <w:r>
        <w:rPr/>
        <w:t>hydrocarbon (Ebadi </w:t>
      </w:r>
      <w:r>
        <w:rPr>
          <w:i/>
        </w:rPr>
        <w:t>et</w:t>
      </w:r>
      <w:r>
        <w:rPr>
          <w:i/>
          <w:spacing w:val="-1"/>
        </w:rPr>
        <w:t> </w:t>
      </w:r>
      <w:r>
        <w:rPr>
          <w:i/>
        </w:rPr>
        <w:t>al</w:t>
      </w:r>
      <w:r>
        <w:rPr/>
        <w:t>., </w:t>
      </w:r>
      <w:r>
        <w:rPr>
          <w:spacing w:val="-2"/>
        </w:rPr>
        <w:t>2017).</w:t>
      </w:r>
    </w:p>
    <w:p>
      <w:pPr>
        <w:pStyle w:val="Heading2"/>
        <w:numPr>
          <w:ilvl w:val="2"/>
          <w:numId w:val="3"/>
        </w:numPr>
        <w:tabs>
          <w:tab w:pos="661" w:val="left" w:leader="none"/>
        </w:tabs>
        <w:spacing w:line="240" w:lineRule="auto" w:before="207" w:after="0"/>
        <w:ind w:left="660" w:right="0" w:hanging="541"/>
        <w:jc w:val="both"/>
      </w:pPr>
      <w:r>
        <w:rPr>
          <w:spacing w:val="-5"/>
        </w:rPr>
        <w:t>pH</w:t>
      </w:r>
    </w:p>
    <w:p>
      <w:pPr>
        <w:pStyle w:val="BodyText"/>
        <w:spacing w:before="5"/>
        <w:rPr>
          <w:b/>
          <w:sz w:val="23"/>
        </w:rPr>
      </w:pPr>
    </w:p>
    <w:p>
      <w:pPr>
        <w:pStyle w:val="BodyText"/>
        <w:spacing w:line="480" w:lineRule="auto"/>
        <w:ind w:left="120" w:right="118"/>
        <w:jc w:val="both"/>
      </w:pPr>
      <w:r>
        <w:rPr/>
        <w:t>pH</w:t>
      </w:r>
      <w:r>
        <w:rPr>
          <w:spacing w:val="-1"/>
        </w:rPr>
        <w:t> </w:t>
      </w:r>
      <w:r>
        <w:rPr/>
        <w:t>is a</w:t>
      </w:r>
      <w:r>
        <w:rPr>
          <w:spacing w:val="-1"/>
        </w:rPr>
        <w:t> </w:t>
      </w:r>
      <w:r>
        <w:rPr/>
        <w:t>key</w:t>
      </w:r>
      <w:r>
        <w:rPr>
          <w:spacing w:val="-5"/>
        </w:rPr>
        <w:t> </w:t>
      </w:r>
      <w:r>
        <w:rPr/>
        <w:t>factor</w:t>
      </w:r>
      <w:r>
        <w:rPr>
          <w:spacing w:val="-1"/>
        </w:rPr>
        <w:t> </w:t>
      </w:r>
      <w:r>
        <w:rPr/>
        <w:t>that must be</w:t>
      </w:r>
      <w:r>
        <w:rPr>
          <w:spacing w:val="-1"/>
        </w:rPr>
        <w:t> </w:t>
      </w:r>
      <w:r>
        <w:rPr/>
        <w:t>considered in the</w:t>
      </w:r>
      <w:r>
        <w:rPr>
          <w:spacing w:val="-1"/>
        </w:rPr>
        <w:t> </w:t>
      </w:r>
      <w:r>
        <w:rPr/>
        <w:t>improvement of</w:t>
      </w:r>
      <w:r>
        <w:rPr>
          <w:spacing w:val="-1"/>
        </w:rPr>
        <w:t> </w:t>
      </w:r>
      <w:r>
        <w:rPr/>
        <w:t>biological method of</w:t>
      </w:r>
      <w:r>
        <w:rPr>
          <w:spacing w:val="-1"/>
        </w:rPr>
        <w:t> </w:t>
      </w:r>
      <w:r>
        <w:rPr/>
        <w:t>treatment. pH affects several processes which include catalytic reactions, enzymatic reactions as well as transport in cell membrane (Pawar, 2015). Neutral to</w:t>
      </w:r>
      <w:r>
        <w:rPr/>
        <w:t> alkaline pH is the optimum pH for most heterotrophic</w:t>
      </w:r>
      <w:r>
        <w:rPr>
          <w:spacing w:val="-3"/>
        </w:rPr>
        <w:t> </w:t>
      </w:r>
      <w:r>
        <w:rPr/>
        <w:t>bacteria,</w:t>
      </w:r>
      <w:r>
        <w:rPr>
          <w:spacing w:val="-3"/>
        </w:rPr>
        <w:t> </w:t>
      </w:r>
      <w:r>
        <w:rPr/>
        <w:t>which</w:t>
      </w:r>
      <w:r>
        <w:rPr>
          <w:spacing w:val="-3"/>
        </w:rPr>
        <w:t> </w:t>
      </w:r>
      <w:r>
        <w:rPr/>
        <w:t>is</w:t>
      </w:r>
      <w:r>
        <w:rPr>
          <w:spacing w:val="-3"/>
        </w:rPr>
        <w:t> </w:t>
      </w:r>
      <w:r>
        <w:rPr/>
        <w:t>different</w:t>
      </w:r>
      <w:r>
        <w:rPr>
          <w:spacing w:val="-3"/>
        </w:rPr>
        <w:t> </w:t>
      </w:r>
      <w:r>
        <w:rPr/>
        <w:t>from</w:t>
      </w:r>
      <w:r>
        <w:rPr>
          <w:spacing w:val="-3"/>
        </w:rPr>
        <w:t> </w:t>
      </w:r>
      <w:r>
        <w:rPr/>
        <w:t>the</w:t>
      </w:r>
      <w:r>
        <w:rPr>
          <w:spacing w:val="-2"/>
        </w:rPr>
        <w:t> </w:t>
      </w:r>
      <w:r>
        <w:rPr/>
        <w:t>pH</w:t>
      </w:r>
      <w:r>
        <w:rPr>
          <w:spacing w:val="-3"/>
        </w:rPr>
        <w:t> </w:t>
      </w:r>
      <w:r>
        <w:rPr/>
        <w:t>of</w:t>
      </w:r>
      <w:r>
        <w:rPr>
          <w:spacing w:val="-3"/>
        </w:rPr>
        <w:t> </w:t>
      </w:r>
      <w:r>
        <w:rPr/>
        <w:t>aquatic</w:t>
      </w:r>
      <w:r>
        <w:rPr>
          <w:spacing w:val="-2"/>
        </w:rPr>
        <w:t> </w:t>
      </w:r>
      <w:r>
        <w:rPr/>
        <w:t>environment</w:t>
      </w:r>
      <w:r>
        <w:rPr>
          <w:spacing w:val="-3"/>
        </w:rPr>
        <w:t> </w:t>
      </w:r>
      <w:r>
        <w:rPr/>
        <w:t>and</w:t>
      </w:r>
      <w:r>
        <w:rPr>
          <w:spacing w:val="-3"/>
        </w:rPr>
        <w:t> </w:t>
      </w:r>
      <w:r>
        <w:rPr/>
        <w:t>soil</w:t>
      </w:r>
      <w:r>
        <w:rPr>
          <w:spacing w:val="-3"/>
        </w:rPr>
        <w:t> </w:t>
      </w:r>
      <w:r>
        <w:rPr/>
        <w:t>pH</w:t>
      </w:r>
      <w:r>
        <w:rPr>
          <w:spacing w:val="-3"/>
        </w:rPr>
        <w:t> </w:t>
      </w:r>
      <w:r>
        <w:rPr/>
        <w:t>usually vary between pH 2.5-11. These differences in pH usually affect the rate of degradation of hydrocarbon in soil, fresh water, and marine environments.</w:t>
      </w:r>
    </w:p>
    <w:p>
      <w:pPr>
        <w:pStyle w:val="Heading2"/>
        <w:numPr>
          <w:ilvl w:val="1"/>
          <w:numId w:val="3"/>
        </w:numPr>
        <w:tabs>
          <w:tab w:pos="481" w:val="left" w:leader="none"/>
        </w:tabs>
        <w:spacing w:line="240" w:lineRule="auto" w:before="5" w:after="0"/>
        <w:ind w:left="480" w:right="0" w:hanging="361"/>
        <w:jc w:val="both"/>
      </w:pPr>
      <w:r>
        <w:rPr/>
        <w:t>Mechanism</w:t>
      </w:r>
      <w:r>
        <w:rPr>
          <w:spacing w:val="-11"/>
        </w:rPr>
        <w:t> </w:t>
      </w:r>
      <w:r>
        <w:rPr/>
        <w:t>in</w:t>
      </w:r>
      <w:r>
        <w:rPr>
          <w:spacing w:val="-4"/>
        </w:rPr>
        <w:t> </w:t>
      </w:r>
      <w:r>
        <w:rPr/>
        <w:t>Degradation</w:t>
      </w:r>
      <w:r>
        <w:rPr>
          <w:spacing w:val="-5"/>
        </w:rPr>
        <w:t> </w:t>
      </w:r>
      <w:r>
        <w:rPr/>
        <w:t>of</w:t>
      </w:r>
      <w:r>
        <w:rPr>
          <w:spacing w:val="-5"/>
        </w:rPr>
        <w:t> </w:t>
      </w:r>
      <w:r>
        <w:rPr/>
        <w:t>Petroleum</w:t>
      </w:r>
      <w:r>
        <w:rPr>
          <w:spacing w:val="-8"/>
        </w:rPr>
        <w:t> </w:t>
      </w:r>
      <w:r>
        <w:rPr>
          <w:spacing w:val="-2"/>
        </w:rPr>
        <w:t>Hydrocarbon</w:t>
      </w:r>
    </w:p>
    <w:p>
      <w:pPr>
        <w:pStyle w:val="BodyText"/>
        <w:spacing w:before="7"/>
        <w:rPr>
          <w:b/>
          <w:sz w:val="23"/>
        </w:rPr>
      </w:pPr>
    </w:p>
    <w:p>
      <w:pPr>
        <w:pStyle w:val="BodyText"/>
        <w:spacing w:line="480" w:lineRule="auto"/>
        <w:ind w:left="120" w:right="117"/>
        <w:jc w:val="both"/>
      </w:pPr>
      <w:r>
        <w:rPr/>
        <w:t>Some</w:t>
      </w:r>
      <w:r>
        <w:rPr>
          <w:spacing w:val="-6"/>
        </w:rPr>
        <w:t> </w:t>
      </w:r>
      <w:r>
        <w:rPr/>
        <w:t>organic</w:t>
      </w:r>
      <w:r>
        <w:rPr>
          <w:spacing w:val="-6"/>
        </w:rPr>
        <w:t> </w:t>
      </w:r>
      <w:r>
        <w:rPr/>
        <w:t>compounds</w:t>
      </w:r>
      <w:r>
        <w:rPr>
          <w:spacing w:val="-5"/>
        </w:rPr>
        <w:t> </w:t>
      </w:r>
      <w:r>
        <w:rPr/>
        <w:t>are</w:t>
      </w:r>
      <w:r>
        <w:rPr>
          <w:spacing w:val="-8"/>
        </w:rPr>
        <w:t> </w:t>
      </w:r>
      <w:r>
        <w:rPr/>
        <w:t>mostly</w:t>
      </w:r>
      <w:r>
        <w:rPr>
          <w:spacing w:val="-13"/>
        </w:rPr>
        <w:t> </w:t>
      </w:r>
      <w:r>
        <w:rPr/>
        <w:t>completely</w:t>
      </w:r>
      <w:r>
        <w:rPr>
          <w:spacing w:val="-11"/>
        </w:rPr>
        <w:t> </w:t>
      </w:r>
      <w:r>
        <w:rPr/>
        <w:t>degraded</w:t>
      </w:r>
      <w:r>
        <w:rPr>
          <w:spacing w:val="-6"/>
        </w:rPr>
        <w:t> </w:t>
      </w:r>
      <w:r>
        <w:rPr/>
        <w:t>in</w:t>
      </w:r>
      <w:r>
        <w:rPr>
          <w:spacing w:val="-5"/>
        </w:rPr>
        <w:t> </w:t>
      </w:r>
      <w:r>
        <w:rPr/>
        <w:t>an</w:t>
      </w:r>
      <w:r>
        <w:rPr>
          <w:spacing w:val="-6"/>
        </w:rPr>
        <w:t> </w:t>
      </w:r>
      <w:r>
        <w:rPr/>
        <w:t>aerobic</w:t>
      </w:r>
      <w:r>
        <w:rPr>
          <w:spacing w:val="-7"/>
        </w:rPr>
        <w:t> </w:t>
      </w:r>
      <w:r>
        <w:rPr/>
        <w:t>environmental</w:t>
      </w:r>
      <w:r>
        <w:rPr>
          <w:spacing w:val="-6"/>
        </w:rPr>
        <w:t> </w:t>
      </w:r>
      <w:r>
        <w:rPr/>
        <w:t>condition. The initial intracellular breakdown of organic compounds is an enzymatic and oxidative reaction where oxygen is used as the key enzyme in form of oxygenases and peroxidases. The peripheral degradation pathways transform organic compounds stepwise in the central intermediary metabolisms intermediates known tricarboxylic acid cycle. Acetyl Co-A, succinate and pyruvate are the metabolites of the central precursors from which the synthesis of cell biomass occur. Gluconogenesis</w:t>
      </w:r>
      <w:r>
        <w:rPr>
          <w:spacing w:val="-14"/>
        </w:rPr>
        <w:t> </w:t>
      </w:r>
      <w:r>
        <w:rPr/>
        <w:t>is</w:t>
      </w:r>
      <w:r>
        <w:rPr>
          <w:spacing w:val="-12"/>
        </w:rPr>
        <w:t> </w:t>
      </w:r>
      <w:r>
        <w:rPr/>
        <w:t>the</w:t>
      </w:r>
      <w:r>
        <w:rPr>
          <w:spacing w:val="-14"/>
        </w:rPr>
        <w:t> </w:t>
      </w:r>
      <w:r>
        <w:rPr/>
        <w:t>process</w:t>
      </w:r>
      <w:r>
        <w:rPr>
          <w:spacing w:val="-13"/>
        </w:rPr>
        <w:t> </w:t>
      </w:r>
      <w:r>
        <w:rPr/>
        <w:t>whereby</w:t>
      </w:r>
      <w:r>
        <w:rPr>
          <w:spacing w:val="-15"/>
        </w:rPr>
        <w:t> </w:t>
      </w:r>
      <w:r>
        <w:rPr/>
        <w:t>saccharides</w:t>
      </w:r>
      <w:r>
        <w:rPr>
          <w:spacing w:val="-13"/>
        </w:rPr>
        <w:t> </w:t>
      </w:r>
      <w:r>
        <w:rPr/>
        <w:t>that</w:t>
      </w:r>
      <w:r>
        <w:rPr>
          <w:spacing w:val="-13"/>
        </w:rPr>
        <w:t> </w:t>
      </w:r>
      <w:r>
        <w:rPr/>
        <w:t>are</w:t>
      </w:r>
      <w:r>
        <w:rPr>
          <w:spacing w:val="-12"/>
        </w:rPr>
        <w:t> </w:t>
      </w:r>
      <w:r>
        <w:rPr/>
        <w:t>crucial</w:t>
      </w:r>
      <w:r>
        <w:rPr>
          <w:spacing w:val="-13"/>
        </w:rPr>
        <w:t> </w:t>
      </w:r>
      <w:r>
        <w:rPr/>
        <w:t>for</w:t>
      </w:r>
      <w:r>
        <w:rPr>
          <w:spacing w:val="-12"/>
        </w:rPr>
        <w:t> </w:t>
      </w:r>
      <w:r>
        <w:rPr/>
        <w:t>growth</w:t>
      </w:r>
      <w:r>
        <w:rPr>
          <w:spacing w:val="-13"/>
        </w:rPr>
        <w:t> </w:t>
      </w:r>
      <w:r>
        <w:rPr/>
        <w:t>and</w:t>
      </w:r>
      <w:r>
        <w:rPr>
          <w:spacing w:val="-13"/>
        </w:rPr>
        <w:t> </w:t>
      </w:r>
      <w:r>
        <w:rPr/>
        <w:t>other</w:t>
      </w:r>
      <w:r>
        <w:rPr>
          <w:spacing w:val="-14"/>
        </w:rPr>
        <w:t> </w:t>
      </w:r>
      <w:r>
        <w:rPr/>
        <w:t>biological synthesis</w:t>
      </w:r>
      <w:r>
        <w:rPr>
          <w:spacing w:val="3"/>
        </w:rPr>
        <w:t> </w:t>
      </w:r>
      <w:r>
        <w:rPr/>
        <w:t>are synthesized.</w:t>
      </w:r>
      <w:r>
        <w:rPr>
          <w:spacing w:val="2"/>
        </w:rPr>
        <w:t> </w:t>
      </w:r>
      <w:r>
        <w:rPr/>
        <w:t>Degradation</w:t>
      </w:r>
      <w:r>
        <w:rPr>
          <w:spacing w:val="2"/>
        </w:rPr>
        <w:t> </w:t>
      </w:r>
      <w:r>
        <w:rPr/>
        <w:t>of</w:t>
      </w:r>
      <w:r>
        <w:rPr>
          <w:spacing w:val="1"/>
        </w:rPr>
        <w:t> </w:t>
      </w:r>
      <w:r>
        <w:rPr/>
        <w:t>PHs</w:t>
      </w:r>
      <w:r>
        <w:rPr>
          <w:spacing w:val="2"/>
        </w:rPr>
        <w:t> </w:t>
      </w:r>
      <w:r>
        <w:rPr/>
        <w:t>is</w:t>
      </w:r>
      <w:r>
        <w:rPr>
          <w:spacing w:val="3"/>
        </w:rPr>
        <w:t> </w:t>
      </w:r>
      <w:r>
        <w:rPr/>
        <w:t>achieved</w:t>
      </w:r>
      <w:r>
        <w:rPr>
          <w:spacing w:val="2"/>
        </w:rPr>
        <w:t> </w:t>
      </w:r>
      <w:r>
        <w:rPr/>
        <w:t>through</w:t>
      </w:r>
      <w:r>
        <w:rPr>
          <w:spacing w:val="4"/>
        </w:rPr>
        <w:t> </w:t>
      </w:r>
      <w:r>
        <w:rPr/>
        <w:t>a</w:t>
      </w:r>
      <w:r>
        <w:rPr>
          <w:spacing w:val="1"/>
        </w:rPr>
        <w:t> </w:t>
      </w:r>
      <w:r>
        <w:rPr/>
        <w:t>particular</w:t>
      </w:r>
      <w:r>
        <w:rPr>
          <w:spacing w:val="1"/>
        </w:rPr>
        <w:t> </w:t>
      </w:r>
      <w:r>
        <w:rPr/>
        <w:t>enzymatic</w:t>
      </w:r>
      <w:r>
        <w:rPr>
          <w:spacing w:val="2"/>
        </w:rPr>
        <w:t> </w:t>
      </w:r>
      <w:r>
        <w:rPr>
          <w:spacing w:val="-2"/>
        </w:rPr>
        <w:t>system</w:t>
      </w:r>
    </w:p>
    <w:p>
      <w:pPr>
        <w:spacing w:after="0" w:line="480" w:lineRule="auto"/>
        <w:jc w:val="both"/>
        <w:sectPr>
          <w:pgSz w:w="12240" w:h="15840"/>
          <w:pgMar w:header="0" w:footer="1015" w:top="1360" w:bottom="1200" w:left="1320" w:right="1320"/>
        </w:sectPr>
      </w:pPr>
    </w:p>
    <w:p>
      <w:pPr>
        <w:pStyle w:val="BodyText"/>
        <w:spacing w:line="480" w:lineRule="auto" w:before="72"/>
        <w:ind w:left="120" w:right="115"/>
        <w:jc w:val="both"/>
      </w:pPr>
      <w:r>
        <w:rPr/>
        <w:t>and</w:t>
      </w:r>
      <w:r>
        <w:rPr>
          <w:spacing w:val="-6"/>
        </w:rPr>
        <w:t> </w:t>
      </w:r>
      <w:r>
        <w:rPr/>
        <w:t>other</w:t>
      </w:r>
      <w:r>
        <w:rPr>
          <w:spacing w:val="-7"/>
        </w:rPr>
        <w:t> </w:t>
      </w:r>
      <w:r>
        <w:rPr/>
        <w:t>mechanisms</w:t>
      </w:r>
      <w:r>
        <w:rPr>
          <w:spacing w:val="-6"/>
        </w:rPr>
        <w:t> </w:t>
      </w:r>
      <w:r>
        <w:rPr/>
        <w:t>such</w:t>
      </w:r>
      <w:r>
        <w:rPr>
          <w:spacing w:val="-6"/>
        </w:rPr>
        <w:t> </w:t>
      </w:r>
      <w:r>
        <w:rPr/>
        <w:t>as</w:t>
      </w:r>
      <w:r>
        <w:rPr>
          <w:spacing w:val="-6"/>
        </w:rPr>
        <w:t> </w:t>
      </w:r>
      <w:r>
        <w:rPr/>
        <w:t>biosurfactant</w:t>
      </w:r>
      <w:r>
        <w:rPr>
          <w:spacing w:val="-6"/>
        </w:rPr>
        <w:t> </w:t>
      </w:r>
      <w:r>
        <w:rPr/>
        <w:t>production</w:t>
      </w:r>
      <w:r>
        <w:rPr>
          <w:spacing w:val="-6"/>
        </w:rPr>
        <w:t> </w:t>
      </w:r>
      <w:r>
        <w:rPr/>
        <w:t>and</w:t>
      </w:r>
      <w:r>
        <w:rPr>
          <w:spacing w:val="-6"/>
        </w:rPr>
        <w:t> </w:t>
      </w:r>
      <w:r>
        <w:rPr/>
        <w:t>microbial</w:t>
      </w:r>
      <w:r>
        <w:rPr>
          <w:spacing w:val="-3"/>
        </w:rPr>
        <w:t> </w:t>
      </w:r>
      <w:r>
        <w:rPr/>
        <w:t>cell</w:t>
      </w:r>
      <w:r>
        <w:rPr>
          <w:spacing w:val="-5"/>
        </w:rPr>
        <w:t> </w:t>
      </w:r>
      <w:r>
        <w:rPr/>
        <w:t>attachment</w:t>
      </w:r>
      <w:r>
        <w:rPr>
          <w:spacing w:val="-6"/>
        </w:rPr>
        <w:t> </w:t>
      </w:r>
      <w:r>
        <w:rPr/>
        <w:t>to</w:t>
      </w:r>
      <w:r>
        <w:rPr>
          <w:spacing w:val="-5"/>
        </w:rPr>
        <w:t> </w:t>
      </w:r>
      <w:r>
        <w:rPr/>
        <w:t>substrate are also involved (Rahman </w:t>
      </w:r>
      <w:r>
        <w:rPr>
          <w:i/>
        </w:rPr>
        <w:t>et al</w:t>
      </w:r>
      <w:r>
        <w:rPr/>
        <w:t>., 2003). PHs are sometimes metabolized selectively by a single species of microorgansism or a consortium that belong to the same or different genera. This microbial</w:t>
      </w:r>
      <w:r>
        <w:rPr>
          <w:spacing w:val="-8"/>
        </w:rPr>
        <w:t> </w:t>
      </w:r>
      <w:r>
        <w:rPr/>
        <w:t>consortium</w:t>
      </w:r>
      <w:r>
        <w:rPr>
          <w:spacing w:val="-8"/>
        </w:rPr>
        <w:t> </w:t>
      </w:r>
      <w:r>
        <w:rPr/>
        <w:t>has</w:t>
      </w:r>
      <w:r>
        <w:rPr>
          <w:spacing w:val="-6"/>
        </w:rPr>
        <w:t> </w:t>
      </w:r>
      <w:r>
        <w:rPr/>
        <w:t>been</w:t>
      </w:r>
      <w:r>
        <w:rPr>
          <w:spacing w:val="-8"/>
        </w:rPr>
        <w:t> </w:t>
      </w:r>
      <w:r>
        <w:rPr/>
        <w:t>reported</w:t>
      </w:r>
      <w:r>
        <w:rPr>
          <w:spacing w:val="-8"/>
        </w:rPr>
        <w:t> </w:t>
      </w:r>
      <w:r>
        <w:rPr/>
        <w:t>to</w:t>
      </w:r>
      <w:r>
        <w:rPr>
          <w:spacing w:val="-8"/>
        </w:rPr>
        <w:t> </w:t>
      </w:r>
      <w:r>
        <w:rPr/>
        <w:t>be</w:t>
      </w:r>
      <w:r>
        <w:rPr>
          <w:spacing w:val="-9"/>
        </w:rPr>
        <w:t> </w:t>
      </w:r>
      <w:r>
        <w:rPr/>
        <w:t>more</w:t>
      </w:r>
      <w:r>
        <w:rPr>
          <w:spacing w:val="-7"/>
        </w:rPr>
        <w:t> </w:t>
      </w:r>
      <w:r>
        <w:rPr/>
        <w:t>effective</w:t>
      </w:r>
      <w:r>
        <w:rPr>
          <w:spacing w:val="-9"/>
        </w:rPr>
        <w:t> </w:t>
      </w:r>
      <w:r>
        <w:rPr/>
        <w:t>than</w:t>
      </w:r>
      <w:r>
        <w:rPr>
          <w:spacing w:val="-9"/>
        </w:rPr>
        <w:t> </w:t>
      </w:r>
      <w:r>
        <w:rPr/>
        <w:t>single</w:t>
      </w:r>
      <w:r>
        <w:rPr>
          <w:spacing w:val="-9"/>
        </w:rPr>
        <w:t> </w:t>
      </w:r>
      <w:r>
        <w:rPr/>
        <w:t>organism</w:t>
      </w:r>
      <w:r>
        <w:rPr>
          <w:spacing w:val="-7"/>
        </w:rPr>
        <w:t> </w:t>
      </w:r>
      <w:r>
        <w:rPr/>
        <w:t>in</w:t>
      </w:r>
      <w:r>
        <w:rPr>
          <w:spacing w:val="-8"/>
        </w:rPr>
        <w:t> </w:t>
      </w:r>
      <w:r>
        <w:rPr/>
        <w:t>metabolizing petroleum hydrocarbons (Varjani and Upasani, 2016).</w:t>
      </w:r>
    </w:p>
    <w:p>
      <w:pPr>
        <w:pStyle w:val="Heading2"/>
        <w:numPr>
          <w:ilvl w:val="2"/>
          <w:numId w:val="3"/>
        </w:numPr>
        <w:tabs>
          <w:tab w:pos="901" w:val="left" w:leader="none"/>
        </w:tabs>
        <w:spacing w:line="240" w:lineRule="auto" w:before="5" w:after="0"/>
        <w:ind w:left="900" w:right="0" w:hanging="781"/>
        <w:jc w:val="both"/>
      </w:pPr>
      <w:r>
        <w:rPr/>
        <w:t>Aerobic</w:t>
      </w:r>
      <w:r>
        <w:rPr>
          <w:spacing w:val="-8"/>
        </w:rPr>
        <w:t> </w:t>
      </w:r>
      <w:r>
        <w:rPr/>
        <w:t>and</w:t>
      </w:r>
      <w:r>
        <w:rPr>
          <w:spacing w:val="-5"/>
        </w:rPr>
        <w:t> </w:t>
      </w:r>
      <w:r>
        <w:rPr/>
        <w:t>anaerobic</w:t>
      </w:r>
      <w:r>
        <w:rPr>
          <w:spacing w:val="-5"/>
        </w:rPr>
        <w:t> </w:t>
      </w:r>
      <w:r>
        <w:rPr/>
        <w:t>degradation</w:t>
      </w:r>
      <w:r>
        <w:rPr>
          <w:spacing w:val="-6"/>
        </w:rPr>
        <w:t> </w:t>
      </w:r>
      <w:r>
        <w:rPr/>
        <w:t>of</w:t>
      </w:r>
      <w:r>
        <w:rPr>
          <w:spacing w:val="-4"/>
        </w:rPr>
        <w:t> </w:t>
      </w:r>
      <w:r>
        <w:rPr>
          <w:spacing w:val="-2"/>
        </w:rPr>
        <w:t>petroleum</w:t>
      </w:r>
    </w:p>
    <w:p>
      <w:pPr>
        <w:pStyle w:val="BodyText"/>
        <w:spacing w:before="7"/>
        <w:rPr>
          <w:b/>
          <w:sz w:val="23"/>
        </w:rPr>
      </w:pPr>
    </w:p>
    <w:p>
      <w:pPr>
        <w:pStyle w:val="BodyText"/>
        <w:spacing w:line="480" w:lineRule="auto"/>
        <w:ind w:left="120" w:right="116"/>
        <w:jc w:val="both"/>
      </w:pPr>
      <w:r>
        <w:rPr/>
        <w:t>Several microorganism including bacteria, fungi, and algae have the capability to break down different</w:t>
      </w:r>
      <w:r>
        <w:rPr>
          <w:spacing w:val="-10"/>
        </w:rPr>
        <w:t> </w:t>
      </w:r>
      <w:r>
        <w:rPr/>
        <w:t>petroleum</w:t>
      </w:r>
      <w:r>
        <w:rPr>
          <w:spacing w:val="-10"/>
        </w:rPr>
        <w:t> </w:t>
      </w:r>
      <w:r>
        <w:rPr/>
        <w:t>constituents</w:t>
      </w:r>
      <w:r>
        <w:rPr>
          <w:spacing w:val="-10"/>
        </w:rPr>
        <w:t> </w:t>
      </w:r>
      <w:r>
        <w:rPr/>
        <w:t>under</w:t>
      </w:r>
      <w:r>
        <w:rPr>
          <w:spacing w:val="-11"/>
        </w:rPr>
        <w:t> </w:t>
      </w:r>
      <w:r>
        <w:rPr/>
        <w:t>different</w:t>
      </w:r>
      <w:r>
        <w:rPr>
          <w:spacing w:val="-10"/>
        </w:rPr>
        <w:t> </w:t>
      </w:r>
      <w:r>
        <w:rPr/>
        <w:t>conditions</w:t>
      </w:r>
      <w:r>
        <w:rPr>
          <w:spacing w:val="-10"/>
        </w:rPr>
        <w:t> </w:t>
      </w:r>
      <w:r>
        <w:rPr/>
        <w:t>of</w:t>
      </w:r>
      <w:r>
        <w:rPr>
          <w:spacing w:val="-11"/>
        </w:rPr>
        <w:t> </w:t>
      </w:r>
      <w:r>
        <w:rPr/>
        <w:t>the</w:t>
      </w:r>
      <w:r>
        <w:rPr>
          <w:spacing w:val="-11"/>
        </w:rPr>
        <w:t> </w:t>
      </w:r>
      <w:r>
        <w:rPr/>
        <w:t>environment</w:t>
      </w:r>
      <w:r>
        <w:rPr>
          <w:spacing w:val="-10"/>
        </w:rPr>
        <w:t> </w:t>
      </w:r>
      <w:r>
        <w:rPr/>
        <w:t>such</w:t>
      </w:r>
      <w:r>
        <w:rPr>
          <w:spacing w:val="-11"/>
        </w:rPr>
        <w:t> </w:t>
      </w:r>
      <w:r>
        <w:rPr/>
        <w:t>as</w:t>
      </w:r>
      <w:r>
        <w:rPr>
          <w:spacing w:val="-10"/>
        </w:rPr>
        <w:t> </w:t>
      </w:r>
      <w:r>
        <w:rPr/>
        <w:t>pH,</w:t>
      </w:r>
      <w:r>
        <w:rPr>
          <w:spacing w:val="-11"/>
        </w:rPr>
        <w:t> </w:t>
      </w:r>
      <w:r>
        <w:rPr/>
        <w:t>salinity aerobic</w:t>
      </w:r>
      <w:r>
        <w:rPr>
          <w:spacing w:val="-7"/>
        </w:rPr>
        <w:t> </w:t>
      </w:r>
      <w:r>
        <w:rPr/>
        <w:t>and</w:t>
      </w:r>
      <w:r>
        <w:rPr>
          <w:spacing w:val="-3"/>
        </w:rPr>
        <w:t> </w:t>
      </w:r>
      <w:r>
        <w:rPr/>
        <w:t>anaerobic</w:t>
      </w:r>
      <w:r>
        <w:rPr>
          <w:spacing w:val="-7"/>
        </w:rPr>
        <w:t> </w:t>
      </w:r>
      <w:r>
        <w:rPr/>
        <w:t>conditions.</w:t>
      </w:r>
      <w:r>
        <w:rPr>
          <w:spacing w:val="-5"/>
        </w:rPr>
        <w:t> </w:t>
      </w:r>
      <w:r>
        <w:rPr/>
        <w:t>This</w:t>
      </w:r>
      <w:r>
        <w:rPr>
          <w:spacing w:val="-8"/>
        </w:rPr>
        <w:t> </w:t>
      </w:r>
      <w:r>
        <w:rPr/>
        <w:t>is</w:t>
      </w:r>
      <w:r>
        <w:rPr>
          <w:spacing w:val="-5"/>
        </w:rPr>
        <w:t> </w:t>
      </w:r>
      <w:r>
        <w:rPr/>
        <w:t>achieved</w:t>
      </w:r>
      <w:r>
        <w:rPr>
          <w:spacing w:val="-4"/>
        </w:rPr>
        <w:t> </w:t>
      </w:r>
      <w:r>
        <w:rPr/>
        <w:t>through</w:t>
      </w:r>
      <w:r>
        <w:rPr>
          <w:spacing w:val="-6"/>
        </w:rPr>
        <w:t> </w:t>
      </w:r>
      <w:r>
        <w:rPr/>
        <w:t>the</w:t>
      </w:r>
      <w:r>
        <w:rPr>
          <w:spacing w:val="-6"/>
        </w:rPr>
        <w:t> </w:t>
      </w:r>
      <w:r>
        <w:rPr/>
        <w:t>involvement</w:t>
      </w:r>
      <w:r>
        <w:rPr>
          <w:spacing w:val="-4"/>
        </w:rPr>
        <w:t> </w:t>
      </w:r>
      <w:r>
        <w:rPr/>
        <w:t>of</w:t>
      </w:r>
      <w:r>
        <w:rPr>
          <w:spacing w:val="-7"/>
        </w:rPr>
        <w:t> </w:t>
      </w:r>
      <w:r>
        <w:rPr/>
        <w:t>some</w:t>
      </w:r>
      <w:r>
        <w:rPr>
          <w:spacing w:val="-6"/>
        </w:rPr>
        <w:t> </w:t>
      </w:r>
      <w:r>
        <w:rPr/>
        <w:t>key</w:t>
      </w:r>
      <w:r>
        <w:rPr>
          <w:spacing w:val="-11"/>
        </w:rPr>
        <w:t> </w:t>
      </w:r>
      <w:r>
        <w:rPr/>
        <w:t>enzymes and the genes involved in the breakdown of PHs may are found on plasmid DNA (Varjani and Upasani, 2016). Degradation of</w:t>
      </w:r>
      <w:r>
        <w:rPr>
          <w:spacing w:val="-2"/>
        </w:rPr>
        <w:t> </w:t>
      </w:r>
      <w:r>
        <w:rPr/>
        <w:t>petroleum</w:t>
      </w:r>
      <w:r>
        <w:rPr>
          <w:spacing w:val="-1"/>
        </w:rPr>
        <w:t> </w:t>
      </w:r>
      <w:r>
        <w:rPr/>
        <w:t>hydrocarbon</w:t>
      </w:r>
      <w:r>
        <w:rPr>
          <w:spacing w:val="-2"/>
        </w:rPr>
        <w:t> </w:t>
      </w:r>
      <w:r>
        <w:rPr/>
        <w:t>occurs</w:t>
      </w:r>
      <w:r>
        <w:rPr>
          <w:spacing w:val="-1"/>
        </w:rPr>
        <w:t> </w:t>
      </w:r>
      <w:r>
        <w:rPr/>
        <w:t>through a stepwise</w:t>
      </w:r>
      <w:r>
        <w:rPr>
          <w:spacing w:val="-1"/>
        </w:rPr>
        <w:t> </w:t>
      </w:r>
      <w:r>
        <w:rPr/>
        <w:t>metabolism of the</w:t>
      </w:r>
      <w:r>
        <w:rPr>
          <w:spacing w:val="-14"/>
        </w:rPr>
        <w:t> </w:t>
      </w:r>
      <w:r>
        <w:rPr/>
        <w:t>various</w:t>
      </w:r>
      <w:r>
        <w:rPr>
          <w:spacing w:val="-13"/>
        </w:rPr>
        <w:t> </w:t>
      </w:r>
      <w:r>
        <w:rPr/>
        <w:t>compounds.</w:t>
      </w:r>
      <w:r>
        <w:rPr>
          <w:spacing w:val="-11"/>
        </w:rPr>
        <w:t> </w:t>
      </w:r>
      <w:r>
        <w:rPr/>
        <w:t>Aromatic</w:t>
      </w:r>
      <w:r>
        <w:rPr>
          <w:spacing w:val="-14"/>
        </w:rPr>
        <w:t> </w:t>
      </w:r>
      <w:r>
        <w:rPr/>
        <w:t>and</w:t>
      </w:r>
      <w:r>
        <w:rPr>
          <w:spacing w:val="-11"/>
        </w:rPr>
        <w:t> </w:t>
      </w:r>
      <w:r>
        <w:rPr/>
        <w:t>aliphatic</w:t>
      </w:r>
      <w:r>
        <w:rPr>
          <w:spacing w:val="-14"/>
        </w:rPr>
        <w:t> </w:t>
      </w:r>
      <w:r>
        <w:rPr/>
        <w:t>hydrocarbons</w:t>
      </w:r>
      <w:r>
        <w:rPr>
          <w:spacing w:val="-11"/>
        </w:rPr>
        <w:t> </w:t>
      </w:r>
      <w:r>
        <w:rPr/>
        <w:t>degradation</w:t>
      </w:r>
      <w:r>
        <w:rPr>
          <w:spacing w:val="-11"/>
        </w:rPr>
        <w:t> </w:t>
      </w:r>
      <w:r>
        <w:rPr/>
        <w:t>may</w:t>
      </w:r>
      <w:r>
        <w:rPr>
          <w:spacing w:val="-14"/>
        </w:rPr>
        <w:t> </w:t>
      </w:r>
      <w:r>
        <w:rPr/>
        <w:t>occur</w:t>
      </w:r>
      <w:r>
        <w:rPr>
          <w:spacing w:val="-12"/>
        </w:rPr>
        <w:t> </w:t>
      </w:r>
      <w:r>
        <w:rPr/>
        <w:t>in</w:t>
      </w:r>
      <w:r>
        <w:rPr>
          <w:spacing w:val="-13"/>
        </w:rPr>
        <w:t> </w:t>
      </w:r>
      <w:r>
        <w:rPr/>
        <w:t>an</w:t>
      </w:r>
      <w:r>
        <w:rPr>
          <w:spacing w:val="-10"/>
        </w:rPr>
        <w:t> </w:t>
      </w:r>
      <w:r>
        <w:rPr/>
        <w:t>aerobic and anaerobic environment. During aerobic reaction, oxygen atoms are introduced by an oxygenase enzyme; whereby, monooxygenase introduces an oxygen atom to substrate and dioxygenase introduces two.</w:t>
      </w:r>
    </w:p>
    <w:p>
      <w:pPr>
        <w:pStyle w:val="BodyText"/>
        <w:spacing w:line="480" w:lineRule="auto" w:before="200"/>
        <w:ind w:left="120" w:right="112"/>
        <w:jc w:val="both"/>
      </w:pPr>
      <w:r>
        <w:rPr/>
        <w:t>In</w:t>
      </w:r>
      <w:r>
        <w:rPr/>
        <w:t> an</w:t>
      </w:r>
      <w:r>
        <w:rPr/>
        <w:t> anaerobic condition, anaerobic bacteria catalyze the</w:t>
      </w:r>
      <w:r>
        <w:rPr/>
        <w:t> degradation using different terminal electron acceptors. These bacteria include sulphate reducing bacteria (Rahman </w:t>
      </w:r>
      <w:r>
        <w:rPr>
          <w:i/>
        </w:rPr>
        <w:t>et al</w:t>
      </w:r>
      <w:r>
        <w:rPr/>
        <w:t>., 2003). Hydrocarbon degradation in an aerobic condition may be faster because due to the presence of oxygen</w:t>
      </w:r>
      <w:r>
        <w:rPr>
          <w:spacing w:val="-3"/>
        </w:rPr>
        <w:t> </w:t>
      </w:r>
      <w:r>
        <w:rPr/>
        <w:t>as</w:t>
      </w:r>
      <w:r>
        <w:rPr>
          <w:spacing w:val="-6"/>
        </w:rPr>
        <w:t> </w:t>
      </w:r>
      <w:r>
        <w:rPr/>
        <w:t>an</w:t>
      </w:r>
      <w:r>
        <w:rPr>
          <w:spacing w:val="-6"/>
        </w:rPr>
        <w:t> </w:t>
      </w:r>
      <w:r>
        <w:rPr/>
        <w:t>electron</w:t>
      </w:r>
      <w:r>
        <w:rPr>
          <w:spacing w:val="-6"/>
        </w:rPr>
        <w:t> </w:t>
      </w:r>
      <w:r>
        <w:rPr/>
        <w:t>acceptor.</w:t>
      </w:r>
      <w:r>
        <w:rPr>
          <w:spacing w:val="-5"/>
        </w:rPr>
        <w:t> </w:t>
      </w:r>
      <w:r>
        <w:rPr/>
        <w:t>Acetyl-CoA</w:t>
      </w:r>
      <w:r>
        <w:rPr>
          <w:spacing w:val="-6"/>
        </w:rPr>
        <w:t> </w:t>
      </w:r>
      <w:r>
        <w:rPr/>
        <w:t>is</w:t>
      </w:r>
      <w:r>
        <w:rPr>
          <w:spacing w:val="-5"/>
        </w:rPr>
        <w:t> </w:t>
      </w:r>
      <w:r>
        <w:rPr/>
        <w:t>the</w:t>
      </w:r>
      <w:r>
        <w:rPr>
          <w:spacing w:val="-6"/>
        </w:rPr>
        <w:t> </w:t>
      </w:r>
      <w:r>
        <w:rPr/>
        <w:t>final</w:t>
      </w:r>
      <w:r>
        <w:rPr>
          <w:spacing w:val="-5"/>
        </w:rPr>
        <w:t> </w:t>
      </w:r>
      <w:r>
        <w:rPr/>
        <w:t>product</w:t>
      </w:r>
      <w:r>
        <w:rPr>
          <w:spacing w:val="-5"/>
        </w:rPr>
        <w:t> </w:t>
      </w:r>
      <w:r>
        <w:rPr/>
        <w:t>obtained</w:t>
      </w:r>
      <w:r>
        <w:rPr>
          <w:spacing w:val="-6"/>
        </w:rPr>
        <w:t> </w:t>
      </w:r>
      <w:r>
        <w:rPr/>
        <w:t>when</w:t>
      </w:r>
      <w:r>
        <w:rPr>
          <w:spacing w:val="-6"/>
        </w:rPr>
        <w:t> </w:t>
      </w:r>
      <w:r>
        <w:rPr/>
        <w:t>saturated</w:t>
      </w:r>
      <w:r>
        <w:rPr>
          <w:spacing w:val="-6"/>
        </w:rPr>
        <w:t> </w:t>
      </w:r>
      <w:r>
        <w:rPr/>
        <w:t>aliphatic hydrocarbons undergo oxidation and this is catabolized in the citric acid cycle, as well as the production</w:t>
      </w:r>
      <w:r>
        <w:rPr>
          <w:spacing w:val="-6"/>
        </w:rPr>
        <w:t> </w:t>
      </w:r>
      <w:r>
        <w:rPr/>
        <w:t>of</w:t>
      </w:r>
      <w:r>
        <w:rPr>
          <w:spacing w:val="-7"/>
        </w:rPr>
        <w:t> </w:t>
      </w:r>
      <w:r>
        <w:rPr/>
        <w:t>electrons</w:t>
      </w:r>
      <w:r>
        <w:rPr>
          <w:spacing w:val="-6"/>
        </w:rPr>
        <w:t> </w:t>
      </w:r>
      <w:r>
        <w:rPr/>
        <w:t>in</w:t>
      </w:r>
      <w:r>
        <w:rPr>
          <w:spacing w:val="-6"/>
        </w:rPr>
        <w:t> </w:t>
      </w:r>
      <w:r>
        <w:rPr/>
        <w:t>the</w:t>
      </w:r>
      <w:r>
        <w:rPr>
          <w:spacing w:val="-6"/>
        </w:rPr>
        <w:t> </w:t>
      </w:r>
      <w:r>
        <w:rPr/>
        <w:t>electron</w:t>
      </w:r>
      <w:r>
        <w:rPr>
          <w:spacing w:val="-6"/>
        </w:rPr>
        <w:t> </w:t>
      </w:r>
      <w:r>
        <w:rPr/>
        <w:t>transport</w:t>
      </w:r>
      <w:r>
        <w:rPr>
          <w:spacing w:val="-6"/>
        </w:rPr>
        <w:t> </w:t>
      </w:r>
      <w:r>
        <w:rPr/>
        <w:t>chain.</w:t>
      </w:r>
      <w:r>
        <w:rPr>
          <w:spacing w:val="-5"/>
        </w:rPr>
        <w:t> </w:t>
      </w:r>
      <w:r>
        <w:rPr/>
        <w:t>This</w:t>
      </w:r>
      <w:r>
        <w:rPr>
          <w:spacing w:val="-5"/>
        </w:rPr>
        <w:t> </w:t>
      </w:r>
      <w:r>
        <w:rPr/>
        <w:t>chain</w:t>
      </w:r>
      <w:r>
        <w:rPr>
          <w:spacing w:val="-5"/>
        </w:rPr>
        <w:t> </w:t>
      </w:r>
      <w:r>
        <w:rPr/>
        <w:t>is</w:t>
      </w:r>
      <w:r>
        <w:rPr>
          <w:spacing w:val="-5"/>
        </w:rPr>
        <w:t> </w:t>
      </w:r>
      <w:r>
        <w:rPr/>
        <w:t>repeated</w:t>
      </w:r>
      <w:r>
        <w:rPr>
          <w:spacing w:val="-6"/>
        </w:rPr>
        <w:t> </w:t>
      </w:r>
      <w:r>
        <w:rPr/>
        <w:t>and</w:t>
      </w:r>
      <w:r>
        <w:rPr>
          <w:spacing w:val="-6"/>
        </w:rPr>
        <w:t> </w:t>
      </w:r>
      <w:r>
        <w:rPr/>
        <w:t>further</w:t>
      </w:r>
      <w:r>
        <w:rPr>
          <w:spacing w:val="-7"/>
        </w:rPr>
        <w:t> </w:t>
      </w:r>
      <w:r>
        <w:rPr/>
        <w:t>degrades </w:t>
      </w:r>
      <w:r>
        <w:rPr>
          <w:position w:val="2"/>
        </w:rPr>
        <w:t>the hydrocarbons, which are</w:t>
      </w:r>
      <w:r>
        <w:rPr>
          <w:spacing w:val="-2"/>
          <w:position w:val="2"/>
        </w:rPr>
        <w:t> </w:t>
      </w:r>
      <w:r>
        <w:rPr>
          <w:position w:val="2"/>
        </w:rPr>
        <w:t>finally</w:t>
      </w:r>
      <w:r>
        <w:rPr>
          <w:spacing w:val="-5"/>
          <w:position w:val="2"/>
        </w:rPr>
        <w:t> </w:t>
      </w:r>
      <w:r>
        <w:rPr>
          <w:position w:val="2"/>
        </w:rPr>
        <w:t>fully</w:t>
      </w:r>
      <w:r>
        <w:rPr>
          <w:spacing w:val="-5"/>
          <w:position w:val="2"/>
        </w:rPr>
        <w:t> </w:t>
      </w:r>
      <w:r>
        <w:rPr>
          <w:position w:val="2"/>
        </w:rPr>
        <w:t>oxidized</w:t>
      </w:r>
      <w:r>
        <w:rPr>
          <w:spacing w:val="-3"/>
          <w:position w:val="2"/>
        </w:rPr>
        <w:t> </w:t>
      </w:r>
      <w:r>
        <w:rPr>
          <w:position w:val="2"/>
        </w:rPr>
        <w:t>to carbondioxide (CO</w:t>
      </w:r>
      <w:r>
        <w:rPr>
          <w:sz w:val="16"/>
        </w:rPr>
        <w:t>2</w:t>
      </w:r>
      <w:r>
        <w:rPr>
          <w:position w:val="2"/>
        </w:rPr>
        <w:t>)</w:t>
      </w:r>
      <w:r>
        <w:rPr>
          <w:spacing w:val="-1"/>
          <w:position w:val="2"/>
        </w:rPr>
        <w:t> </w:t>
      </w:r>
      <w:r>
        <w:rPr>
          <w:position w:val="2"/>
        </w:rPr>
        <w:t>(Rahman</w:t>
      </w:r>
      <w:r>
        <w:rPr>
          <w:spacing w:val="-1"/>
          <w:position w:val="2"/>
        </w:rPr>
        <w:t> </w:t>
      </w:r>
      <w:r>
        <w:rPr>
          <w:i/>
          <w:position w:val="2"/>
        </w:rPr>
        <w:t>et</w:t>
      </w:r>
      <w:r>
        <w:rPr>
          <w:i/>
          <w:spacing w:val="-1"/>
          <w:position w:val="2"/>
        </w:rPr>
        <w:t> </w:t>
      </w:r>
      <w:r>
        <w:rPr>
          <w:i/>
          <w:position w:val="2"/>
        </w:rPr>
        <w:t>al</w:t>
      </w:r>
      <w:r>
        <w:rPr>
          <w:position w:val="2"/>
        </w:rPr>
        <w:t>.,</w:t>
      </w:r>
      <w:r>
        <w:rPr>
          <w:spacing w:val="-1"/>
          <w:position w:val="2"/>
        </w:rPr>
        <w:t> </w:t>
      </w:r>
      <w:r>
        <w:rPr>
          <w:position w:val="2"/>
        </w:rPr>
        <w:t>2003).</w:t>
      </w:r>
    </w:p>
    <w:p>
      <w:pPr>
        <w:spacing w:after="0" w:line="480" w:lineRule="auto"/>
        <w:jc w:val="both"/>
        <w:sectPr>
          <w:pgSz w:w="12240" w:h="15840"/>
          <w:pgMar w:header="0" w:footer="1015" w:top="1360" w:bottom="1200" w:left="1320" w:right="1320"/>
        </w:sectPr>
      </w:pPr>
    </w:p>
    <w:p>
      <w:pPr>
        <w:pStyle w:val="BodyText"/>
        <w:spacing w:line="480" w:lineRule="auto" w:before="72"/>
        <w:ind w:left="120" w:right="116"/>
        <w:jc w:val="both"/>
      </w:pPr>
      <w:r>
        <w:rPr/>
        <w:t>Benzene,</w:t>
      </w:r>
      <w:r>
        <w:rPr>
          <w:spacing w:val="-15"/>
        </w:rPr>
        <w:t> </w:t>
      </w:r>
      <w:r>
        <w:rPr/>
        <w:t>toluene,</w:t>
      </w:r>
      <w:r>
        <w:rPr>
          <w:spacing w:val="-15"/>
        </w:rPr>
        <w:t> </w:t>
      </w:r>
      <w:r>
        <w:rPr/>
        <w:t>xylene,</w:t>
      </w:r>
      <w:r>
        <w:rPr>
          <w:spacing w:val="-15"/>
        </w:rPr>
        <w:t> </w:t>
      </w:r>
      <w:r>
        <w:rPr/>
        <w:t>and</w:t>
      </w:r>
      <w:r>
        <w:rPr>
          <w:spacing w:val="-15"/>
        </w:rPr>
        <w:t> </w:t>
      </w:r>
      <w:r>
        <w:rPr/>
        <w:t>naphthalene,</w:t>
      </w:r>
      <w:r>
        <w:rPr>
          <w:spacing w:val="-15"/>
        </w:rPr>
        <w:t> </w:t>
      </w:r>
      <w:r>
        <w:rPr/>
        <w:t>a</w:t>
      </w:r>
      <w:r>
        <w:rPr>
          <w:spacing w:val="-15"/>
        </w:rPr>
        <w:t> </w:t>
      </w:r>
      <w:r>
        <w:rPr/>
        <w:t>group</w:t>
      </w:r>
      <w:r>
        <w:rPr>
          <w:spacing w:val="-15"/>
        </w:rPr>
        <w:t> </w:t>
      </w:r>
      <w:r>
        <w:rPr/>
        <w:t>of</w:t>
      </w:r>
      <w:r>
        <w:rPr>
          <w:spacing w:val="-15"/>
        </w:rPr>
        <w:t> </w:t>
      </w:r>
      <w:r>
        <w:rPr/>
        <w:t>aromatic</w:t>
      </w:r>
      <w:r>
        <w:rPr>
          <w:spacing w:val="-15"/>
        </w:rPr>
        <w:t> </w:t>
      </w:r>
      <w:r>
        <w:rPr/>
        <w:t>hydrocarbons</w:t>
      </w:r>
      <w:r>
        <w:rPr>
          <w:spacing w:val="-15"/>
        </w:rPr>
        <w:t> </w:t>
      </w:r>
      <w:r>
        <w:rPr/>
        <w:t>also</w:t>
      </w:r>
      <w:r>
        <w:rPr>
          <w:spacing w:val="-15"/>
        </w:rPr>
        <w:t> </w:t>
      </w:r>
      <w:r>
        <w:rPr/>
        <w:t>undergo</w:t>
      </w:r>
      <w:r>
        <w:rPr>
          <w:spacing w:val="-15"/>
        </w:rPr>
        <w:t> </w:t>
      </w:r>
      <w:r>
        <w:rPr/>
        <w:t>aerobic degradation to form catechol or a structurally related compound, which serve as the first step in the degradation of that group of compounds. Catechol can then undergo complete degradation to </w:t>
      </w:r>
      <w:r>
        <w:rPr>
          <w:position w:val="2"/>
        </w:rPr>
        <w:t>CO</w:t>
      </w:r>
      <w:r>
        <w:rPr>
          <w:sz w:val="16"/>
        </w:rPr>
        <w:t>2</w:t>
      </w:r>
      <w:r>
        <w:rPr>
          <w:spacing w:val="26"/>
          <w:sz w:val="16"/>
        </w:rPr>
        <w:t> </w:t>
      </w:r>
      <w:r>
        <w:rPr>
          <w:position w:val="2"/>
        </w:rPr>
        <w:t>or it can also degrade into a compound that can be used in the citric acid cycle (Varjani and </w:t>
      </w:r>
      <w:r>
        <w:rPr/>
        <w:t>Upasani,</w:t>
      </w:r>
      <w:r>
        <w:rPr>
          <w:spacing w:val="-15"/>
        </w:rPr>
        <w:t> </w:t>
      </w:r>
      <w:r>
        <w:rPr/>
        <w:t>2016).</w:t>
      </w:r>
      <w:r>
        <w:rPr>
          <w:spacing w:val="-15"/>
        </w:rPr>
        <w:t> </w:t>
      </w:r>
      <w:r>
        <w:rPr/>
        <w:t>Alkane</w:t>
      </w:r>
      <w:r>
        <w:rPr>
          <w:spacing w:val="-15"/>
        </w:rPr>
        <w:t> </w:t>
      </w:r>
      <w:r>
        <w:rPr/>
        <w:t>degrading</w:t>
      </w:r>
      <w:r>
        <w:rPr>
          <w:spacing w:val="-15"/>
        </w:rPr>
        <w:t> </w:t>
      </w:r>
      <w:r>
        <w:rPr/>
        <w:t>enzymes</w:t>
      </w:r>
      <w:r>
        <w:rPr>
          <w:spacing w:val="-15"/>
        </w:rPr>
        <w:t> </w:t>
      </w:r>
      <w:r>
        <w:rPr/>
        <w:t>known</w:t>
      </w:r>
      <w:r>
        <w:rPr>
          <w:spacing w:val="-14"/>
        </w:rPr>
        <w:t> </w:t>
      </w:r>
      <w:r>
        <w:rPr/>
        <w:t>as</w:t>
      </w:r>
      <w:r>
        <w:rPr>
          <w:spacing w:val="-14"/>
        </w:rPr>
        <w:t> </w:t>
      </w:r>
      <w:r>
        <w:rPr/>
        <w:t>alkane</w:t>
      </w:r>
      <w:r>
        <w:rPr>
          <w:spacing w:val="-15"/>
        </w:rPr>
        <w:t> </w:t>
      </w:r>
      <w:r>
        <w:rPr/>
        <w:t>hydrolases</w:t>
      </w:r>
      <w:r>
        <w:rPr>
          <w:spacing w:val="-14"/>
        </w:rPr>
        <w:t> </w:t>
      </w:r>
      <w:r>
        <w:rPr/>
        <w:t>are</w:t>
      </w:r>
      <w:r>
        <w:rPr>
          <w:spacing w:val="-13"/>
        </w:rPr>
        <w:t> </w:t>
      </w:r>
      <w:r>
        <w:rPr/>
        <w:t>found</w:t>
      </w:r>
      <w:r>
        <w:rPr>
          <w:spacing w:val="-15"/>
        </w:rPr>
        <w:t> </w:t>
      </w:r>
      <w:r>
        <w:rPr/>
        <w:t>in</w:t>
      </w:r>
      <w:r>
        <w:rPr>
          <w:spacing w:val="-14"/>
        </w:rPr>
        <w:t> </w:t>
      </w:r>
      <w:r>
        <w:rPr/>
        <w:t>many</w:t>
      </w:r>
      <w:r>
        <w:rPr>
          <w:spacing w:val="-15"/>
        </w:rPr>
        <w:t> </w:t>
      </w:r>
      <w:r>
        <w:rPr/>
        <w:t>species of</w:t>
      </w:r>
      <w:r>
        <w:rPr/>
        <w:t> hydrocarbon</w:t>
      </w:r>
      <w:r>
        <w:rPr/>
        <w:t> degrading</w:t>
      </w:r>
      <w:r>
        <w:rPr/>
        <w:t> microbes. However, the breakdown of alkane to alcohol is first catalyzed by membrane monooxygenases, soluble rubredoxin and rubredoxin reductase (Varjani and Upasani, 2016).</w:t>
      </w:r>
    </w:p>
    <w:p>
      <w:pPr>
        <w:pStyle w:val="BodyText"/>
        <w:spacing w:before="8"/>
      </w:pPr>
    </w:p>
    <w:p>
      <w:pPr>
        <w:pStyle w:val="Heading2"/>
        <w:numPr>
          <w:ilvl w:val="1"/>
          <w:numId w:val="3"/>
        </w:numPr>
        <w:tabs>
          <w:tab w:pos="841" w:val="left" w:leader="none"/>
        </w:tabs>
        <w:spacing w:line="240" w:lineRule="auto" w:before="0" w:after="0"/>
        <w:ind w:left="840" w:right="0" w:hanging="721"/>
        <w:jc w:val="both"/>
      </w:pPr>
      <w:r>
        <w:rPr/>
        <w:t>General</w:t>
      </w:r>
      <w:r>
        <w:rPr>
          <w:spacing w:val="-3"/>
        </w:rPr>
        <w:t> </w:t>
      </w:r>
      <w:r>
        <w:rPr/>
        <w:t>Overview</w:t>
      </w:r>
      <w:r>
        <w:rPr>
          <w:spacing w:val="-1"/>
        </w:rPr>
        <w:t> </w:t>
      </w:r>
      <w:r>
        <w:rPr/>
        <w:t>of</w:t>
      </w:r>
      <w:r>
        <w:rPr>
          <w:spacing w:val="-1"/>
        </w:rPr>
        <w:t> </w:t>
      </w:r>
      <w:r>
        <w:rPr>
          <w:spacing w:val="-2"/>
        </w:rPr>
        <w:t>Biosurfactants</w:t>
      </w:r>
    </w:p>
    <w:p>
      <w:pPr>
        <w:pStyle w:val="BodyText"/>
        <w:spacing w:before="4"/>
        <w:rPr>
          <w:b/>
          <w:sz w:val="23"/>
        </w:rPr>
      </w:pPr>
    </w:p>
    <w:p>
      <w:pPr>
        <w:pStyle w:val="BodyText"/>
        <w:spacing w:line="480" w:lineRule="auto"/>
        <w:ind w:left="120" w:right="116"/>
        <w:jc w:val="both"/>
      </w:pPr>
      <w:r>
        <w:rPr/>
        <w:t>Biosurfactants are surface-active</w:t>
      </w:r>
      <w:r>
        <w:rPr/>
        <w:t> biomolecules</w:t>
      </w:r>
      <w:r>
        <w:rPr/>
        <w:t> that</w:t>
      </w:r>
      <w:r>
        <w:rPr/>
        <w:t> are</w:t>
      </w:r>
      <w:r>
        <w:rPr/>
        <w:t> obtained</w:t>
      </w:r>
      <w:r>
        <w:rPr/>
        <w:t> from</w:t>
      </w:r>
      <w:r>
        <w:rPr/>
        <w:t> microorganisms like bacteria,</w:t>
      </w:r>
      <w:r>
        <w:rPr>
          <w:spacing w:val="-7"/>
        </w:rPr>
        <w:t> </w:t>
      </w:r>
      <w:r>
        <w:rPr/>
        <w:t>fungi</w:t>
      </w:r>
      <w:r>
        <w:rPr>
          <w:spacing w:val="-5"/>
        </w:rPr>
        <w:t> </w:t>
      </w:r>
      <w:r>
        <w:rPr/>
        <w:t>and</w:t>
      </w:r>
      <w:r>
        <w:rPr>
          <w:spacing w:val="-3"/>
        </w:rPr>
        <w:t> </w:t>
      </w:r>
      <w:r>
        <w:rPr/>
        <w:t>yeast</w:t>
      </w:r>
      <w:r>
        <w:rPr>
          <w:spacing w:val="-5"/>
        </w:rPr>
        <w:t> </w:t>
      </w:r>
      <w:r>
        <w:rPr/>
        <w:t>and</w:t>
      </w:r>
      <w:r>
        <w:rPr>
          <w:spacing w:val="-8"/>
        </w:rPr>
        <w:t> </w:t>
      </w:r>
      <w:r>
        <w:rPr/>
        <w:t>has</w:t>
      </w:r>
      <w:r>
        <w:rPr>
          <w:spacing w:val="-8"/>
        </w:rPr>
        <w:t> </w:t>
      </w:r>
      <w:r>
        <w:rPr/>
        <w:t>several</w:t>
      </w:r>
      <w:r>
        <w:rPr>
          <w:spacing w:val="-8"/>
        </w:rPr>
        <w:t> </w:t>
      </w:r>
      <w:r>
        <w:rPr/>
        <w:t>applications.</w:t>
      </w:r>
      <w:r>
        <w:rPr>
          <w:spacing w:val="-5"/>
        </w:rPr>
        <w:t> </w:t>
      </w:r>
      <w:r>
        <w:rPr/>
        <w:t>Specificity,</w:t>
      </w:r>
      <w:r>
        <w:rPr>
          <w:spacing w:val="-8"/>
        </w:rPr>
        <w:t> </w:t>
      </w:r>
      <w:r>
        <w:rPr/>
        <w:t>low</w:t>
      </w:r>
      <w:r>
        <w:rPr>
          <w:spacing w:val="-8"/>
        </w:rPr>
        <w:t> </w:t>
      </w:r>
      <w:r>
        <w:rPr/>
        <w:t>toxicity</w:t>
      </w:r>
      <w:r>
        <w:rPr>
          <w:spacing w:val="-11"/>
        </w:rPr>
        <w:t> </w:t>
      </w:r>
      <w:r>
        <w:rPr/>
        <w:t>and</w:t>
      </w:r>
      <w:r>
        <w:rPr>
          <w:spacing w:val="-7"/>
        </w:rPr>
        <w:t> </w:t>
      </w:r>
      <w:r>
        <w:rPr/>
        <w:t>simple</w:t>
      </w:r>
      <w:r>
        <w:rPr>
          <w:spacing w:val="-9"/>
        </w:rPr>
        <w:t> </w:t>
      </w:r>
      <w:r>
        <w:rPr/>
        <w:t>method of production are the unique properties that make biosurfactant to attract much interest and to be used</w:t>
      </w:r>
      <w:r>
        <w:rPr>
          <w:spacing w:val="-9"/>
        </w:rPr>
        <w:t> </w:t>
      </w:r>
      <w:r>
        <w:rPr/>
        <w:t>in</w:t>
      </w:r>
      <w:r>
        <w:rPr>
          <w:spacing w:val="-9"/>
        </w:rPr>
        <w:t> </w:t>
      </w:r>
      <w:r>
        <w:rPr/>
        <w:t>different</w:t>
      </w:r>
      <w:r>
        <w:rPr>
          <w:spacing w:val="-9"/>
        </w:rPr>
        <w:t> </w:t>
      </w:r>
      <w:r>
        <w:rPr/>
        <w:t>industries</w:t>
      </w:r>
      <w:r>
        <w:rPr>
          <w:spacing w:val="-9"/>
        </w:rPr>
        <w:t> </w:t>
      </w:r>
      <w:r>
        <w:rPr/>
        <w:t>such</w:t>
      </w:r>
      <w:r>
        <w:rPr>
          <w:spacing w:val="-9"/>
        </w:rPr>
        <w:t> </w:t>
      </w:r>
      <w:r>
        <w:rPr/>
        <w:t>as</w:t>
      </w:r>
      <w:r>
        <w:rPr>
          <w:spacing w:val="-9"/>
        </w:rPr>
        <w:t> </w:t>
      </w:r>
      <w:r>
        <w:rPr/>
        <w:t>petroleum,</w:t>
      </w:r>
      <w:r>
        <w:rPr>
          <w:spacing w:val="-9"/>
        </w:rPr>
        <w:t> </w:t>
      </w:r>
      <w:r>
        <w:rPr/>
        <w:t>mining,</w:t>
      </w:r>
      <w:r>
        <w:rPr>
          <w:spacing w:val="-9"/>
        </w:rPr>
        <w:t> </w:t>
      </w:r>
      <w:r>
        <w:rPr/>
        <w:t>agrochemicals,</w:t>
      </w:r>
      <w:r>
        <w:rPr>
          <w:spacing w:val="-9"/>
        </w:rPr>
        <w:t> </w:t>
      </w:r>
      <w:r>
        <w:rPr/>
        <w:t>cosmetics,</w:t>
      </w:r>
      <w:r>
        <w:rPr>
          <w:spacing w:val="-9"/>
        </w:rPr>
        <w:t> </w:t>
      </w:r>
      <w:r>
        <w:rPr/>
        <w:t>pharmaceuticals and</w:t>
      </w:r>
      <w:r>
        <w:rPr>
          <w:spacing w:val="-3"/>
        </w:rPr>
        <w:t> </w:t>
      </w:r>
      <w:r>
        <w:rPr/>
        <w:t>others.</w:t>
      </w:r>
      <w:r>
        <w:rPr>
          <w:spacing w:val="-3"/>
        </w:rPr>
        <w:t> </w:t>
      </w:r>
      <w:r>
        <w:rPr/>
        <w:t>They</w:t>
      </w:r>
      <w:r>
        <w:rPr>
          <w:spacing w:val="-6"/>
        </w:rPr>
        <w:t> </w:t>
      </w:r>
      <w:r>
        <w:rPr/>
        <w:t>act</w:t>
      </w:r>
      <w:r>
        <w:rPr>
          <w:spacing w:val="-1"/>
        </w:rPr>
        <w:t> </w:t>
      </w:r>
      <w:r>
        <w:rPr/>
        <w:t>as</w:t>
      </w:r>
      <w:r>
        <w:rPr>
          <w:spacing w:val="-3"/>
        </w:rPr>
        <w:t> </w:t>
      </w:r>
      <w:r>
        <w:rPr/>
        <w:t>emulsifiers,</w:t>
      </w:r>
      <w:r>
        <w:rPr>
          <w:spacing w:val="-3"/>
        </w:rPr>
        <w:t> </w:t>
      </w:r>
      <w:r>
        <w:rPr/>
        <w:t>demulsifiers,</w:t>
      </w:r>
      <w:r>
        <w:rPr>
          <w:spacing w:val="-1"/>
        </w:rPr>
        <w:t> </w:t>
      </w:r>
      <w:r>
        <w:rPr/>
        <w:t>foaming</w:t>
      </w:r>
      <w:r>
        <w:rPr>
          <w:spacing w:val="-4"/>
        </w:rPr>
        <w:t> </w:t>
      </w:r>
      <w:r>
        <w:rPr/>
        <w:t>agents</w:t>
      </w:r>
      <w:r>
        <w:rPr>
          <w:spacing w:val="-3"/>
        </w:rPr>
        <w:t> </w:t>
      </w:r>
      <w:r>
        <w:rPr/>
        <w:t>and</w:t>
      </w:r>
      <w:r>
        <w:rPr>
          <w:spacing w:val="-2"/>
        </w:rPr>
        <w:t> </w:t>
      </w:r>
      <w:r>
        <w:rPr/>
        <w:t>functional</w:t>
      </w:r>
      <w:r>
        <w:rPr>
          <w:spacing w:val="-3"/>
        </w:rPr>
        <w:t> </w:t>
      </w:r>
      <w:r>
        <w:rPr/>
        <w:t>food</w:t>
      </w:r>
      <w:r>
        <w:rPr>
          <w:spacing w:val="-3"/>
        </w:rPr>
        <w:t> </w:t>
      </w:r>
      <w:r>
        <w:rPr/>
        <w:t>ingredients. They</w:t>
      </w:r>
      <w:r>
        <w:rPr>
          <w:spacing w:val="-12"/>
        </w:rPr>
        <w:t> </w:t>
      </w:r>
      <w:r>
        <w:rPr/>
        <w:t>reduce</w:t>
      </w:r>
      <w:r>
        <w:rPr>
          <w:spacing w:val="-8"/>
        </w:rPr>
        <w:t> </w:t>
      </w:r>
      <w:r>
        <w:rPr/>
        <w:t>both</w:t>
      </w:r>
      <w:r>
        <w:rPr>
          <w:spacing w:val="-7"/>
        </w:rPr>
        <w:t> </w:t>
      </w:r>
      <w:r>
        <w:rPr/>
        <w:t>surface</w:t>
      </w:r>
      <w:r>
        <w:rPr>
          <w:spacing w:val="-6"/>
        </w:rPr>
        <w:t> </w:t>
      </w:r>
      <w:r>
        <w:rPr/>
        <w:t>and</w:t>
      </w:r>
      <w:r>
        <w:rPr>
          <w:spacing w:val="-7"/>
        </w:rPr>
        <w:t> </w:t>
      </w:r>
      <w:r>
        <w:rPr/>
        <w:t>interfacial</w:t>
      </w:r>
      <w:r>
        <w:rPr>
          <w:spacing w:val="-7"/>
        </w:rPr>
        <w:t> </w:t>
      </w:r>
      <w:r>
        <w:rPr/>
        <w:t>tension</w:t>
      </w:r>
      <w:r>
        <w:rPr>
          <w:spacing w:val="-7"/>
        </w:rPr>
        <w:t> </w:t>
      </w:r>
      <w:r>
        <w:rPr/>
        <w:t>and</w:t>
      </w:r>
      <w:r>
        <w:rPr>
          <w:spacing w:val="-7"/>
        </w:rPr>
        <w:t> </w:t>
      </w:r>
      <w:r>
        <w:rPr/>
        <w:t>this</w:t>
      </w:r>
      <w:r>
        <w:rPr>
          <w:spacing w:val="-7"/>
        </w:rPr>
        <w:t> </w:t>
      </w:r>
      <w:r>
        <w:rPr/>
        <w:t>particular</w:t>
      </w:r>
      <w:r>
        <w:rPr>
          <w:spacing w:val="-8"/>
        </w:rPr>
        <w:t> </w:t>
      </w:r>
      <w:r>
        <w:rPr/>
        <w:t>property</w:t>
      </w:r>
      <w:r>
        <w:rPr>
          <w:spacing w:val="-10"/>
        </w:rPr>
        <w:t> </w:t>
      </w:r>
      <w:r>
        <w:rPr/>
        <w:t>play</w:t>
      </w:r>
      <w:r>
        <w:rPr>
          <w:spacing w:val="-12"/>
        </w:rPr>
        <w:t> </w:t>
      </w:r>
      <w:r>
        <w:rPr/>
        <w:t>a</w:t>
      </w:r>
      <w:r>
        <w:rPr>
          <w:spacing w:val="-8"/>
        </w:rPr>
        <w:t> </w:t>
      </w:r>
      <w:r>
        <w:rPr/>
        <w:t>vital</w:t>
      </w:r>
      <w:r>
        <w:rPr>
          <w:spacing w:val="-7"/>
        </w:rPr>
        <w:t> </w:t>
      </w:r>
      <w:r>
        <w:rPr/>
        <w:t>role</w:t>
      </w:r>
      <w:r>
        <w:rPr>
          <w:spacing w:val="-8"/>
        </w:rPr>
        <w:t> </w:t>
      </w:r>
      <w:r>
        <w:rPr/>
        <w:t>in</w:t>
      </w:r>
      <w:r>
        <w:rPr>
          <w:spacing w:val="-7"/>
        </w:rPr>
        <w:t> </w:t>
      </w:r>
      <w:r>
        <w:rPr/>
        <w:t>the biodegradation of crude oil (Vijayakumar </w:t>
      </w:r>
      <w:r>
        <w:rPr>
          <w:i/>
        </w:rPr>
        <w:t>et al.</w:t>
      </w:r>
      <w:r>
        <w:rPr/>
        <w:t>, 2015). Biosurfactants play some key role in bioremediation such as increase in surface area of hydrophobic substances, increase in the availability of the substrate</w:t>
      </w:r>
      <w:r>
        <w:rPr/>
        <w:t> to</w:t>
      </w:r>
      <w:r>
        <w:rPr/>
        <w:t> microorganisms through solubilzation and regulation of the attachment/removal of microbes from surfaces (Ron </w:t>
      </w:r>
      <w:r>
        <w:rPr>
          <w:i/>
        </w:rPr>
        <w:t>et al., </w:t>
      </w:r>
      <w:r>
        <w:rPr/>
        <w:t>2001).</w:t>
      </w:r>
    </w:p>
    <w:p>
      <w:pPr>
        <w:pStyle w:val="BodyText"/>
        <w:spacing w:line="480" w:lineRule="auto" w:before="2"/>
        <w:ind w:left="120" w:right="119"/>
        <w:jc w:val="both"/>
      </w:pPr>
      <w:r>
        <w:rPr/>
        <w:t>Biosurfactants has both hydrophilic and hydrophobic sections that allow them combine at the edges between two liquids of different polarities like oils and water hence, decrease interfacial surface tension. They</w:t>
      </w:r>
      <w:r>
        <w:rPr>
          <w:spacing w:val="-3"/>
        </w:rPr>
        <w:t> </w:t>
      </w:r>
      <w:r>
        <w:rPr/>
        <w:t>also enhance the transport of nutrient across membranes and affect various host-microbe</w:t>
      </w:r>
      <w:r>
        <w:rPr>
          <w:spacing w:val="15"/>
        </w:rPr>
        <w:t> </w:t>
      </w:r>
      <w:r>
        <w:rPr/>
        <w:t>interactions</w:t>
      </w:r>
      <w:r>
        <w:rPr>
          <w:spacing w:val="17"/>
        </w:rPr>
        <w:t> </w:t>
      </w:r>
      <w:r>
        <w:rPr/>
        <w:t>(Vijayakumar</w:t>
      </w:r>
      <w:r>
        <w:rPr>
          <w:spacing w:val="21"/>
        </w:rPr>
        <w:t> </w:t>
      </w:r>
      <w:r>
        <w:rPr>
          <w:i/>
        </w:rPr>
        <w:t>et</w:t>
      </w:r>
      <w:r>
        <w:rPr>
          <w:i/>
          <w:spacing w:val="17"/>
        </w:rPr>
        <w:t> </w:t>
      </w:r>
      <w:r>
        <w:rPr>
          <w:i/>
        </w:rPr>
        <w:t>al</w:t>
      </w:r>
      <w:r>
        <w:rPr/>
        <w:t>.,</w:t>
      </w:r>
      <w:r>
        <w:rPr>
          <w:spacing w:val="17"/>
        </w:rPr>
        <w:t> </w:t>
      </w:r>
      <w:r>
        <w:rPr/>
        <w:t>2015).</w:t>
      </w:r>
      <w:r>
        <w:rPr>
          <w:spacing w:val="16"/>
        </w:rPr>
        <w:t> </w:t>
      </w:r>
      <w:r>
        <w:rPr/>
        <w:t>Biosurfactants</w:t>
      </w:r>
      <w:r>
        <w:rPr>
          <w:spacing w:val="17"/>
        </w:rPr>
        <w:t> </w:t>
      </w:r>
      <w:r>
        <w:rPr/>
        <w:t>in</w:t>
      </w:r>
      <w:r>
        <w:rPr>
          <w:spacing w:val="19"/>
        </w:rPr>
        <w:t> </w:t>
      </w:r>
      <w:r>
        <w:rPr/>
        <w:t>comparison</w:t>
      </w:r>
      <w:r>
        <w:rPr>
          <w:spacing w:val="17"/>
        </w:rPr>
        <w:t> </w:t>
      </w:r>
      <w:r>
        <w:rPr/>
        <w:t>to</w:t>
      </w:r>
      <w:r>
        <w:rPr>
          <w:spacing w:val="18"/>
        </w:rPr>
        <w:t> </w:t>
      </w:r>
      <w:r>
        <w:rPr>
          <w:spacing w:val="-2"/>
        </w:rPr>
        <w:t>synthetic</w:t>
      </w:r>
    </w:p>
    <w:p>
      <w:pPr>
        <w:spacing w:after="0" w:line="480" w:lineRule="auto"/>
        <w:jc w:val="both"/>
        <w:sectPr>
          <w:pgSz w:w="12240" w:h="15840"/>
          <w:pgMar w:header="0" w:footer="1015" w:top="1360" w:bottom="1200" w:left="1320" w:right="1320"/>
        </w:sectPr>
      </w:pPr>
    </w:p>
    <w:p>
      <w:pPr>
        <w:pStyle w:val="BodyText"/>
        <w:spacing w:line="480" w:lineRule="auto" w:before="72"/>
        <w:ind w:left="120" w:right="120"/>
        <w:jc w:val="both"/>
      </w:pPr>
      <w:r>
        <w:rPr/>
        <w:t>surfactants have different benefits because they are biodegradable, non toxic and biocompatible. This enables them to be used in biodegradation of industrial effluents and bioremediation of polluted environment. The raw materials required for production is readily available and highly specific (Olivera </w:t>
      </w:r>
      <w:r>
        <w:rPr>
          <w:i/>
        </w:rPr>
        <w:t>et al., </w:t>
      </w:r>
      <w:r>
        <w:rPr/>
        <w:t>2003).</w:t>
      </w:r>
    </w:p>
    <w:p>
      <w:pPr>
        <w:pStyle w:val="Heading2"/>
        <w:numPr>
          <w:ilvl w:val="1"/>
          <w:numId w:val="3"/>
        </w:numPr>
        <w:tabs>
          <w:tab w:pos="841" w:val="left" w:leader="none"/>
        </w:tabs>
        <w:spacing w:line="240" w:lineRule="auto" w:before="207" w:after="0"/>
        <w:ind w:left="840" w:right="0" w:hanging="721"/>
        <w:jc w:val="both"/>
      </w:pPr>
      <w:r>
        <w:rPr/>
        <w:t>Properties</w:t>
      </w:r>
      <w:r>
        <w:rPr>
          <w:spacing w:val="-5"/>
        </w:rPr>
        <w:t> </w:t>
      </w:r>
      <w:r>
        <w:rPr/>
        <w:t>of</w:t>
      </w:r>
      <w:r>
        <w:rPr>
          <w:spacing w:val="-4"/>
        </w:rPr>
        <w:t> </w:t>
      </w:r>
      <w:r>
        <w:rPr>
          <w:spacing w:val="-2"/>
        </w:rPr>
        <w:t>Biosurfactant</w:t>
      </w:r>
    </w:p>
    <w:p>
      <w:pPr>
        <w:pStyle w:val="BodyText"/>
        <w:spacing w:before="4"/>
        <w:rPr>
          <w:b/>
          <w:sz w:val="23"/>
        </w:rPr>
      </w:pPr>
    </w:p>
    <w:p>
      <w:pPr>
        <w:pStyle w:val="BodyText"/>
        <w:spacing w:line="480" w:lineRule="auto"/>
        <w:ind w:left="120" w:right="114"/>
        <w:jc w:val="both"/>
      </w:pPr>
      <w:r>
        <w:rPr/>
        <w:t>The unique features and property that makes biosurfactant suitable for commercial applications relates</w:t>
      </w:r>
      <w:r>
        <w:rPr>
          <w:spacing w:val="-14"/>
        </w:rPr>
        <w:t> </w:t>
      </w:r>
      <w:r>
        <w:rPr/>
        <w:t>to</w:t>
      </w:r>
      <w:r>
        <w:rPr>
          <w:spacing w:val="-14"/>
        </w:rPr>
        <w:t> </w:t>
      </w:r>
      <w:r>
        <w:rPr/>
        <w:t>the</w:t>
      </w:r>
      <w:r>
        <w:rPr>
          <w:spacing w:val="-15"/>
        </w:rPr>
        <w:t> </w:t>
      </w:r>
      <w:r>
        <w:rPr/>
        <w:t>surface</w:t>
      </w:r>
      <w:r>
        <w:rPr>
          <w:spacing w:val="-15"/>
        </w:rPr>
        <w:t> </w:t>
      </w:r>
      <w:r>
        <w:rPr/>
        <w:t>activity,</w:t>
      </w:r>
      <w:r>
        <w:rPr>
          <w:spacing w:val="-14"/>
        </w:rPr>
        <w:t> </w:t>
      </w:r>
      <w:r>
        <w:rPr/>
        <w:t>pH</w:t>
      </w:r>
      <w:r>
        <w:rPr>
          <w:spacing w:val="-15"/>
        </w:rPr>
        <w:t> </w:t>
      </w:r>
      <w:r>
        <w:rPr/>
        <w:t>tolerance,</w:t>
      </w:r>
      <w:r>
        <w:rPr>
          <w:spacing w:val="-14"/>
        </w:rPr>
        <w:t> </w:t>
      </w:r>
      <w:r>
        <w:rPr/>
        <w:t>biodegradability,</w:t>
      </w:r>
      <w:r>
        <w:rPr>
          <w:spacing w:val="-14"/>
        </w:rPr>
        <w:t> </w:t>
      </w:r>
      <w:r>
        <w:rPr/>
        <w:t>emulsifying</w:t>
      </w:r>
      <w:r>
        <w:rPr>
          <w:spacing w:val="-15"/>
        </w:rPr>
        <w:t> </w:t>
      </w:r>
      <w:r>
        <w:rPr/>
        <w:t>and</w:t>
      </w:r>
      <w:r>
        <w:rPr>
          <w:spacing w:val="-14"/>
        </w:rPr>
        <w:t> </w:t>
      </w:r>
      <w:r>
        <w:rPr/>
        <w:t>demulsifying</w:t>
      </w:r>
      <w:r>
        <w:rPr>
          <w:spacing w:val="-15"/>
        </w:rPr>
        <w:t> </w:t>
      </w:r>
      <w:r>
        <w:rPr/>
        <w:t>ability temperature and ionic strength, low toxicity, and antimicrobial activity (Chakrabarti, 2001). The main distinct</w:t>
      </w:r>
      <w:r>
        <w:rPr>
          <w:spacing w:val="80"/>
        </w:rPr>
        <w:t> </w:t>
      </w:r>
      <w:r>
        <w:rPr/>
        <w:t>properties of biosurfactant are discribed below</w:t>
      </w:r>
    </w:p>
    <w:p>
      <w:pPr>
        <w:pStyle w:val="Heading2"/>
        <w:numPr>
          <w:ilvl w:val="2"/>
          <w:numId w:val="3"/>
        </w:numPr>
        <w:tabs>
          <w:tab w:pos="841" w:val="left" w:leader="none"/>
        </w:tabs>
        <w:spacing w:line="240" w:lineRule="auto" w:before="207" w:after="0"/>
        <w:ind w:left="840" w:right="0" w:hanging="721"/>
        <w:jc w:val="both"/>
      </w:pPr>
      <w:r>
        <w:rPr/>
        <w:t>Surface</w:t>
      </w:r>
      <w:r>
        <w:rPr>
          <w:spacing w:val="-11"/>
        </w:rPr>
        <w:t> </w:t>
      </w:r>
      <w:r>
        <w:rPr/>
        <w:t>and</w:t>
      </w:r>
      <w:r>
        <w:rPr>
          <w:spacing w:val="-7"/>
        </w:rPr>
        <w:t> </w:t>
      </w:r>
      <w:r>
        <w:rPr/>
        <w:t>interfacial</w:t>
      </w:r>
      <w:r>
        <w:rPr>
          <w:spacing w:val="-8"/>
        </w:rPr>
        <w:t> </w:t>
      </w:r>
      <w:r>
        <w:rPr>
          <w:spacing w:val="-2"/>
        </w:rPr>
        <w:t>action</w:t>
      </w:r>
    </w:p>
    <w:p>
      <w:pPr>
        <w:pStyle w:val="BodyText"/>
        <w:spacing w:before="4"/>
        <w:rPr>
          <w:b/>
          <w:sz w:val="23"/>
        </w:rPr>
      </w:pPr>
    </w:p>
    <w:p>
      <w:pPr>
        <w:pStyle w:val="BodyText"/>
        <w:spacing w:line="480" w:lineRule="auto" w:before="1"/>
        <w:ind w:left="120" w:right="116"/>
        <w:jc w:val="both"/>
      </w:pPr>
      <w:r>
        <w:rPr/>
        <w:t>A</w:t>
      </w:r>
      <w:r>
        <w:rPr>
          <w:spacing w:val="40"/>
        </w:rPr>
        <w:t> </w:t>
      </w:r>
      <w:r>
        <w:rPr/>
        <w:t>good surfactant can lower surface tension of water from 75 to 35mN/m and the</w:t>
      </w:r>
      <w:r>
        <w:rPr/>
        <w:t> interfacial tension water/hexadecane from 40 to 1mN/M. Surfactin possesthe ability to reduce the surface tension</w:t>
      </w:r>
      <w:r>
        <w:rPr>
          <w:spacing w:val="40"/>
        </w:rPr>
        <w:t> </w:t>
      </w:r>
      <w:r>
        <w:rPr/>
        <w:t>of</w:t>
      </w:r>
      <w:r>
        <w:rPr>
          <w:spacing w:val="40"/>
        </w:rPr>
        <w:t> </w:t>
      </w:r>
      <w:r>
        <w:rPr/>
        <w:t>water</w:t>
      </w:r>
      <w:r>
        <w:rPr>
          <w:spacing w:val="40"/>
        </w:rPr>
        <w:t> </w:t>
      </w:r>
      <w:r>
        <w:rPr/>
        <w:t>to</w:t>
      </w:r>
      <w:r>
        <w:rPr>
          <w:spacing w:val="40"/>
        </w:rPr>
        <w:t> </w:t>
      </w:r>
      <w:r>
        <w:rPr/>
        <w:t>25m</w:t>
      </w:r>
      <w:r>
        <w:rPr>
          <w:spacing w:val="40"/>
        </w:rPr>
        <w:t> </w:t>
      </w:r>
      <w:r>
        <w:rPr/>
        <w:t>N/M</w:t>
      </w:r>
      <w:r>
        <w:rPr>
          <w:spacing w:val="40"/>
        </w:rPr>
        <w:t> </w:t>
      </w:r>
      <w:r>
        <w:rPr/>
        <w:t>and</w:t>
      </w:r>
      <w:r>
        <w:rPr>
          <w:spacing w:val="40"/>
        </w:rPr>
        <w:t> </w:t>
      </w:r>
      <w:r>
        <w:rPr/>
        <w:t>the</w:t>
      </w:r>
      <w:r>
        <w:rPr>
          <w:spacing w:val="40"/>
        </w:rPr>
        <w:t> </w:t>
      </w:r>
      <w:r>
        <w:rPr/>
        <w:t>interfacial</w:t>
      </w:r>
      <w:r>
        <w:rPr>
          <w:spacing w:val="40"/>
        </w:rPr>
        <w:t> </w:t>
      </w:r>
      <w:r>
        <w:rPr/>
        <w:t>tension</w:t>
      </w:r>
      <w:r>
        <w:rPr>
          <w:spacing w:val="40"/>
        </w:rPr>
        <w:t> </w:t>
      </w:r>
      <w:r>
        <w:rPr/>
        <w:t>of</w:t>
      </w:r>
      <w:r>
        <w:rPr>
          <w:spacing w:val="40"/>
        </w:rPr>
        <w:t> </w:t>
      </w:r>
      <w:r>
        <w:rPr/>
        <w:t>water/hexadecane</w:t>
      </w:r>
      <w:r>
        <w:rPr>
          <w:spacing w:val="40"/>
        </w:rPr>
        <w:t> </w:t>
      </w:r>
      <w:r>
        <w:rPr/>
        <w:t>to</w:t>
      </w:r>
      <w:r>
        <w:rPr>
          <w:spacing w:val="40"/>
        </w:rPr>
        <w:t> </w:t>
      </w:r>
      <w:r>
        <w:rPr/>
        <w:t>&lt;</w:t>
      </w:r>
      <w:r>
        <w:rPr>
          <w:spacing w:val="40"/>
        </w:rPr>
        <w:t> </w:t>
      </w:r>
      <w:r>
        <w:rPr/>
        <w:t>1mN/M</w:t>
      </w:r>
      <w:r>
        <w:rPr>
          <w:spacing w:val="80"/>
        </w:rPr>
        <w:t> </w:t>
      </w:r>
      <w:r>
        <w:rPr/>
        <w:t>( Fakruddin, 2012). In general, biosurfactants are more effective and efficient and their Critical Micelle Concentration (CMC) is several times lower than chemical surfactants, i.e., for maximal decrease on surface tension, less surfactant is necessary (</w:t>
      </w:r>
      <w:hyperlink r:id="rId7">
        <w:r>
          <w:rPr/>
          <w:t>Desai and Banat, 1997</w:t>
        </w:r>
      </w:hyperlink>
      <w:r>
        <w:rPr/>
        <w:t>)</w:t>
      </w:r>
    </w:p>
    <w:p>
      <w:pPr>
        <w:pStyle w:val="Heading2"/>
        <w:numPr>
          <w:ilvl w:val="2"/>
          <w:numId w:val="3"/>
        </w:numPr>
        <w:tabs>
          <w:tab w:pos="841" w:val="left" w:leader="none"/>
        </w:tabs>
        <w:spacing w:line="240" w:lineRule="auto" w:before="207" w:after="0"/>
        <w:ind w:left="840" w:right="0" w:hanging="721"/>
        <w:jc w:val="both"/>
      </w:pPr>
      <w:r>
        <w:rPr/>
        <w:t>Temperature</w:t>
      </w:r>
      <w:r>
        <w:rPr>
          <w:spacing w:val="-3"/>
        </w:rPr>
        <w:t> </w:t>
      </w:r>
      <w:r>
        <w:rPr/>
        <w:t>and</w:t>
      </w:r>
      <w:r>
        <w:rPr>
          <w:spacing w:val="-3"/>
        </w:rPr>
        <w:t> </w:t>
      </w:r>
      <w:r>
        <w:rPr/>
        <w:t>pH</w:t>
      </w:r>
      <w:r>
        <w:rPr>
          <w:spacing w:val="-4"/>
        </w:rPr>
        <w:t> </w:t>
      </w:r>
      <w:r>
        <w:rPr>
          <w:spacing w:val="-2"/>
        </w:rPr>
        <w:t>tolerance</w:t>
      </w:r>
    </w:p>
    <w:p>
      <w:pPr>
        <w:pStyle w:val="BodyText"/>
        <w:spacing w:before="6"/>
        <w:rPr>
          <w:b/>
          <w:sz w:val="23"/>
        </w:rPr>
      </w:pPr>
    </w:p>
    <w:p>
      <w:pPr>
        <w:pStyle w:val="BodyText"/>
        <w:spacing w:line="480" w:lineRule="auto"/>
        <w:ind w:left="120" w:right="115"/>
        <w:jc w:val="both"/>
      </w:pPr>
      <w:r>
        <w:rPr/>
        <w:t>Biosurfactants are known to be very stable over a broad range of environmental conditions of temperature, pH and ionic strength. </w:t>
      </w:r>
      <w:r>
        <w:rPr>
          <w:i/>
        </w:rPr>
        <w:t>Bacillus licheniformis </w:t>
      </w:r>
      <w:r>
        <w:rPr/>
        <w:t>produced biosurfactant known as Lichenysin, which can tolerate a temperature of 50°C, pH between 4 and 9 with concentration of NaCl and Ca of 50g/L and 25g/L respectively (Krishnaswamy </w:t>
      </w:r>
      <w:r>
        <w:rPr>
          <w:i/>
        </w:rPr>
        <w:t>et al.</w:t>
      </w:r>
      <w:r>
        <w:rPr/>
        <w:t>, 2008).</w:t>
      </w:r>
    </w:p>
    <w:p>
      <w:pPr>
        <w:spacing w:after="0" w:line="480" w:lineRule="auto"/>
        <w:jc w:val="both"/>
        <w:sectPr>
          <w:pgSz w:w="12240" w:h="15840"/>
          <w:pgMar w:header="0" w:footer="1015" w:top="1360" w:bottom="1200" w:left="1320" w:right="1320"/>
        </w:sectPr>
      </w:pPr>
    </w:p>
    <w:p>
      <w:pPr>
        <w:pStyle w:val="Heading2"/>
        <w:numPr>
          <w:ilvl w:val="2"/>
          <w:numId w:val="3"/>
        </w:numPr>
        <w:tabs>
          <w:tab w:pos="841" w:val="left" w:leader="none"/>
        </w:tabs>
        <w:spacing w:line="240" w:lineRule="auto" w:before="76" w:after="0"/>
        <w:ind w:left="840" w:right="0" w:hanging="721"/>
        <w:jc w:val="both"/>
      </w:pPr>
      <w:r>
        <w:rPr>
          <w:spacing w:val="-2"/>
        </w:rPr>
        <w:t>Biodegradability</w:t>
      </w:r>
    </w:p>
    <w:p>
      <w:pPr>
        <w:pStyle w:val="BodyText"/>
        <w:spacing w:before="7"/>
        <w:rPr>
          <w:b/>
          <w:sz w:val="23"/>
        </w:rPr>
      </w:pPr>
    </w:p>
    <w:p>
      <w:pPr>
        <w:pStyle w:val="BodyText"/>
        <w:spacing w:line="480" w:lineRule="auto" w:before="1"/>
        <w:ind w:left="120" w:right="116"/>
        <w:jc w:val="both"/>
      </w:pPr>
      <w:r>
        <w:rPr/>
        <w:t>Surfactants</w:t>
      </w:r>
      <w:r>
        <w:rPr/>
        <w:t> of</w:t>
      </w:r>
      <w:r>
        <w:rPr/>
        <w:t> microbial</w:t>
      </w:r>
      <w:r>
        <w:rPr/>
        <w:t> origin</w:t>
      </w:r>
      <w:r>
        <w:rPr/>
        <w:t> under</w:t>
      </w:r>
      <w:r>
        <w:rPr/>
        <w:t> degradation</w:t>
      </w:r>
      <w:r>
        <w:rPr/>
        <w:t> easily than surfactants of chemical origin (Mohan </w:t>
      </w:r>
      <w:r>
        <w:rPr>
          <w:i/>
        </w:rPr>
        <w:t>et al., </w:t>
      </w:r>
      <w:r>
        <w:rPr/>
        <w:t>2006) and are suitably applied in the environment for bioremediation and biosorption (Mulligan </w:t>
      </w:r>
      <w:r>
        <w:rPr>
          <w:i/>
        </w:rPr>
        <w:t>et al., </w:t>
      </w:r>
      <w:r>
        <w:rPr/>
        <w:t>2001). The menace faced by the environment triggered a search for an</w:t>
      </w:r>
      <w:r>
        <w:rPr>
          <w:spacing w:val="-13"/>
        </w:rPr>
        <w:t> </w:t>
      </w:r>
      <w:r>
        <w:rPr/>
        <w:t>alternative</w:t>
      </w:r>
      <w:r>
        <w:rPr>
          <w:spacing w:val="-14"/>
        </w:rPr>
        <w:t> </w:t>
      </w:r>
      <w:r>
        <w:rPr/>
        <w:t>substance</w:t>
      </w:r>
      <w:r>
        <w:rPr>
          <w:spacing w:val="-14"/>
        </w:rPr>
        <w:t> </w:t>
      </w:r>
      <w:r>
        <w:rPr/>
        <w:t>such</w:t>
      </w:r>
      <w:r>
        <w:rPr>
          <w:spacing w:val="-13"/>
        </w:rPr>
        <w:t> </w:t>
      </w:r>
      <w:r>
        <w:rPr/>
        <w:t>as</w:t>
      </w:r>
      <w:r>
        <w:rPr>
          <w:spacing w:val="-13"/>
        </w:rPr>
        <w:t> </w:t>
      </w:r>
      <w:r>
        <w:rPr/>
        <w:t>biosurfactant</w:t>
      </w:r>
      <w:r>
        <w:rPr>
          <w:spacing w:val="-13"/>
        </w:rPr>
        <w:t> </w:t>
      </w:r>
      <w:r>
        <w:rPr/>
        <w:t>(Cameotra</w:t>
      </w:r>
      <w:r>
        <w:rPr>
          <w:spacing w:val="-14"/>
        </w:rPr>
        <w:t> </w:t>
      </w:r>
      <w:r>
        <w:rPr/>
        <w:t>and</w:t>
      </w:r>
      <w:r>
        <w:rPr>
          <w:spacing w:val="-13"/>
        </w:rPr>
        <w:t> </w:t>
      </w:r>
      <w:r>
        <w:rPr/>
        <w:t>Makkar,</w:t>
      </w:r>
      <w:r>
        <w:rPr>
          <w:spacing w:val="-14"/>
        </w:rPr>
        <w:t> </w:t>
      </w:r>
      <w:r>
        <w:rPr/>
        <w:t>2004).</w:t>
      </w:r>
      <w:r>
        <w:rPr>
          <w:spacing w:val="-14"/>
        </w:rPr>
        <w:t> </w:t>
      </w:r>
      <w:r>
        <w:rPr/>
        <w:t>Chemical</w:t>
      </w:r>
      <w:r>
        <w:rPr>
          <w:spacing w:val="-13"/>
        </w:rPr>
        <w:t> </w:t>
      </w:r>
      <w:r>
        <w:rPr/>
        <w:t>surfactants pose problems in the environment and therefore biosurfactant that are obtained from microorganisms and are biodegradable were used for the biodegradation of polycyclic aromatic hydrocarbon, phenanthrene that contaminate aquatic environment (Olivera </w:t>
      </w:r>
      <w:r>
        <w:rPr>
          <w:i/>
        </w:rPr>
        <w:t>et al., </w:t>
      </w:r>
      <w:r>
        <w:rPr/>
        <w:t>2003).</w:t>
      </w:r>
    </w:p>
    <w:p>
      <w:pPr>
        <w:pStyle w:val="Heading2"/>
        <w:numPr>
          <w:ilvl w:val="2"/>
          <w:numId w:val="3"/>
        </w:numPr>
        <w:tabs>
          <w:tab w:pos="841" w:val="left" w:leader="none"/>
        </w:tabs>
        <w:spacing w:line="240" w:lineRule="auto" w:before="205" w:after="0"/>
        <w:ind w:left="840" w:right="0" w:hanging="721"/>
        <w:jc w:val="both"/>
      </w:pPr>
      <w:r>
        <w:rPr/>
        <w:t>Low</w:t>
      </w:r>
      <w:r>
        <w:rPr>
          <w:spacing w:val="-2"/>
        </w:rPr>
        <w:t> toxicity</w:t>
      </w:r>
    </w:p>
    <w:p>
      <w:pPr>
        <w:pStyle w:val="BodyText"/>
        <w:spacing w:before="6"/>
        <w:rPr>
          <w:b/>
          <w:sz w:val="23"/>
        </w:rPr>
      </w:pPr>
    </w:p>
    <w:p>
      <w:pPr>
        <w:pStyle w:val="BodyText"/>
        <w:spacing w:line="480" w:lineRule="auto"/>
        <w:ind w:left="120" w:right="115"/>
        <w:jc w:val="both"/>
      </w:pPr>
      <w:r>
        <w:rPr/>
        <w:t>Biosurfactants are considered as non toxic substances and are suitable for pharmaceutical, cosmetic and food uses. Chemically derived surfactant</w:t>
      </w:r>
      <w:r>
        <w:rPr/>
        <w:t> has been demonstrated to have higher toxicity</w:t>
      </w:r>
      <w:r>
        <w:rPr>
          <w:spacing w:val="40"/>
        </w:rPr>
        <w:t> </w:t>
      </w:r>
      <w:r>
        <w:rPr/>
        <w:t>to</w:t>
      </w:r>
      <w:r>
        <w:rPr>
          <w:spacing w:val="40"/>
        </w:rPr>
        <w:t> </w:t>
      </w:r>
      <w:r>
        <w:rPr>
          <w:i/>
        </w:rPr>
        <w:t>Photobacterium</w:t>
      </w:r>
      <w:r>
        <w:rPr>
          <w:i/>
          <w:spacing w:val="40"/>
        </w:rPr>
        <w:t> </w:t>
      </w:r>
      <w:r>
        <w:rPr>
          <w:i/>
        </w:rPr>
        <w:t>phosphoreum</w:t>
      </w:r>
      <w:r>
        <w:rPr>
          <w:i/>
          <w:spacing w:val="40"/>
        </w:rPr>
        <w:t> </w:t>
      </w:r>
      <w:r>
        <w:rPr/>
        <w:t>and</w:t>
      </w:r>
      <w:r>
        <w:rPr>
          <w:spacing w:val="40"/>
        </w:rPr>
        <w:t> </w:t>
      </w:r>
      <w:r>
        <w:rPr/>
        <w:t>was</w:t>
      </w:r>
      <w:r>
        <w:rPr>
          <w:spacing w:val="40"/>
        </w:rPr>
        <w:t> </w:t>
      </w:r>
      <w:r>
        <w:rPr/>
        <w:t>found</w:t>
      </w:r>
      <w:r>
        <w:rPr>
          <w:spacing w:val="40"/>
        </w:rPr>
        <w:t> </w:t>
      </w:r>
      <w:r>
        <w:rPr/>
        <w:t>to</w:t>
      </w:r>
      <w:r>
        <w:rPr>
          <w:spacing w:val="40"/>
        </w:rPr>
        <w:t> </w:t>
      </w:r>
      <w:r>
        <w:rPr/>
        <w:t>be</w:t>
      </w:r>
      <w:r>
        <w:rPr>
          <w:spacing w:val="40"/>
        </w:rPr>
        <w:t> </w:t>
      </w:r>
      <w:r>
        <w:rPr/>
        <w:t>10</w:t>
      </w:r>
      <w:r>
        <w:rPr>
          <w:spacing w:val="40"/>
        </w:rPr>
        <w:t> </w:t>
      </w:r>
      <w:r>
        <w:rPr/>
        <w:t>times</w:t>
      </w:r>
      <w:r>
        <w:rPr>
          <w:spacing w:val="40"/>
        </w:rPr>
        <w:t> </w:t>
      </w:r>
      <w:r>
        <w:rPr/>
        <w:t>lower</w:t>
      </w:r>
      <w:r>
        <w:rPr>
          <w:spacing w:val="40"/>
        </w:rPr>
        <w:t> </w:t>
      </w:r>
      <w:r>
        <w:rPr/>
        <w:t>than rhamnolipids (Vijayakumar </w:t>
      </w:r>
      <w:r>
        <w:rPr>
          <w:i/>
        </w:rPr>
        <w:t>et al</w:t>
      </w:r>
      <w:r>
        <w:rPr/>
        <w:t>., 2015).</w:t>
      </w:r>
    </w:p>
    <w:p>
      <w:pPr>
        <w:pStyle w:val="Heading2"/>
        <w:numPr>
          <w:ilvl w:val="2"/>
          <w:numId w:val="3"/>
        </w:numPr>
        <w:tabs>
          <w:tab w:pos="841" w:val="left" w:leader="none"/>
        </w:tabs>
        <w:spacing w:line="240" w:lineRule="auto" w:before="207" w:after="0"/>
        <w:ind w:left="840" w:right="0" w:hanging="721"/>
        <w:jc w:val="both"/>
      </w:pPr>
      <w:r>
        <w:rPr/>
        <w:t>Emulsification</w:t>
      </w:r>
      <w:r>
        <w:rPr>
          <w:spacing w:val="-10"/>
        </w:rPr>
        <w:t> </w:t>
      </w:r>
      <w:r>
        <w:rPr/>
        <w:t>and</w:t>
      </w:r>
      <w:r>
        <w:rPr>
          <w:spacing w:val="-12"/>
        </w:rPr>
        <w:t> </w:t>
      </w:r>
      <w:r>
        <w:rPr>
          <w:spacing w:val="-2"/>
        </w:rPr>
        <w:t>demulsification</w:t>
      </w:r>
    </w:p>
    <w:p>
      <w:pPr>
        <w:pStyle w:val="BodyText"/>
        <w:spacing w:before="4"/>
        <w:rPr>
          <w:b/>
          <w:sz w:val="23"/>
        </w:rPr>
      </w:pPr>
    </w:p>
    <w:p>
      <w:pPr>
        <w:pStyle w:val="BodyText"/>
        <w:spacing w:line="480" w:lineRule="auto" w:before="1"/>
        <w:ind w:left="120" w:right="116"/>
        <w:jc w:val="both"/>
      </w:pPr>
      <w:r>
        <w:rPr/>
        <w:t>Biosurfactants can exhibit emulsification and demulsification properties. An emulsion is defined as a hetreogenous compound, which consists of an immiscible fluid dispersed in another one in form</w:t>
      </w:r>
      <w:r>
        <w:rPr>
          <w:spacing w:val="-7"/>
        </w:rPr>
        <w:t> </w:t>
      </w:r>
      <w:r>
        <w:rPr/>
        <w:t>of</w:t>
      </w:r>
      <w:r>
        <w:rPr>
          <w:spacing w:val="-8"/>
        </w:rPr>
        <w:t> </w:t>
      </w:r>
      <w:r>
        <w:rPr/>
        <w:t>droplets</w:t>
      </w:r>
      <w:r>
        <w:rPr>
          <w:spacing w:val="-7"/>
        </w:rPr>
        <w:t> </w:t>
      </w:r>
      <w:r>
        <w:rPr/>
        <w:t>with</w:t>
      </w:r>
      <w:r>
        <w:rPr>
          <w:spacing w:val="-4"/>
        </w:rPr>
        <w:t> </w:t>
      </w:r>
      <w:r>
        <w:rPr/>
        <w:t>a</w:t>
      </w:r>
      <w:r>
        <w:rPr>
          <w:spacing w:val="-8"/>
        </w:rPr>
        <w:t> </w:t>
      </w:r>
      <w:r>
        <w:rPr/>
        <w:t>diameter</w:t>
      </w:r>
      <w:r>
        <w:rPr>
          <w:spacing w:val="-8"/>
        </w:rPr>
        <w:t> </w:t>
      </w:r>
      <w:r>
        <w:rPr/>
        <w:t>not</w:t>
      </w:r>
      <w:r>
        <w:rPr>
          <w:spacing w:val="-7"/>
        </w:rPr>
        <w:t> </w:t>
      </w:r>
      <w:r>
        <w:rPr/>
        <w:t>exceeding</w:t>
      </w:r>
      <w:r>
        <w:rPr>
          <w:spacing w:val="-7"/>
        </w:rPr>
        <w:t> </w:t>
      </w:r>
      <w:r>
        <w:rPr/>
        <w:t>0.1</w:t>
      </w:r>
      <w:r>
        <w:rPr>
          <w:spacing w:val="-5"/>
        </w:rPr>
        <w:t> </w:t>
      </w:r>
      <w:r>
        <w:rPr/>
        <w:t>mm.</w:t>
      </w:r>
      <w:r>
        <w:rPr>
          <w:spacing w:val="-7"/>
        </w:rPr>
        <w:t> </w:t>
      </w:r>
      <w:r>
        <w:rPr/>
        <w:t>There</w:t>
      </w:r>
      <w:r>
        <w:rPr>
          <w:spacing w:val="-9"/>
        </w:rPr>
        <w:t> </w:t>
      </w:r>
      <w:r>
        <w:rPr/>
        <w:t>are</w:t>
      </w:r>
      <w:r>
        <w:rPr>
          <w:spacing w:val="-6"/>
        </w:rPr>
        <w:t> </w:t>
      </w:r>
      <w:r>
        <w:rPr/>
        <w:t>two</w:t>
      </w:r>
      <w:r>
        <w:rPr>
          <w:spacing w:val="-7"/>
        </w:rPr>
        <w:t> </w:t>
      </w:r>
      <w:r>
        <w:rPr/>
        <w:t>types</w:t>
      </w:r>
      <w:r>
        <w:rPr>
          <w:spacing w:val="-5"/>
        </w:rPr>
        <w:t> </w:t>
      </w:r>
      <w:r>
        <w:rPr/>
        <w:t>of</w:t>
      </w:r>
      <w:r>
        <w:rPr>
          <w:spacing w:val="-8"/>
        </w:rPr>
        <w:t> </w:t>
      </w:r>
      <w:r>
        <w:rPr/>
        <w:t>emulsions,</w:t>
      </w:r>
      <w:r>
        <w:rPr>
          <w:spacing w:val="-7"/>
        </w:rPr>
        <w:t> </w:t>
      </w:r>
      <w:r>
        <w:rPr/>
        <w:t>such</w:t>
      </w:r>
      <w:r>
        <w:rPr>
          <w:spacing w:val="-7"/>
        </w:rPr>
        <w:t> </w:t>
      </w:r>
      <w:r>
        <w:rPr/>
        <w:t>as oil</w:t>
      </w:r>
      <w:r>
        <w:rPr>
          <w:spacing w:val="-4"/>
        </w:rPr>
        <w:t> </w:t>
      </w:r>
      <w:r>
        <w:rPr/>
        <w:t>in</w:t>
      </w:r>
      <w:r>
        <w:rPr>
          <w:spacing w:val="-4"/>
        </w:rPr>
        <w:t> </w:t>
      </w:r>
      <w:r>
        <w:rPr/>
        <w:t>water</w:t>
      </w:r>
      <w:r>
        <w:rPr>
          <w:spacing w:val="-6"/>
        </w:rPr>
        <w:t> </w:t>
      </w:r>
      <w:r>
        <w:rPr/>
        <w:t>and</w:t>
      </w:r>
      <w:r>
        <w:rPr>
          <w:spacing w:val="-5"/>
        </w:rPr>
        <w:t> </w:t>
      </w:r>
      <w:r>
        <w:rPr/>
        <w:t>water</w:t>
      </w:r>
      <w:r>
        <w:rPr>
          <w:spacing w:val="-6"/>
        </w:rPr>
        <w:t> </w:t>
      </w:r>
      <w:r>
        <w:rPr/>
        <w:t>in</w:t>
      </w:r>
      <w:r>
        <w:rPr>
          <w:spacing w:val="-4"/>
        </w:rPr>
        <w:t> </w:t>
      </w:r>
      <w:r>
        <w:rPr/>
        <w:t>oil</w:t>
      </w:r>
      <w:r>
        <w:rPr>
          <w:spacing w:val="-4"/>
        </w:rPr>
        <w:t> </w:t>
      </w:r>
      <w:r>
        <w:rPr/>
        <w:t>emulsions.</w:t>
      </w:r>
      <w:r>
        <w:rPr>
          <w:spacing w:val="-5"/>
        </w:rPr>
        <w:t> </w:t>
      </w:r>
      <w:r>
        <w:rPr/>
        <w:t>They</w:t>
      </w:r>
      <w:r>
        <w:rPr>
          <w:spacing w:val="-10"/>
        </w:rPr>
        <w:t> </w:t>
      </w:r>
      <w:r>
        <w:rPr/>
        <w:t>are</w:t>
      </w:r>
      <w:r>
        <w:rPr>
          <w:spacing w:val="-7"/>
        </w:rPr>
        <w:t> </w:t>
      </w:r>
      <w:r>
        <w:rPr/>
        <w:t>not</w:t>
      </w:r>
      <w:r>
        <w:rPr>
          <w:spacing w:val="-4"/>
        </w:rPr>
        <w:t> </w:t>
      </w:r>
      <w:r>
        <w:rPr/>
        <w:t>very</w:t>
      </w:r>
      <w:r>
        <w:rPr>
          <w:spacing w:val="-10"/>
        </w:rPr>
        <w:t> </w:t>
      </w:r>
      <w:r>
        <w:rPr/>
        <w:t>stable</w:t>
      </w:r>
      <w:r>
        <w:rPr>
          <w:spacing w:val="-6"/>
        </w:rPr>
        <w:t> </w:t>
      </w:r>
      <w:r>
        <w:rPr/>
        <w:t>and</w:t>
      </w:r>
      <w:r>
        <w:rPr>
          <w:spacing w:val="-5"/>
        </w:rPr>
        <w:t> </w:t>
      </w:r>
      <w:r>
        <w:rPr/>
        <w:t>can</w:t>
      </w:r>
      <w:r>
        <w:rPr>
          <w:spacing w:val="-5"/>
        </w:rPr>
        <w:t> </w:t>
      </w:r>
      <w:r>
        <w:rPr/>
        <w:t>be</w:t>
      </w:r>
      <w:r>
        <w:rPr>
          <w:spacing w:val="-3"/>
        </w:rPr>
        <w:t> </w:t>
      </w:r>
      <w:r>
        <w:rPr/>
        <w:t>stabilized</w:t>
      </w:r>
      <w:r>
        <w:rPr>
          <w:spacing w:val="-5"/>
        </w:rPr>
        <w:t> </w:t>
      </w:r>
      <w:r>
        <w:rPr/>
        <w:t>with</w:t>
      </w:r>
      <w:r>
        <w:rPr>
          <w:spacing w:val="-4"/>
        </w:rPr>
        <w:t> </w:t>
      </w:r>
      <w:r>
        <w:rPr/>
        <w:t>the</w:t>
      </w:r>
      <w:r>
        <w:rPr>
          <w:spacing w:val="-5"/>
        </w:rPr>
        <w:t> </w:t>
      </w:r>
      <w:r>
        <w:rPr/>
        <w:t>use of</w:t>
      </w:r>
      <w:r>
        <w:rPr>
          <w:spacing w:val="-4"/>
        </w:rPr>
        <w:t> </w:t>
      </w:r>
      <w:r>
        <w:rPr/>
        <w:t>biosurfactants</w:t>
      </w:r>
      <w:r>
        <w:rPr>
          <w:spacing w:val="-4"/>
        </w:rPr>
        <w:t> </w:t>
      </w:r>
      <w:r>
        <w:rPr/>
        <w:t>in</w:t>
      </w:r>
      <w:r>
        <w:rPr>
          <w:spacing w:val="-4"/>
        </w:rPr>
        <w:t> </w:t>
      </w:r>
      <w:r>
        <w:rPr/>
        <w:t>form</w:t>
      </w:r>
      <w:r>
        <w:rPr>
          <w:spacing w:val="-4"/>
        </w:rPr>
        <w:t> </w:t>
      </w:r>
      <w:r>
        <w:rPr/>
        <w:t>of</w:t>
      </w:r>
      <w:r>
        <w:rPr>
          <w:spacing w:val="-4"/>
        </w:rPr>
        <w:t> </w:t>
      </w:r>
      <w:r>
        <w:rPr/>
        <w:t>additives</w:t>
      </w:r>
      <w:r>
        <w:rPr>
          <w:spacing w:val="-4"/>
        </w:rPr>
        <w:t> </w:t>
      </w:r>
      <w:r>
        <w:rPr/>
        <w:t>so</w:t>
      </w:r>
      <w:r>
        <w:rPr>
          <w:spacing w:val="-3"/>
        </w:rPr>
        <w:t> </w:t>
      </w:r>
      <w:r>
        <w:rPr/>
        <w:t>as</w:t>
      </w:r>
      <w:r>
        <w:rPr>
          <w:spacing w:val="-3"/>
        </w:rPr>
        <w:t> </w:t>
      </w:r>
      <w:r>
        <w:rPr/>
        <w:t>to</w:t>
      </w:r>
      <w:r>
        <w:rPr>
          <w:spacing w:val="-5"/>
        </w:rPr>
        <w:t> </w:t>
      </w:r>
      <w:r>
        <w:rPr/>
        <w:t>become</w:t>
      </w:r>
      <w:r>
        <w:rPr>
          <w:spacing w:val="-3"/>
        </w:rPr>
        <w:t> </w:t>
      </w:r>
      <w:r>
        <w:rPr/>
        <w:t>a</w:t>
      </w:r>
      <w:r>
        <w:rPr>
          <w:spacing w:val="-5"/>
        </w:rPr>
        <w:t> </w:t>
      </w:r>
      <w:r>
        <w:rPr/>
        <w:t>stable</w:t>
      </w:r>
      <w:r>
        <w:rPr>
          <w:spacing w:val="-4"/>
        </w:rPr>
        <w:t> </w:t>
      </w:r>
      <w:r>
        <w:rPr/>
        <w:t>emulsion</w:t>
      </w:r>
      <w:r>
        <w:rPr>
          <w:spacing w:val="-3"/>
        </w:rPr>
        <w:t> </w:t>
      </w:r>
      <w:r>
        <w:rPr/>
        <w:t>that</w:t>
      </w:r>
      <w:r>
        <w:rPr>
          <w:spacing w:val="-5"/>
        </w:rPr>
        <w:t> </w:t>
      </w:r>
      <w:r>
        <w:rPr/>
        <w:t>can</w:t>
      </w:r>
      <w:r>
        <w:rPr>
          <w:spacing w:val="-3"/>
        </w:rPr>
        <w:t> </w:t>
      </w:r>
      <w:r>
        <w:rPr/>
        <w:t>last</w:t>
      </w:r>
      <w:r>
        <w:rPr>
          <w:spacing w:val="-3"/>
        </w:rPr>
        <w:t> </w:t>
      </w:r>
      <w:r>
        <w:rPr/>
        <w:t>from</w:t>
      </w:r>
      <w:r>
        <w:rPr>
          <w:spacing w:val="-3"/>
        </w:rPr>
        <w:t> </w:t>
      </w:r>
      <w:r>
        <w:rPr/>
        <w:t>months to years (Vijayakumar </w:t>
      </w:r>
      <w:r>
        <w:rPr>
          <w:i/>
        </w:rPr>
        <w:t>et al.</w:t>
      </w:r>
      <w:r>
        <w:rPr/>
        <w:t>, 2015). </w:t>
      </w:r>
      <w:r>
        <w:rPr>
          <w:i/>
        </w:rPr>
        <w:t>Candida lipolytica </w:t>
      </w:r>
      <w:r>
        <w:rPr/>
        <w:t>can synthesize a water soluble emulsion known as Liposan that can be used in the emulsification of edible oil by coating the oil droplets and</w:t>
      </w:r>
      <w:r>
        <w:rPr>
          <w:spacing w:val="-6"/>
        </w:rPr>
        <w:t> </w:t>
      </w:r>
      <w:r>
        <w:rPr/>
        <w:t>therefore</w:t>
      </w:r>
      <w:r>
        <w:rPr>
          <w:spacing w:val="-7"/>
        </w:rPr>
        <w:t> </w:t>
      </w:r>
      <w:r>
        <w:rPr/>
        <w:t>result</w:t>
      </w:r>
      <w:r>
        <w:rPr>
          <w:spacing w:val="-5"/>
        </w:rPr>
        <w:t> </w:t>
      </w:r>
      <w:r>
        <w:rPr/>
        <w:t>in</w:t>
      </w:r>
      <w:r>
        <w:rPr>
          <w:spacing w:val="-5"/>
        </w:rPr>
        <w:t> </w:t>
      </w:r>
      <w:r>
        <w:rPr/>
        <w:t>a</w:t>
      </w:r>
      <w:r>
        <w:rPr>
          <w:spacing w:val="-7"/>
        </w:rPr>
        <w:t> </w:t>
      </w:r>
      <w:r>
        <w:rPr/>
        <w:t>stable</w:t>
      </w:r>
      <w:r>
        <w:rPr>
          <w:spacing w:val="-7"/>
        </w:rPr>
        <w:t> </w:t>
      </w:r>
      <w:r>
        <w:rPr/>
        <w:t>emulsion.</w:t>
      </w:r>
      <w:r>
        <w:rPr>
          <w:spacing w:val="-5"/>
        </w:rPr>
        <w:t> </w:t>
      </w:r>
      <w:r>
        <w:rPr/>
        <w:t>Cosmetics</w:t>
      </w:r>
      <w:r>
        <w:rPr>
          <w:spacing w:val="-6"/>
        </w:rPr>
        <w:t> </w:t>
      </w:r>
      <w:r>
        <w:rPr/>
        <w:t>and</w:t>
      </w:r>
      <w:r>
        <w:rPr>
          <w:spacing w:val="-6"/>
        </w:rPr>
        <w:t> </w:t>
      </w:r>
      <w:r>
        <w:rPr/>
        <w:t>food</w:t>
      </w:r>
      <w:r>
        <w:rPr>
          <w:spacing w:val="-7"/>
        </w:rPr>
        <w:t> </w:t>
      </w:r>
      <w:r>
        <w:rPr/>
        <w:t>industries</w:t>
      </w:r>
      <w:r>
        <w:rPr>
          <w:spacing w:val="-6"/>
        </w:rPr>
        <w:t> </w:t>
      </w:r>
      <w:r>
        <w:rPr/>
        <w:t>are</w:t>
      </w:r>
      <w:r>
        <w:rPr>
          <w:spacing w:val="-5"/>
        </w:rPr>
        <w:t> </w:t>
      </w:r>
      <w:r>
        <w:rPr/>
        <w:t>known</w:t>
      </w:r>
      <w:r>
        <w:rPr>
          <w:spacing w:val="-6"/>
        </w:rPr>
        <w:t> </w:t>
      </w:r>
      <w:r>
        <w:rPr/>
        <w:t>to</w:t>
      </w:r>
      <w:r>
        <w:rPr>
          <w:spacing w:val="-2"/>
        </w:rPr>
        <w:t> </w:t>
      </w:r>
      <w:r>
        <w:rPr/>
        <w:t>use</w:t>
      </w:r>
      <w:r>
        <w:rPr>
          <w:spacing w:val="-7"/>
        </w:rPr>
        <w:t> </w:t>
      </w:r>
      <w:r>
        <w:rPr/>
        <w:t>liposans in making oil in water stable emulsions (</w:t>
      </w:r>
      <w:hyperlink r:id="rId8">
        <w:r>
          <w:rPr/>
          <w:t>Cirigliano and Carman, 1985</w:t>
        </w:r>
      </w:hyperlink>
      <w:r>
        <w:rPr/>
        <w:t>).</w:t>
      </w:r>
    </w:p>
    <w:p>
      <w:pPr>
        <w:spacing w:after="0" w:line="480" w:lineRule="auto"/>
        <w:jc w:val="both"/>
        <w:sectPr>
          <w:pgSz w:w="12240" w:h="15840"/>
          <w:pgMar w:header="0" w:footer="1015" w:top="1360" w:bottom="1200" w:left="1320" w:right="1320"/>
        </w:sectPr>
      </w:pPr>
    </w:p>
    <w:p>
      <w:pPr>
        <w:pStyle w:val="Heading2"/>
        <w:numPr>
          <w:ilvl w:val="2"/>
          <w:numId w:val="3"/>
        </w:numPr>
        <w:tabs>
          <w:tab w:pos="841" w:val="left" w:leader="none"/>
        </w:tabs>
        <w:spacing w:line="240" w:lineRule="auto" w:before="76" w:after="0"/>
        <w:ind w:left="840" w:right="0" w:hanging="721"/>
        <w:jc w:val="both"/>
      </w:pPr>
      <w:r>
        <w:rPr/>
        <w:t>Anti-Adhesive</w:t>
      </w:r>
      <w:r>
        <w:rPr>
          <w:spacing w:val="-11"/>
        </w:rPr>
        <w:t> </w:t>
      </w:r>
      <w:r>
        <w:rPr>
          <w:spacing w:val="-2"/>
        </w:rPr>
        <w:t>property</w:t>
      </w:r>
    </w:p>
    <w:p>
      <w:pPr>
        <w:pStyle w:val="BodyText"/>
        <w:spacing w:before="7"/>
        <w:rPr>
          <w:b/>
          <w:sz w:val="23"/>
        </w:rPr>
      </w:pPr>
    </w:p>
    <w:p>
      <w:pPr>
        <w:pStyle w:val="BodyText"/>
        <w:spacing w:line="480" w:lineRule="auto" w:before="1"/>
        <w:ind w:left="120" w:right="116"/>
        <w:jc w:val="both"/>
      </w:pPr>
      <w:r>
        <w:rPr/>
        <w:t>Biofilm is defined as an aggregate of bacteria and other organic materials that are attachéd on surfaces (Hood and Zottola, 1995). In establishing a biofilm, the initial step involve bacterial attachment on a surface, which is influenced by several factors that include the microoganism involved, ability of the organism to produce extra polymeric substance that binds cells to the surface, the suface electrical charge, hydrophobicity of the surface,</w:t>
      </w:r>
      <w:r>
        <w:rPr/>
        <w:t> and</w:t>
      </w:r>
      <w:r>
        <w:rPr/>
        <w:t> other</w:t>
      </w:r>
      <w:r>
        <w:rPr/>
        <w:t> environmental conditions</w:t>
      </w:r>
      <w:r>
        <w:rPr>
          <w:spacing w:val="-15"/>
        </w:rPr>
        <w:t> </w:t>
      </w:r>
      <w:r>
        <w:rPr/>
        <w:t>(Zottola,</w:t>
      </w:r>
      <w:r>
        <w:rPr>
          <w:spacing w:val="-15"/>
        </w:rPr>
        <w:t> </w:t>
      </w:r>
      <w:r>
        <w:rPr/>
        <w:t>1994).</w:t>
      </w:r>
      <w:r>
        <w:rPr>
          <w:spacing w:val="-14"/>
        </w:rPr>
        <w:t> </w:t>
      </w:r>
      <w:r>
        <w:rPr/>
        <w:t>The</w:t>
      </w:r>
      <w:r>
        <w:rPr>
          <w:spacing w:val="-15"/>
        </w:rPr>
        <w:t> </w:t>
      </w:r>
      <w:r>
        <w:rPr/>
        <w:t>hydrophobicity</w:t>
      </w:r>
      <w:r>
        <w:rPr>
          <w:spacing w:val="-15"/>
        </w:rPr>
        <w:t> </w:t>
      </w:r>
      <w:r>
        <w:rPr/>
        <w:t>of</w:t>
      </w:r>
      <w:r>
        <w:rPr>
          <w:spacing w:val="-12"/>
        </w:rPr>
        <w:t> </w:t>
      </w:r>
      <w:r>
        <w:rPr/>
        <w:t>a</w:t>
      </w:r>
      <w:r>
        <w:rPr>
          <w:spacing w:val="-15"/>
        </w:rPr>
        <w:t> </w:t>
      </w:r>
      <w:r>
        <w:rPr/>
        <w:t>surface</w:t>
      </w:r>
      <w:r>
        <w:rPr>
          <w:spacing w:val="-14"/>
        </w:rPr>
        <w:t> </w:t>
      </w:r>
      <w:r>
        <w:rPr/>
        <w:t>can</w:t>
      </w:r>
      <w:r>
        <w:rPr>
          <w:spacing w:val="-13"/>
        </w:rPr>
        <w:t> </w:t>
      </w:r>
      <w:r>
        <w:rPr/>
        <w:t>be</w:t>
      </w:r>
      <w:r>
        <w:rPr>
          <w:spacing w:val="-14"/>
        </w:rPr>
        <w:t> </w:t>
      </w:r>
      <w:r>
        <w:rPr/>
        <w:t>altered</w:t>
      </w:r>
      <w:r>
        <w:rPr>
          <w:spacing w:val="-13"/>
        </w:rPr>
        <w:t> </w:t>
      </w:r>
      <w:r>
        <w:rPr/>
        <w:t>using</w:t>
      </w:r>
      <w:r>
        <w:rPr>
          <w:spacing w:val="-15"/>
        </w:rPr>
        <w:t> </w:t>
      </w:r>
      <w:r>
        <w:rPr/>
        <w:t>biosurfactants</w:t>
      </w:r>
      <w:r>
        <w:rPr>
          <w:spacing w:val="-8"/>
        </w:rPr>
        <w:t> </w:t>
      </w:r>
      <w:r>
        <w:rPr/>
        <w:t>and eventually</w:t>
      </w:r>
      <w:r>
        <w:rPr>
          <w:spacing w:val="80"/>
        </w:rPr>
        <w:t> </w:t>
      </w:r>
      <w:r>
        <w:rPr/>
        <w:t>affect</w:t>
      </w:r>
      <w:r>
        <w:rPr>
          <w:spacing w:val="80"/>
        </w:rPr>
        <w:t> </w:t>
      </w:r>
      <w:r>
        <w:rPr/>
        <w:t>the</w:t>
      </w:r>
      <w:r>
        <w:rPr>
          <w:spacing w:val="80"/>
        </w:rPr>
        <w:t> </w:t>
      </w:r>
      <w:r>
        <w:rPr/>
        <w:t>adhesion</w:t>
      </w:r>
      <w:r>
        <w:rPr>
          <w:spacing w:val="80"/>
        </w:rPr>
        <w:t> </w:t>
      </w:r>
      <w:r>
        <w:rPr/>
        <w:t>of</w:t>
      </w:r>
      <w:r>
        <w:rPr>
          <w:spacing w:val="80"/>
        </w:rPr>
        <w:t> </w:t>
      </w:r>
      <w:r>
        <w:rPr/>
        <w:t>microogansim</w:t>
      </w:r>
      <w:r>
        <w:rPr>
          <w:spacing w:val="80"/>
        </w:rPr>
        <w:t> </w:t>
      </w:r>
      <w:r>
        <w:rPr/>
        <w:t>to</w:t>
      </w:r>
      <w:r>
        <w:rPr>
          <w:spacing w:val="80"/>
        </w:rPr>
        <w:t> </w:t>
      </w:r>
      <w:r>
        <w:rPr/>
        <w:t>the</w:t>
      </w:r>
      <w:r>
        <w:rPr>
          <w:spacing w:val="80"/>
        </w:rPr>
        <w:t> </w:t>
      </w:r>
      <w:r>
        <w:rPr/>
        <w:t>surface.</w:t>
      </w:r>
      <w:r>
        <w:rPr>
          <w:spacing w:val="80"/>
        </w:rPr>
        <w:t> </w:t>
      </w:r>
      <w:r>
        <w:rPr>
          <w:i/>
        </w:rPr>
        <w:t>Streptococcus thermophilus </w:t>
      </w:r>
      <w:r>
        <w:rPr/>
        <w:t>produce a surfactant that can decrease the rate of colonization of other species of </w:t>
      </w:r>
      <w:r>
        <w:rPr>
          <w:i/>
        </w:rPr>
        <w:t>Streptococcus </w:t>
      </w:r>
      <w:r>
        <w:rPr/>
        <w:t>over a steel surface that causes fouling. </w:t>
      </w:r>
      <w:r>
        <w:rPr>
          <w:i/>
        </w:rPr>
        <w:t>Pseudomonas fluorescens </w:t>
      </w:r>
      <w:r>
        <w:rPr/>
        <w:t>also produce a biosurfactant that hinder the adhesion of </w:t>
      </w:r>
      <w:r>
        <w:rPr>
          <w:i/>
        </w:rPr>
        <w:t>Listeria monocytogenes </w:t>
      </w:r>
      <w:r>
        <w:rPr/>
        <w:t>over the surface</w:t>
      </w:r>
      <w:r>
        <w:rPr/>
        <w:t> of</w:t>
      </w:r>
      <w:r>
        <w:rPr/>
        <w:t> steel (Chakrabarti, 2012).</w:t>
      </w:r>
    </w:p>
    <w:p>
      <w:pPr>
        <w:pStyle w:val="Heading2"/>
        <w:numPr>
          <w:ilvl w:val="1"/>
          <w:numId w:val="3"/>
        </w:numPr>
        <w:tabs>
          <w:tab w:pos="841" w:val="left" w:leader="none"/>
        </w:tabs>
        <w:spacing w:line="240" w:lineRule="auto" w:before="207" w:after="0"/>
        <w:ind w:left="840" w:right="0" w:hanging="721"/>
        <w:jc w:val="both"/>
      </w:pPr>
      <w:r>
        <w:rPr/>
        <w:t>Biosurfactants</w:t>
      </w:r>
      <w:r>
        <w:rPr>
          <w:spacing w:val="-8"/>
        </w:rPr>
        <w:t> </w:t>
      </w:r>
      <w:r>
        <w:rPr/>
        <w:t>and</w:t>
      </w:r>
      <w:r>
        <w:rPr>
          <w:spacing w:val="-10"/>
        </w:rPr>
        <w:t> </w:t>
      </w:r>
      <w:r>
        <w:rPr/>
        <w:t>Surfactant</w:t>
      </w:r>
      <w:r>
        <w:rPr>
          <w:spacing w:val="-7"/>
        </w:rPr>
        <w:t> </w:t>
      </w:r>
      <w:r>
        <w:rPr/>
        <w:t>Producing</w:t>
      </w:r>
      <w:r>
        <w:rPr>
          <w:spacing w:val="-8"/>
        </w:rPr>
        <w:t> </w:t>
      </w:r>
      <w:r>
        <w:rPr>
          <w:spacing w:val="-2"/>
        </w:rPr>
        <w:t>Organism</w:t>
      </w:r>
    </w:p>
    <w:p>
      <w:pPr>
        <w:pStyle w:val="BodyText"/>
        <w:spacing w:before="5"/>
        <w:rPr>
          <w:b/>
          <w:sz w:val="23"/>
        </w:rPr>
      </w:pPr>
    </w:p>
    <w:p>
      <w:pPr>
        <w:pStyle w:val="BodyText"/>
        <w:spacing w:line="480" w:lineRule="auto"/>
        <w:ind w:left="120" w:right="118"/>
        <w:jc w:val="both"/>
      </w:pPr>
      <w:r>
        <w:rPr/>
        <w:t>Surfactants</w:t>
      </w:r>
      <w:r>
        <w:rPr>
          <w:spacing w:val="-7"/>
        </w:rPr>
        <w:t> </w:t>
      </w:r>
      <w:r>
        <w:rPr/>
        <w:t>of</w:t>
      </w:r>
      <w:r>
        <w:rPr>
          <w:spacing w:val="-4"/>
        </w:rPr>
        <w:t> </w:t>
      </w:r>
      <w:r>
        <w:rPr/>
        <w:t>chemical</w:t>
      </w:r>
      <w:r>
        <w:rPr>
          <w:spacing w:val="-6"/>
        </w:rPr>
        <w:t> </w:t>
      </w:r>
      <w:r>
        <w:rPr/>
        <w:t>origin</w:t>
      </w:r>
      <w:r>
        <w:rPr>
          <w:spacing w:val="-6"/>
        </w:rPr>
        <w:t> </w:t>
      </w:r>
      <w:r>
        <w:rPr/>
        <w:t>are</w:t>
      </w:r>
      <w:r>
        <w:rPr>
          <w:spacing w:val="-6"/>
        </w:rPr>
        <w:t> </w:t>
      </w:r>
      <w:r>
        <w:rPr/>
        <w:t>grouped</w:t>
      </w:r>
      <w:r>
        <w:rPr>
          <w:spacing w:val="-7"/>
        </w:rPr>
        <w:t> </w:t>
      </w:r>
      <w:r>
        <w:rPr/>
        <w:t>base</w:t>
      </w:r>
      <w:r>
        <w:rPr>
          <w:spacing w:val="-4"/>
        </w:rPr>
        <w:t> </w:t>
      </w:r>
      <w:r>
        <w:rPr/>
        <w:t>on</w:t>
      </w:r>
      <w:r>
        <w:rPr>
          <w:spacing w:val="-4"/>
        </w:rPr>
        <w:t> </w:t>
      </w:r>
      <w:r>
        <w:rPr/>
        <w:t>their</w:t>
      </w:r>
      <w:r>
        <w:rPr>
          <w:spacing w:val="-7"/>
        </w:rPr>
        <w:t> </w:t>
      </w:r>
      <w:r>
        <w:rPr/>
        <w:t>polarity</w:t>
      </w:r>
      <w:r>
        <w:rPr>
          <w:spacing w:val="-8"/>
        </w:rPr>
        <w:t> </w:t>
      </w:r>
      <w:r>
        <w:rPr/>
        <w:t>while</w:t>
      </w:r>
      <w:r>
        <w:rPr>
          <w:spacing w:val="-6"/>
        </w:rPr>
        <w:t> </w:t>
      </w:r>
      <w:r>
        <w:rPr/>
        <w:t>biosurfactants</w:t>
      </w:r>
      <w:r>
        <w:rPr>
          <w:spacing w:val="-5"/>
        </w:rPr>
        <w:t> </w:t>
      </w:r>
      <w:r>
        <w:rPr/>
        <w:t>are</w:t>
      </w:r>
      <w:r>
        <w:rPr>
          <w:spacing w:val="-3"/>
        </w:rPr>
        <w:t> </w:t>
      </w:r>
      <w:r>
        <w:rPr/>
        <w:t>grouped according</w:t>
      </w:r>
      <w:r>
        <w:rPr>
          <w:spacing w:val="-15"/>
        </w:rPr>
        <w:t> </w:t>
      </w:r>
      <w:r>
        <w:rPr/>
        <w:t>to</w:t>
      </w:r>
      <w:r>
        <w:rPr>
          <w:spacing w:val="-13"/>
        </w:rPr>
        <w:t> </w:t>
      </w:r>
      <w:r>
        <w:rPr/>
        <w:t>their</w:t>
      </w:r>
      <w:r>
        <w:rPr>
          <w:spacing w:val="-14"/>
        </w:rPr>
        <w:t> </w:t>
      </w:r>
      <w:r>
        <w:rPr/>
        <w:t>microbial</w:t>
      </w:r>
      <w:r>
        <w:rPr>
          <w:spacing w:val="-12"/>
        </w:rPr>
        <w:t> </w:t>
      </w:r>
      <w:r>
        <w:rPr/>
        <w:t>source</w:t>
      </w:r>
      <w:r>
        <w:rPr>
          <w:spacing w:val="-14"/>
        </w:rPr>
        <w:t> </w:t>
      </w:r>
      <w:r>
        <w:rPr/>
        <w:t>and</w:t>
      </w:r>
      <w:r>
        <w:rPr>
          <w:spacing w:val="-11"/>
        </w:rPr>
        <w:t> </w:t>
      </w:r>
      <w:r>
        <w:rPr/>
        <w:t>chemical</w:t>
      </w:r>
      <w:r>
        <w:rPr>
          <w:spacing w:val="-13"/>
        </w:rPr>
        <w:t> </w:t>
      </w:r>
      <w:r>
        <w:rPr/>
        <w:t>composition</w:t>
      </w:r>
      <w:r>
        <w:rPr>
          <w:spacing w:val="-13"/>
        </w:rPr>
        <w:t> </w:t>
      </w:r>
      <w:r>
        <w:rPr/>
        <w:t>(Sobrinho</w:t>
      </w:r>
      <w:r>
        <w:rPr>
          <w:spacing w:val="-12"/>
        </w:rPr>
        <w:t> </w:t>
      </w:r>
      <w:r>
        <w:rPr>
          <w:i/>
        </w:rPr>
        <w:t>et</w:t>
      </w:r>
      <w:r>
        <w:rPr>
          <w:i/>
          <w:spacing w:val="-15"/>
        </w:rPr>
        <w:t> </w:t>
      </w:r>
      <w:r>
        <w:rPr>
          <w:i/>
        </w:rPr>
        <w:t>al</w:t>
      </w:r>
      <w:r>
        <w:rPr/>
        <w:t>.,</w:t>
      </w:r>
      <w:r>
        <w:rPr>
          <w:spacing w:val="-13"/>
        </w:rPr>
        <w:t> </w:t>
      </w:r>
      <w:r>
        <w:rPr/>
        <w:t>2013;</w:t>
      </w:r>
      <w:r>
        <w:rPr>
          <w:spacing w:val="-13"/>
        </w:rPr>
        <w:t> </w:t>
      </w:r>
      <w:r>
        <w:rPr/>
        <w:t>Vijayakumar </w:t>
      </w:r>
      <w:r>
        <w:rPr>
          <w:i/>
        </w:rPr>
        <w:t>et al.</w:t>
      </w:r>
      <w:r>
        <w:rPr/>
        <w:t>, 2015). Thus, based on their chemical composition, the biosurfactants produced by microorganisms</w:t>
      </w:r>
      <w:r>
        <w:rPr>
          <w:spacing w:val="-10"/>
        </w:rPr>
        <w:t> </w:t>
      </w:r>
      <w:r>
        <w:rPr/>
        <w:t>are</w:t>
      </w:r>
      <w:r>
        <w:rPr>
          <w:spacing w:val="-12"/>
        </w:rPr>
        <w:t> </w:t>
      </w:r>
      <w:r>
        <w:rPr/>
        <w:t>of</w:t>
      </w:r>
      <w:r>
        <w:rPr>
          <w:spacing w:val="-11"/>
        </w:rPr>
        <w:t> </w:t>
      </w:r>
      <w:r>
        <w:rPr/>
        <w:t>many</w:t>
      </w:r>
      <w:r>
        <w:rPr>
          <w:spacing w:val="-14"/>
        </w:rPr>
        <w:t> </w:t>
      </w:r>
      <w:r>
        <w:rPr/>
        <w:t>types</w:t>
      </w:r>
      <w:r>
        <w:rPr>
          <w:spacing w:val="-8"/>
        </w:rPr>
        <w:t> </w:t>
      </w:r>
      <w:r>
        <w:rPr/>
        <w:t>such</w:t>
      </w:r>
      <w:r>
        <w:rPr>
          <w:spacing w:val="-10"/>
        </w:rPr>
        <w:t> </w:t>
      </w:r>
      <w:r>
        <w:rPr/>
        <w:t>as</w:t>
      </w:r>
      <w:r>
        <w:rPr>
          <w:spacing w:val="-8"/>
        </w:rPr>
        <w:t> </w:t>
      </w:r>
      <w:r>
        <w:rPr/>
        <w:t>glycolipids,</w:t>
      </w:r>
      <w:r>
        <w:rPr>
          <w:spacing w:val="-10"/>
        </w:rPr>
        <w:t> </w:t>
      </w:r>
      <w:r>
        <w:rPr/>
        <w:t>lipopolysaccharides,</w:t>
      </w:r>
      <w:r>
        <w:rPr>
          <w:spacing w:val="-10"/>
        </w:rPr>
        <w:t> </w:t>
      </w:r>
      <w:r>
        <w:rPr/>
        <w:t>oligosaccharides,</w:t>
      </w:r>
      <w:r>
        <w:rPr>
          <w:spacing w:val="-10"/>
        </w:rPr>
        <w:t> </w:t>
      </w:r>
      <w:r>
        <w:rPr/>
        <w:t>and lipopeptides (Banat </w:t>
      </w:r>
      <w:r>
        <w:rPr>
          <w:i/>
        </w:rPr>
        <w:t>et al</w:t>
      </w:r>
      <w:r>
        <w:rPr/>
        <w:t>., 2010). The widely produced biosurfactants are glycolipids and lipopeptides and they include rhamnolipids produced by </w:t>
      </w:r>
      <w:r>
        <w:rPr>
          <w:i/>
        </w:rPr>
        <w:t>Pseudomonas aeruginosa </w:t>
      </w:r>
      <w:r>
        <w:rPr/>
        <w:t>(Nitschke </w:t>
      </w:r>
      <w:r>
        <w:rPr>
          <w:i/>
        </w:rPr>
        <w:t>et al., </w:t>
      </w:r>
      <w:r>
        <w:rPr/>
        <w:t>2005), sophorolipids from </w:t>
      </w:r>
      <w:r>
        <w:rPr>
          <w:i/>
        </w:rPr>
        <w:t>Candida </w:t>
      </w:r>
      <w:r>
        <w:rPr/>
        <w:t>sp. (Daverey </w:t>
      </w:r>
      <w:r>
        <w:rPr>
          <w:i/>
        </w:rPr>
        <w:t>et al., </w:t>
      </w:r>
      <w:r>
        <w:rPr/>
        <w:t>2009), as well as surfactin and iturin produced by </w:t>
      </w:r>
      <w:r>
        <w:rPr>
          <w:i/>
        </w:rPr>
        <w:t>Bacillus subtilis </w:t>
      </w:r>
      <w:r>
        <w:rPr/>
        <w:t>strains (Ahimou </w:t>
      </w:r>
      <w:r>
        <w:rPr>
          <w:i/>
        </w:rPr>
        <w:t>et al., </w:t>
      </w:r>
      <w:r>
        <w:rPr/>
        <w:t>2000). Among bacteria that produce surfactant, </w:t>
      </w:r>
      <w:r>
        <w:rPr>
          <w:i/>
        </w:rPr>
        <w:t>Pseudomonas aeruginosa </w:t>
      </w:r>
      <w:r>
        <w:rPr/>
        <w:t>is known to produce maximum amount of biosurfactant.</w:t>
      </w:r>
    </w:p>
    <w:p>
      <w:pPr>
        <w:spacing w:before="205"/>
        <w:ind w:left="120" w:right="0" w:firstLine="0"/>
        <w:jc w:val="both"/>
        <w:rPr>
          <w:b/>
          <w:sz w:val="24"/>
        </w:rPr>
      </w:pPr>
      <w:r>
        <w:rPr>
          <w:b/>
          <w:sz w:val="24"/>
        </w:rPr>
        <w:t>Table</w:t>
      </w:r>
      <w:r>
        <w:rPr>
          <w:b/>
          <w:spacing w:val="-3"/>
          <w:sz w:val="24"/>
        </w:rPr>
        <w:t> </w:t>
      </w:r>
      <w:r>
        <w:rPr>
          <w:b/>
          <w:sz w:val="24"/>
        </w:rPr>
        <w:t>2.1:</w:t>
      </w:r>
      <w:r>
        <w:rPr>
          <w:b/>
          <w:spacing w:val="72"/>
          <w:sz w:val="24"/>
        </w:rPr>
        <w:t>   </w:t>
      </w:r>
      <w:r>
        <w:rPr>
          <w:b/>
          <w:sz w:val="24"/>
        </w:rPr>
        <w:t>Types of</w:t>
      </w:r>
      <w:r>
        <w:rPr>
          <w:b/>
          <w:spacing w:val="-1"/>
          <w:sz w:val="24"/>
        </w:rPr>
        <w:t> </w:t>
      </w:r>
      <w:r>
        <w:rPr>
          <w:b/>
          <w:sz w:val="24"/>
        </w:rPr>
        <w:t>biosurfactant</w:t>
      </w:r>
      <w:r>
        <w:rPr>
          <w:b/>
          <w:spacing w:val="-5"/>
          <w:sz w:val="24"/>
        </w:rPr>
        <w:t> </w:t>
      </w:r>
      <w:r>
        <w:rPr>
          <w:b/>
          <w:sz w:val="24"/>
        </w:rPr>
        <w:t>and</w:t>
      </w:r>
      <w:r>
        <w:rPr>
          <w:b/>
          <w:spacing w:val="-2"/>
          <w:sz w:val="24"/>
        </w:rPr>
        <w:t> </w:t>
      </w:r>
      <w:r>
        <w:rPr>
          <w:b/>
          <w:sz w:val="24"/>
        </w:rPr>
        <w:t>microbial</w:t>
      </w:r>
      <w:r>
        <w:rPr>
          <w:b/>
          <w:spacing w:val="-2"/>
          <w:sz w:val="24"/>
        </w:rPr>
        <w:t> sources</w:t>
      </w:r>
    </w:p>
    <w:p>
      <w:pPr>
        <w:spacing w:after="0"/>
        <w:jc w:val="both"/>
        <w:rPr>
          <w:sz w:val="24"/>
        </w:rPr>
        <w:sectPr>
          <w:pgSz w:w="12240" w:h="15840"/>
          <w:pgMar w:header="0" w:footer="1015" w:top="1360" w:bottom="1200" w:left="1320" w:right="13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6"/>
        <w:gridCol w:w="7185"/>
      </w:tblGrid>
      <w:tr>
        <w:trPr>
          <w:trHeight w:val="551" w:hRule="atLeast"/>
        </w:trPr>
        <w:tc>
          <w:tcPr>
            <w:tcW w:w="2176" w:type="dxa"/>
            <w:tcBorders>
              <w:top w:val="single" w:sz="8" w:space="0" w:color="000000"/>
              <w:bottom w:val="single" w:sz="8" w:space="0" w:color="000000"/>
            </w:tcBorders>
          </w:tcPr>
          <w:p>
            <w:pPr>
              <w:pStyle w:val="TableParagraph"/>
              <w:spacing w:line="272" w:lineRule="exact" w:before="0"/>
              <w:rPr>
                <w:b/>
                <w:sz w:val="24"/>
              </w:rPr>
            </w:pPr>
            <w:r>
              <w:rPr>
                <w:b/>
                <w:spacing w:val="-2"/>
                <w:sz w:val="24"/>
              </w:rPr>
              <w:t>Biosurfactant</w:t>
            </w:r>
          </w:p>
        </w:tc>
        <w:tc>
          <w:tcPr>
            <w:tcW w:w="7185" w:type="dxa"/>
            <w:tcBorders>
              <w:top w:val="single" w:sz="8" w:space="0" w:color="000000"/>
              <w:bottom w:val="single" w:sz="8" w:space="0" w:color="000000"/>
            </w:tcBorders>
          </w:tcPr>
          <w:p>
            <w:pPr>
              <w:pStyle w:val="TableParagraph"/>
              <w:spacing w:line="272" w:lineRule="exact" w:before="0"/>
              <w:ind w:left="264"/>
              <w:rPr>
                <w:b/>
                <w:sz w:val="24"/>
              </w:rPr>
            </w:pPr>
            <w:r>
              <w:rPr>
                <w:b/>
                <w:sz w:val="24"/>
              </w:rPr>
              <w:t>Microorganism</w:t>
            </w:r>
            <w:r>
              <w:rPr>
                <w:b/>
                <w:spacing w:val="-11"/>
                <w:sz w:val="24"/>
              </w:rPr>
              <w:t> </w:t>
            </w:r>
            <w:r>
              <w:rPr>
                <w:b/>
                <w:spacing w:val="-2"/>
                <w:sz w:val="24"/>
              </w:rPr>
              <w:t>involved</w:t>
            </w:r>
          </w:p>
        </w:tc>
      </w:tr>
      <w:tr>
        <w:trPr>
          <w:trHeight w:val="515" w:hRule="atLeast"/>
        </w:trPr>
        <w:tc>
          <w:tcPr>
            <w:tcW w:w="2176" w:type="dxa"/>
            <w:tcBorders>
              <w:top w:val="single" w:sz="8" w:space="0" w:color="000000"/>
            </w:tcBorders>
          </w:tcPr>
          <w:p>
            <w:pPr>
              <w:pStyle w:val="TableParagraph"/>
              <w:spacing w:line="270" w:lineRule="exact" w:before="0"/>
              <w:rPr>
                <w:sz w:val="24"/>
              </w:rPr>
            </w:pPr>
            <w:r>
              <w:rPr>
                <w:spacing w:val="-2"/>
                <w:sz w:val="24"/>
              </w:rPr>
              <w:t>Rhamnolipids</w:t>
            </w:r>
          </w:p>
        </w:tc>
        <w:tc>
          <w:tcPr>
            <w:tcW w:w="7185" w:type="dxa"/>
            <w:tcBorders>
              <w:top w:val="single" w:sz="8" w:space="0" w:color="000000"/>
            </w:tcBorders>
          </w:tcPr>
          <w:p>
            <w:pPr>
              <w:pStyle w:val="TableParagraph"/>
              <w:spacing w:line="272" w:lineRule="exact" w:before="0"/>
              <w:ind w:left="264"/>
              <w:rPr>
                <w:i/>
                <w:sz w:val="24"/>
              </w:rPr>
            </w:pPr>
            <w:r>
              <w:rPr>
                <w:i/>
                <w:sz w:val="24"/>
              </w:rPr>
              <w:t>Pseudomonas</w:t>
            </w:r>
            <w:r>
              <w:rPr>
                <w:i/>
                <w:spacing w:val="-6"/>
                <w:sz w:val="24"/>
              </w:rPr>
              <w:t> </w:t>
            </w:r>
            <w:r>
              <w:rPr>
                <w:i/>
                <w:sz w:val="24"/>
              </w:rPr>
              <w:t>aeruginosa,</w:t>
            </w:r>
            <w:r>
              <w:rPr>
                <w:i/>
                <w:spacing w:val="-5"/>
                <w:sz w:val="24"/>
              </w:rPr>
              <w:t> </w:t>
            </w:r>
            <w:r>
              <w:rPr>
                <w:i/>
                <w:sz w:val="24"/>
              </w:rPr>
              <w:t>P.</w:t>
            </w:r>
            <w:r>
              <w:rPr>
                <w:i/>
                <w:spacing w:val="-5"/>
                <w:sz w:val="24"/>
              </w:rPr>
              <w:t> </w:t>
            </w:r>
            <w:r>
              <w:rPr>
                <w:i/>
                <w:sz w:val="24"/>
              </w:rPr>
              <w:t>chlororaphis,</w:t>
            </w:r>
            <w:r>
              <w:rPr>
                <w:i/>
                <w:spacing w:val="-5"/>
                <w:sz w:val="24"/>
              </w:rPr>
              <w:t> </w:t>
            </w:r>
            <w:r>
              <w:rPr>
                <w:i/>
                <w:sz w:val="24"/>
              </w:rPr>
              <w:t>Serratia</w:t>
            </w:r>
            <w:r>
              <w:rPr>
                <w:i/>
                <w:spacing w:val="-5"/>
                <w:sz w:val="24"/>
              </w:rPr>
              <w:t> </w:t>
            </w:r>
            <w:r>
              <w:rPr>
                <w:i/>
                <w:spacing w:val="-2"/>
                <w:sz w:val="24"/>
              </w:rPr>
              <w:t>rubidea</w:t>
            </w:r>
          </w:p>
        </w:tc>
      </w:tr>
      <w:tr>
        <w:trPr>
          <w:trHeight w:val="751" w:hRule="atLeast"/>
        </w:trPr>
        <w:tc>
          <w:tcPr>
            <w:tcW w:w="2176" w:type="dxa"/>
          </w:tcPr>
          <w:p>
            <w:pPr>
              <w:pStyle w:val="TableParagraph"/>
              <w:spacing w:before="232"/>
              <w:rPr>
                <w:sz w:val="24"/>
              </w:rPr>
            </w:pPr>
            <w:r>
              <w:rPr>
                <w:spacing w:val="-2"/>
                <w:sz w:val="24"/>
              </w:rPr>
              <w:t>Sophorolipids</w:t>
            </w:r>
          </w:p>
        </w:tc>
        <w:tc>
          <w:tcPr>
            <w:tcW w:w="7185" w:type="dxa"/>
          </w:tcPr>
          <w:p>
            <w:pPr>
              <w:pStyle w:val="TableParagraph"/>
              <w:spacing w:before="232"/>
              <w:ind w:left="264"/>
              <w:rPr>
                <w:i/>
                <w:sz w:val="24"/>
              </w:rPr>
            </w:pPr>
            <w:r>
              <w:rPr>
                <w:i/>
                <w:sz w:val="24"/>
              </w:rPr>
              <w:t>Candida</w:t>
            </w:r>
            <w:r>
              <w:rPr>
                <w:i/>
                <w:spacing w:val="-4"/>
                <w:sz w:val="24"/>
              </w:rPr>
              <w:t> </w:t>
            </w:r>
            <w:r>
              <w:rPr>
                <w:i/>
                <w:sz w:val="24"/>
              </w:rPr>
              <w:t>bombicola,</w:t>
            </w:r>
            <w:r>
              <w:rPr>
                <w:i/>
                <w:spacing w:val="-3"/>
                <w:sz w:val="24"/>
              </w:rPr>
              <w:t> </w:t>
            </w:r>
            <w:r>
              <w:rPr>
                <w:i/>
                <w:sz w:val="24"/>
              </w:rPr>
              <w:t>C.</w:t>
            </w:r>
            <w:r>
              <w:rPr>
                <w:i/>
                <w:spacing w:val="-3"/>
                <w:sz w:val="24"/>
              </w:rPr>
              <w:t> </w:t>
            </w:r>
            <w:r>
              <w:rPr>
                <w:i/>
                <w:sz w:val="24"/>
              </w:rPr>
              <w:t>batistae,</w:t>
            </w:r>
            <w:r>
              <w:rPr>
                <w:i/>
                <w:spacing w:val="-3"/>
                <w:sz w:val="24"/>
              </w:rPr>
              <w:t> </w:t>
            </w:r>
            <w:r>
              <w:rPr>
                <w:i/>
                <w:sz w:val="24"/>
              </w:rPr>
              <w:t>Trichosporon</w:t>
            </w:r>
            <w:r>
              <w:rPr>
                <w:i/>
                <w:spacing w:val="-4"/>
                <w:sz w:val="24"/>
              </w:rPr>
              <w:t> </w:t>
            </w:r>
            <w:r>
              <w:rPr>
                <w:i/>
                <w:spacing w:val="-2"/>
                <w:sz w:val="24"/>
              </w:rPr>
              <w:t>ashii</w:t>
            </w:r>
          </w:p>
        </w:tc>
      </w:tr>
      <w:tr>
        <w:trPr>
          <w:trHeight w:val="751" w:hRule="atLeast"/>
        </w:trPr>
        <w:tc>
          <w:tcPr>
            <w:tcW w:w="2176" w:type="dxa"/>
          </w:tcPr>
          <w:p>
            <w:pPr>
              <w:pStyle w:val="TableParagraph"/>
              <w:spacing w:before="232"/>
              <w:rPr>
                <w:sz w:val="24"/>
              </w:rPr>
            </w:pPr>
            <w:r>
              <w:rPr>
                <w:sz w:val="24"/>
              </w:rPr>
              <w:t>Saphorose</w:t>
            </w:r>
            <w:r>
              <w:rPr>
                <w:spacing w:val="-5"/>
                <w:sz w:val="24"/>
              </w:rPr>
              <w:t> </w:t>
            </w:r>
            <w:r>
              <w:rPr>
                <w:spacing w:val="-4"/>
                <w:sz w:val="24"/>
              </w:rPr>
              <w:t>Lipid</w:t>
            </w:r>
          </w:p>
        </w:tc>
        <w:tc>
          <w:tcPr>
            <w:tcW w:w="7185" w:type="dxa"/>
          </w:tcPr>
          <w:p>
            <w:pPr>
              <w:pStyle w:val="TableParagraph"/>
              <w:spacing w:before="232"/>
              <w:ind w:left="264"/>
              <w:rPr>
                <w:i/>
                <w:sz w:val="24"/>
              </w:rPr>
            </w:pPr>
            <w:r>
              <w:rPr>
                <w:i/>
                <w:sz w:val="24"/>
              </w:rPr>
              <w:t>Torulopsis</w:t>
            </w:r>
            <w:r>
              <w:rPr>
                <w:i/>
                <w:spacing w:val="-11"/>
                <w:sz w:val="24"/>
              </w:rPr>
              <w:t> </w:t>
            </w:r>
            <w:r>
              <w:rPr>
                <w:i/>
                <w:spacing w:val="-2"/>
                <w:sz w:val="24"/>
              </w:rPr>
              <w:t>bombicola</w:t>
            </w:r>
          </w:p>
        </w:tc>
      </w:tr>
      <w:tr>
        <w:trPr>
          <w:trHeight w:val="1305" w:hRule="atLeast"/>
        </w:trPr>
        <w:tc>
          <w:tcPr>
            <w:tcW w:w="2176" w:type="dxa"/>
          </w:tcPr>
          <w:p>
            <w:pPr>
              <w:pStyle w:val="TableParagraph"/>
              <w:spacing w:before="4"/>
              <w:ind w:left="0"/>
              <w:rPr>
                <w:b/>
                <w:sz w:val="20"/>
              </w:rPr>
            </w:pPr>
          </w:p>
          <w:p>
            <w:pPr>
              <w:pStyle w:val="TableParagraph"/>
              <w:spacing w:before="1"/>
              <w:rPr>
                <w:sz w:val="24"/>
              </w:rPr>
            </w:pPr>
            <w:r>
              <w:rPr>
                <w:sz w:val="24"/>
              </w:rPr>
              <w:t>Trehalose</w:t>
            </w:r>
            <w:r>
              <w:rPr>
                <w:spacing w:val="-14"/>
                <w:sz w:val="24"/>
              </w:rPr>
              <w:t> </w:t>
            </w:r>
            <w:r>
              <w:rPr>
                <w:spacing w:val="-2"/>
                <w:sz w:val="24"/>
              </w:rPr>
              <w:t>lipids</w:t>
            </w:r>
          </w:p>
        </w:tc>
        <w:tc>
          <w:tcPr>
            <w:tcW w:w="7185" w:type="dxa"/>
          </w:tcPr>
          <w:p>
            <w:pPr>
              <w:pStyle w:val="TableParagraph"/>
              <w:spacing w:line="554" w:lineRule="exact" w:before="13"/>
              <w:ind w:left="264"/>
              <w:rPr>
                <w:i/>
                <w:sz w:val="24"/>
              </w:rPr>
            </w:pPr>
            <w:r>
              <w:rPr>
                <w:i/>
                <w:sz w:val="24"/>
              </w:rPr>
              <w:t>Rhodococcus</w:t>
            </w:r>
            <w:r>
              <w:rPr>
                <w:i/>
                <w:spacing w:val="40"/>
                <w:sz w:val="24"/>
              </w:rPr>
              <w:t> </w:t>
            </w:r>
            <w:r>
              <w:rPr>
                <w:i/>
                <w:sz w:val="24"/>
              </w:rPr>
              <w:t>erythropolis,</w:t>
            </w:r>
            <w:r>
              <w:rPr>
                <w:i/>
                <w:spacing w:val="40"/>
                <w:sz w:val="24"/>
              </w:rPr>
              <w:t> </w:t>
            </w:r>
            <w:r>
              <w:rPr>
                <w:i/>
                <w:sz w:val="24"/>
              </w:rPr>
              <w:t>Arthrobacter</w:t>
            </w:r>
            <w:r>
              <w:rPr>
                <w:i/>
                <w:spacing w:val="39"/>
                <w:sz w:val="24"/>
              </w:rPr>
              <w:t> </w:t>
            </w:r>
            <w:r>
              <w:rPr>
                <w:i/>
                <w:sz w:val="24"/>
              </w:rPr>
              <w:t>Sp.,</w:t>
            </w:r>
            <w:r>
              <w:rPr>
                <w:i/>
                <w:spacing w:val="40"/>
                <w:sz w:val="24"/>
              </w:rPr>
              <w:t> </w:t>
            </w:r>
            <w:r>
              <w:rPr>
                <w:i/>
                <w:sz w:val="24"/>
              </w:rPr>
              <w:t>Nocardia</w:t>
            </w:r>
            <w:r>
              <w:rPr>
                <w:i/>
                <w:spacing w:val="40"/>
                <w:sz w:val="24"/>
              </w:rPr>
              <w:t> </w:t>
            </w:r>
            <w:r>
              <w:rPr>
                <w:i/>
                <w:sz w:val="24"/>
              </w:rPr>
              <w:t>erythropolis, Corneybacterium sp., Mycobacterium sp</w:t>
            </w:r>
          </w:p>
        </w:tc>
      </w:tr>
      <w:tr>
        <w:trPr>
          <w:trHeight w:val="751" w:hRule="atLeast"/>
        </w:trPr>
        <w:tc>
          <w:tcPr>
            <w:tcW w:w="2176" w:type="dxa"/>
          </w:tcPr>
          <w:p>
            <w:pPr>
              <w:pStyle w:val="TableParagraph"/>
              <w:spacing w:before="233"/>
              <w:rPr>
                <w:sz w:val="24"/>
              </w:rPr>
            </w:pPr>
            <w:r>
              <w:rPr>
                <w:sz w:val="24"/>
              </w:rPr>
              <w:t>Ornithine</w:t>
            </w:r>
            <w:r>
              <w:rPr>
                <w:spacing w:val="-5"/>
                <w:sz w:val="24"/>
              </w:rPr>
              <w:t> </w:t>
            </w:r>
            <w:r>
              <w:rPr>
                <w:spacing w:val="-2"/>
                <w:sz w:val="24"/>
              </w:rPr>
              <w:t>lipids</w:t>
            </w:r>
          </w:p>
        </w:tc>
        <w:tc>
          <w:tcPr>
            <w:tcW w:w="7185" w:type="dxa"/>
          </w:tcPr>
          <w:p>
            <w:pPr>
              <w:pStyle w:val="TableParagraph"/>
              <w:spacing w:before="233"/>
              <w:ind w:left="264"/>
              <w:rPr>
                <w:i/>
                <w:sz w:val="24"/>
              </w:rPr>
            </w:pPr>
            <w:r>
              <w:rPr>
                <w:i/>
                <w:sz w:val="24"/>
              </w:rPr>
              <w:t>Pseudomonas</w:t>
            </w:r>
            <w:r>
              <w:rPr>
                <w:i/>
                <w:spacing w:val="-7"/>
                <w:sz w:val="24"/>
              </w:rPr>
              <w:t> </w:t>
            </w:r>
            <w:r>
              <w:rPr>
                <w:i/>
                <w:sz w:val="24"/>
              </w:rPr>
              <w:t>sp.,</w:t>
            </w:r>
            <w:r>
              <w:rPr>
                <w:i/>
                <w:spacing w:val="-6"/>
                <w:sz w:val="24"/>
              </w:rPr>
              <w:t> </w:t>
            </w:r>
            <w:r>
              <w:rPr>
                <w:i/>
                <w:sz w:val="24"/>
              </w:rPr>
              <w:t>Thiobacillus</w:t>
            </w:r>
            <w:r>
              <w:rPr>
                <w:i/>
                <w:spacing w:val="-6"/>
                <w:sz w:val="24"/>
              </w:rPr>
              <w:t> </w:t>
            </w:r>
            <w:r>
              <w:rPr>
                <w:i/>
                <w:sz w:val="24"/>
              </w:rPr>
              <w:t>thiooxidans,</w:t>
            </w:r>
            <w:r>
              <w:rPr>
                <w:i/>
                <w:spacing w:val="-7"/>
                <w:sz w:val="24"/>
              </w:rPr>
              <w:t> </w:t>
            </w:r>
            <w:r>
              <w:rPr>
                <w:i/>
                <w:sz w:val="24"/>
              </w:rPr>
              <w:t>Agrobacterium</w:t>
            </w:r>
            <w:r>
              <w:rPr>
                <w:i/>
                <w:spacing w:val="-6"/>
                <w:sz w:val="24"/>
              </w:rPr>
              <w:t> </w:t>
            </w:r>
            <w:r>
              <w:rPr>
                <w:i/>
                <w:spacing w:val="-5"/>
                <w:sz w:val="24"/>
              </w:rPr>
              <w:t>sp.</w:t>
            </w:r>
          </w:p>
        </w:tc>
      </w:tr>
      <w:tr>
        <w:trPr>
          <w:trHeight w:val="752" w:hRule="atLeast"/>
        </w:trPr>
        <w:tc>
          <w:tcPr>
            <w:tcW w:w="2176" w:type="dxa"/>
          </w:tcPr>
          <w:p>
            <w:pPr>
              <w:pStyle w:val="TableParagraph"/>
              <w:spacing w:before="232"/>
              <w:rPr>
                <w:sz w:val="24"/>
              </w:rPr>
            </w:pPr>
            <w:r>
              <w:rPr>
                <w:spacing w:val="-2"/>
                <w:sz w:val="24"/>
              </w:rPr>
              <w:t>Viscosin</w:t>
            </w:r>
          </w:p>
        </w:tc>
        <w:tc>
          <w:tcPr>
            <w:tcW w:w="7185" w:type="dxa"/>
          </w:tcPr>
          <w:p>
            <w:pPr>
              <w:pStyle w:val="TableParagraph"/>
              <w:spacing w:before="232"/>
              <w:ind w:left="264"/>
              <w:rPr>
                <w:i/>
                <w:sz w:val="24"/>
              </w:rPr>
            </w:pPr>
            <w:r>
              <w:rPr>
                <w:i/>
                <w:sz w:val="24"/>
              </w:rPr>
              <w:t>P.</w:t>
            </w:r>
            <w:r>
              <w:rPr>
                <w:i/>
                <w:spacing w:val="53"/>
                <w:sz w:val="24"/>
              </w:rPr>
              <w:t> </w:t>
            </w:r>
            <w:r>
              <w:rPr>
                <w:i/>
                <w:sz w:val="24"/>
              </w:rPr>
              <w:t>fluoresens,</w:t>
            </w:r>
            <w:r>
              <w:rPr>
                <w:i/>
                <w:spacing w:val="-3"/>
                <w:sz w:val="24"/>
              </w:rPr>
              <w:t> </w:t>
            </w:r>
            <w:r>
              <w:rPr>
                <w:i/>
                <w:sz w:val="24"/>
              </w:rPr>
              <w:t>Leuconostoc</w:t>
            </w:r>
            <w:r>
              <w:rPr>
                <w:i/>
                <w:spacing w:val="-3"/>
                <w:sz w:val="24"/>
              </w:rPr>
              <w:t> </w:t>
            </w:r>
            <w:r>
              <w:rPr>
                <w:i/>
                <w:spacing w:val="-2"/>
                <w:sz w:val="24"/>
              </w:rPr>
              <w:t>mesenteroids,</w:t>
            </w:r>
          </w:p>
        </w:tc>
      </w:tr>
      <w:tr>
        <w:trPr>
          <w:trHeight w:val="509" w:hRule="atLeast"/>
        </w:trPr>
        <w:tc>
          <w:tcPr>
            <w:tcW w:w="2176" w:type="dxa"/>
          </w:tcPr>
          <w:p>
            <w:pPr>
              <w:pStyle w:val="TableParagraph"/>
              <w:spacing w:line="256" w:lineRule="exact" w:before="233"/>
              <w:rPr>
                <w:sz w:val="24"/>
              </w:rPr>
            </w:pPr>
            <w:r>
              <w:rPr>
                <w:sz w:val="24"/>
              </w:rPr>
              <w:t>Carbohydrate</w:t>
            </w:r>
            <w:r>
              <w:rPr>
                <w:spacing w:val="-5"/>
                <w:sz w:val="24"/>
              </w:rPr>
              <w:t> </w:t>
            </w:r>
            <w:r>
              <w:rPr>
                <w:spacing w:val="-2"/>
                <w:sz w:val="24"/>
              </w:rPr>
              <w:t>lipid</w:t>
            </w:r>
          </w:p>
        </w:tc>
        <w:tc>
          <w:tcPr>
            <w:tcW w:w="7185" w:type="dxa"/>
          </w:tcPr>
          <w:p>
            <w:pPr>
              <w:pStyle w:val="TableParagraph"/>
              <w:spacing w:line="256" w:lineRule="exact" w:before="233"/>
              <w:ind w:left="264"/>
              <w:rPr>
                <w:i/>
                <w:sz w:val="24"/>
              </w:rPr>
            </w:pPr>
            <w:r>
              <w:rPr>
                <w:i/>
                <w:sz w:val="24"/>
              </w:rPr>
              <w:t>P.</w:t>
            </w:r>
            <w:r>
              <w:rPr>
                <w:i/>
                <w:spacing w:val="47"/>
                <w:sz w:val="24"/>
              </w:rPr>
              <w:t> </w:t>
            </w:r>
            <w:r>
              <w:rPr>
                <w:i/>
                <w:sz w:val="24"/>
              </w:rPr>
              <w:t>fluoresens,</w:t>
            </w:r>
            <w:r>
              <w:rPr>
                <w:i/>
                <w:spacing w:val="-7"/>
                <w:sz w:val="24"/>
              </w:rPr>
              <w:t> </w:t>
            </w:r>
            <w:r>
              <w:rPr>
                <w:i/>
                <w:sz w:val="24"/>
              </w:rPr>
              <w:t>Debaryomyces</w:t>
            </w:r>
            <w:r>
              <w:rPr>
                <w:i/>
                <w:spacing w:val="-6"/>
                <w:sz w:val="24"/>
              </w:rPr>
              <w:t> </w:t>
            </w:r>
            <w:r>
              <w:rPr>
                <w:i/>
                <w:spacing w:val="-2"/>
                <w:sz w:val="24"/>
              </w:rPr>
              <w:t>polmorphus</w:t>
            </w:r>
          </w:p>
        </w:tc>
      </w:tr>
    </w:tbl>
    <w:p>
      <w:pPr>
        <w:pStyle w:val="BodyText"/>
        <w:rPr>
          <w:b/>
          <w:sz w:val="20"/>
        </w:rPr>
      </w:pPr>
    </w:p>
    <w:p>
      <w:pPr>
        <w:pStyle w:val="BodyText"/>
        <w:spacing w:before="8"/>
        <w:rPr>
          <w:b/>
          <w:sz w:val="21"/>
        </w:rPr>
      </w:pPr>
      <w:r>
        <w:rPr/>
        <w:pict>
          <v:shape style="position:absolute;margin-left:71.304001pt;margin-top:13.674946pt;width:468.8pt;height:1pt;mso-position-horizontal-relative:page;mso-position-vertical-relative:paragraph;z-index:-15728128;mso-wrap-distance-left:0;mso-wrap-distance-right:0" id="docshape2" coordorigin="1426,273" coordsize="9376,20" path="m10802,273l3778,273,3773,273,3759,273,1426,273,1426,293,3759,293,3773,293,3778,293,10802,293,10802,273xe" filled="true" fillcolor="#000000" stroked="false">
            <v:path arrowok="t"/>
            <v:fill type="solid"/>
            <w10:wrap type="topAndBottom"/>
          </v:shape>
        </w:pict>
      </w:r>
    </w:p>
    <w:p>
      <w:pPr>
        <w:spacing w:line="276" w:lineRule="exact" w:before="0"/>
        <w:ind w:left="120" w:right="0" w:firstLine="0"/>
        <w:jc w:val="both"/>
        <w:rPr>
          <w:b/>
          <w:sz w:val="24"/>
        </w:rPr>
      </w:pPr>
      <w:r>
        <w:rPr>
          <w:b/>
          <w:sz w:val="24"/>
        </w:rPr>
        <w:t>Source:</w:t>
      </w:r>
      <w:r>
        <w:rPr>
          <w:b/>
          <w:spacing w:val="-5"/>
          <w:sz w:val="24"/>
        </w:rPr>
        <w:t> </w:t>
      </w:r>
      <w:r>
        <w:rPr>
          <w:b/>
          <w:sz w:val="24"/>
        </w:rPr>
        <w:t>Roy</w:t>
      </w:r>
      <w:r>
        <w:rPr>
          <w:b/>
          <w:spacing w:val="-3"/>
          <w:sz w:val="24"/>
        </w:rPr>
        <w:t> </w:t>
      </w:r>
      <w:r>
        <w:rPr>
          <w:b/>
          <w:spacing w:val="-2"/>
          <w:sz w:val="24"/>
        </w:rPr>
        <w:t>(2017).</w:t>
      </w:r>
    </w:p>
    <w:p>
      <w:pPr>
        <w:pStyle w:val="BodyText"/>
        <w:rPr>
          <w:b/>
          <w:sz w:val="26"/>
        </w:rPr>
      </w:pPr>
    </w:p>
    <w:p>
      <w:pPr>
        <w:pStyle w:val="ListParagraph"/>
        <w:numPr>
          <w:ilvl w:val="1"/>
          <w:numId w:val="3"/>
        </w:numPr>
        <w:tabs>
          <w:tab w:pos="841" w:val="left" w:leader="none"/>
        </w:tabs>
        <w:spacing w:line="240" w:lineRule="auto" w:before="174" w:after="0"/>
        <w:ind w:left="840" w:right="0" w:hanging="721"/>
        <w:jc w:val="both"/>
        <w:rPr>
          <w:b/>
          <w:sz w:val="24"/>
        </w:rPr>
      </w:pPr>
      <w:r>
        <w:rPr>
          <w:b/>
          <w:spacing w:val="-2"/>
          <w:sz w:val="24"/>
        </w:rPr>
        <w:t>Nanotechnology</w:t>
      </w:r>
    </w:p>
    <w:p>
      <w:pPr>
        <w:pStyle w:val="BodyText"/>
        <w:spacing w:before="7"/>
        <w:rPr>
          <w:b/>
          <w:sz w:val="23"/>
        </w:rPr>
      </w:pPr>
    </w:p>
    <w:p>
      <w:pPr>
        <w:pStyle w:val="BodyText"/>
        <w:spacing w:line="480" w:lineRule="auto"/>
        <w:ind w:left="120" w:right="115"/>
        <w:jc w:val="both"/>
      </w:pPr>
      <w:r>
        <w:rPr/>
        <w:t>The conventional method of synthesizing nanoparticle, which include attrition and pyrolysis are associated with disadvantages like deformed surface, low rate of production, high manufacturing cost, high energy requirement and method of chemical synthesis. Method of synthesis such as chemical reduction and sol gel technique require the use of toxic chemicals, production of hazardous end products, and contamination from chemical precursors. Therefore, these triggered the need to develop uncontaminated, safe, and</w:t>
      </w:r>
      <w:r>
        <w:rPr/>
        <w:t> eco-friendly</w:t>
      </w:r>
      <w:r>
        <w:rPr/>
        <w:t> approach for</w:t>
      </w:r>
      <w:r>
        <w:rPr/>
        <w:t> the</w:t>
      </w:r>
      <w:r>
        <w:rPr/>
        <w:t> production</w:t>
      </w:r>
      <w:r>
        <w:rPr/>
        <w:t> of nanoparticle</w:t>
      </w:r>
      <w:r>
        <w:rPr/>
        <w:t> involving</w:t>
      </w:r>
      <w:r>
        <w:rPr/>
        <w:t> a</w:t>
      </w:r>
      <w:r>
        <w:rPr/>
        <w:t> biological</w:t>
      </w:r>
      <w:r>
        <w:rPr/>
        <w:t> process. Biological synthesis is more advantageous over physical and chemical methods that utilize toxic chemicals. The enzyme involved in active biological</w:t>
      </w:r>
      <w:r>
        <w:rPr>
          <w:spacing w:val="-12"/>
        </w:rPr>
        <w:t> </w:t>
      </w:r>
      <w:r>
        <w:rPr/>
        <w:t>compound</w:t>
      </w:r>
      <w:r>
        <w:rPr>
          <w:spacing w:val="-11"/>
        </w:rPr>
        <w:t> </w:t>
      </w:r>
      <w:r>
        <w:rPr/>
        <w:t>acts</w:t>
      </w:r>
      <w:r>
        <w:rPr>
          <w:spacing w:val="-9"/>
        </w:rPr>
        <w:t> </w:t>
      </w:r>
      <w:r>
        <w:rPr/>
        <w:t>as</w:t>
      </w:r>
      <w:r>
        <w:rPr>
          <w:spacing w:val="-12"/>
        </w:rPr>
        <w:t> </w:t>
      </w:r>
      <w:r>
        <w:rPr/>
        <w:t>a</w:t>
      </w:r>
      <w:r>
        <w:rPr>
          <w:spacing w:val="-12"/>
        </w:rPr>
        <w:t> </w:t>
      </w:r>
      <w:r>
        <w:rPr/>
        <w:t>reducing</w:t>
      </w:r>
      <w:r>
        <w:rPr>
          <w:spacing w:val="-13"/>
        </w:rPr>
        <w:t> </w:t>
      </w:r>
      <w:r>
        <w:rPr/>
        <w:t>and</w:t>
      </w:r>
      <w:r>
        <w:rPr>
          <w:spacing w:val="-12"/>
        </w:rPr>
        <w:t> </w:t>
      </w:r>
      <w:r>
        <w:rPr/>
        <w:t>capping</w:t>
      </w:r>
      <w:r>
        <w:rPr>
          <w:spacing w:val="-13"/>
        </w:rPr>
        <w:t> </w:t>
      </w:r>
      <w:r>
        <w:rPr/>
        <w:t>agent,</w:t>
      </w:r>
      <w:r>
        <w:rPr>
          <w:spacing w:val="-12"/>
        </w:rPr>
        <w:t> </w:t>
      </w:r>
      <w:r>
        <w:rPr/>
        <w:t>which</w:t>
      </w:r>
      <w:r>
        <w:rPr>
          <w:spacing w:val="-11"/>
        </w:rPr>
        <w:t> </w:t>
      </w:r>
      <w:r>
        <w:rPr/>
        <w:t>reduce</w:t>
      </w:r>
      <w:r>
        <w:rPr>
          <w:spacing w:val="-13"/>
        </w:rPr>
        <w:t> </w:t>
      </w:r>
      <w:r>
        <w:rPr/>
        <w:t>the</w:t>
      </w:r>
      <w:r>
        <w:rPr>
          <w:spacing w:val="-7"/>
        </w:rPr>
        <w:t> </w:t>
      </w:r>
      <w:r>
        <w:rPr/>
        <w:t>production</w:t>
      </w:r>
      <w:r>
        <w:rPr>
          <w:spacing w:val="-11"/>
        </w:rPr>
        <w:t> </w:t>
      </w:r>
      <w:r>
        <w:rPr/>
        <w:t>cost.</w:t>
      </w:r>
      <w:r>
        <w:rPr>
          <w:spacing w:val="-10"/>
        </w:rPr>
        <w:t> </w:t>
      </w:r>
      <w:r>
        <w:rPr>
          <w:spacing w:val="-4"/>
        </w:rPr>
        <w:t>High</w:t>
      </w:r>
    </w:p>
    <w:p>
      <w:pPr>
        <w:spacing w:after="0" w:line="480" w:lineRule="auto"/>
        <w:jc w:val="both"/>
        <w:sectPr>
          <w:pgSz w:w="12240" w:h="15840"/>
          <w:pgMar w:header="0" w:footer="1015" w:top="1420" w:bottom="1200" w:left="1320" w:right="1320"/>
        </w:sectPr>
      </w:pPr>
    </w:p>
    <w:p>
      <w:pPr>
        <w:pStyle w:val="BodyText"/>
        <w:spacing w:line="480" w:lineRule="auto" w:before="72"/>
        <w:ind w:left="120" w:right="120"/>
        <w:jc w:val="both"/>
      </w:pPr>
      <w:r>
        <w:rPr/>
        <w:t>amount of energy and pressure are not involved in small and large scale production causing significant amount of energy to be saved (Herlekar </w:t>
      </w:r>
      <w:r>
        <w:rPr>
          <w:i/>
        </w:rPr>
        <w:t>et al</w:t>
      </w:r>
      <w:r>
        <w:rPr/>
        <w:t>., 2014).</w:t>
      </w:r>
    </w:p>
    <w:p>
      <w:pPr>
        <w:pStyle w:val="BodyText"/>
        <w:rPr>
          <w:sz w:val="26"/>
        </w:rPr>
      </w:pPr>
    </w:p>
    <w:p>
      <w:pPr>
        <w:pStyle w:val="Heading2"/>
        <w:numPr>
          <w:ilvl w:val="1"/>
          <w:numId w:val="3"/>
        </w:numPr>
        <w:tabs>
          <w:tab w:pos="900" w:val="left" w:leader="none"/>
          <w:tab w:pos="901" w:val="left" w:leader="none"/>
        </w:tabs>
        <w:spacing w:line="240" w:lineRule="auto" w:before="186" w:after="0"/>
        <w:ind w:left="900" w:right="0" w:hanging="781"/>
        <w:jc w:val="left"/>
      </w:pPr>
      <w:r>
        <w:rPr/>
        <w:t>Iron</w:t>
      </w:r>
      <w:r>
        <w:rPr>
          <w:spacing w:val="-6"/>
        </w:rPr>
        <w:t> </w:t>
      </w:r>
      <w:r>
        <w:rPr>
          <w:spacing w:val="-2"/>
        </w:rPr>
        <w:t>Oxides</w:t>
      </w:r>
    </w:p>
    <w:p>
      <w:pPr>
        <w:pStyle w:val="BodyText"/>
        <w:spacing w:before="5"/>
        <w:rPr>
          <w:b/>
          <w:sz w:val="23"/>
        </w:rPr>
      </w:pPr>
    </w:p>
    <w:p>
      <w:pPr>
        <w:pStyle w:val="BodyText"/>
        <w:spacing w:line="480" w:lineRule="auto" w:before="1"/>
        <w:ind w:left="120" w:right="112"/>
        <w:jc w:val="both"/>
      </w:pPr>
      <w:r>
        <w:rPr/>
        <w:t>Iron oxide is a compound that is abundantly</w:t>
      </w:r>
      <w:r>
        <w:rPr>
          <w:spacing w:val="-2"/>
        </w:rPr>
        <w:t> </w:t>
      </w:r>
      <w:r>
        <w:rPr/>
        <w:t>present in nature. It has several crystal structure and also diverse structural and magnetic properties. Hematite, magnetite and maghemite are the key forms in which this compound occur. These oxides are crystalline in nature and differ in how oxygen anions are closely packed with iron cations in octahedral or tetrahedral interstitial sites </w:t>
      </w:r>
      <w:r>
        <w:rPr>
          <w:position w:val="2"/>
        </w:rPr>
        <w:t>(Babayi</w:t>
      </w:r>
      <w:r>
        <w:rPr>
          <w:spacing w:val="-3"/>
          <w:position w:val="2"/>
        </w:rPr>
        <w:t> </w:t>
      </w:r>
      <w:r>
        <w:rPr>
          <w:i/>
          <w:position w:val="2"/>
        </w:rPr>
        <w:t>et</w:t>
      </w:r>
      <w:r>
        <w:rPr>
          <w:i/>
          <w:spacing w:val="-3"/>
          <w:position w:val="2"/>
        </w:rPr>
        <w:t> </w:t>
      </w:r>
      <w:r>
        <w:rPr>
          <w:i/>
          <w:position w:val="2"/>
        </w:rPr>
        <w:t>al</w:t>
      </w:r>
      <w:r>
        <w:rPr>
          <w:position w:val="2"/>
        </w:rPr>
        <w:t>.,</w:t>
      </w:r>
      <w:r>
        <w:rPr>
          <w:spacing w:val="-3"/>
          <w:position w:val="2"/>
        </w:rPr>
        <w:t> </w:t>
      </w:r>
      <w:r>
        <w:rPr>
          <w:position w:val="2"/>
        </w:rPr>
        <w:t>2015).</w:t>
      </w:r>
      <w:r>
        <w:rPr>
          <w:spacing w:val="-3"/>
          <w:position w:val="2"/>
        </w:rPr>
        <w:t> </w:t>
      </w:r>
      <w:r>
        <w:rPr>
          <w:position w:val="2"/>
        </w:rPr>
        <w:t>Of</w:t>
      </w:r>
      <w:r>
        <w:rPr>
          <w:spacing w:val="-2"/>
          <w:position w:val="2"/>
        </w:rPr>
        <w:t> </w:t>
      </w:r>
      <w:r>
        <w:rPr>
          <w:position w:val="2"/>
        </w:rPr>
        <w:t>all</w:t>
      </w:r>
      <w:r>
        <w:rPr>
          <w:spacing w:val="-3"/>
          <w:position w:val="2"/>
        </w:rPr>
        <w:t> </w:t>
      </w:r>
      <w:r>
        <w:rPr>
          <w:position w:val="2"/>
        </w:rPr>
        <w:t>the</w:t>
      </w:r>
      <w:r>
        <w:rPr>
          <w:spacing w:val="-3"/>
          <w:position w:val="2"/>
        </w:rPr>
        <w:t> </w:t>
      </w:r>
      <w:r>
        <w:rPr>
          <w:position w:val="2"/>
        </w:rPr>
        <w:t>crystallographic</w:t>
      </w:r>
      <w:r>
        <w:rPr>
          <w:spacing w:val="-4"/>
          <w:position w:val="2"/>
        </w:rPr>
        <w:t> </w:t>
      </w:r>
      <w:r>
        <w:rPr>
          <w:position w:val="2"/>
        </w:rPr>
        <w:t>phases</w:t>
      </w:r>
      <w:r>
        <w:rPr>
          <w:spacing w:val="-2"/>
          <w:position w:val="2"/>
        </w:rPr>
        <w:t> </w:t>
      </w:r>
      <w:r>
        <w:rPr>
          <w:position w:val="2"/>
        </w:rPr>
        <w:t>of</w:t>
      </w:r>
      <w:r>
        <w:rPr>
          <w:spacing w:val="-2"/>
          <w:position w:val="2"/>
        </w:rPr>
        <w:t> </w:t>
      </w:r>
      <w:r>
        <w:rPr>
          <w:position w:val="2"/>
        </w:rPr>
        <w:t>iron</w:t>
      </w:r>
      <w:r>
        <w:rPr>
          <w:spacing w:val="-2"/>
          <w:position w:val="2"/>
        </w:rPr>
        <w:t> </w:t>
      </w:r>
      <w:r>
        <w:rPr>
          <w:position w:val="2"/>
        </w:rPr>
        <w:t>oxide,</w:t>
      </w:r>
      <w:r>
        <w:rPr>
          <w:spacing w:val="-2"/>
          <w:position w:val="2"/>
        </w:rPr>
        <w:t> </w:t>
      </w:r>
      <w:r>
        <w:rPr>
          <w:position w:val="2"/>
        </w:rPr>
        <w:t>magnetite</w:t>
      </w:r>
      <w:r>
        <w:rPr>
          <w:spacing w:val="-2"/>
          <w:position w:val="2"/>
        </w:rPr>
        <w:t> </w:t>
      </w:r>
      <w:r>
        <w:rPr>
          <w:position w:val="2"/>
        </w:rPr>
        <w:t>(Fe</w:t>
      </w:r>
      <w:r>
        <w:rPr>
          <w:sz w:val="16"/>
        </w:rPr>
        <w:t>2</w:t>
      </w:r>
      <w:r>
        <w:rPr>
          <w:position w:val="2"/>
        </w:rPr>
        <w:t>O</w:t>
      </w:r>
      <w:r>
        <w:rPr>
          <w:sz w:val="16"/>
        </w:rPr>
        <w:t>3</w:t>
      </w:r>
      <w:r>
        <w:rPr>
          <w:position w:val="2"/>
        </w:rPr>
        <w:t>)</w:t>
      </w:r>
      <w:r>
        <w:rPr>
          <w:spacing w:val="-3"/>
          <w:position w:val="2"/>
        </w:rPr>
        <w:t> </w:t>
      </w:r>
      <w:r>
        <w:rPr>
          <w:position w:val="2"/>
        </w:rPr>
        <w:t>is</w:t>
      </w:r>
      <w:r>
        <w:rPr>
          <w:spacing w:val="-2"/>
          <w:position w:val="2"/>
        </w:rPr>
        <w:t> </w:t>
      </w:r>
      <w:r>
        <w:rPr>
          <w:position w:val="2"/>
        </w:rPr>
        <w:t>one</w:t>
      </w:r>
      <w:r>
        <w:rPr>
          <w:spacing w:val="-3"/>
          <w:position w:val="2"/>
        </w:rPr>
        <w:t> </w:t>
      </w:r>
      <w:r>
        <w:rPr>
          <w:position w:val="2"/>
        </w:rPr>
        <w:t>of </w:t>
      </w:r>
      <w:r>
        <w:rPr/>
        <w:t>the phases that is most interesting due to its polymorphic nature, especially when in its nanosize form</w:t>
      </w:r>
      <w:r>
        <w:rPr>
          <w:spacing w:val="-8"/>
        </w:rPr>
        <w:t> </w:t>
      </w:r>
      <w:r>
        <w:rPr/>
        <w:t>(Babayi</w:t>
      </w:r>
      <w:r>
        <w:rPr>
          <w:spacing w:val="-5"/>
        </w:rPr>
        <w:t> </w:t>
      </w:r>
      <w:r>
        <w:rPr>
          <w:i/>
        </w:rPr>
        <w:t>et</w:t>
      </w:r>
      <w:r>
        <w:rPr>
          <w:i/>
          <w:spacing w:val="-8"/>
        </w:rPr>
        <w:t> </w:t>
      </w:r>
      <w:r>
        <w:rPr>
          <w:i/>
        </w:rPr>
        <w:t>al</w:t>
      </w:r>
      <w:r>
        <w:rPr/>
        <w:t>.,</w:t>
      </w:r>
      <w:r>
        <w:rPr>
          <w:spacing w:val="-8"/>
        </w:rPr>
        <w:t> </w:t>
      </w:r>
      <w:r>
        <w:rPr/>
        <w:t>2015).</w:t>
      </w:r>
      <w:r>
        <w:rPr>
          <w:spacing w:val="-7"/>
        </w:rPr>
        <w:t> </w:t>
      </w:r>
      <w:r>
        <w:rPr/>
        <w:t>It</w:t>
      </w:r>
      <w:r>
        <w:rPr>
          <w:spacing w:val="-8"/>
        </w:rPr>
        <w:t> </w:t>
      </w:r>
      <w:r>
        <w:rPr/>
        <w:t>posses</w:t>
      </w:r>
      <w:r>
        <w:rPr>
          <w:spacing w:val="-9"/>
        </w:rPr>
        <w:t> </w:t>
      </w:r>
      <w:r>
        <w:rPr/>
        <w:t>four</w:t>
      </w:r>
      <w:r>
        <w:rPr>
          <w:spacing w:val="-9"/>
        </w:rPr>
        <w:t> </w:t>
      </w:r>
      <w:r>
        <w:rPr/>
        <w:t>crystalline</w:t>
      </w:r>
      <w:r>
        <w:rPr>
          <w:spacing w:val="-9"/>
        </w:rPr>
        <w:t> </w:t>
      </w:r>
      <w:r>
        <w:rPr/>
        <w:t>polymorphs</w:t>
      </w:r>
      <w:r>
        <w:rPr>
          <w:spacing w:val="-6"/>
        </w:rPr>
        <w:t> </w:t>
      </w:r>
      <w:r>
        <w:rPr/>
        <w:t>with</w:t>
      </w:r>
      <w:r>
        <w:rPr>
          <w:spacing w:val="-8"/>
        </w:rPr>
        <w:t> </w:t>
      </w:r>
      <w:r>
        <w:rPr/>
        <w:t>special</w:t>
      </w:r>
      <w:r>
        <w:rPr>
          <w:spacing w:val="-8"/>
        </w:rPr>
        <w:t> </w:t>
      </w:r>
      <w:r>
        <w:rPr/>
        <w:t>magnetic</w:t>
      </w:r>
      <w:r>
        <w:rPr>
          <w:spacing w:val="-9"/>
        </w:rPr>
        <w:t> </w:t>
      </w:r>
      <w:r>
        <w:rPr/>
        <w:t>properties. </w:t>
      </w:r>
      <w:r>
        <w:rPr>
          <w:position w:val="2"/>
        </w:rPr>
        <w:t>Hematite</w:t>
      </w:r>
      <w:r>
        <w:rPr>
          <w:spacing w:val="-6"/>
          <w:position w:val="2"/>
        </w:rPr>
        <w:t> </w:t>
      </w:r>
      <w:r>
        <w:rPr>
          <w:position w:val="2"/>
        </w:rPr>
        <w:t>(α-</w:t>
      </w:r>
      <w:r>
        <w:rPr>
          <w:spacing w:val="-6"/>
          <w:position w:val="2"/>
        </w:rPr>
        <w:t> </w:t>
      </w:r>
      <w:r>
        <w:rPr>
          <w:position w:val="2"/>
        </w:rPr>
        <w:t>Fe</w:t>
      </w:r>
      <w:r>
        <w:rPr>
          <w:sz w:val="16"/>
        </w:rPr>
        <w:t>2</w:t>
      </w:r>
      <w:r>
        <w:rPr>
          <w:position w:val="2"/>
        </w:rPr>
        <w:t>O</w:t>
      </w:r>
      <w:r>
        <w:rPr>
          <w:sz w:val="16"/>
        </w:rPr>
        <w:t>3</w:t>
      </w:r>
      <w:r>
        <w:rPr>
          <w:position w:val="2"/>
        </w:rPr>
        <w:t>)</w:t>
      </w:r>
      <w:r>
        <w:rPr>
          <w:spacing w:val="-6"/>
          <w:position w:val="2"/>
        </w:rPr>
        <w:t> </w:t>
      </w:r>
      <w:r>
        <w:rPr>
          <w:position w:val="2"/>
        </w:rPr>
        <w:t>and</w:t>
      </w:r>
      <w:r>
        <w:rPr>
          <w:spacing w:val="-5"/>
          <w:position w:val="2"/>
        </w:rPr>
        <w:t> </w:t>
      </w:r>
      <w:r>
        <w:rPr>
          <w:position w:val="2"/>
        </w:rPr>
        <w:t>maghemite</w:t>
      </w:r>
      <w:r>
        <w:rPr>
          <w:spacing w:val="-5"/>
          <w:position w:val="2"/>
        </w:rPr>
        <w:t> </w:t>
      </w:r>
      <w:r>
        <w:rPr>
          <w:position w:val="2"/>
        </w:rPr>
        <w:t>(g-Fe</w:t>
      </w:r>
      <w:r>
        <w:rPr>
          <w:sz w:val="16"/>
        </w:rPr>
        <w:t>2</w:t>
      </w:r>
      <w:r>
        <w:rPr>
          <w:position w:val="2"/>
        </w:rPr>
        <w:t>O</w:t>
      </w:r>
      <w:r>
        <w:rPr>
          <w:sz w:val="16"/>
        </w:rPr>
        <w:t>3</w:t>
      </w:r>
      <w:r>
        <w:rPr>
          <w:position w:val="2"/>
        </w:rPr>
        <w:t>)</w:t>
      </w:r>
      <w:r>
        <w:rPr>
          <w:spacing w:val="-6"/>
          <w:position w:val="2"/>
        </w:rPr>
        <w:t> </w:t>
      </w:r>
      <w:r>
        <w:rPr>
          <w:position w:val="2"/>
        </w:rPr>
        <w:t>are</w:t>
      </w:r>
      <w:r>
        <w:rPr>
          <w:spacing w:val="-4"/>
          <w:position w:val="2"/>
        </w:rPr>
        <w:t> </w:t>
      </w:r>
      <w:r>
        <w:rPr>
          <w:position w:val="2"/>
        </w:rPr>
        <w:t>the</w:t>
      </w:r>
      <w:r>
        <w:rPr>
          <w:spacing w:val="-5"/>
          <w:position w:val="2"/>
        </w:rPr>
        <w:t> </w:t>
      </w:r>
      <w:r>
        <w:rPr>
          <w:position w:val="2"/>
        </w:rPr>
        <w:t>main</w:t>
      </w:r>
      <w:r>
        <w:rPr>
          <w:spacing w:val="-5"/>
          <w:position w:val="2"/>
        </w:rPr>
        <w:t> </w:t>
      </w:r>
      <w:r>
        <w:rPr>
          <w:position w:val="2"/>
        </w:rPr>
        <w:t>forms</w:t>
      </w:r>
      <w:r>
        <w:rPr>
          <w:spacing w:val="-4"/>
          <w:position w:val="2"/>
        </w:rPr>
        <w:t> </w:t>
      </w:r>
      <w:r>
        <w:rPr>
          <w:position w:val="2"/>
        </w:rPr>
        <w:t>that</w:t>
      </w:r>
      <w:r>
        <w:rPr>
          <w:spacing w:val="-5"/>
          <w:position w:val="2"/>
        </w:rPr>
        <w:t> </w:t>
      </w:r>
      <w:r>
        <w:rPr>
          <w:position w:val="2"/>
        </w:rPr>
        <w:t>occur</w:t>
      </w:r>
      <w:r>
        <w:rPr>
          <w:spacing w:val="-6"/>
          <w:position w:val="2"/>
        </w:rPr>
        <w:t> </w:t>
      </w:r>
      <w:r>
        <w:rPr>
          <w:position w:val="2"/>
        </w:rPr>
        <w:t>in</w:t>
      </w:r>
      <w:r>
        <w:rPr>
          <w:spacing w:val="-4"/>
          <w:position w:val="2"/>
        </w:rPr>
        <w:t> </w:t>
      </w:r>
      <w:r>
        <w:rPr>
          <w:position w:val="2"/>
        </w:rPr>
        <w:t>nature</w:t>
      </w:r>
      <w:r>
        <w:rPr>
          <w:spacing w:val="-6"/>
          <w:position w:val="2"/>
        </w:rPr>
        <w:t> </w:t>
      </w:r>
      <w:r>
        <w:rPr>
          <w:position w:val="2"/>
        </w:rPr>
        <w:t>while</w:t>
      </w:r>
      <w:r>
        <w:rPr>
          <w:spacing w:val="-5"/>
          <w:position w:val="2"/>
        </w:rPr>
        <w:t> </w:t>
      </w:r>
      <w:r>
        <w:rPr>
          <w:position w:val="2"/>
        </w:rPr>
        <w:t>other forms such as beta (b- Fe</w:t>
      </w:r>
      <w:r>
        <w:rPr>
          <w:sz w:val="16"/>
        </w:rPr>
        <w:t>2</w:t>
      </w:r>
      <w:r>
        <w:rPr>
          <w:position w:val="2"/>
        </w:rPr>
        <w:t>O</w:t>
      </w:r>
      <w:r>
        <w:rPr>
          <w:sz w:val="16"/>
        </w:rPr>
        <w:t>3</w:t>
      </w:r>
      <w:r>
        <w:rPr>
          <w:position w:val="2"/>
        </w:rPr>
        <w:t>) and epsilon (e- Fe</w:t>
      </w:r>
      <w:r>
        <w:rPr>
          <w:sz w:val="16"/>
        </w:rPr>
        <w:t>2</w:t>
      </w:r>
      <w:r>
        <w:rPr>
          <w:position w:val="2"/>
        </w:rPr>
        <w:t>O</w:t>
      </w:r>
      <w:r>
        <w:rPr>
          <w:sz w:val="16"/>
        </w:rPr>
        <w:t>3</w:t>
      </w:r>
      <w:r>
        <w:rPr>
          <w:position w:val="2"/>
        </w:rPr>
        <w:t>) are usually</w:t>
      </w:r>
      <w:r>
        <w:rPr>
          <w:spacing w:val="-2"/>
          <w:position w:val="2"/>
        </w:rPr>
        <w:t> </w:t>
      </w:r>
      <w:r>
        <w:rPr>
          <w:position w:val="2"/>
        </w:rPr>
        <w:t>in nanometric structures and are synthesized in the laboratory (Tucek </w:t>
      </w:r>
      <w:r>
        <w:rPr>
          <w:i/>
          <w:position w:val="2"/>
        </w:rPr>
        <w:t>et al</w:t>
      </w:r>
      <w:r>
        <w:rPr>
          <w:position w:val="2"/>
        </w:rPr>
        <w:t>., 2015). Hematite, α- Fe</w:t>
      </w:r>
      <w:r>
        <w:rPr>
          <w:sz w:val="16"/>
        </w:rPr>
        <w:t>2</w:t>
      </w:r>
      <w:r>
        <w:rPr>
          <w:position w:val="2"/>
        </w:rPr>
        <w:t>O</w:t>
      </w:r>
      <w:r>
        <w:rPr>
          <w:sz w:val="16"/>
        </w:rPr>
        <w:t>3</w:t>
      </w:r>
      <w:r>
        <w:rPr>
          <w:position w:val="2"/>
        </w:rPr>
        <w:t>, is the highest recognized </w:t>
      </w:r>
      <w:r>
        <w:rPr/>
        <w:t>iron</w:t>
      </w:r>
      <w:r>
        <w:rPr>
          <w:spacing w:val="-1"/>
        </w:rPr>
        <w:t> </w:t>
      </w:r>
      <w:r>
        <w:rPr/>
        <w:t>oxides</w:t>
      </w:r>
      <w:r>
        <w:rPr>
          <w:spacing w:val="-3"/>
        </w:rPr>
        <w:t> </w:t>
      </w:r>
      <w:r>
        <w:rPr/>
        <w:t>and the</w:t>
      </w:r>
      <w:r>
        <w:rPr>
          <w:spacing w:val="-1"/>
        </w:rPr>
        <w:t> </w:t>
      </w:r>
      <w:r>
        <w:rPr/>
        <w:t>most</w:t>
      </w:r>
      <w:r>
        <w:rPr>
          <w:spacing w:val="-3"/>
        </w:rPr>
        <w:t> </w:t>
      </w:r>
      <w:r>
        <w:rPr/>
        <w:t>abundant polymorphic</w:t>
      </w:r>
      <w:r>
        <w:rPr>
          <w:spacing w:val="-1"/>
        </w:rPr>
        <w:t> </w:t>
      </w:r>
      <w:r>
        <w:rPr/>
        <w:t>mineral that occur in nature</w:t>
      </w:r>
      <w:r>
        <w:rPr>
          <w:spacing w:val="-2"/>
        </w:rPr>
        <w:t> </w:t>
      </w:r>
      <w:r>
        <w:rPr/>
        <w:t>and majorly</w:t>
      </w:r>
      <w:r>
        <w:rPr>
          <w:spacing w:val="-5"/>
        </w:rPr>
        <w:t> </w:t>
      </w:r>
      <w:r>
        <w:rPr/>
        <w:t>in rocks and soils (Tucek </w:t>
      </w:r>
      <w:r>
        <w:rPr>
          <w:i/>
        </w:rPr>
        <w:t>et al</w:t>
      </w:r>
      <w:r>
        <w:rPr/>
        <w:t>., 2015). It has a weak ferromagnetic or antiferromagnetic property under room condition. Of all other forms of oxide, haematite is easily synthesized because it is usually the final product of transformation and very</w:t>
      </w:r>
      <w:r>
        <w:rPr>
          <w:spacing w:val="-5"/>
        </w:rPr>
        <w:t> </w:t>
      </w:r>
      <w:r>
        <w:rPr/>
        <w:t>stable at any</w:t>
      </w:r>
      <w:r>
        <w:rPr>
          <w:spacing w:val="-4"/>
        </w:rPr>
        <w:t> </w:t>
      </w:r>
      <w:r>
        <w:rPr/>
        <w:t>environmental condition (Babayi </w:t>
      </w:r>
      <w:r>
        <w:rPr>
          <w:i/>
        </w:rPr>
        <w:t>et al</w:t>
      </w:r>
      <w:r>
        <w:rPr/>
        <w:t>., </w:t>
      </w:r>
      <w:r>
        <w:rPr>
          <w:position w:val="2"/>
        </w:rPr>
        <w:t>2015). Maghemite (g- Fe</w:t>
      </w:r>
      <w:r>
        <w:rPr>
          <w:sz w:val="16"/>
        </w:rPr>
        <w:t>2</w:t>
      </w:r>
      <w:r>
        <w:rPr>
          <w:position w:val="2"/>
        </w:rPr>
        <w:t>O</w:t>
      </w:r>
      <w:r>
        <w:rPr>
          <w:sz w:val="16"/>
        </w:rPr>
        <w:t>3</w:t>
      </w:r>
      <w:r>
        <w:rPr>
          <w:position w:val="2"/>
        </w:rPr>
        <w:t>),</w:t>
      </w:r>
      <w:r>
        <w:rPr>
          <w:position w:val="2"/>
        </w:rPr>
        <w:t> a</w:t>
      </w:r>
      <w:r>
        <w:rPr>
          <w:position w:val="2"/>
        </w:rPr>
        <w:t> typical</w:t>
      </w:r>
      <w:r>
        <w:rPr>
          <w:position w:val="2"/>
        </w:rPr>
        <w:t> ferromagnetic</w:t>
      </w:r>
      <w:r>
        <w:rPr>
          <w:position w:val="2"/>
        </w:rPr>
        <w:t> mineral</w:t>
      </w:r>
      <w:r>
        <w:rPr>
          <w:position w:val="2"/>
        </w:rPr>
        <w:t> that</w:t>
      </w:r>
      <w:r>
        <w:rPr>
          <w:position w:val="2"/>
        </w:rPr>
        <w:t> is not stable to heat and </w:t>
      </w:r>
      <w:r>
        <w:rPr/>
        <w:t>undergoes transformation to hematite at higher temperatures (Campos </w:t>
      </w:r>
      <w:r>
        <w:rPr>
          <w:i/>
        </w:rPr>
        <w:t>et al., </w:t>
      </w:r>
      <w:r>
        <w:rPr/>
        <w:t>2015). Maghemite </w:t>
      </w:r>
      <w:r>
        <w:rPr>
          <w:position w:val="2"/>
        </w:rPr>
        <w:t>(Fe</w:t>
      </w:r>
      <w:r>
        <w:rPr>
          <w:sz w:val="16"/>
        </w:rPr>
        <w:t>2</w:t>
      </w:r>
      <w:r>
        <w:rPr>
          <w:position w:val="2"/>
        </w:rPr>
        <w:t>O</w:t>
      </w:r>
      <w:r>
        <w:rPr>
          <w:sz w:val="16"/>
        </w:rPr>
        <w:t>3)</w:t>
      </w:r>
      <w:r>
        <w:rPr>
          <w:spacing w:val="40"/>
          <w:sz w:val="16"/>
        </w:rPr>
        <w:t> </w:t>
      </w:r>
      <w:r>
        <w:rPr>
          <w:position w:val="2"/>
        </w:rPr>
        <w:t>as well as magnetite (Fe</w:t>
      </w:r>
      <w:r>
        <w:rPr>
          <w:sz w:val="16"/>
        </w:rPr>
        <w:t>2</w:t>
      </w:r>
      <w:r>
        <w:rPr>
          <w:position w:val="2"/>
        </w:rPr>
        <w:t>O</w:t>
      </w:r>
      <w:r>
        <w:rPr>
          <w:sz w:val="16"/>
        </w:rPr>
        <w:t>4</w:t>
      </w:r>
      <w:r>
        <w:rPr>
          <w:position w:val="2"/>
        </w:rPr>
        <w:t>)</w:t>
      </w:r>
      <w:r>
        <w:rPr>
          <w:position w:val="2"/>
        </w:rPr>
        <w:t> are</w:t>
      </w:r>
      <w:r>
        <w:rPr>
          <w:position w:val="2"/>
        </w:rPr>
        <w:t> easily magnetized and thus present high magnetic </w:t>
      </w:r>
      <w:r>
        <w:rPr/>
        <w:t>response when found in an external magnetic field. They are metastable oxides in the oxidative </w:t>
      </w:r>
      <w:r>
        <w:rPr>
          <w:position w:val="2"/>
        </w:rPr>
        <w:t>atmosphere and are undergo oxidation to α- Fe</w:t>
      </w:r>
      <w:r>
        <w:rPr>
          <w:sz w:val="16"/>
        </w:rPr>
        <w:t>2</w:t>
      </w:r>
      <w:r>
        <w:rPr>
          <w:position w:val="2"/>
        </w:rPr>
        <w:t>O</w:t>
      </w:r>
      <w:r>
        <w:rPr>
          <w:sz w:val="16"/>
        </w:rPr>
        <w:t>3</w:t>
      </w:r>
      <w:r>
        <w:rPr>
          <w:spacing w:val="40"/>
          <w:sz w:val="16"/>
        </w:rPr>
        <w:t> </w:t>
      </w:r>
      <w:r>
        <w:rPr>
          <w:position w:val="2"/>
        </w:rPr>
        <w:t>when heated above 673 K (Cornell and </w:t>
      </w:r>
      <w:r>
        <w:rPr/>
        <w:t>Schwertmann, 2003).</w:t>
      </w:r>
    </w:p>
    <w:p>
      <w:pPr>
        <w:spacing w:after="0" w:line="480" w:lineRule="auto"/>
        <w:jc w:val="both"/>
        <w:sectPr>
          <w:pgSz w:w="12240" w:h="15840"/>
          <w:pgMar w:header="0" w:footer="1015" w:top="1360" w:bottom="1200" w:left="1320" w:right="1320"/>
        </w:sectPr>
      </w:pPr>
    </w:p>
    <w:p>
      <w:pPr>
        <w:pStyle w:val="BodyText"/>
        <w:spacing w:line="480" w:lineRule="auto" w:before="71"/>
        <w:ind w:left="120" w:right="115"/>
        <w:jc w:val="both"/>
      </w:pPr>
      <w:r>
        <w:rPr>
          <w:position w:val="2"/>
        </w:rPr>
        <w:t>b-</w:t>
      </w:r>
      <w:r>
        <w:rPr>
          <w:spacing w:val="-4"/>
          <w:position w:val="2"/>
        </w:rPr>
        <w:t> </w:t>
      </w:r>
      <w:r>
        <w:rPr>
          <w:position w:val="2"/>
        </w:rPr>
        <w:t>Fe</w:t>
      </w:r>
      <w:r>
        <w:rPr>
          <w:sz w:val="16"/>
        </w:rPr>
        <w:t>2</w:t>
      </w:r>
      <w:r>
        <w:rPr>
          <w:position w:val="2"/>
        </w:rPr>
        <w:t>O</w:t>
      </w:r>
      <w:r>
        <w:rPr>
          <w:sz w:val="16"/>
        </w:rPr>
        <w:t>3</w:t>
      </w:r>
      <w:r>
        <w:rPr>
          <w:spacing w:val="18"/>
          <w:sz w:val="16"/>
        </w:rPr>
        <w:t> </w:t>
      </w:r>
      <w:r>
        <w:rPr>
          <w:position w:val="2"/>
        </w:rPr>
        <w:t>is</w:t>
      </w:r>
      <w:r>
        <w:rPr>
          <w:spacing w:val="-3"/>
          <w:position w:val="2"/>
        </w:rPr>
        <w:t> </w:t>
      </w:r>
      <w:r>
        <w:rPr>
          <w:position w:val="2"/>
        </w:rPr>
        <w:t>an</w:t>
      </w:r>
      <w:r>
        <w:rPr>
          <w:spacing w:val="-3"/>
          <w:position w:val="2"/>
        </w:rPr>
        <w:t> </w:t>
      </w:r>
      <w:r>
        <w:rPr>
          <w:position w:val="2"/>
        </w:rPr>
        <w:t>uncommon</w:t>
      </w:r>
      <w:r>
        <w:rPr>
          <w:spacing w:val="-3"/>
          <w:position w:val="2"/>
        </w:rPr>
        <w:t> </w:t>
      </w:r>
      <w:r>
        <w:rPr>
          <w:position w:val="2"/>
        </w:rPr>
        <w:t>form</w:t>
      </w:r>
      <w:r>
        <w:rPr>
          <w:spacing w:val="-2"/>
          <w:position w:val="2"/>
        </w:rPr>
        <w:t> </w:t>
      </w:r>
      <w:r>
        <w:rPr>
          <w:position w:val="2"/>
        </w:rPr>
        <w:t>of</w:t>
      </w:r>
      <w:r>
        <w:rPr>
          <w:spacing w:val="-3"/>
          <w:position w:val="2"/>
        </w:rPr>
        <w:t> </w:t>
      </w:r>
      <w:r>
        <w:rPr>
          <w:position w:val="2"/>
        </w:rPr>
        <w:t>iron</w:t>
      </w:r>
      <w:r>
        <w:rPr>
          <w:spacing w:val="-3"/>
          <w:position w:val="2"/>
        </w:rPr>
        <w:t> </w:t>
      </w:r>
      <w:r>
        <w:rPr>
          <w:position w:val="2"/>
        </w:rPr>
        <w:t>oxide</w:t>
      </w:r>
      <w:r>
        <w:rPr>
          <w:spacing w:val="-3"/>
          <w:position w:val="2"/>
        </w:rPr>
        <w:t> </w:t>
      </w:r>
      <w:r>
        <w:rPr>
          <w:position w:val="2"/>
        </w:rPr>
        <w:t>that</w:t>
      </w:r>
      <w:r>
        <w:rPr>
          <w:spacing w:val="-3"/>
          <w:position w:val="2"/>
        </w:rPr>
        <w:t> </w:t>
      </w:r>
      <w:r>
        <w:rPr>
          <w:position w:val="2"/>
        </w:rPr>
        <w:t>displays</w:t>
      </w:r>
      <w:r>
        <w:rPr>
          <w:spacing w:val="-2"/>
          <w:position w:val="2"/>
        </w:rPr>
        <w:t> </w:t>
      </w:r>
      <w:r>
        <w:rPr>
          <w:position w:val="2"/>
        </w:rPr>
        <w:t>a</w:t>
      </w:r>
      <w:r>
        <w:rPr>
          <w:spacing w:val="-4"/>
          <w:position w:val="2"/>
        </w:rPr>
        <w:t> </w:t>
      </w:r>
      <w:r>
        <w:rPr>
          <w:position w:val="2"/>
        </w:rPr>
        <w:t>body-centered</w:t>
      </w:r>
      <w:r>
        <w:rPr>
          <w:spacing w:val="-1"/>
          <w:position w:val="2"/>
        </w:rPr>
        <w:t> </w:t>
      </w:r>
      <w:r>
        <w:rPr>
          <w:position w:val="2"/>
        </w:rPr>
        <w:t>cubic</w:t>
      </w:r>
      <w:r>
        <w:rPr>
          <w:spacing w:val="-3"/>
          <w:position w:val="2"/>
        </w:rPr>
        <w:t> </w:t>
      </w:r>
      <w:r>
        <w:rPr>
          <w:position w:val="2"/>
        </w:rPr>
        <w:t>structure,</w:t>
      </w:r>
      <w:r>
        <w:rPr>
          <w:spacing w:val="-3"/>
          <w:position w:val="2"/>
        </w:rPr>
        <w:t> </w:t>
      </w:r>
      <w:r>
        <w:rPr>
          <w:position w:val="2"/>
        </w:rPr>
        <w:t>which </w:t>
      </w:r>
      <w:r>
        <w:rPr/>
        <w:t>nbehave</w:t>
      </w:r>
      <w:r>
        <w:rPr>
          <w:spacing w:val="-7"/>
        </w:rPr>
        <w:t> </w:t>
      </w:r>
      <w:r>
        <w:rPr/>
        <w:t>as</w:t>
      </w:r>
      <w:r>
        <w:rPr>
          <w:spacing w:val="-4"/>
        </w:rPr>
        <w:t> </w:t>
      </w:r>
      <w:r>
        <w:rPr/>
        <w:t>a</w:t>
      </w:r>
      <w:r>
        <w:rPr>
          <w:spacing w:val="-7"/>
        </w:rPr>
        <w:t> </w:t>
      </w:r>
      <w:r>
        <w:rPr/>
        <w:t>paramagnetic</w:t>
      </w:r>
      <w:r>
        <w:rPr>
          <w:spacing w:val="-6"/>
        </w:rPr>
        <w:t> </w:t>
      </w:r>
      <w:r>
        <w:rPr/>
        <w:t>iron</w:t>
      </w:r>
      <w:r>
        <w:rPr>
          <w:spacing w:val="-6"/>
        </w:rPr>
        <w:t> </w:t>
      </w:r>
      <w:r>
        <w:rPr/>
        <w:t>oxide</w:t>
      </w:r>
      <w:r>
        <w:rPr>
          <w:spacing w:val="-6"/>
        </w:rPr>
        <w:t> </w:t>
      </w:r>
      <w:r>
        <w:rPr/>
        <w:t>at</w:t>
      </w:r>
      <w:r>
        <w:rPr>
          <w:spacing w:val="-5"/>
        </w:rPr>
        <w:t> </w:t>
      </w:r>
      <w:r>
        <w:rPr/>
        <w:t>room</w:t>
      </w:r>
      <w:r>
        <w:rPr>
          <w:spacing w:val="-6"/>
        </w:rPr>
        <w:t> </w:t>
      </w:r>
      <w:r>
        <w:rPr/>
        <w:t>temperature.</w:t>
      </w:r>
      <w:r>
        <w:rPr>
          <w:spacing w:val="-3"/>
        </w:rPr>
        <w:t> </w:t>
      </w:r>
      <w:r>
        <w:rPr/>
        <w:t>It’s</w:t>
      </w:r>
      <w:r>
        <w:rPr>
          <w:spacing w:val="-6"/>
        </w:rPr>
        <w:t> </w:t>
      </w:r>
      <w:r>
        <w:rPr/>
        <w:t>magnetic</w:t>
      </w:r>
      <w:r>
        <w:rPr>
          <w:spacing w:val="-7"/>
        </w:rPr>
        <w:t> </w:t>
      </w:r>
      <w:r>
        <w:rPr/>
        <w:t>transition</w:t>
      </w:r>
      <w:r>
        <w:rPr>
          <w:spacing w:val="-5"/>
        </w:rPr>
        <w:t> </w:t>
      </w:r>
      <w:r>
        <w:rPr/>
        <w:t>temperature</w:t>
      </w:r>
      <w:r>
        <w:rPr>
          <w:spacing w:val="-7"/>
        </w:rPr>
        <w:t> </w:t>
      </w:r>
      <w:r>
        <w:rPr/>
        <w:t>is in the range of 100 and 119 K, below which it is anti-Ferro magnetically arranged. As it is </w:t>
      </w:r>
      <w:r>
        <w:rPr>
          <w:position w:val="2"/>
        </w:rPr>
        <w:t>thermodynamically unstable, it is transformed into either α- Fe</w:t>
      </w:r>
      <w:r>
        <w:rPr>
          <w:sz w:val="16"/>
        </w:rPr>
        <w:t>2</w:t>
      </w:r>
      <w:r>
        <w:rPr>
          <w:position w:val="2"/>
        </w:rPr>
        <w:t>O</w:t>
      </w:r>
      <w:r>
        <w:rPr>
          <w:sz w:val="16"/>
        </w:rPr>
        <w:t>3</w:t>
      </w:r>
      <w:r>
        <w:rPr>
          <w:spacing w:val="40"/>
          <w:sz w:val="16"/>
        </w:rPr>
        <w:t> </w:t>
      </w:r>
      <w:r>
        <w:rPr>
          <w:position w:val="2"/>
        </w:rPr>
        <w:t>or g- Fe</w:t>
      </w:r>
      <w:r>
        <w:rPr>
          <w:sz w:val="16"/>
        </w:rPr>
        <w:t>2</w:t>
      </w:r>
      <w:r>
        <w:rPr>
          <w:position w:val="2"/>
        </w:rPr>
        <w:t>O</w:t>
      </w:r>
      <w:r>
        <w:rPr>
          <w:sz w:val="16"/>
        </w:rPr>
        <w:t>3</w:t>
      </w:r>
      <w:r>
        <w:rPr>
          <w:spacing w:val="40"/>
          <w:sz w:val="16"/>
        </w:rPr>
        <w:t> </w:t>
      </w:r>
      <w:r>
        <w:rPr>
          <w:position w:val="2"/>
        </w:rPr>
        <w:t>when heated (Tuček</w:t>
      </w:r>
      <w:r>
        <w:rPr>
          <w:i/>
          <w:position w:val="2"/>
        </w:rPr>
        <w:t>et al., </w:t>
      </w:r>
      <w:r>
        <w:rPr>
          <w:position w:val="2"/>
        </w:rPr>
        <w:t>2015). The epsilon form (e- Fe</w:t>
      </w:r>
      <w:r>
        <w:rPr>
          <w:sz w:val="16"/>
        </w:rPr>
        <w:t>2</w:t>
      </w:r>
      <w:r>
        <w:rPr>
          <w:position w:val="2"/>
        </w:rPr>
        <w:t>O</w:t>
      </w:r>
      <w:r>
        <w:rPr>
          <w:sz w:val="16"/>
        </w:rPr>
        <w:t>3</w:t>
      </w:r>
      <w:r>
        <w:rPr>
          <w:position w:val="2"/>
        </w:rPr>
        <w:t>)</w:t>
      </w:r>
      <w:r>
        <w:rPr>
          <w:spacing w:val="-2"/>
          <w:position w:val="2"/>
        </w:rPr>
        <w:t> </w:t>
      </w:r>
      <w:r>
        <w:rPr>
          <w:position w:val="2"/>
        </w:rPr>
        <w:t>of</w:t>
      </w:r>
      <w:r>
        <w:rPr>
          <w:spacing w:val="-2"/>
          <w:position w:val="2"/>
        </w:rPr>
        <w:t> </w:t>
      </w:r>
      <w:r>
        <w:rPr>
          <w:position w:val="2"/>
        </w:rPr>
        <w:t>iron</w:t>
      </w:r>
      <w:r>
        <w:rPr>
          <w:spacing w:val="-2"/>
          <w:position w:val="2"/>
        </w:rPr>
        <w:t> </w:t>
      </w:r>
      <w:r>
        <w:rPr>
          <w:position w:val="2"/>
        </w:rPr>
        <w:t>oxide</w:t>
      </w:r>
      <w:r>
        <w:rPr>
          <w:spacing w:val="-2"/>
          <w:position w:val="2"/>
        </w:rPr>
        <w:t> </w:t>
      </w:r>
      <w:r>
        <w:rPr>
          <w:position w:val="2"/>
        </w:rPr>
        <w:t>shows an orthorhombic</w:t>
      </w:r>
      <w:r>
        <w:rPr>
          <w:spacing w:val="-1"/>
          <w:position w:val="2"/>
        </w:rPr>
        <w:t> </w:t>
      </w:r>
      <w:r>
        <w:rPr>
          <w:position w:val="2"/>
        </w:rPr>
        <w:t>crystalline structure obtained from the close packing of four oxygen layers. e-Fe</w:t>
      </w:r>
      <w:r>
        <w:rPr>
          <w:sz w:val="16"/>
        </w:rPr>
        <w:t>2</w:t>
      </w:r>
      <w:r>
        <w:rPr>
          <w:position w:val="2"/>
        </w:rPr>
        <w:t>O</w:t>
      </w:r>
      <w:r>
        <w:rPr>
          <w:sz w:val="16"/>
        </w:rPr>
        <w:t>3 </w:t>
      </w:r>
      <w:r>
        <w:rPr>
          <w:position w:val="2"/>
        </w:rPr>
        <w:t>may be considered as a polymorphous intermediate presenting similarity to both g-Fe</w:t>
      </w:r>
      <w:r>
        <w:rPr>
          <w:sz w:val="16"/>
        </w:rPr>
        <w:t>2</w:t>
      </w:r>
      <w:r>
        <w:rPr>
          <w:position w:val="2"/>
        </w:rPr>
        <w:t>O</w:t>
      </w:r>
      <w:r>
        <w:rPr>
          <w:sz w:val="16"/>
        </w:rPr>
        <w:t>3</w:t>
      </w:r>
      <w:r>
        <w:rPr>
          <w:spacing w:val="40"/>
          <w:sz w:val="16"/>
        </w:rPr>
        <w:t> </w:t>
      </w:r>
      <w:r>
        <w:rPr>
          <w:position w:val="2"/>
        </w:rPr>
        <w:t>and α-Fe</w:t>
      </w:r>
      <w:r>
        <w:rPr>
          <w:sz w:val="16"/>
        </w:rPr>
        <w:t>2</w:t>
      </w:r>
      <w:r>
        <w:rPr>
          <w:position w:val="2"/>
        </w:rPr>
        <w:t>O</w:t>
      </w:r>
      <w:r>
        <w:rPr>
          <w:sz w:val="16"/>
        </w:rPr>
        <w:t>3</w:t>
      </w:r>
      <w:r>
        <w:rPr>
          <w:position w:val="2"/>
        </w:rPr>
        <w:t>.Although</w:t>
      </w:r>
      <w:r>
        <w:rPr>
          <w:position w:val="2"/>
        </w:rPr>
        <w:t> its magnetic behavior have not been well understood, what is known is that e-Fe</w:t>
      </w:r>
      <w:r>
        <w:rPr>
          <w:sz w:val="16"/>
        </w:rPr>
        <w:t>2</w:t>
      </w:r>
      <w:r>
        <w:rPr>
          <w:position w:val="2"/>
        </w:rPr>
        <w:t>O</w:t>
      </w:r>
      <w:r>
        <w:rPr>
          <w:sz w:val="16"/>
        </w:rPr>
        <w:t>3</w:t>
      </w:r>
      <w:r>
        <w:rPr>
          <w:spacing w:val="28"/>
          <w:sz w:val="16"/>
        </w:rPr>
        <w:t> </w:t>
      </w:r>
      <w:r>
        <w:rPr>
          <w:position w:val="2"/>
        </w:rPr>
        <w:t>undergoes two </w:t>
      </w:r>
      <w:r>
        <w:rPr/>
        <w:t>magnetic</w:t>
      </w:r>
      <w:r>
        <w:rPr>
          <w:spacing w:val="-8"/>
        </w:rPr>
        <w:t> </w:t>
      </w:r>
      <w:r>
        <w:rPr/>
        <w:t>transitions</w:t>
      </w:r>
      <w:r>
        <w:rPr>
          <w:spacing w:val="-7"/>
        </w:rPr>
        <w:t> </w:t>
      </w:r>
      <w:r>
        <w:rPr/>
        <w:t>where</w:t>
      </w:r>
      <w:r>
        <w:rPr>
          <w:spacing w:val="-9"/>
        </w:rPr>
        <w:t> </w:t>
      </w:r>
      <w:r>
        <w:rPr/>
        <w:t>one</w:t>
      </w:r>
      <w:r>
        <w:rPr>
          <w:spacing w:val="-8"/>
        </w:rPr>
        <w:t> </w:t>
      </w:r>
      <w:r>
        <w:rPr/>
        <w:t>occur</w:t>
      </w:r>
      <w:r>
        <w:rPr>
          <w:spacing w:val="-6"/>
        </w:rPr>
        <w:t> </w:t>
      </w:r>
      <w:r>
        <w:rPr/>
        <w:t>at</w:t>
      </w:r>
      <w:r>
        <w:rPr>
          <w:spacing w:val="-7"/>
        </w:rPr>
        <w:t> </w:t>
      </w:r>
      <w:r>
        <w:rPr/>
        <w:t>temperature</w:t>
      </w:r>
      <w:r>
        <w:rPr>
          <w:spacing w:val="-8"/>
        </w:rPr>
        <w:t> </w:t>
      </w:r>
      <w:r>
        <w:rPr/>
        <w:t>close</w:t>
      </w:r>
      <w:r>
        <w:rPr>
          <w:spacing w:val="-7"/>
        </w:rPr>
        <w:t> </w:t>
      </w:r>
      <w:r>
        <w:rPr/>
        <w:t>to</w:t>
      </w:r>
      <w:r>
        <w:rPr>
          <w:spacing w:val="-7"/>
        </w:rPr>
        <w:t> </w:t>
      </w:r>
      <w:r>
        <w:rPr/>
        <w:t>495</w:t>
      </w:r>
      <w:r>
        <w:rPr>
          <w:spacing w:val="-7"/>
        </w:rPr>
        <w:t> </w:t>
      </w:r>
      <w:r>
        <w:rPr/>
        <w:t>K</w:t>
      </w:r>
      <w:r>
        <w:rPr>
          <w:spacing w:val="-6"/>
        </w:rPr>
        <w:t> </w:t>
      </w:r>
      <w:r>
        <w:rPr/>
        <w:t>and</w:t>
      </w:r>
      <w:r>
        <w:rPr>
          <w:spacing w:val="-5"/>
        </w:rPr>
        <w:t> </w:t>
      </w:r>
      <w:r>
        <w:rPr/>
        <w:t>goes</w:t>
      </w:r>
      <w:r>
        <w:rPr>
          <w:spacing w:val="-7"/>
        </w:rPr>
        <w:t> </w:t>
      </w:r>
      <w:r>
        <w:rPr/>
        <w:t>from</w:t>
      </w:r>
      <w:r>
        <w:rPr>
          <w:spacing w:val="-7"/>
        </w:rPr>
        <w:t> </w:t>
      </w:r>
      <w:r>
        <w:rPr/>
        <w:t>a</w:t>
      </w:r>
      <w:r>
        <w:rPr>
          <w:spacing w:val="-8"/>
        </w:rPr>
        <w:t> </w:t>
      </w:r>
      <w:r>
        <w:rPr/>
        <w:t>paramagnetic to a magnetically ordered state while the other occur at110 K and undergoes transition to a magnetic</w:t>
      </w:r>
      <w:r>
        <w:rPr>
          <w:spacing w:val="-3"/>
        </w:rPr>
        <w:t> </w:t>
      </w:r>
      <w:r>
        <w:rPr/>
        <w:t>regime,</w:t>
      </w:r>
      <w:r>
        <w:rPr>
          <w:spacing w:val="1"/>
        </w:rPr>
        <w:t> </w:t>
      </w:r>
      <w:r>
        <w:rPr/>
        <w:t>entirely</w:t>
      </w:r>
      <w:r>
        <w:rPr>
          <w:spacing w:val="-2"/>
        </w:rPr>
        <w:t> </w:t>
      </w:r>
      <w:r>
        <w:rPr/>
        <w:t>different</w:t>
      </w:r>
      <w:r>
        <w:rPr>
          <w:spacing w:val="1"/>
        </w:rPr>
        <w:t> </w:t>
      </w:r>
      <w:r>
        <w:rPr/>
        <w:t>from</w:t>
      </w:r>
      <w:r>
        <w:rPr>
          <w:spacing w:val="-1"/>
        </w:rPr>
        <w:t> </w:t>
      </w:r>
      <w:r>
        <w:rPr/>
        <w:t>the</w:t>
      </w:r>
      <w:r>
        <w:rPr>
          <w:spacing w:val="-2"/>
        </w:rPr>
        <w:t> </w:t>
      </w:r>
      <w:r>
        <w:rPr/>
        <w:t>one</w:t>
      </w:r>
      <w:r>
        <w:rPr>
          <w:spacing w:val="2"/>
        </w:rPr>
        <w:t> </w:t>
      </w:r>
      <w:r>
        <w:rPr/>
        <w:t>viewed</w:t>
      </w:r>
      <w:r>
        <w:rPr>
          <w:spacing w:val="-1"/>
        </w:rPr>
        <w:t> </w:t>
      </w:r>
      <w:r>
        <w:rPr/>
        <w:t>at</w:t>
      </w:r>
      <w:r>
        <w:rPr>
          <w:spacing w:val="-1"/>
        </w:rPr>
        <w:t> </w:t>
      </w:r>
      <w:r>
        <w:rPr/>
        <w:t>room</w:t>
      </w:r>
      <w:r>
        <w:rPr>
          <w:spacing w:val="-1"/>
        </w:rPr>
        <w:t> </w:t>
      </w:r>
      <w:r>
        <w:rPr/>
        <w:t>temperature</w:t>
      </w:r>
      <w:r>
        <w:rPr>
          <w:spacing w:val="-3"/>
        </w:rPr>
        <w:t> </w:t>
      </w:r>
      <w:r>
        <w:rPr/>
        <w:t>(Tuček</w:t>
      </w:r>
      <w:r>
        <w:rPr>
          <w:i/>
        </w:rPr>
        <w:t>et</w:t>
      </w:r>
      <w:r>
        <w:rPr>
          <w:i/>
          <w:spacing w:val="-1"/>
        </w:rPr>
        <w:t> </w:t>
      </w:r>
      <w:r>
        <w:rPr>
          <w:i/>
        </w:rPr>
        <w:t>al</w:t>
      </w:r>
      <w:r>
        <w:rPr/>
        <w:t>.,</w:t>
      </w:r>
      <w:r>
        <w:rPr>
          <w:spacing w:val="-1"/>
        </w:rPr>
        <w:t> </w:t>
      </w:r>
      <w:r>
        <w:rPr>
          <w:spacing w:val="-2"/>
        </w:rPr>
        <w:t>2015).</w:t>
      </w:r>
    </w:p>
    <w:p>
      <w:pPr>
        <w:pStyle w:val="Heading2"/>
        <w:numPr>
          <w:ilvl w:val="1"/>
          <w:numId w:val="3"/>
        </w:numPr>
        <w:tabs>
          <w:tab w:pos="840" w:val="left" w:leader="none"/>
          <w:tab w:pos="841" w:val="left" w:leader="none"/>
        </w:tabs>
        <w:spacing w:line="240" w:lineRule="auto" w:before="190" w:after="0"/>
        <w:ind w:left="840" w:right="0" w:hanging="721"/>
        <w:jc w:val="left"/>
      </w:pPr>
      <w:r>
        <w:rPr/>
        <w:t>Methods</w:t>
      </w:r>
      <w:r>
        <w:rPr>
          <w:spacing w:val="-4"/>
        </w:rPr>
        <w:t> </w:t>
      </w:r>
      <w:r>
        <w:rPr/>
        <w:t>of</w:t>
      </w:r>
      <w:r>
        <w:rPr>
          <w:spacing w:val="-3"/>
        </w:rPr>
        <w:t> </w:t>
      </w:r>
      <w:r>
        <w:rPr/>
        <w:t>Preparation</w:t>
      </w:r>
      <w:r>
        <w:rPr>
          <w:spacing w:val="-3"/>
        </w:rPr>
        <w:t> </w:t>
      </w:r>
      <w:r>
        <w:rPr/>
        <w:t>of</w:t>
      </w:r>
      <w:r>
        <w:rPr>
          <w:spacing w:val="-3"/>
        </w:rPr>
        <w:t> </w:t>
      </w:r>
      <w:r>
        <w:rPr/>
        <w:t>Iron</w:t>
      </w:r>
      <w:r>
        <w:rPr>
          <w:spacing w:val="-4"/>
        </w:rPr>
        <w:t> </w:t>
      </w:r>
      <w:r>
        <w:rPr/>
        <w:t>Oxide</w:t>
      </w:r>
      <w:r>
        <w:rPr>
          <w:spacing w:val="-4"/>
        </w:rPr>
        <w:t> </w:t>
      </w:r>
      <w:r>
        <w:rPr>
          <w:spacing w:val="-2"/>
        </w:rPr>
        <w:t>Nanoparticles</w:t>
      </w:r>
    </w:p>
    <w:p>
      <w:pPr>
        <w:pStyle w:val="BodyText"/>
        <w:spacing w:before="7"/>
        <w:rPr>
          <w:b/>
          <w:sz w:val="23"/>
        </w:rPr>
      </w:pPr>
    </w:p>
    <w:p>
      <w:pPr>
        <w:pStyle w:val="BodyText"/>
        <w:spacing w:line="480" w:lineRule="auto"/>
        <w:ind w:left="120" w:right="116"/>
        <w:jc w:val="both"/>
      </w:pPr>
      <w:r>
        <w:rPr/>
        <w:t>Over</w:t>
      </w:r>
      <w:r>
        <w:rPr>
          <w:spacing w:val="-6"/>
        </w:rPr>
        <w:t> </w:t>
      </w:r>
      <w:r>
        <w:rPr/>
        <w:t>the years,</w:t>
      </w:r>
      <w:r>
        <w:rPr>
          <w:spacing w:val="-5"/>
        </w:rPr>
        <w:t> </w:t>
      </w:r>
      <w:r>
        <w:rPr/>
        <w:t>different</w:t>
      </w:r>
      <w:r>
        <w:rPr>
          <w:spacing w:val="-3"/>
        </w:rPr>
        <w:t> </w:t>
      </w:r>
      <w:r>
        <w:rPr/>
        <w:t>methods</w:t>
      </w:r>
      <w:r>
        <w:rPr>
          <w:spacing w:val="-4"/>
        </w:rPr>
        <w:t> </w:t>
      </w:r>
      <w:r>
        <w:rPr/>
        <w:t>of</w:t>
      </w:r>
      <w:r>
        <w:rPr>
          <w:spacing w:val="-6"/>
        </w:rPr>
        <w:t> </w:t>
      </w:r>
      <w:r>
        <w:rPr/>
        <w:t>synthesis</w:t>
      </w:r>
      <w:r>
        <w:rPr>
          <w:spacing w:val="-4"/>
        </w:rPr>
        <w:t> </w:t>
      </w:r>
      <w:r>
        <w:rPr/>
        <w:t>have</w:t>
      </w:r>
      <w:r>
        <w:rPr>
          <w:spacing w:val="-6"/>
        </w:rPr>
        <w:t> </w:t>
      </w:r>
      <w:r>
        <w:rPr/>
        <w:t>been</w:t>
      </w:r>
      <w:r>
        <w:rPr>
          <w:spacing w:val="-3"/>
        </w:rPr>
        <w:t> </w:t>
      </w:r>
      <w:r>
        <w:rPr/>
        <w:t>developed</w:t>
      </w:r>
      <w:r>
        <w:rPr>
          <w:spacing w:val="-5"/>
        </w:rPr>
        <w:t> </w:t>
      </w:r>
      <w:r>
        <w:rPr/>
        <w:t>so</w:t>
      </w:r>
      <w:r>
        <w:rPr>
          <w:spacing w:val="-5"/>
        </w:rPr>
        <w:t> </w:t>
      </w:r>
      <w:r>
        <w:rPr/>
        <w:t>as</w:t>
      </w:r>
      <w:r>
        <w:rPr>
          <w:spacing w:val="-5"/>
        </w:rPr>
        <w:t> </w:t>
      </w:r>
      <w:r>
        <w:rPr/>
        <w:t>to</w:t>
      </w:r>
      <w:r>
        <w:rPr>
          <w:spacing w:val="-3"/>
        </w:rPr>
        <w:t> </w:t>
      </w:r>
      <w:r>
        <w:rPr/>
        <w:t>obtain</w:t>
      </w:r>
      <w:r>
        <w:rPr>
          <w:spacing w:val="-5"/>
        </w:rPr>
        <w:t> </w:t>
      </w:r>
      <w:r>
        <w:rPr/>
        <w:t>iron</w:t>
      </w:r>
      <w:r>
        <w:rPr>
          <w:spacing w:val="-5"/>
        </w:rPr>
        <w:t> </w:t>
      </w:r>
      <w:r>
        <w:rPr/>
        <w:t>oxides,</w:t>
      </w:r>
      <w:r>
        <w:rPr>
          <w:spacing w:val="-5"/>
        </w:rPr>
        <w:t> </w:t>
      </w:r>
      <w:r>
        <w:rPr/>
        <w:t>α- </w:t>
      </w:r>
      <w:r>
        <w:rPr>
          <w:position w:val="2"/>
        </w:rPr>
        <w:t>Fe</w:t>
      </w:r>
      <w:r>
        <w:rPr>
          <w:sz w:val="16"/>
        </w:rPr>
        <w:t>2</w:t>
      </w:r>
      <w:r>
        <w:rPr>
          <w:position w:val="2"/>
        </w:rPr>
        <w:t>O</w:t>
      </w:r>
      <w:r>
        <w:rPr>
          <w:sz w:val="16"/>
        </w:rPr>
        <w:t>3</w:t>
      </w:r>
      <w:r>
        <w:rPr>
          <w:position w:val="2"/>
        </w:rPr>
        <w:t>, Fe</w:t>
      </w:r>
      <w:r>
        <w:rPr>
          <w:sz w:val="16"/>
        </w:rPr>
        <w:t>3</w:t>
      </w:r>
      <w:r>
        <w:rPr>
          <w:position w:val="2"/>
        </w:rPr>
        <w:t>O</w:t>
      </w:r>
      <w:r>
        <w:rPr>
          <w:sz w:val="16"/>
        </w:rPr>
        <w:t>4</w:t>
      </w:r>
      <w:r>
        <w:rPr>
          <w:position w:val="2"/>
        </w:rPr>
        <w:t>, and g-Fe</w:t>
      </w:r>
      <w:r>
        <w:rPr>
          <w:sz w:val="16"/>
        </w:rPr>
        <w:t>2</w:t>
      </w:r>
      <w:r>
        <w:rPr>
          <w:position w:val="2"/>
        </w:rPr>
        <w:t>O</w:t>
      </w:r>
      <w:r>
        <w:rPr>
          <w:sz w:val="16"/>
        </w:rPr>
        <w:t>3</w:t>
      </w:r>
      <w:r>
        <w:rPr>
          <w:position w:val="2"/>
        </w:rPr>
        <w:t>, on nano metric scales so that they can be applied in different </w:t>
      </w:r>
      <w:r>
        <w:rPr/>
        <w:t>technological</w:t>
      </w:r>
      <w:r>
        <w:rPr>
          <w:spacing w:val="-5"/>
        </w:rPr>
        <w:t> </w:t>
      </w:r>
      <w:r>
        <w:rPr/>
        <w:t>areas.</w:t>
      </w:r>
      <w:r>
        <w:rPr>
          <w:spacing w:val="-3"/>
        </w:rPr>
        <w:t> </w:t>
      </w:r>
      <w:r>
        <w:rPr/>
        <w:t>The</w:t>
      </w:r>
      <w:r>
        <w:rPr>
          <w:spacing w:val="-4"/>
        </w:rPr>
        <w:t> </w:t>
      </w:r>
      <w:r>
        <w:rPr/>
        <w:t>widely</w:t>
      </w:r>
      <w:r>
        <w:rPr>
          <w:spacing w:val="-11"/>
        </w:rPr>
        <w:t> </w:t>
      </w:r>
      <w:r>
        <w:rPr/>
        <w:t>known</w:t>
      </w:r>
      <w:r>
        <w:rPr>
          <w:spacing w:val="-5"/>
        </w:rPr>
        <w:t> </w:t>
      </w:r>
      <w:r>
        <w:rPr/>
        <w:t>methods</w:t>
      </w:r>
      <w:r>
        <w:rPr>
          <w:spacing w:val="-6"/>
        </w:rPr>
        <w:t> </w:t>
      </w:r>
      <w:r>
        <w:rPr/>
        <w:t>include</w:t>
      </w:r>
      <w:r>
        <w:rPr>
          <w:spacing w:val="-6"/>
        </w:rPr>
        <w:t> </w:t>
      </w:r>
      <w:r>
        <w:rPr/>
        <w:t>co-precipitation,</w:t>
      </w:r>
      <w:r>
        <w:rPr>
          <w:spacing w:val="-5"/>
        </w:rPr>
        <w:t> </w:t>
      </w:r>
      <w:r>
        <w:rPr/>
        <w:t>sol-gel,</w:t>
      </w:r>
      <w:r>
        <w:rPr>
          <w:spacing w:val="-4"/>
        </w:rPr>
        <w:t> </w:t>
      </w:r>
      <w:r>
        <w:rPr/>
        <w:t>micro</w:t>
      </w:r>
      <w:r>
        <w:rPr>
          <w:spacing w:val="-8"/>
        </w:rPr>
        <w:t> </w:t>
      </w:r>
      <w:r>
        <w:rPr/>
        <w:t>emulsion and</w:t>
      </w:r>
      <w:r>
        <w:rPr/>
        <w:t> thermal</w:t>
      </w:r>
      <w:r>
        <w:rPr/>
        <w:t> decomposition</w:t>
      </w:r>
      <w:r>
        <w:rPr/>
        <w:t> (Cheng</w:t>
      </w:r>
      <w:r>
        <w:rPr/>
        <w:t> </w:t>
      </w:r>
      <w:r>
        <w:rPr>
          <w:i/>
        </w:rPr>
        <w:t>et</w:t>
      </w:r>
      <w:r>
        <w:rPr>
          <w:i/>
        </w:rPr>
        <w:t> al</w:t>
      </w:r>
      <w:r>
        <w:rPr/>
        <w:t>.,</w:t>
      </w:r>
      <w:r>
        <w:rPr/>
        <w:t> 2016).</w:t>
      </w:r>
      <w:r>
        <w:rPr>
          <w:spacing w:val="40"/>
        </w:rPr>
        <w:t> </w:t>
      </w:r>
      <w:r>
        <w:rPr/>
        <w:t>The</w:t>
      </w:r>
      <w:r>
        <w:rPr/>
        <w:t> main</w:t>
      </w:r>
      <w:r>
        <w:rPr/>
        <w:t> technological</w:t>
      </w:r>
      <w:r>
        <w:rPr/>
        <w:t> difficulty in</w:t>
      </w:r>
      <w:r>
        <w:rPr/>
        <w:t> all</w:t>
      </w:r>
      <w:r>
        <w:rPr/>
        <w:t> the methods of synthesis is how to control some properties of the nanoparticles such as shape, size, morphology and dispersity. Certainly, these structural features are influenced greatly by reaction conditions</w:t>
      </w:r>
      <w:r>
        <w:rPr>
          <w:spacing w:val="-15"/>
        </w:rPr>
        <w:t> </w:t>
      </w:r>
      <w:r>
        <w:rPr/>
        <w:t>from</w:t>
      </w:r>
      <w:r>
        <w:rPr>
          <w:spacing w:val="-15"/>
        </w:rPr>
        <w:t> </w:t>
      </w:r>
      <w:r>
        <w:rPr/>
        <w:t>which</w:t>
      </w:r>
      <w:r>
        <w:rPr>
          <w:spacing w:val="-15"/>
        </w:rPr>
        <w:t> </w:t>
      </w:r>
      <w:r>
        <w:rPr/>
        <w:t>the</w:t>
      </w:r>
      <w:r>
        <w:rPr>
          <w:spacing w:val="-1"/>
        </w:rPr>
        <w:t> </w:t>
      </w:r>
      <w:r>
        <w:rPr/>
        <w:t>optical,</w:t>
      </w:r>
      <w:r>
        <w:rPr>
          <w:spacing w:val="-15"/>
        </w:rPr>
        <w:t> </w:t>
      </w:r>
      <w:r>
        <w:rPr/>
        <w:t>electrical,</w:t>
      </w:r>
      <w:r>
        <w:rPr>
          <w:spacing w:val="-15"/>
        </w:rPr>
        <w:t> </w:t>
      </w:r>
      <w:r>
        <w:rPr/>
        <w:t>mechanical</w:t>
      </w:r>
      <w:r>
        <w:rPr>
          <w:spacing w:val="-15"/>
        </w:rPr>
        <w:t> </w:t>
      </w:r>
      <w:r>
        <w:rPr/>
        <w:t>and</w:t>
      </w:r>
      <w:r>
        <w:rPr>
          <w:spacing w:val="-15"/>
        </w:rPr>
        <w:t> </w:t>
      </w:r>
      <w:r>
        <w:rPr/>
        <w:t>magnetic</w:t>
      </w:r>
      <w:r>
        <w:rPr>
          <w:spacing w:val="-15"/>
        </w:rPr>
        <w:t> </w:t>
      </w:r>
      <w:r>
        <w:rPr/>
        <w:t>properties</w:t>
      </w:r>
      <w:r>
        <w:rPr>
          <w:spacing w:val="-15"/>
        </w:rPr>
        <w:t> </w:t>
      </w:r>
      <w:r>
        <w:rPr/>
        <w:t>may</w:t>
      </w:r>
      <w:r>
        <w:rPr>
          <w:spacing w:val="-15"/>
        </w:rPr>
        <w:t> </w:t>
      </w:r>
      <w:r>
        <w:rPr/>
        <w:t>be</w:t>
      </w:r>
      <w:r>
        <w:rPr>
          <w:spacing w:val="-15"/>
        </w:rPr>
        <w:t> </w:t>
      </w:r>
      <w:r>
        <w:rPr/>
        <w:t>critically influenced resulting in controlled behavior of nano metric iron oxide, which can have different application (Mohapatra and Anand, 2014; Chaturvedi </w:t>
      </w:r>
      <w:r>
        <w:rPr>
          <w:i/>
        </w:rPr>
        <w:t>et al</w:t>
      </w:r>
      <w:r>
        <w:rPr/>
        <w:t>., 2015).</w:t>
      </w:r>
    </w:p>
    <w:p>
      <w:pPr>
        <w:pStyle w:val="Heading2"/>
        <w:numPr>
          <w:ilvl w:val="2"/>
          <w:numId w:val="3"/>
        </w:numPr>
        <w:tabs>
          <w:tab w:pos="841" w:val="left" w:leader="none"/>
        </w:tabs>
        <w:spacing w:line="240" w:lineRule="auto" w:before="202" w:after="0"/>
        <w:ind w:left="840" w:right="0" w:hanging="721"/>
        <w:jc w:val="left"/>
      </w:pPr>
      <w:r>
        <w:rPr>
          <w:spacing w:val="-2"/>
        </w:rPr>
        <w:t>Co-precipitation</w:t>
      </w:r>
    </w:p>
    <w:p>
      <w:pPr>
        <w:spacing w:after="0" w:line="240" w:lineRule="auto"/>
        <w:jc w:val="left"/>
        <w:sectPr>
          <w:pgSz w:w="12240" w:h="15840"/>
          <w:pgMar w:header="0" w:footer="1015" w:top="1360" w:bottom="1200" w:left="1320" w:right="1320"/>
        </w:sectPr>
      </w:pPr>
    </w:p>
    <w:p>
      <w:pPr>
        <w:pStyle w:val="BodyText"/>
        <w:spacing w:line="480" w:lineRule="auto" w:before="71"/>
        <w:ind w:left="120" w:right="113"/>
        <w:jc w:val="both"/>
      </w:pPr>
      <w:r>
        <w:rPr>
          <w:position w:val="2"/>
        </w:rPr>
        <w:t>Magnetite (Fe</w:t>
      </w:r>
      <w:r>
        <w:rPr>
          <w:sz w:val="16"/>
        </w:rPr>
        <w:t>3</w:t>
      </w:r>
      <w:r>
        <w:rPr>
          <w:position w:val="2"/>
        </w:rPr>
        <w:t>O</w:t>
      </w:r>
      <w:r>
        <w:rPr>
          <w:sz w:val="16"/>
        </w:rPr>
        <w:t>4</w:t>
      </w:r>
      <w:r>
        <w:rPr>
          <w:position w:val="2"/>
        </w:rPr>
        <w:t>)</w:t>
      </w:r>
      <w:r>
        <w:rPr>
          <w:position w:val="2"/>
        </w:rPr>
        <w:t> or</w:t>
      </w:r>
      <w:r>
        <w:rPr>
          <w:position w:val="2"/>
        </w:rPr>
        <w:t> maghemite</w:t>
      </w:r>
      <w:r>
        <w:rPr>
          <w:position w:val="2"/>
        </w:rPr>
        <w:t> (g-Fe</w:t>
      </w:r>
      <w:r>
        <w:rPr>
          <w:sz w:val="16"/>
        </w:rPr>
        <w:t>2</w:t>
      </w:r>
      <w:r>
        <w:rPr>
          <w:position w:val="2"/>
        </w:rPr>
        <w:t>O</w:t>
      </w:r>
      <w:r>
        <w:rPr>
          <w:sz w:val="16"/>
        </w:rPr>
        <w:t>3</w:t>
      </w:r>
      <w:r>
        <w:rPr>
          <w:position w:val="2"/>
        </w:rPr>
        <w:t>)</w:t>
      </w:r>
      <w:r>
        <w:rPr>
          <w:position w:val="2"/>
        </w:rPr>
        <w:t> magnetic</w:t>
      </w:r>
      <w:r>
        <w:rPr>
          <w:position w:val="2"/>
        </w:rPr>
        <w:t> iron</w:t>
      </w:r>
      <w:r>
        <w:rPr>
          <w:position w:val="2"/>
        </w:rPr>
        <w:t> oxide</w:t>
      </w:r>
      <w:r>
        <w:rPr>
          <w:position w:val="2"/>
        </w:rPr>
        <w:t> nanoparticles are synthesized </w:t>
      </w:r>
      <w:r>
        <w:rPr/>
        <w:t>using</w:t>
      </w:r>
      <w:r>
        <w:rPr>
          <w:spacing w:val="-15"/>
        </w:rPr>
        <w:t> </w:t>
      </w:r>
      <w:r>
        <w:rPr/>
        <w:t>co-precipitation</w:t>
      </w:r>
      <w:r>
        <w:rPr>
          <w:spacing w:val="-15"/>
        </w:rPr>
        <w:t> </w:t>
      </w:r>
      <w:r>
        <w:rPr/>
        <w:t>of</w:t>
      </w:r>
      <w:r>
        <w:rPr>
          <w:spacing w:val="-15"/>
        </w:rPr>
        <w:t> </w:t>
      </w:r>
      <w:r>
        <w:rPr/>
        <w:t>a</w:t>
      </w:r>
      <w:r>
        <w:rPr>
          <w:spacing w:val="-15"/>
        </w:rPr>
        <w:t> </w:t>
      </w:r>
      <w:r>
        <w:rPr/>
        <w:t>stoichiometric</w:t>
      </w:r>
      <w:r>
        <w:rPr>
          <w:spacing w:val="-15"/>
        </w:rPr>
        <w:t> </w:t>
      </w:r>
      <w:r>
        <w:rPr/>
        <w:t>mixture</w:t>
      </w:r>
      <w:r>
        <w:rPr>
          <w:spacing w:val="-15"/>
        </w:rPr>
        <w:t> </w:t>
      </w:r>
      <w:r>
        <w:rPr/>
        <w:t>of</w:t>
      </w:r>
      <w:r>
        <w:rPr>
          <w:spacing w:val="-15"/>
        </w:rPr>
        <w:t> </w:t>
      </w:r>
      <w:r>
        <w:rPr/>
        <w:t>Fe</w:t>
      </w:r>
      <w:r>
        <w:rPr>
          <w:spacing w:val="-15"/>
        </w:rPr>
        <w:t> </w:t>
      </w:r>
      <w:r>
        <w:rPr/>
        <w:t>(II)</w:t>
      </w:r>
      <w:r>
        <w:rPr>
          <w:spacing w:val="-15"/>
        </w:rPr>
        <w:t> </w:t>
      </w:r>
      <w:r>
        <w:rPr/>
        <w:t>and</w:t>
      </w:r>
      <w:r>
        <w:rPr>
          <w:spacing w:val="-15"/>
        </w:rPr>
        <w:t> </w:t>
      </w:r>
      <w:r>
        <w:rPr/>
        <w:t>Fe</w:t>
      </w:r>
      <w:r>
        <w:rPr>
          <w:spacing w:val="-15"/>
        </w:rPr>
        <w:t> </w:t>
      </w:r>
      <w:r>
        <w:rPr/>
        <w:t>(III)</w:t>
      </w:r>
      <w:r>
        <w:rPr>
          <w:spacing w:val="-15"/>
        </w:rPr>
        <w:t> </w:t>
      </w:r>
      <w:r>
        <w:rPr/>
        <w:t>salts</w:t>
      </w:r>
      <w:r>
        <w:rPr>
          <w:spacing w:val="-15"/>
        </w:rPr>
        <w:t> </w:t>
      </w:r>
      <w:r>
        <w:rPr/>
        <w:t>in</w:t>
      </w:r>
      <w:r>
        <w:rPr>
          <w:spacing w:val="-15"/>
        </w:rPr>
        <w:t> </w:t>
      </w:r>
      <w:r>
        <w:rPr/>
        <w:t>an</w:t>
      </w:r>
      <w:r>
        <w:rPr>
          <w:spacing w:val="-15"/>
        </w:rPr>
        <w:t> </w:t>
      </w:r>
      <w:r>
        <w:rPr/>
        <w:t>aqueous</w:t>
      </w:r>
      <w:r>
        <w:rPr>
          <w:spacing w:val="-15"/>
        </w:rPr>
        <w:t> </w:t>
      </w:r>
      <w:r>
        <w:rPr/>
        <w:t>solution </w:t>
      </w:r>
      <w:r>
        <w:rPr>
          <w:position w:val="2"/>
        </w:rPr>
        <w:t>of</w:t>
      </w:r>
      <w:r>
        <w:rPr>
          <w:spacing w:val="-9"/>
          <w:position w:val="2"/>
        </w:rPr>
        <w:t> </w:t>
      </w:r>
      <w:r>
        <w:rPr>
          <w:position w:val="2"/>
        </w:rPr>
        <w:t>sodium</w:t>
      </w:r>
      <w:r>
        <w:rPr>
          <w:spacing w:val="-8"/>
          <w:position w:val="2"/>
        </w:rPr>
        <w:t> </w:t>
      </w:r>
      <w:r>
        <w:rPr>
          <w:position w:val="2"/>
        </w:rPr>
        <w:t>hydroxide</w:t>
      </w:r>
      <w:r>
        <w:rPr>
          <w:spacing w:val="-9"/>
          <w:position w:val="2"/>
        </w:rPr>
        <w:t> </w:t>
      </w:r>
      <w:r>
        <w:rPr>
          <w:position w:val="2"/>
        </w:rPr>
        <w:t>(NaOH)</w:t>
      </w:r>
      <w:r>
        <w:rPr>
          <w:spacing w:val="-10"/>
          <w:position w:val="2"/>
        </w:rPr>
        <w:t> </w:t>
      </w:r>
      <w:r>
        <w:rPr>
          <w:position w:val="2"/>
        </w:rPr>
        <w:t>or</w:t>
      </w:r>
      <w:r>
        <w:rPr>
          <w:spacing w:val="-10"/>
          <w:position w:val="2"/>
        </w:rPr>
        <w:t> </w:t>
      </w:r>
      <w:r>
        <w:rPr>
          <w:position w:val="2"/>
        </w:rPr>
        <w:t>ammonium</w:t>
      </w:r>
      <w:r>
        <w:rPr>
          <w:spacing w:val="-9"/>
          <w:position w:val="2"/>
        </w:rPr>
        <w:t> </w:t>
      </w:r>
      <w:r>
        <w:rPr>
          <w:position w:val="2"/>
        </w:rPr>
        <w:t>hydroxide</w:t>
      </w:r>
      <w:r>
        <w:rPr>
          <w:spacing w:val="-10"/>
          <w:position w:val="2"/>
        </w:rPr>
        <w:t> </w:t>
      </w:r>
      <w:r>
        <w:rPr>
          <w:position w:val="2"/>
        </w:rPr>
        <w:t>(NH</w:t>
      </w:r>
      <w:r>
        <w:rPr>
          <w:sz w:val="16"/>
        </w:rPr>
        <w:t>4</w:t>
      </w:r>
      <w:r>
        <w:rPr>
          <w:position w:val="2"/>
        </w:rPr>
        <w:t>OH)</w:t>
      </w:r>
      <w:r>
        <w:rPr>
          <w:spacing w:val="-10"/>
          <w:position w:val="2"/>
        </w:rPr>
        <w:t> </w:t>
      </w:r>
      <w:r>
        <w:rPr>
          <w:position w:val="2"/>
        </w:rPr>
        <w:t>(Khalil,</w:t>
      </w:r>
      <w:r>
        <w:rPr>
          <w:spacing w:val="-8"/>
          <w:position w:val="2"/>
        </w:rPr>
        <w:t> </w:t>
      </w:r>
      <w:r>
        <w:rPr>
          <w:position w:val="2"/>
        </w:rPr>
        <w:t>2015).</w:t>
      </w:r>
      <w:r>
        <w:rPr>
          <w:spacing w:val="-8"/>
          <w:position w:val="2"/>
        </w:rPr>
        <w:t> </w:t>
      </w:r>
      <w:r>
        <w:rPr>
          <w:position w:val="2"/>
        </w:rPr>
        <w:t>Nanoparticles</w:t>
      </w:r>
      <w:r>
        <w:rPr>
          <w:spacing w:val="-8"/>
          <w:position w:val="2"/>
        </w:rPr>
        <w:t> </w:t>
      </w:r>
      <w:r>
        <w:rPr>
          <w:position w:val="2"/>
        </w:rPr>
        <w:t>of </w:t>
      </w:r>
      <w:r>
        <w:rPr/>
        <w:t>size</w:t>
      </w:r>
      <w:r>
        <w:rPr>
          <w:spacing w:val="-3"/>
        </w:rPr>
        <w:t> </w:t>
      </w:r>
      <w:r>
        <w:rPr/>
        <w:t>5</w:t>
      </w:r>
      <w:r>
        <w:rPr>
          <w:spacing w:val="-2"/>
        </w:rPr>
        <w:t> </w:t>
      </w:r>
      <w:r>
        <w:rPr/>
        <w:t>to</w:t>
      </w:r>
      <w:r>
        <w:rPr>
          <w:spacing w:val="-4"/>
        </w:rPr>
        <w:t> </w:t>
      </w:r>
      <w:r>
        <w:rPr/>
        <w:t>20</w:t>
      </w:r>
      <w:r>
        <w:rPr>
          <w:spacing w:val="-2"/>
        </w:rPr>
        <w:t> </w:t>
      </w:r>
      <w:r>
        <w:rPr/>
        <w:t>nm</w:t>
      </w:r>
      <w:r>
        <w:rPr>
          <w:spacing w:val="-2"/>
        </w:rPr>
        <w:t> </w:t>
      </w:r>
      <w:r>
        <w:rPr/>
        <w:t>in</w:t>
      </w:r>
      <w:r>
        <w:rPr>
          <w:spacing w:val="-5"/>
        </w:rPr>
        <w:t> </w:t>
      </w:r>
      <w:r>
        <w:rPr/>
        <w:t>diameter</w:t>
      </w:r>
      <w:r>
        <w:rPr>
          <w:spacing w:val="-2"/>
        </w:rPr>
        <w:t> </w:t>
      </w:r>
      <w:r>
        <w:rPr/>
        <w:t>can</w:t>
      </w:r>
      <w:r>
        <w:rPr>
          <w:spacing w:val="-2"/>
        </w:rPr>
        <w:t> </w:t>
      </w:r>
      <w:r>
        <w:rPr/>
        <w:t>be</w:t>
      </w:r>
      <w:r>
        <w:rPr>
          <w:spacing w:val="-3"/>
        </w:rPr>
        <w:t> </w:t>
      </w:r>
      <w:r>
        <w:rPr/>
        <w:t>synthesized</w:t>
      </w:r>
      <w:r>
        <w:rPr>
          <w:spacing w:val="-2"/>
        </w:rPr>
        <w:t> </w:t>
      </w:r>
      <w:r>
        <w:rPr/>
        <w:t>by</w:t>
      </w:r>
      <w:r>
        <w:rPr>
          <w:spacing w:val="-5"/>
        </w:rPr>
        <w:t> </w:t>
      </w:r>
      <w:r>
        <w:rPr/>
        <w:t>this</w:t>
      </w:r>
      <w:r>
        <w:rPr>
          <w:spacing w:val="-2"/>
        </w:rPr>
        <w:t> </w:t>
      </w:r>
      <w:r>
        <w:rPr/>
        <w:t>method.</w:t>
      </w:r>
      <w:r>
        <w:rPr>
          <w:spacing w:val="-2"/>
        </w:rPr>
        <w:t> </w:t>
      </w:r>
      <w:r>
        <w:rPr/>
        <w:t>Conditions</w:t>
      </w:r>
      <w:r>
        <w:rPr>
          <w:spacing w:val="-4"/>
        </w:rPr>
        <w:t> </w:t>
      </w:r>
      <w:r>
        <w:rPr/>
        <w:t>of</w:t>
      </w:r>
      <w:r>
        <w:rPr>
          <w:spacing w:val="-2"/>
        </w:rPr>
        <w:t> </w:t>
      </w:r>
      <w:r>
        <w:rPr/>
        <w:t>experiment</w:t>
      </w:r>
      <w:r>
        <w:rPr>
          <w:spacing w:val="-2"/>
        </w:rPr>
        <w:t> </w:t>
      </w:r>
      <w:r>
        <w:rPr/>
        <w:t>are</w:t>
      </w:r>
      <w:r>
        <w:rPr>
          <w:spacing w:val="-3"/>
        </w:rPr>
        <w:t> </w:t>
      </w:r>
      <w:r>
        <w:rPr/>
        <w:t>very important and dependent on the type of salt of chlorides, sulphates, nitrates or perchlorates used and</w:t>
      </w:r>
      <w:r>
        <w:rPr>
          <w:spacing w:val="-5"/>
        </w:rPr>
        <w:t> </w:t>
      </w:r>
      <w:r>
        <w:rPr/>
        <w:t>also</w:t>
      </w:r>
      <w:r>
        <w:rPr>
          <w:spacing w:val="-4"/>
        </w:rPr>
        <w:t> </w:t>
      </w:r>
      <w:r>
        <w:rPr/>
        <w:t>on</w:t>
      </w:r>
      <w:r>
        <w:rPr>
          <w:spacing w:val="-3"/>
        </w:rPr>
        <w:t> </w:t>
      </w:r>
      <w:r>
        <w:rPr/>
        <w:t>the</w:t>
      </w:r>
      <w:r>
        <w:rPr>
          <w:spacing w:val="-2"/>
        </w:rPr>
        <w:t> </w:t>
      </w:r>
      <w:r>
        <w:rPr/>
        <w:t>Fe2+</w:t>
      </w:r>
      <w:r>
        <w:rPr>
          <w:spacing w:val="-6"/>
        </w:rPr>
        <w:t> </w:t>
      </w:r>
      <w:r>
        <w:rPr/>
        <w:t>/</w:t>
      </w:r>
      <w:r>
        <w:rPr>
          <w:spacing w:val="-2"/>
        </w:rPr>
        <w:t> </w:t>
      </w:r>
      <w:r>
        <w:rPr/>
        <w:t>Fe3+</w:t>
      </w:r>
      <w:r>
        <w:rPr>
          <w:spacing w:val="-6"/>
        </w:rPr>
        <w:t> </w:t>
      </w:r>
      <w:r>
        <w:rPr/>
        <w:t>concentration</w:t>
      </w:r>
      <w:r>
        <w:rPr>
          <w:spacing w:val="-3"/>
        </w:rPr>
        <w:t> </w:t>
      </w:r>
      <w:r>
        <w:rPr/>
        <w:t>ratio.</w:t>
      </w:r>
      <w:r>
        <w:rPr>
          <w:spacing w:val="-5"/>
        </w:rPr>
        <w:t> </w:t>
      </w:r>
      <w:r>
        <w:rPr/>
        <w:t>Other</w:t>
      </w:r>
      <w:r>
        <w:rPr>
          <w:spacing w:val="-6"/>
        </w:rPr>
        <w:t> </w:t>
      </w:r>
      <w:r>
        <w:rPr/>
        <w:t>parameters</w:t>
      </w:r>
      <w:r>
        <w:rPr>
          <w:spacing w:val="-5"/>
        </w:rPr>
        <w:t> </w:t>
      </w:r>
      <w:r>
        <w:rPr/>
        <w:t>for</w:t>
      </w:r>
      <w:r>
        <w:rPr>
          <w:spacing w:val="-6"/>
        </w:rPr>
        <w:t> </w:t>
      </w:r>
      <w:r>
        <w:rPr/>
        <w:t>synthesis,</w:t>
      </w:r>
      <w:r>
        <w:rPr>
          <w:spacing w:val="-5"/>
        </w:rPr>
        <w:t> </w:t>
      </w:r>
      <w:r>
        <w:rPr/>
        <w:t>such</w:t>
      </w:r>
      <w:r>
        <w:rPr>
          <w:spacing w:val="-2"/>
        </w:rPr>
        <w:t> </w:t>
      </w:r>
      <w:r>
        <w:rPr/>
        <w:t>as</w:t>
      </w:r>
      <w:r>
        <w:rPr>
          <w:spacing w:val="-5"/>
        </w:rPr>
        <w:t> </w:t>
      </w:r>
      <w:r>
        <w:rPr/>
        <w:t>pH,</w:t>
      </w:r>
      <w:r>
        <w:rPr>
          <w:spacing w:val="-3"/>
        </w:rPr>
        <w:t> </w:t>
      </w:r>
      <w:r>
        <w:rPr/>
        <w:t>ionic force</w:t>
      </w:r>
      <w:r>
        <w:rPr>
          <w:spacing w:val="-12"/>
        </w:rPr>
        <w:t> </w:t>
      </w:r>
      <w:r>
        <w:rPr/>
        <w:t>of</w:t>
      </w:r>
      <w:r>
        <w:rPr>
          <w:spacing w:val="-11"/>
        </w:rPr>
        <w:t> </w:t>
      </w:r>
      <w:r>
        <w:rPr/>
        <w:t>the</w:t>
      </w:r>
      <w:r>
        <w:rPr>
          <w:spacing w:val="-11"/>
        </w:rPr>
        <w:t> </w:t>
      </w:r>
      <w:r>
        <w:rPr/>
        <w:t>medium</w:t>
      </w:r>
      <w:r>
        <w:rPr>
          <w:spacing w:val="-10"/>
        </w:rPr>
        <w:t> </w:t>
      </w:r>
      <w:r>
        <w:rPr/>
        <w:t>and</w:t>
      </w:r>
      <w:r>
        <w:rPr>
          <w:spacing w:val="-11"/>
        </w:rPr>
        <w:t> </w:t>
      </w:r>
      <w:r>
        <w:rPr/>
        <w:t>temperature</w:t>
      </w:r>
      <w:r>
        <w:rPr>
          <w:spacing w:val="-11"/>
        </w:rPr>
        <w:t> </w:t>
      </w:r>
      <w:r>
        <w:rPr/>
        <w:t>of</w:t>
      </w:r>
      <w:r>
        <w:rPr>
          <w:spacing w:val="-11"/>
        </w:rPr>
        <w:t> </w:t>
      </w:r>
      <w:r>
        <w:rPr/>
        <w:t>the</w:t>
      </w:r>
      <w:r>
        <w:rPr>
          <w:spacing w:val="-11"/>
        </w:rPr>
        <w:t> </w:t>
      </w:r>
      <w:r>
        <w:rPr/>
        <w:t>reaction</w:t>
      </w:r>
      <w:r>
        <w:rPr>
          <w:spacing w:val="-10"/>
        </w:rPr>
        <w:t> </w:t>
      </w:r>
      <w:r>
        <w:rPr/>
        <w:t>medium,</w:t>
      </w:r>
      <w:r>
        <w:rPr>
          <w:spacing w:val="-11"/>
        </w:rPr>
        <w:t> </w:t>
      </w:r>
      <w:r>
        <w:rPr/>
        <w:t>can</w:t>
      </w:r>
      <w:r>
        <w:rPr>
          <w:spacing w:val="-11"/>
        </w:rPr>
        <w:t> </w:t>
      </w:r>
      <w:r>
        <w:rPr/>
        <w:t>be</w:t>
      </w:r>
      <w:r>
        <w:rPr>
          <w:spacing w:val="-12"/>
        </w:rPr>
        <w:t> </w:t>
      </w:r>
      <w:r>
        <w:rPr/>
        <w:t>manipulated</w:t>
      </w:r>
      <w:r>
        <w:rPr>
          <w:spacing w:val="-11"/>
        </w:rPr>
        <w:t> </w:t>
      </w:r>
      <w:r>
        <w:rPr/>
        <w:t>during</w:t>
      </w:r>
      <w:r>
        <w:rPr>
          <w:spacing w:val="-13"/>
        </w:rPr>
        <w:t> </w:t>
      </w:r>
      <w:r>
        <w:rPr/>
        <w:t>synthesis in</w:t>
      </w:r>
      <w:r>
        <w:rPr>
          <w:spacing w:val="-12"/>
        </w:rPr>
        <w:t> </w:t>
      </w:r>
      <w:r>
        <w:rPr/>
        <w:t>order</w:t>
      </w:r>
      <w:r>
        <w:rPr>
          <w:spacing w:val="-12"/>
        </w:rPr>
        <w:t> </w:t>
      </w:r>
      <w:r>
        <w:rPr/>
        <w:t>to</w:t>
      </w:r>
      <w:r>
        <w:rPr>
          <w:spacing w:val="-9"/>
        </w:rPr>
        <w:t> </w:t>
      </w:r>
      <w:r>
        <w:rPr/>
        <w:t>control</w:t>
      </w:r>
      <w:r>
        <w:rPr>
          <w:spacing w:val="-11"/>
        </w:rPr>
        <w:t> </w:t>
      </w:r>
      <w:r>
        <w:rPr/>
        <w:t>the</w:t>
      </w:r>
      <w:r>
        <w:rPr>
          <w:spacing w:val="-12"/>
        </w:rPr>
        <w:t> </w:t>
      </w:r>
      <w:r>
        <w:rPr/>
        <w:t>size</w:t>
      </w:r>
      <w:r>
        <w:rPr>
          <w:spacing w:val="36"/>
        </w:rPr>
        <w:t> </w:t>
      </w:r>
      <w:r>
        <w:rPr/>
        <w:t>and</w:t>
      </w:r>
      <w:r>
        <w:rPr>
          <w:spacing w:val="-12"/>
        </w:rPr>
        <w:t> </w:t>
      </w:r>
      <w:r>
        <w:rPr/>
        <w:t>surface</w:t>
      </w:r>
      <w:r>
        <w:rPr>
          <w:spacing w:val="-12"/>
        </w:rPr>
        <w:t> </w:t>
      </w:r>
      <w:r>
        <w:rPr/>
        <w:t>properties</w:t>
      </w:r>
      <w:r>
        <w:rPr>
          <w:spacing w:val="-9"/>
        </w:rPr>
        <w:t> </w:t>
      </w:r>
      <w:r>
        <w:rPr/>
        <w:t>of</w:t>
      </w:r>
      <w:r>
        <w:rPr>
          <w:spacing w:val="-12"/>
        </w:rPr>
        <w:t> </w:t>
      </w:r>
      <w:r>
        <w:rPr/>
        <w:t>the</w:t>
      </w:r>
      <w:r>
        <w:rPr>
          <w:spacing w:val="-13"/>
        </w:rPr>
        <w:t> </w:t>
      </w:r>
      <w:r>
        <w:rPr/>
        <w:t>iron</w:t>
      </w:r>
      <w:r>
        <w:rPr>
          <w:spacing w:val="-11"/>
        </w:rPr>
        <w:t> </w:t>
      </w:r>
      <w:r>
        <w:rPr/>
        <w:t>oxide</w:t>
      </w:r>
      <w:r>
        <w:rPr>
          <w:spacing w:val="-12"/>
        </w:rPr>
        <w:t> </w:t>
      </w:r>
      <w:r>
        <w:rPr/>
        <w:t>nanoparticles</w:t>
      </w:r>
      <w:r>
        <w:rPr>
          <w:spacing w:val="-12"/>
        </w:rPr>
        <w:t> </w:t>
      </w:r>
      <w:r>
        <w:rPr/>
        <w:t>(Wu</w:t>
      </w:r>
      <w:r>
        <w:rPr>
          <w:spacing w:val="-7"/>
        </w:rPr>
        <w:t> </w:t>
      </w:r>
      <w:r>
        <w:rPr>
          <w:i/>
        </w:rPr>
        <w:t>et</w:t>
      </w:r>
      <w:r>
        <w:rPr>
          <w:i/>
          <w:spacing w:val="-12"/>
        </w:rPr>
        <w:t> </w:t>
      </w:r>
      <w:r>
        <w:rPr>
          <w:i/>
        </w:rPr>
        <w:t>al</w:t>
      </w:r>
      <w:r>
        <w:rPr/>
        <w:t>.,</w:t>
      </w:r>
      <w:r>
        <w:rPr>
          <w:spacing w:val="-11"/>
        </w:rPr>
        <w:t> </w:t>
      </w:r>
      <w:r>
        <w:rPr>
          <w:spacing w:val="-2"/>
        </w:rPr>
        <w:t>2015).</w:t>
      </w:r>
    </w:p>
    <w:p>
      <w:pPr>
        <w:pStyle w:val="Heading2"/>
        <w:numPr>
          <w:ilvl w:val="2"/>
          <w:numId w:val="3"/>
        </w:numPr>
        <w:tabs>
          <w:tab w:pos="841" w:val="left" w:leader="none"/>
        </w:tabs>
        <w:spacing w:line="240" w:lineRule="auto" w:before="201" w:after="0"/>
        <w:ind w:left="840" w:right="0" w:hanging="721"/>
        <w:jc w:val="both"/>
      </w:pPr>
      <w:r>
        <w:rPr>
          <w:spacing w:val="-2"/>
        </w:rPr>
        <w:t>Sol-</w:t>
      </w:r>
      <w:r>
        <w:rPr>
          <w:spacing w:val="-5"/>
        </w:rPr>
        <w:t>gel</w:t>
      </w:r>
    </w:p>
    <w:p>
      <w:pPr>
        <w:pStyle w:val="BodyText"/>
        <w:spacing w:before="6"/>
        <w:rPr>
          <w:b/>
          <w:sz w:val="23"/>
        </w:rPr>
      </w:pPr>
    </w:p>
    <w:p>
      <w:pPr>
        <w:pStyle w:val="BodyText"/>
        <w:spacing w:line="480" w:lineRule="auto"/>
        <w:ind w:left="120" w:right="113"/>
        <w:jc w:val="both"/>
      </w:pPr>
      <w:r>
        <w:rPr/>
        <w:t>Sol-gel method of synthesis refers to hydrolytic and condensation reaction of metal alkoxides or alkoxide</w:t>
      </w:r>
      <w:r>
        <w:rPr>
          <w:spacing w:val="-8"/>
        </w:rPr>
        <w:t> </w:t>
      </w:r>
      <w:r>
        <w:rPr/>
        <w:t>precursors,</w:t>
      </w:r>
      <w:r>
        <w:rPr>
          <w:spacing w:val="-5"/>
        </w:rPr>
        <w:t> </w:t>
      </w:r>
      <w:r>
        <w:rPr/>
        <w:t>which</w:t>
      </w:r>
      <w:r>
        <w:rPr>
          <w:spacing w:val="-7"/>
        </w:rPr>
        <w:t> </w:t>
      </w:r>
      <w:r>
        <w:rPr/>
        <w:t>result</w:t>
      </w:r>
      <w:r>
        <w:rPr>
          <w:spacing w:val="-6"/>
        </w:rPr>
        <w:t> </w:t>
      </w:r>
      <w:r>
        <w:rPr/>
        <w:t>in</w:t>
      </w:r>
      <w:r>
        <w:rPr>
          <w:spacing w:val="-7"/>
        </w:rPr>
        <w:t> </w:t>
      </w:r>
      <w:r>
        <w:rPr/>
        <w:t>scattering</w:t>
      </w:r>
      <w:r>
        <w:rPr>
          <w:spacing w:val="-10"/>
        </w:rPr>
        <w:t> </w:t>
      </w:r>
      <w:r>
        <w:rPr/>
        <w:t>of</w:t>
      </w:r>
      <w:r>
        <w:rPr>
          <w:spacing w:val="-3"/>
        </w:rPr>
        <w:t> </w:t>
      </w:r>
      <w:r>
        <w:rPr/>
        <w:t>oxide</w:t>
      </w:r>
      <w:r>
        <w:rPr>
          <w:spacing w:val="-8"/>
        </w:rPr>
        <w:t> </w:t>
      </w:r>
      <w:r>
        <w:rPr/>
        <w:t>particles</w:t>
      </w:r>
      <w:r>
        <w:rPr>
          <w:spacing w:val="-7"/>
        </w:rPr>
        <w:t> </w:t>
      </w:r>
      <w:r>
        <w:rPr/>
        <w:t>in</w:t>
      </w:r>
      <w:r>
        <w:rPr>
          <w:spacing w:val="-7"/>
        </w:rPr>
        <w:t> </w:t>
      </w:r>
      <w:r>
        <w:rPr/>
        <w:t>“sol”,</w:t>
      </w:r>
      <w:r>
        <w:rPr>
          <w:spacing w:val="-5"/>
        </w:rPr>
        <w:t> </w:t>
      </w:r>
      <w:r>
        <w:rPr/>
        <w:t>and</w:t>
      </w:r>
      <w:r>
        <w:rPr>
          <w:spacing w:val="-7"/>
        </w:rPr>
        <w:t> </w:t>
      </w:r>
      <w:r>
        <w:rPr/>
        <w:t>thereafter,</w:t>
      </w:r>
      <w:r>
        <w:rPr>
          <w:spacing w:val="-6"/>
        </w:rPr>
        <w:t> </w:t>
      </w:r>
      <w:r>
        <w:rPr/>
        <w:t>it</w:t>
      </w:r>
      <w:r>
        <w:rPr>
          <w:spacing w:val="-7"/>
        </w:rPr>
        <w:t> </w:t>
      </w:r>
      <w:r>
        <w:rPr/>
        <w:t>is</w:t>
      </w:r>
      <w:r>
        <w:rPr>
          <w:spacing w:val="-6"/>
        </w:rPr>
        <w:t> </w:t>
      </w:r>
      <w:r>
        <w:rPr/>
        <w:t>dried or gelled either by solvent removal or by chemical reaction. Due to their large surface to volume ratio, magnetic iron oxide nanoparticles has high surface energies and likely form clusters or aggregate that result in increase in the size of particle. Again, exposed iron oxide particles are chemically</w:t>
      </w:r>
      <w:r>
        <w:rPr>
          <w:spacing w:val="-9"/>
        </w:rPr>
        <w:t> </w:t>
      </w:r>
      <w:r>
        <w:rPr/>
        <w:t>highly</w:t>
      </w:r>
      <w:r>
        <w:rPr>
          <w:spacing w:val="-6"/>
        </w:rPr>
        <w:t> </w:t>
      </w:r>
      <w:r>
        <w:rPr/>
        <w:t>reactive</w:t>
      </w:r>
      <w:r>
        <w:rPr>
          <w:spacing w:val="-2"/>
        </w:rPr>
        <w:t> </w:t>
      </w:r>
      <w:r>
        <w:rPr/>
        <w:t>and</w:t>
      </w:r>
      <w:r>
        <w:rPr>
          <w:spacing w:val="-1"/>
        </w:rPr>
        <w:t> </w:t>
      </w:r>
      <w:r>
        <w:rPr/>
        <w:t>are</w:t>
      </w:r>
      <w:r>
        <w:rPr>
          <w:spacing w:val="-1"/>
        </w:rPr>
        <w:t> </w:t>
      </w:r>
      <w:r>
        <w:rPr/>
        <w:t>easily</w:t>
      </w:r>
      <w:r>
        <w:rPr>
          <w:spacing w:val="-6"/>
        </w:rPr>
        <w:t> </w:t>
      </w:r>
      <w:r>
        <w:rPr/>
        <w:t>oxidized</w:t>
      </w:r>
      <w:r>
        <w:rPr>
          <w:spacing w:val="-4"/>
        </w:rPr>
        <w:t> </w:t>
      </w:r>
      <w:r>
        <w:rPr/>
        <w:t>in</w:t>
      </w:r>
      <w:r>
        <w:rPr>
          <w:spacing w:val="-1"/>
        </w:rPr>
        <w:t> </w:t>
      </w:r>
      <w:r>
        <w:rPr/>
        <w:t>air,</w:t>
      </w:r>
      <w:r>
        <w:rPr>
          <w:spacing w:val="-1"/>
        </w:rPr>
        <w:t> </w:t>
      </w:r>
      <w:r>
        <w:rPr/>
        <w:t>mostly</w:t>
      </w:r>
      <w:r>
        <w:rPr>
          <w:spacing w:val="-9"/>
        </w:rPr>
        <w:t> </w:t>
      </w:r>
      <w:r>
        <w:rPr/>
        <w:t>leading</w:t>
      </w:r>
      <w:r>
        <w:rPr>
          <w:spacing w:val="-4"/>
        </w:rPr>
        <w:t> </w:t>
      </w:r>
      <w:r>
        <w:rPr/>
        <w:t>to</w:t>
      </w:r>
      <w:r>
        <w:rPr>
          <w:spacing w:val="-1"/>
        </w:rPr>
        <w:t> </w:t>
      </w:r>
      <w:r>
        <w:rPr/>
        <w:t>loss</w:t>
      </w:r>
      <w:r>
        <w:rPr>
          <w:spacing w:val="-1"/>
        </w:rPr>
        <w:t> </w:t>
      </w:r>
      <w:r>
        <w:rPr/>
        <w:t>of</w:t>
      </w:r>
      <w:r>
        <w:rPr>
          <w:spacing w:val="-1"/>
        </w:rPr>
        <w:t> </w:t>
      </w:r>
      <w:r>
        <w:rPr/>
        <w:t>magnetism</w:t>
      </w:r>
      <w:r>
        <w:rPr>
          <w:spacing w:val="-1"/>
        </w:rPr>
        <w:t> </w:t>
      </w:r>
      <w:r>
        <w:rPr/>
        <w:t>and dispersibility. Organic molecules, polymers, biomolecules or inorganic molecules, such as silica are used to coat the surface of nanoparticles as an approach to prevent agglomeration. Various polymers such as polyvinyl alcohol, polylactide-co-glycolide, polyethyleneimine, polymethylmethacrylate</w:t>
      </w:r>
      <w:r>
        <w:rPr>
          <w:spacing w:val="-3"/>
        </w:rPr>
        <w:t> </w:t>
      </w:r>
      <w:r>
        <w:rPr/>
        <w:t>and</w:t>
      </w:r>
      <w:r>
        <w:rPr>
          <w:spacing w:val="-4"/>
        </w:rPr>
        <w:t> </w:t>
      </w:r>
      <w:r>
        <w:rPr/>
        <w:t>polyethylene</w:t>
      </w:r>
      <w:r>
        <w:rPr>
          <w:spacing w:val="-3"/>
        </w:rPr>
        <w:t> </w:t>
      </w:r>
      <w:r>
        <w:rPr/>
        <w:t>glycol</w:t>
      </w:r>
      <w:r>
        <w:rPr>
          <w:spacing w:val="-4"/>
        </w:rPr>
        <w:t> </w:t>
      </w:r>
      <w:r>
        <w:rPr/>
        <w:t>as</w:t>
      </w:r>
      <w:r>
        <w:rPr>
          <w:spacing w:val="-4"/>
        </w:rPr>
        <w:t> </w:t>
      </w:r>
      <w:r>
        <w:rPr/>
        <w:t>well</w:t>
      </w:r>
      <w:r>
        <w:rPr>
          <w:spacing w:val="-4"/>
        </w:rPr>
        <w:t> </w:t>
      </w:r>
      <w:r>
        <w:rPr/>
        <w:t>as</w:t>
      </w:r>
      <w:r>
        <w:rPr>
          <w:spacing w:val="-4"/>
        </w:rPr>
        <w:t> </w:t>
      </w:r>
      <w:r>
        <w:rPr/>
        <w:t>natural</w:t>
      </w:r>
      <w:r>
        <w:rPr>
          <w:spacing w:val="-4"/>
        </w:rPr>
        <w:t> </w:t>
      </w:r>
      <w:r>
        <w:rPr/>
        <w:t>polymeric</w:t>
      </w:r>
      <w:r>
        <w:rPr>
          <w:spacing w:val="-6"/>
        </w:rPr>
        <w:t> </w:t>
      </w:r>
      <w:r>
        <w:rPr/>
        <w:t>systems</w:t>
      </w:r>
      <w:r>
        <w:rPr>
          <w:spacing w:val="-4"/>
        </w:rPr>
        <w:t> </w:t>
      </w:r>
      <w:r>
        <w:rPr/>
        <w:t>or</w:t>
      </w:r>
      <w:r>
        <w:rPr>
          <w:spacing w:val="-4"/>
        </w:rPr>
        <w:t> </w:t>
      </w:r>
      <w:r>
        <w:rPr/>
        <w:t>proteins with gelatin, chitosan and dextrosan have</w:t>
      </w:r>
      <w:r>
        <w:rPr>
          <w:spacing w:val="-1"/>
        </w:rPr>
        <w:t> </w:t>
      </w:r>
      <w:r>
        <w:rPr/>
        <w:t>been applied. Among inorganic coatings, silica, carbon and</w:t>
      </w:r>
      <w:r>
        <w:rPr>
          <w:spacing w:val="-7"/>
        </w:rPr>
        <w:t> </w:t>
      </w:r>
      <w:r>
        <w:rPr/>
        <w:t>precious</w:t>
      </w:r>
      <w:r>
        <w:rPr>
          <w:spacing w:val="-3"/>
        </w:rPr>
        <w:t> </w:t>
      </w:r>
      <w:r>
        <w:rPr/>
        <w:t>metals</w:t>
      </w:r>
      <w:r>
        <w:rPr>
          <w:spacing w:val="-3"/>
        </w:rPr>
        <w:t> </w:t>
      </w:r>
      <w:r>
        <w:rPr/>
        <w:t>such</w:t>
      </w:r>
      <w:r>
        <w:rPr>
          <w:spacing w:val="-2"/>
        </w:rPr>
        <w:t> </w:t>
      </w:r>
      <w:r>
        <w:rPr/>
        <w:t>as</w:t>
      </w:r>
      <w:r>
        <w:rPr>
          <w:spacing w:val="-4"/>
        </w:rPr>
        <w:t> </w:t>
      </w:r>
      <w:r>
        <w:rPr/>
        <w:t>gold,</w:t>
      </w:r>
      <w:r>
        <w:rPr>
          <w:spacing w:val="-3"/>
        </w:rPr>
        <w:t> </w:t>
      </w:r>
      <w:r>
        <w:rPr/>
        <w:t>silver</w:t>
      </w:r>
      <w:r>
        <w:rPr>
          <w:spacing w:val="-1"/>
        </w:rPr>
        <w:t> </w:t>
      </w:r>
      <w:r>
        <w:rPr/>
        <w:t>and</w:t>
      </w:r>
      <w:r>
        <w:rPr>
          <w:spacing w:val="-4"/>
        </w:rPr>
        <w:t> </w:t>
      </w:r>
      <w:r>
        <w:rPr/>
        <w:t>platinum</w:t>
      </w:r>
      <w:r>
        <w:rPr>
          <w:spacing w:val="-2"/>
        </w:rPr>
        <w:t> </w:t>
      </w:r>
      <w:r>
        <w:rPr/>
        <w:t>have</w:t>
      </w:r>
      <w:r>
        <w:rPr>
          <w:spacing w:val="-5"/>
        </w:rPr>
        <w:t> </w:t>
      </w:r>
      <w:r>
        <w:rPr/>
        <w:t>been</w:t>
      </w:r>
      <w:r>
        <w:rPr>
          <w:spacing w:val="-1"/>
        </w:rPr>
        <w:t> </w:t>
      </w:r>
      <w:r>
        <w:rPr/>
        <w:t>widely</w:t>
      </w:r>
      <w:r>
        <w:rPr>
          <w:spacing w:val="-9"/>
        </w:rPr>
        <w:t> </w:t>
      </w:r>
      <w:r>
        <w:rPr/>
        <w:t>applied</w:t>
      </w:r>
      <w:r>
        <w:rPr>
          <w:spacing w:val="-2"/>
        </w:rPr>
        <w:t> </w:t>
      </w:r>
      <w:r>
        <w:rPr/>
        <w:t>(Wu</w:t>
      </w:r>
      <w:r>
        <w:rPr>
          <w:spacing w:val="-3"/>
        </w:rPr>
        <w:t> </w:t>
      </w:r>
      <w:r>
        <w:rPr>
          <w:i/>
        </w:rPr>
        <w:t>et</w:t>
      </w:r>
      <w:r>
        <w:rPr>
          <w:i/>
          <w:spacing w:val="-3"/>
        </w:rPr>
        <w:t> </w:t>
      </w:r>
      <w:r>
        <w:rPr>
          <w:i/>
        </w:rPr>
        <w:t>al.,</w:t>
      </w:r>
      <w:r>
        <w:rPr>
          <w:i/>
          <w:spacing w:val="-3"/>
        </w:rPr>
        <w:t> </w:t>
      </w:r>
      <w:r>
        <w:rPr>
          <w:spacing w:val="-2"/>
        </w:rPr>
        <w:t>2015).</w:t>
      </w:r>
    </w:p>
    <w:p>
      <w:pPr>
        <w:pStyle w:val="Heading2"/>
        <w:numPr>
          <w:ilvl w:val="2"/>
          <w:numId w:val="3"/>
        </w:numPr>
        <w:tabs>
          <w:tab w:pos="841" w:val="left" w:leader="none"/>
        </w:tabs>
        <w:spacing w:line="240" w:lineRule="auto" w:before="206" w:after="0"/>
        <w:ind w:left="840" w:right="0" w:hanging="721"/>
        <w:jc w:val="both"/>
      </w:pPr>
      <w:r>
        <w:rPr>
          <w:spacing w:val="-2"/>
        </w:rPr>
        <w:t>Microemulsion</w:t>
      </w:r>
    </w:p>
    <w:p>
      <w:pPr>
        <w:spacing w:after="0" w:line="240" w:lineRule="auto"/>
        <w:jc w:val="both"/>
        <w:sectPr>
          <w:pgSz w:w="12240" w:h="15840"/>
          <w:pgMar w:header="0" w:footer="1015" w:top="1360" w:bottom="1200" w:left="1320" w:right="1320"/>
        </w:sectPr>
      </w:pPr>
    </w:p>
    <w:p>
      <w:pPr>
        <w:pStyle w:val="BodyText"/>
        <w:spacing w:line="480" w:lineRule="auto" w:before="72"/>
        <w:ind w:left="120" w:right="118"/>
        <w:jc w:val="both"/>
      </w:pPr>
      <w:r>
        <w:rPr/>
        <w:t>Microemulsion</w:t>
      </w:r>
      <w:r>
        <w:rPr/>
        <w:t> method</w:t>
      </w:r>
      <w:r>
        <w:rPr/>
        <w:t> of</w:t>
      </w:r>
      <w:r>
        <w:rPr/>
        <w:t> synthesis of iron oxide nanopartiples has been used widely in the synthesis of catalytic iron oxide due to the particles yield with very small pore size ranging from 4-15</w:t>
      </w:r>
      <w:r>
        <w:rPr>
          <w:spacing w:val="-3"/>
        </w:rPr>
        <w:t> </w:t>
      </w:r>
      <w:r>
        <w:rPr/>
        <w:t>nm</w:t>
      </w:r>
      <w:r>
        <w:rPr>
          <w:spacing w:val="-3"/>
        </w:rPr>
        <w:t> </w:t>
      </w:r>
      <w:r>
        <w:rPr/>
        <w:t>and</w:t>
      </w:r>
      <w:r>
        <w:rPr>
          <w:spacing w:val="-3"/>
        </w:rPr>
        <w:t> </w:t>
      </w:r>
      <w:r>
        <w:rPr/>
        <w:t>high</w:t>
      </w:r>
      <w:r>
        <w:rPr>
          <w:spacing w:val="-1"/>
        </w:rPr>
        <w:t> </w:t>
      </w:r>
      <w:r>
        <w:rPr/>
        <w:t>surface</w:t>
      </w:r>
      <w:r>
        <w:rPr>
          <w:spacing w:val="-2"/>
        </w:rPr>
        <w:t> </w:t>
      </w:r>
      <w:r>
        <w:rPr/>
        <w:t>area</w:t>
      </w:r>
      <w:r>
        <w:rPr>
          <w:spacing w:val="-4"/>
        </w:rPr>
        <w:t> </w:t>
      </w:r>
      <w:r>
        <w:rPr/>
        <w:t>of</w:t>
      </w:r>
      <w:r>
        <w:rPr>
          <w:spacing w:val="-3"/>
        </w:rPr>
        <w:t> </w:t>
      </w:r>
      <w:r>
        <w:rPr/>
        <w:t>315</w:t>
      </w:r>
      <w:r>
        <w:rPr>
          <w:spacing w:val="-3"/>
        </w:rPr>
        <w:t> </w:t>
      </w:r>
      <w:r>
        <w:rPr/>
        <w:t>m2/g</w:t>
      </w:r>
      <w:r>
        <w:rPr>
          <w:spacing w:val="-6"/>
        </w:rPr>
        <w:t> </w:t>
      </w:r>
      <w:r>
        <w:rPr/>
        <w:t>with</w:t>
      </w:r>
      <w:r>
        <w:rPr>
          <w:spacing w:val="-3"/>
        </w:rPr>
        <w:t> </w:t>
      </w:r>
      <w:r>
        <w:rPr/>
        <w:t>spherical</w:t>
      </w:r>
      <w:r>
        <w:rPr>
          <w:spacing w:val="-3"/>
        </w:rPr>
        <w:t> </w:t>
      </w:r>
      <w:r>
        <w:rPr/>
        <w:t>or</w:t>
      </w:r>
      <w:r>
        <w:rPr>
          <w:spacing w:val="-2"/>
        </w:rPr>
        <w:t> </w:t>
      </w:r>
      <w:r>
        <w:rPr/>
        <w:t>cubic</w:t>
      </w:r>
      <w:r>
        <w:rPr>
          <w:spacing w:val="-3"/>
        </w:rPr>
        <w:t> </w:t>
      </w:r>
      <w:r>
        <w:rPr/>
        <w:t>morphology</w:t>
      </w:r>
      <w:r>
        <w:rPr>
          <w:spacing w:val="-8"/>
        </w:rPr>
        <w:t> </w:t>
      </w:r>
      <w:r>
        <w:rPr/>
        <w:t>(Bumajdad </w:t>
      </w:r>
      <w:r>
        <w:rPr>
          <w:i/>
        </w:rPr>
        <w:t>et</w:t>
      </w:r>
      <w:r>
        <w:rPr>
          <w:i/>
          <w:spacing w:val="-3"/>
        </w:rPr>
        <w:t> </w:t>
      </w:r>
      <w:r>
        <w:rPr>
          <w:i/>
        </w:rPr>
        <w:t>al</w:t>
      </w:r>
      <w:r>
        <w:rPr/>
        <w:t>., </w:t>
      </w:r>
      <w:r>
        <w:rPr>
          <w:spacing w:val="-2"/>
        </w:rPr>
        <w:t>2011).</w:t>
      </w:r>
    </w:p>
    <w:p>
      <w:pPr>
        <w:pStyle w:val="BodyText"/>
        <w:spacing w:line="480" w:lineRule="auto"/>
        <w:ind w:left="120" w:right="115"/>
        <w:jc w:val="both"/>
      </w:pPr>
      <w:r>
        <w:rPr/>
        <w:t>water-in-oil</w:t>
      </w:r>
      <w:r>
        <w:rPr/>
        <w:t> micro</w:t>
      </w:r>
      <w:r>
        <w:rPr/>
        <w:t> emulsion,</w:t>
      </w:r>
      <w:r>
        <w:rPr/>
        <w:t> which</w:t>
      </w:r>
      <w:r>
        <w:rPr/>
        <w:t> is made up of cationic or non-ionic surfactant, known as Triton-X; a co-surfactant such as glycols; hexanol, or 1-butanol; oil phase, such as n-octane or cyclohexane; and aqueous phase have been used in the synthesis of magnetic iron oxide nanoparticles having a controlled size and morphology (Wu </w:t>
      </w:r>
      <w:r>
        <w:rPr>
          <w:i/>
        </w:rPr>
        <w:t>et al., </w:t>
      </w:r>
      <w:r>
        <w:rPr/>
        <w:t>2014). Micro emulsion is obtained by adding an aqueous solution of iron salt precursors to a mixture of surfactant and co- surfactant.</w:t>
      </w:r>
      <w:r>
        <w:rPr>
          <w:spacing w:val="-3"/>
        </w:rPr>
        <w:t> </w:t>
      </w:r>
      <w:r>
        <w:rPr/>
        <w:t>Magnetic</w:t>
      </w:r>
      <w:r>
        <w:rPr>
          <w:spacing w:val="-4"/>
        </w:rPr>
        <w:t> </w:t>
      </w:r>
      <w:r>
        <w:rPr/>
        <w:t>nanoparticles</w:t>
      </w:r>
      <w:r>
        <w:rPr>
          <w:spacing w:val="-3"/>
        </w:rPr>
        <w:t> </w:t>
      </w:r>
      <w:r>
        <w:rPr/>
        <w:t>can</w:t>
      </w:r>
      <w:r>
        <w:rPr>
          <w:spacing w:val="-3"/>
        </w:rPr>
        <w:t> </w:t>
      </w:r>
      <w:r>
        <w:rPr/>
        <w:t>be</w:t>
      </w:r>
      <w:r>
        <w:rPr>
          <w:spacing w:val="-4"/>
        </w:rPr>
        <w:t> </w:t>
      </w:r>
      <w:r>
        <w:rPr/>
        <w:t>synthesized</w:t>
      </w:r>
      <w:r>
        <w:rPr>
          <w:spacing w:val="-3"/>
        </w:rPr>
        <w:t> </w:t>
      </w:r>
      <w:r>
        <w:rPr/>
        <w:t>by</w:t>
      </w:r>
      <w:r>
        <w:rPr>
          <w:spacing w:val="-11"/>
        </w:rPr>
        <w:t> </w:t>
      </w:r>
      <w:r>
        <w:rPr/>
        <w:t>the</w:t>
      </w:r>
      <w:r>
        <w:rPr>
          <w:spacing w:val="-3"/>
        </w:rPr>
        <w:t> </w:t>
      </w:r>
      <w:r>
        <w:rPr/>
        <w:t>addition</w:t>
      </w:r>
      <w:r>
        <w:rPr>
          <w:spacing w:val="-3"/>
        </w:rPr>
        <w:t> </w:t>
      </w:r>
      <w:r>
        <w:rPr/>
        <w:t>of</w:t>
      </w:r>
      <w:r>
        <w:rPr>
          <w:spacing w:val="-3"/>
        </w:rPr>
        <w:t> </w:t>
      </w:r>
      <w:r>
        <w:rPr/>
        <w:t>a</w:t>
      </w:r>
      <w:r>
        <w:rPr>
          <w:spacing w:val="-5"/>
        </w:rPr>
        <w:t> </w:t>
      </w:r>
      <w:r>
        <w:rPr/>
        <w:t>precipitating</w:t>
      </w:r>
      <w:r>
        <w:rPr>
          <w:spacing w:val="-5"/>
        </w:rPr>
        <w:t> </w:t>
      </w:r>
      <w:r>
        <w:rPr/>
        <w:t>agent</w:t>
      </w:r>
      <w:r>
        <w:rPr>
          <w:spacing w:val="-3"/>
        </w:rPr>
        <w:t> </w:t>
      </w:r>
      <w:r>
        <w:rPr/>
        <w:t>like ammonia to the micro emulsion that contains the iron precursors with continuous agitation. Agglomeration of nanoparticles in the process of synthesis is observed to be dependent on the experimental parameters like temperature, pH, reaction medium, washing cycles, among others (Wu </w:t>
      </w:r>
      <w:r>
        <w:rPr>
          <w:i/>
        </w:rPr>
        <w:t>et al., </w:t>
      </w:r>
      <w:r>
        <w:rPr/>
        <w:t>2014; Bumajdad </w:t>
      </w:r>
      <w:r>
        <w:rPr>
          <w:i/>
        </w:rPr>
        <w:t>et al</w:t>
      </w:r>
      <w:r>
        <w:rPr/>
        <w:t>., 2015).</w:t>
      </w:r>
    </w:p>
    <w:p>
      <w:pPr>
        <w:pStyle w:val="BodyText"/>
        <w:spacing w:line="480" w:lineRule="auto" w:before="2"/>
        <w:ind w:left="120" w:right="114"/>
        <w:jc w:val="both"/>
      </w:pPr>
      <w:r>
        <w:rPr/>
        <w:t>Among</w:t>
      </w:r>
      <w:r>
        <w:rPr/>
        <w:t> the</w:t>
      </w:r>
      <w:r>
        <w:rPr/>
        <w:t> different</w:t>
      </w:r>
      <w:r>
        <w:rPr/>
        <w:t> methods</w:t>
      </w:r>
      <w:r>
        <w:rPr/>
        <w:t> of</w:t>
      </w:r>
      <w:r>
        <w:rPr/>
        <w:t> synthesizing iron oxide nanoparticles, water-in-oil</w:t>
      </w:r>
      <w:r>
        <w:rPr/>
        <w:t> micro emulsion</w:t>
      </w:r>
      <w:r>
        <w:rPr>
          <w:spacing w:val="-5"/>
        </w:rPr>
        <w:t> </w:t>
      </w:r>
      <w:r>
        <w:rPr/>
        <w:t>methods</w:t>
      </w:r>
      <w:r>
        <w:rPr>
          <w:spacing w:val="-6"/>
        </w:rPr>
        <w:t> </w:t>
      </w:r>
      <w:r>
        <w:rPr/>
        <w:t>have</w:t>
      </w:r>
      <w:r>
        <w:rPr>
          <w:spacing w:val="-7"/>
        </w:rPr>
        <w:t> </w:t>
      </w:r>
      <w:r>
        <w:rPr/>
        <w:t>been</w:t>
      </w:r>
      <w:r>
        <w:rPr>
          <w:spacing w:val="-6"/>
        </w:rPr>
        <w:t> </w:t>
      </w:r>
      <w:r>
        <w:rPr/>
        <w:t>very</w:t>
      </w:r>
      <w:r>
        <w:rPr>
          <w:spacing w:val="-12"/>
        </w:rPr>
        <w:t> </w:t>
      </w:r>
      <w:r>
        <w:rPr/>
        <w:t>interesting</w:t>
      </w:r>
      <w:r>
        <w:rPr>
          <w:spacing w:val="-7"/>
        </w:rPr>
        <w:t> </w:t>
      </w:r>
      <w:r>
        <w:rPr/>
        <w:t>as</w:t>
      </w:r>
      <w:r>
        <w:rPr>
          <w:spacing w:val="-5"/>
        </w:rPr>
        <w:t> </w:t>
      </w:r>
      <w:r>
        <w:rPr/>
        <w:t>it</w:t>
      </w:r>
      <w:r>
        <w:rPr>
          <w:spacing w:val="-4"/>
        </w:rPr>
        <w:t> </w:t>
      </w:r>
      <w:r>
        <w:rPr/>
        <w:t>accurately</w:t>
      </w:r>
      <w:r>
        <w:rPr>
          <w:spacing w:val="-12"/>
        </w:rPr>
        <w:t> </w:t>
      </w:r>
      <w:r>
        <w:rPr/>
        <w:t>influence</w:t>
      </w:r>
      <w:r>
        <w:rPr>
          <w:spacing w:val="-6"/>
        </w:rPr>
        <w:t> </w:t>
      </w:r>
      <w:r>
        <w:rPr/>
        <w:t>the</w:t>
      </w:r>
      <w:r>
        <w:rPr>
          <w:spacing w:val="-5"/>
        </w:rPr>
        <w:t> </w:t>
      </w:r>
      <w:r>
        <w:rPr/>
        <w:t>size</w:t>
      </w:r>
      <w:r>
        <w:rPr>
          <w:spacing w:val="-6"/>
        </w:rPr>
        <w:t> </w:t>
      </w:r>
      <w:r>
        <w:rPr/>
        <w:t>and</w:t>
      </w:r>
      <w:r>
        <w:rPr>
          <w:spacing w:val="-5"/>
        </w:rPr>
        <w:t> </w:t>
      </w:r>
      <w:r>
        <w:rPr/>
        <w:t>distribution</w:t>
      </w:r>
      <w:r>
        <w:rPr>
          <w:spacing w:val="-7"/>
        </w:rPr>
        <w:t> </w:t>
      </w:r>
      <w:r>
        <w:rPr/>
        <w:t>of different nanoparticles to about 7 – 10 nm. Not only, have micro emulsions also displayed a significant</w:t>
      </w:r>
      <w:r>
        <w:rPr>
          <w:spacing w:val="-15"/>
        </w:rPr>
        <w:t> </w:t>
      </w:r>
      <w:r>
        <w:rPr/>
        <w:t>variation</w:t>
      </w:r>
      <w:r>
        <w:rPr>
          <w:spacing w:val="-15"/>
        </w:rPr>
        <w:t> </w:t>
      </w:r>
      <w:r>
        <w:rPr/>
        <w:t>in</w:t>
      </w:r>
      <w:r>
        <w:rPr>
          <w:spacing w:val="-15"/>
        </w:rPr>
        <w:t> </w:t>
      </w:r>
      <w:r>
        <w:rPr/>
        <w:t>structures,</w:t>
      </w:r>
      <w:r>
        <w:rPr>
          <w:spacing w:val="-15"/>
        </w:rPr>
        <w:t> </w:t>
      </w:r>
      <w:r>
        <w:rPr/>
        <w:t>such</w:t>
      </w:r>
      <w:r>
        <w:rPr>
          <w:spacing w:val="-15"/>
        </w:rPr>
        <w:t> </w:t>
      </w:r>
      <w:r>
        <w:rPr/>
        <w:t>as</w:t>
      </w:r>
      <w:r>
        <w:rPr>
          <w:spacing w:val="-15"/>
        </w:rPr>
        <w:t> </w:t>
      </w:r>
      <w:r>
        <w:rPr/>
        <w:t>globular,</w:t>
      </w:r>
      <w:r>
        <w:rPr>
          <w:spacing w:val="-15"/>
        </w:rPr>
        <w:t> </w:t>
      </w:r>
      <w:r>
        <w:rPr/>
        <w:t>spherical</w:t>
      </w:r>
      <w:r>
        <w:rPr>
          <w:spacing w:val="-15"/>
        </w:rPr>
        <w:t> </w:t>
      </w:r>
      <w:r>
        <w:rPr/>
        <w:t>aggregates,</w:t>
      </w:r>
      <w:r>
        <w:rPr>
          <w:spacing w:val="-15"/>
        </w:rPr>
        <w:t> </w:t>
      </w:r>
      <w:r>
        <w:rPr/>
        <w:t>bi-continuous</w:t>
      </w:r>
      <w:r>
        <w:rPr>
          <w:spacing w:val="-15"/>
        </w:rPr>
        <w:t> </w:t>
      </w:r>
      <w:r>
        <w:rPr/>
        <w:t>and</w:t>
      </w:r>
      <w:r>
        <w:rPr>
          <w:spacing w:val="-15"/>
        </w:rPr>
        <w:t> </w:t>
      </w:r>
      <w:r>
        <w:rPr/>
        <w:t>tubular bi-continuous (Okoli </w:t>
      </w:r>
      <w:r>
        <w:rPr>
          <w:i/>
        </w:rPr>
        <w:t>et al</w:t>
      </w:r>
      <w:r>
        <w:rPr/>
        <w:t>., 2015; Wu </w:t>
      </w:r>
      <w:r>
        <w:rPr>
          <w:i/>
        </w:rPr>
        <w:t>et al</w:t>
      </w:r>
      <w:r>
        <w:rPr/>
        <w:t>., 2015).</w:t>
      </w:r>
    </w:p>
    <w:p>
      <w:pPr>
        <w:pStyle w:val="Heading2"/>
        <w:numPr>
          <w:ilvl w:val="2"/>
          <w:numId w:val="3"/>
        </w:numPr>
        <w:tabs>
          <w:tab w:pos="841" w:val="left" w:leader="none"/>
        </w:tabs>
        <w:spacing w:line="240" w:lineRule="auto" w:before="205" w:after="0"/>
        <w:ind w:left="840" w:right="0" w:hanging="721"/>
        <w:jc w:val="both"/>
      </w:pPr>
      <w:r>
        <w:rPr/>
        <w:t>Biological</w:t>
      </w:r>
      <w:r>
        <w:rPr>
          <w:spacing w:val="-5"/>
        </w:rPr>
        <w:t> </w:t>
      </w:r>
      <w:r>
        <w:rPr/>
        <w:t>synthesis</w:t>
      </w:r>
      <w:r>
        <w:rPr>
          <w:spacing w:val="-6"/>
        </w:rPr>
        <w:t> </w:t>
      </w:r>
      <w:r>
        <w:rPr/>
        <w:t>using</w:t>
      </w:r>
      <w:r>
        <w:rPr>
          <w:spacing w:val="-5"/>
        </w:rPr>
        <w:t> </w:t>
      </w:r>
      <w:r>
        <w:rPr/>
        <w:t>plant</w:t>
      </w:r>
      <w:r>
        <w:rPr>
          <w:spacing w:val="-5"/>
        </w:rPr>
        <w:t> </w:t>
      </w:r>
      <w:r>
        <w:rPr>
          <w:spacing w:val="-2"/>
        </w:rPr>
        <w:t>extracts</w:t>
      </w:r>
    </w:p>
    <w:p>
      <w:pPr>
        <w:pStyle w:val="BodyText"/>
        <w:spacing w:before="6"/>
        <w:rPr>
          <w:b/>
          <w:sz w:val="23"/>
        </w:rPr>
      </w:pPr>
    </w:p>
    <w:p>
      <w:pPr>
        <w:pStyle w:val="BodyText"/>
        <w:spacing w:line="480" w:lineRule="auto"/>
        <w:ind w:left="120" w:right="117"/>
        <w:jc w:val="both"/>
        <w:rPr>
          <w:i/>
        </w:rPr>
      </w:pPr>
      <w:r>
        <w:rPr/>
        <w:t>Biological</w:t>
      </w:r>
      <w:r>
        <w:rPr>
          <w:spacing w:val="-11"/>
        </w:rPr>
        <w:t> </w:t>
      </w:r>
      <w:r>
        <w:rPr/>
        <w:t>synthesis</w:t>
      </w:r>
      <w:r>
        <w:rPr>
          <w:spacing w:val="-10"/>
        </w:rPr>
        <w:t> </w:t>
      </w:r>
      <w:r>
        <w:rPr/>
        <w:t>of</w:t>
      </w:r>
      <w:r>
        <w:rPr>
          <w:spacing w:val="-11"/>
        </w:rPr>
        <w:t> </w:t>
      </w:r>
      <w:r>
        <w:rPr/>
        <w:t>nanoparticles</w:t>
      </w:r>
      <w:r>
        <w:rPr>
          <w:spacing w:val="-9"/>
        </w:rPr>
        <w:t> </w:t>
      </w:r>
      <w:r>
        <w:rPr/>
        <w:t>with</w:t>
      </w:r>
      <w:r>
        <w:rPr>
          <w:spacing w:val="-10"/>
        </w:rPr>
        <w:t> </w:t>
      </w:r>
      <w:r>
        <w:rPr/>
        <w:t>the</w:t>
      </w:r>
      <w:r>
        <w:rPr>
          <w:spacing w:val="-11"/>
        </w:rPr>
        <w:t> </w:t>
      </w:r>
      <w:r>
        <w:rPr/>
        <w:t>use</w:t>
      </w:r>
      <w:r>
        <w:rPr>
          <w:spacing w:val="-9"/>
        </w:rPr>
        <w:t> </w:t>
      </w:r>
      <w:r>
        <w:rPr/>
        <w:t>of</w:t>
      </w:r>
      <w:r>
        <w:rPr>
          <w:spacing w:val="-11"/>
        </w:rPr>
        <w:t> </w:t>
      </w:r>
      <w:r>
        <w:rPr/>
        <w:t>plant</w:t>
      </w:r>
      <w:r>
        <w:rPr>
          <w:spacing w:val="-11"/>
        </w:rPr>
        <w:t> </w:t>
      </w:r>
      <w:r>
        <w:rPr/>
        <w:t>extracts</w:t>
      </w:r>
      <w:r>
        <w:rPr>
          <w:spacing w:val="-10"/>
        </w:rPr>
        <w:t> </w:t>
      </w:r>
      <w:r>
        <w:rPr/>
        <w:t>is</w:t>
      </w:r>
      <w:r>
        <w:rPr>
          <w:spacing w:val="-10"/>
        </w:rPr>
        <w:t> </w:t>
      </w:r>
      <w:r>
        <w:rPr/>
        <w:t>currently</w:t>
      </w:r>
      <w:r>
        <w:rPr>
          <w:spacing w:val="-15"/>
        </w:rPr>
        <w:t> </w:t>
      </w:r>
      <w:r>
        <w:rPr/>
        <w:t>being</w:t>
      </w:r>
      <w:r>
        <w:rPr>
          <w:spacing w:val="-13"/>
        </w:rPr>
        <w:t> </w:t>
      </w:r>
      <w:r>
        <w:rPr/>
        <w:t>exploited</w:t>
      </w:r>
      <w:r>
        <w:rPr>
          <w:spacing w:val="-11"/>
        </w:rPr>
        <w:t> </w:t>
      </w:r>
      <w:r>
        <w:rPr/>
        <w:t>and is</w:t>
      </w:r>
      <w:r>
        <w:rPr>
          <w:spacing w:val="1"/>
        </w:rPr>
        <w:t> </w:t>
      </w:r>
      <w:r>
        <w:rPr/>
        <w:t>conceivably</w:t>
      </w:r>
      <w:r>
        <w:rPr>
          <w:spacing w:val="-5"/>
        </w:rPr>
        <w:t> </w:t>
      </w:r>
      <w:r>
        <w:rPr/>
        <w:t>beneficial.</w:t>
      </w:r>
      <w:r>
        <w:rPr>
          <w:spacing w:val="1"/>
        </w:rPr>
        <w:t> </w:t>
      </w:r>
      <w:r>
        <w:rPr/>
        <w:t>The</w:t>
      </w:r>
      <w:r>
        <w:rPr>
          <w:spacing w:val="-1"/>
        </w:rPr>
        <w:t> </w:t>
      </w:r>
      <w:r>
        <w:rPr/>
        <w:t>use of</w:t>
      </w:r>
      <w:r>
        <w:rPr>
          <w:spacing w:val="2"/>
        </w:rPr>
        <w:t> </w:t>
      </w:r>
      <w:r>
        <w:rPr>
          <w:i/>
        </w:rPr>
        <w:t>Azadirachtaindica</w:t>
      </w:r>
      <w:r>
        <w:rPr>
          <w:i/>
          <w:spacing w:val="1"/>
        </w:rPr>
        <w:t> </w:t>
      </w:r>
      <w:r>
        <w:rPr/>
        <w:t>(Neem), </w:t>
      </w:r>
      <w:r>
        <w:rPr>
          <w:i/>
        </w:rPr>
        <w:t>Medicago</w:t>
      </w:r>
      <w:r>
        <w:rPr>
          <w:i/>
          <w:spacing w:val="2"/>
        </w:rPr>
        <w:t> </w:t>
      </w:r>
      <w:r>
        <w:rPr>
          <w:i/>
        </w:rPr>
        <w:t>sativa</w:t>
      </w:r>
      <w:r>
        <w:rPr>
          <w:i/>
          <w:spacing w:val="2"/>
        </w:rPr>
        <w:t> </w:t>
      </w:r>
      <w:r>
        <w:rPr/>
        <w:t>(Alfalfa), </w:t>
      </w:r>
      <w:r>
        <w:rPr>
          <w:i/>
          <w:spacing w:val="-4"/>
        </w:rPr>
        <w:t>Aloe</w:t>
      </w:r>
    </w:p>
    <w:p>
      <w:pPr>
        <w:spacing w:after="0" w:line="480" w:lineRule="auto"/>
        <w:jc w:val="both"/>
        <w:sectPr>
          <w:pgSz w:w="12240" w:h="15840"/>
          <w:pgMar w:header="0" w:footer="1015" w:top="1360" w:bottom="1200" w:left="1320" w:right="1320"/>
        </w:sectPr>
      </w:pPr>
    </w:p>
    <w:p>
      <w:pPr>
        <w:pStyle w:val="BodyText"/>
        <w:spacing w:line="480" w:lineRule="auto" w:before="72"/>
        <w:ind w:left="120" w:right="122"/>
        <w:jc w:val="both"/>
      </w:pPr>
      <w:r>
        <w:rPr>
          <w:i/>
        </w:rPr>
        <w:t>vera</w:t>
      </w:r>
      <w:r>
        <w:rPr>
          <w:i/>
          <w:spacing w:val="-15"/>
        </w:rPr>
        <w:t> </w:t>
      </w:r>
      <w:r>
        <w:rPr/>
        <w:t>and</w:t>
      </w:r>
      <w:r>
        <w:rPr>
          <w:spacing w:val="-15"/>
        </w:rPr>
        <w:t> </w:t>
      </w:r>
      <w:r>
        <w:rPr/>
        <w:t>microorganisms</w:t>
      </w:r>
      <w:r>
        <w:rPr>
          <w:spacing w:val="-15"/>
        </w:rPr>
        <w:t> </w:t>
      </w:r>
      <w:r>
        <w:rPr/>
        <w:t>has</w:t>
      </w:r>
      <w:r>
        <w:rPr>
          <w:spacing w:val="-15"/>
        </w:rPr>
        <w:t> </w:t>
      </w:r>
      <w:r>
        <w:rPr/>
        <w:t>already</w:t>
      </w:r>
      <w:r>
        <w:rPr>
          <w:spacing w:val="-15"/>
        </w:rPr>
        <w:t> </w:t>
      </w:r>
      <w:r>
        <w:rPr/>
        <w:t>been</w:t>
      </w:r>
      <w:r>
        <w:rPr>
          <w:spacing w:val="-15"/>
        </w:rPr>
        <w:t> </w:t>
      </w:r>
      <w:r>
        <w:rPr/>
        <w:t>reported</w:t>
      </w:r>
      <w:r>
        <w:rPr>
          <w:spacing w:val="-15"/>
        </w:rPr>
        <w:t> </w:t>
      </w:r>
      <w:r>
        <w:rPr/>
        <w:t>for</w:t>
      </w:r>
      <w:r>
        <w:rPr>
          <w:spacing w:val="-15"/>
        </w:rPr>
        <w:t> </w:t>
      </w:r>
      <w:r>
        <w:rPr/>
        <w:t>the</w:t>
      </w:r>
      <w:r>
        <w:rPr>
          <w:spacing w:val="-15"/>
        </w:rPr>
        <w:t> </w:t>
      </w:r>
      <w:r>
        <w:rPr/>
        <w:t>creation</w:t>
      </w:r>
      <w:r>
        <w:rPr>
          <w:spacing w:val="-15"/>
        </w:rPr>
        <w:t> </w:t>
      </w:r>
      <w:r>
        <w:rPr/>
        <w:t>of,</w:t>
      </w:r>
      <w:r>
        <w:rPr>
          <w:spacing w:val="-15"/>
        </w:rPr>
        <w:t> </w:t>
      </w:r>
      <w:r>
        <w:rPr/>
        <w:t>gold</w:t>
      </w:r>
      <w:r>
        <w:rPr>
          <w:spacing w:val="-15"/>
        </w:rPr>
        <w:t> </w:t>
      </w:r>
      <w:r>
        <w:rPr/>
        <w:t>and</w:t>
      </w:r>
      <w:r>
        <w:rPr>
          <w:spacing w:val="-15"/>
        </w:rPr>
        <w:t> </w:t>
      </w:r>
      <w:r>
        <w:rPr/>
        <w:t>silver</w:t>
      </w:r>
      <w:r>
        <w:rPr>
          <w:spacing w:val="-15"/>
        </w:rPr>
        <w:t> </w:t>
      </w:r>
      <w:r>
        <w:rPr/>
        <w:t>nanoparticle as well as iron (Pattanayak and Nayak, 2013).</w:t>
      </w:r>
    </w:p>
    <w:p>
      <w:pPr>
        <w:pStyle w:val="BodyText"/>
        <w:spacing w:before="10"/>
        <w:rPr>
          <w:sz w:val="20"/>
        </w:rPr>
      </w:pPr>
    </w:p>
    <w:p>
      <w:pPr>
        <w:pStyle w:val="BodyText"/>
        <w:spacing w:line="480" w:lineRule="auto"/>
        <w:ind w:left="120" w:right="114"/>
        <w:jc w:val="both"/>
      </w:pPr>
      <w:r>
        <w:rPr/>
        <w:t>Use</w:t>
      </w:r>
      <w:r>
        <w:rPr>
          <w:spacing w:val="-15"/>
        </w:rPr>
        <w:t> </w:t>
      </w:r>
      <w:r>
        <w:rPr/>
        <w:t>of</w:t>
      </w:r>
      <w:r>
        <w:rPr>
          <w:spacing w:val="-15"/>
        </w:rPr>
        <w:t> </w:t>
      </w:r>
      <w:r>
        <w:rPr/>
        <w:t>plant</w:t>
      </w:r>
      <w:r>
        <w:rPr>
          <w:spacing w:val="-15"/>
        </w:rPr>
        <w:t> </w:t>
      </w:r>
      <w:r>
        <w:rPr/>
        <w:t>extracts</w:t>
      </w:r>
      <w:r>
        <w:rPr>
          <w:spacing w:val="-15"/>
        </w:rPr>
        <w:t> </w:t>
      </w:r>
      <w:r>
        <w:rPr/>
        <w:t>is</w:t>
      </w:r>
      <w:r>
        <w:rPr>
          <w:spacing w:val="-15"/>
        </w:rPr>
        <w:t> </w:t>
      </w:r>
      <w:r>
        <w:rPr/>
        <w:t>completely</w:t>
      </w:r>
      <w:r>
        <w:rPr>
          <w:spacing w:val="-15"/>
        </w:rPr>
        <w:t> </w:t>
      </w:r>
      <w:r>
        <w:rPr/>
        <w:t>satisfactory</w:t>
      </w:r>
      <w:r>
        <w:rPr>
          <w:spacing w:val="-15"/>
        </w:rPr>
        <w:t> </w:t>
      </w:r>
      <w:r>
        <w:rPr/>
        <w:t>prompting</w:t>
      </w:r>
      <w:r>
        <w:rPr>
          <w:spacing w:val="-15"/>
        </w:rPr>
        <w:t> </w:t>
      </w:r>
      <w:r>
        <w:rPr/>
        <w:t>really</w:t>
      </w:r>
      <w:r>
        <w:rPr>
          <w:spacing w:val="-15"/>
        </w:rPr>
        <w:t> </w:t>
      </w:r>
      <w:r>
        <w:rPr/>
        <w:t>green</w:t>
      </w:r>
      <w:r>
        <w:rPr>
          <w:spacing w:val="-15"/>
        </w:rPr>
        <w:t> </w:t>
      </w:r>
      <w:r>
        <w:rPr/>
        <w:t>science</w:t>
      </w:r>
      <w:r>
        <w:rPr>
          <w:spacing w:val="-15"/>
        </w:rPr>
        <w:t> </w:t>
      </w:r>
      <w:r>
        <w:rPr/>
        <w:t>that</w:t>
      </w:r>
      <w:r>
        <w:rPr>
          <w:spacing w:val="-13"/>
        </w:rPr>
        <w:t> </w:t>
      </w:r>
      <w:r>
        <w:rPr/>
        <w:t>provide</w:t>
      </w:r>
      <w:r>
        <w:rPr>
          <w:spacing w:val="-15"/>
        </w:rPr>
        <w:t> </w:t>
      </w:r>
      <w:r>
        <w:rPr/>
        <w:t>an</w:t>
      </w:r>
      <w:r>
        <w:rPr>
          <w:spacing w:val="-12"/>
        </w:rPr>
        <w:t> </w:t>
      </w:r>
      <w:r>
        <w:rPr/>
        <w:t>edge over chemical and physical techniques because it is not expensive, simple, safe, easily upgraded for large scale synthesis and the use of high temperature, pressure, and energy are not involved (Dubey </w:t>
      </w:r>
      <w:r>
        <w:rPr>
          <w:i/>
        </w:rPr>
        <w:t>et al.</w:t>
      </w:r>
      <w:r>
        <w:rPr/>
        <w:t>, 2010). Iron nanoparticles having different morphologies and sizes have been synthesized with the use of aqueous extracts of tea. Shahwan </w:t>
      </w:r>
      <w:r>
        <w:rPr>
          <w:i/>
        </w:rPr>
        <w:t>et al</w:t>
      </w:r>
      <w:r>
        <w:rPr/>
        <w:t>. (2011) revealed that polyphenolic and other water</w:t>
      </w:r>
      <w:r>
        <w:rPr/>
        <w:t> soluble</w:t>
      </w:r>
      <w:r>
        <w:rPr/>
        <w:t> components are the main components responsible for reducing metal ions and stabilizing nanoparticles. Reductase and polysaccharides have been known to be the main factors associated in biological synthesis of nanoparticles (Kumar </w:t>
      </w:r>
      <w:r>
        <w:rPr>
          <w:i/>
        </w:rPr>
        <w:t>et al</w:t>
      </w:r>
      <w:r>
        <w:rPr/>
        <w:t>., 2008; Huang </w:t>
      </w:r>
      <w:r>
        <w:rPr>
          <w:i/>
        </w:rPr>
        <w:t>et al., </w:t>
      </w:r>
      <w:r>
        <w:rPr/>
        <w:t>2015). The report of Senthil and Ramesh (2012) showed that </w:t>
      </w:r>
      <w:r>
        <w:rPr>
          <w:i/>
        </w:rPr>
        <w:t>Tridax </w:t>
      </w:r>
      <w:r>
        <w:rPr>
          <w:i/>
          <w:position w:val="2"/>
        </w:rPr>
        <w:t>procumbens </w:t>
      </w:r>
      <w:r>
        <w:rPr>
          <w:position w:val="2"/>
        </w:rPr>
        <w:t>leaf extract is a simple, cheap and ecologically safe approach for preparing Fe</w:t>
      </w:r>
      <w:r>
        <w:rPr>
          <w:sz w:val="16"/>
        </w:rPr>
        <w:t>3</w:t>
      </w:r>
      <w:r>
        <w:rPr>
          <w:position w:val="2"/>
        </w:rPr>
        <w:t>O</w:t>
      </w:r>
      <w:r>
        <w:rPr>
          <w:sz w:val="16"/>
        </w:rPr>
        <w:t>4</w:t>
      </w:r>
      <w:r>
        <w:rPr>
          <w:spacing w:val="40"/>
          <w:sz w:val="16"/>
        </w:rPr>
        <w:t> </w:t>
      </w:r>
      <w:r>
        <w:rPr/>
        <w:t>nanoparticles.</w:t>
      </w:r>
      <w:r>
        <w:rPr>
          <w:spacing w:val="-12"/>
        </w:rPr>
        <w:t> </w:t>
      </w:r>
      <w:r>
        <w:rPr/>
        <w:t>Ferric</w:t>
      </w:r>
      <w:r>
        <w:rPr>
          <w:spacing w:val="-13"/>
        </w:rPr>
        <w:t> </w:t>
      </w:r>
      <w:r>
        <w:rPr/>
        <w:t>chloride</w:t>
      </w:r>
      <w:r>
        <w:rPr>
          <w:spacing w:val="-12"/>
        </w:rPr>
        <w:t> </w:t>
      </w:r>
      <w:r>
        <w:rPr/>
        <w:t>solution</w:t>
      </w:r>
      <w:r>
        <w:rPr>
          <w:spacing w:val="-11"/>
        </w:rPr>
        <w:t> </w:t>
      </w:r>
      <w:r>
        <w:rPr/>
        <w:t>was</w:t>
      </w:r>
      <w:r>
        <w:rPr>
          <w:spacing w:val="-11"/>
        </w:rPr>
        <w:t> </w:t>
      </w:r>
      <w:r>
        <w:rPr/>
        <w:t>reduced</w:t>
      </w:r>
      <w:r>
        <w:rPr>
          <w:spacing w:val="-10"/>
        </w:rPr>
        <w:t> </w:t>
      </w:r>
      <w:r>
        <w:rPr/>
        <w:t>using</w:t>
      </w:r>
      <w:r>
        <w:rPr>
          <w:spacing w:val="-11"/>
        </w:rPr>
        <w:t> </w:t>
      </w:r>
      <w:r>
        <w:rPr>
          <w:i/>
        </w:rPr>
        <w:t>Tridax</w:t>
      </w:r>
      <w:r>
        <w:rPr>
          <w:i/>
          <w:spacing w:val="-12"/>
        </w:rPr>
        <w:t> </w:t>
      </w:r>
      <w:r>
        <w:rPr>
          <w:i/>
        </w:rPr>
        <w:t>procumbens</w:t>
      </w:r>
      <w:r>
        <w:rPr>
          <w:i/>
          <w:spacing w:val="-11"/>
        </w:rPr>
        <w:t> </w:t>
      </w:r>
      <w:r>
        <w:rPr/>
        <w:t>extract</w:t>
      </w:r>
      <w:r>
        <w:rPr>
          <w:spacing w:val="-11"/>
        </w:rPr>
        <w:t> </w:t>
      </w:r>
      <w:r>
        <w:rPr/>
        <w:t>as</w:t>
      </w:r>
      <w:r>
        <w:rPr>
          <w:spacing w:val="-11"/>
        </w:rPr>
        <w:t> </w:t>
      </w:r>
      <w:r>
        <w:rPr/>
        <w:t>a</w:t>
      </w:r>
      <w:r>
        <w:rPr>
          <w:spacing w:val="-13"/>
        </w:rPr>
        <w:t> </w:t>
      </w:r>
      <w:r>
        <w:rPr/>
        <w:t>reducing </w:t>
      </w:r>
      <w:r>
        <w:rPr>
          <w:position w:val="2"/>
        </w:rPr>
        <w:t>agent. XRD, SEM and FTIR techniques were used to characterize the Fe</w:t>
      </w:r>
      <w:r>
        <w:rPr>
          <w:sz w:val="16"/>
        </w:rPr>
        <w:t>3</w:t>
      </w:r>
      <w:r>
        <w:rPr>
          <w:position w:val="2"/>
        </w:rPr>
        <w:t>O</w:t>
      </w:r>
      <w:r>
        <w:rPr>
          <w:sz w:val="16"/>
        </w:rPr>
        <w:t>4 </w:t>
      </w:r>
      <w:r>
        <w:rPr>
          <w:position w:val="2"/>
        </w:rPr>
        <w:t>nanoparticles that </w:t>
      </w:r>
      <w:r>
        <w:rPr/>
        <w:t>resulted from the synthesis.</w:t>
      </w:r>
    </w:p>
    <w:p>
      <w:pPr>
        <w:pStyle w:val="BodyText"/>
        <w:spacing w:line="480" w:lineRule="auto" w:before="196"/>
        <w:ind w:left="120" w:right="117"/>
        <w:jc w:val="both"/>
      </w:pPr>
      <w:r>
        <w:rPr/>
        <w:t>The</w:t>
      </w:r>
      <w:r>
        <w:rPr>
          <w:spacing w:val="-2"/>
        </w:rPr>
        <w:t> </w:t>
      </w:r>
      <w:r>
        <w:rPr/>
        <w:t>production of nanoparticles</w:t>
      </w:r>
      <w:r>
        <w:rPr>
          <w:spacing w:val="-1"/>
        </w:rPr>
        <w:t> </w:t>
      </w:r>
      <w:r>
        <w:rPr/>
        <w:t>using</w:t>
      </w:r>
      <w:r>
        <w:rPr>
          <w:spacing w:val="-3"/>
        </w:rPr>
        <w:t> </w:t>
      </w:r>
      <w:r>
        <w:rPr/>
        <w:t>either the whole</w:t>
      </w:r>
      <w:r>
        <w:rPr>
          <w:spacing w:val="-1"/>
        </w:rPr>
        <w:t> </w:t>
      </w:r>
      <w:r>
        <w:rPr/>
        <w:t>of</w:t>
      </w:r>
      <w:r>
        <w:rPr>
          <w:spacing w:val="-1"/>
        </w:rPr>
        <w:t> </w:t>
      </w:r>
      <w:r>
        <w:rPr/>
        <w:t>the</w:t>
      </w:r>
      <w:r>
        <w:rPr>
          <w:spacing w:val="-1"/>
        </w:rPr>
        <w:t> </w:t>
      </w:r>
      <w:r>
        <w:rPr/>
        <w:t>plant or</w:t>
      </w:r>
      <w:r>
        <w:rPr>
          <w:spacing w:val="-1"/>
        </w:rPr>
        <w:t> </w:t>
      </w:r>
      <w:r>
        <w:rPr/>
        <w:t>plant parts, involve</w:t>
      </w:r>
      <w:r>
        <w:rPr>
          <w:spacing w:val="-1"/>
        </w:rPr>
        <w:t> </w:t>
      </w:r>
      <w:r>
        <w:rPr/>
        <w:t>mixing the</w:t>
      </w:r>
      <w:r>
        <w:rPr>
          <w:spacing w:val="-8"/>
        </w:rPr>
        <w:t> </w:t>
      </w:r>
      <w:r>
        <w:rPr/>
        <w:t>salt</w:t>
      </w:r>
      <w:r>
        <w:rPr>
          <w:spacing w:val="-8"/>
        </w:rPr>
        <w:t> </w:t>
      </w:r>
      <w:r>
        <w:rPr/>
        <w:t>solution</w:t>
      </w:r>
      <w:r>
        <w:rPr>
          <w:spacing w:val="-8"/>
        </w:rPr>
        <w:t> </w:t>
      </w:r>
      <w:r>
        <w:rPr/>
        <w:t>of</w:t>
      </w:r>
      <w:r>
        <w:rPr>
          <w:spacing w:val="-8"/>
        </w:rPr>
        <w:t> </w:t>
      </w:r>
      <w:r>
        <w:rPr/>
        <w:t>the</w:t>
      </w:r>
      <w:r>
        <w:rPr>
          <w:spacing w:val="-8"/>
        </w:rPr>
        <w:t> </w:t>
      </w:r>
      <w:r>
        <w:rPr/>
        <w:t>metal</w:t>
      </w:r>
      <w:r>
        <w:rPr>
          <w:spacing w:val="-8"/>
        </w:rPr>
        <w:t> </w:t>
      </w:r>
      <w:r>
        <w:rPr/>
        <w:t>with</w:t>
      </w:r>
      <w:r>
        <w:rPr>
          <w:spacing w:val="-8"/>
        </w:rPr>
        <w:t> </w:t>
      </w:r>
      <w:r>
        <w:rPr/>
        <w:t>the</w:t>
      </w:r>
      <w:r>
        <w:rPr>
          <w:spacing w:val="-8"/>
        </w:rPr>
        <w:t> </w:t>
      </w:r>
      <w:r>
        <w:rPr/>
        <w:t>concentrate</w:t>
      </w:r>
      <w:r>
        <w:rPr>
          <w:spacing w:val="-8"/>
        </w:rPr>
        <w:t> </w:t>
      </w:r>
      <w:r>
        <w:rPr/>
        <w:t>or</w:t>
      </w:r>
      <w:r>
        <w:rPr>
          <w:spacing w:val="-8"/>
        </w:rPr>
        <w:t> </w:t>
      </w:r>
      <w:r>
        <w:rPr/>
        <w:t>extract</w:t>
      </w:r>
      <w:r>
        <w:rPr>
          <w:spacing w:val="-8"/>
        </w:rPr>
        <w:t> </w:t>
      </w:r>
      <w:r>
        <w:rPr/>
        <w:t>of</w:t>
      </w:r>
      <w:r>
        <w:rPr>
          <w:spacing w:val="-8"/>
        </w:rPr>
        <w:t> </w:t>
      </w:r>
      <w:r>
        <w:rPr/>
        <w:t>the</w:t>
      </w:r>
      <w:r>
        <w:rPr>
          <w:spacing w:val="-8"/>
        </w:rPr>
        <w:t> </w:t>
      </w:r>
      <w:r>
        <w:rPr/>
        <w:t>plant</w:t>
      </w:r>
      <w:r>
        <w:rPr>
          <w:spacing w:val="-8"/>
        </w:rPr>
        <w:t> </w:t>
      </w:r>
      <w:r>
        <w:rPr/>
        <w:t>at</w:t>
      </w:r>
      <w:r>
        <w:rPr>
          <w:spacing w:val="-8"/>
        </w:rPr>
        <w:t> </w:t>
      </w:r>
      <w:r>
        <w:rPr/>
        <w:t>atmospheric</w:t>
      </w:r>
      <w:r>
        <w:rPr>
          <w:spacing w:val="-8"/>
        </w:rPr>
        <w:t> </w:t>
      </w:r>
      <w:r>
        <w:rPr/>
        <w:t>conditions. The rate at which nanoparticles are produced in relation to the quantity and characteristics is dependent</w:t>
      </w:r>
      <w:r>
        <w:rPr>
          <w:spacing w:val="-5"/>
        </w:rPr>
        <w:t> </w:t>
      </w:r>
      <w:r>
        <w:rPr/>
        <w:t>on</w:t>
      </w:r>
      <w:r>
        <w:rPr>
          <w:spacing w:val="-6"/>
        </w:rPr>
        <w:t> </w:t>
      </w:r>
      <w:r>
        <w:rPr/>
        <w:t>the</w:t>
      </w:r>
      <w:r>
        <w:rPr>
          <w:spacing w:val="-6"/>
        </w:rPr>
        <w:t> </w:t>
      </w:r>
      <w:r>
        <w:rPr/>
        <w:t>concentration</w:t>
      </w:r>
      <w:r>
        <w:rPr>
          <w:spacing w:val="-6"/>
        </w:rPr>
        <w:t> </w:t>
      </w:r>
      <w:r>
        <w:rPr/>
        <w:t>of</w:t>
      </w:r>
      <w:r>
        <w:rPr>
          <w:spacing w:val="-7"/>
        </w:rPr>
        <w:t> </w:t>
      </w:r>
      <w:r>
        <w:rPr/>
        <w:t>the</w:t>
      </w:r>
      <w:r>
        <w:rPr>
          <w:spacing w:val="-6"/>
        </w:rPr>
        <w:t> </w:t>
      </w:r>
      <w:r>
        <w:rPr/>
        <w:t>metal</w:t>
      </w:r>
      <w:r>
        <w:rPr>
          <w:spacing w:val="-5"/>
        </w:rPr>
        <w:t> </w:t>
      </w:r>
      <w:r>
        <w:rPr/>
        <w:t>salt,</w:t>
      </w:r>
      <w:r>
        <w:rPr>
          <w:spacing w:val="-6"/>
        </w:rPr>
        <w:t> </w:t>
      </w:r>
      <w:r>
        <w:rPr/>
        <w:t>nature</w:t>
      </w:r>
      <w:r>
        <w:rPr>
          <w:spacing w:val="-7"/>
        </w:rPr>
        <w:t> </w:t>
      </w:r>
      <w:r>
        <w:rPr/>
        <w:t>of</w:t>
      </w:r>
      <w:r>
        <w:rPr>
          <w:spacing w:val="-7"/>
        </w:rPr>
        <w:t> </w:t>
      </w:r>
      <w:r>
        <w:rPr/>
        <w:t>plant</w:t>
      </w:r>
      <w:r>
        <w:rPr>
          <w:spacing w:val="-6"/>
        </w:rPr>
        <w:t> </w:t>
      </w:r>
      <w:r>
        <w:rPr/>
        <w:t>extract,</w:t>
      </w:r>
      <w:r>
        <w:rPr>
          <w:spacing w:val="-5"/>
        </w:rPr>
        <w:t> </w:t>
      </w:r>
      <w:r>
        <w:rPr/>
        <w:t>pH,</w:t>
      </w:r>
      <w:r>
        <w:rPr>
          <w:spacing w:val="-6"/>
        </w:rPr>
        <w:t> </w:t>
      </w:r>
      <w:r>
        <w:rPr/>
        <w:t>temperature</w:t>
      </w:r>
      <w:r>
        <w:rPr>
          <w:spacing w:val="-7"/>
        </w:rPr>
        <w:t> </w:t>
      </w:r>
      <w:r>
        <w:rPr/>
        <w:t>and</w:t>
      </w:r>
      <w:r>
        <w:rPr>
          <w:spacing w:val="-6"/>
        </w:rPr>
        <w:t> </w:t>
      </w:r>
      <w:r>
        <w:rPr/>
        <w:t>time involved</w:t>
      </w:r>
      <w:r>
        <w:rPr>
          <w:spacing w:val="-8"/>
        </w:rPr>
        <w:t> </w:t>
      </w:r>
      <w:r>
        <w:rPr/>
        <w:t>in</w:t>
      </w:r>
      <w:r>
        <w:rPr>
          <w:spacing w:val="-8"/>
        </w:rPr>
        <w:t> </w:t>
      </w:r>
      <w:r>
        <w:rPr/>
        <w:t>carrying</w:t>
      </w:r>
      <w:r>
        <w:rPr>
          <w:spacing w:val="-11"/>
        </w:rPr>
        <w:t> </w:t>
      </w:r>
      <w:r>
        <w:rPr/>
        <w:t>out</w:t>
      </w:r>
      <w:r>
        <w:rPr>
          <w:spacing w:val="-7"/>
        </w:rPr>
        <w:t> </w:t>
      </w:r>
      <w:r>
        <w:rPr/>
        <w:t>the</w:t>
      </w:r>
      <w:r>
        <w:rPr>
          <w:spacing w:val="-9"/>
        </w:rPr>
        <w:t> </w:t>
      </w:r>
      <w:r>
        <w:rPr/>
        <w:t>reaction.</w:t>
      </w:r>
      <w:r>
        <w:rPr>
          <w:spacing w:val="-6"/>
        </w:rPr>
        <w:t> </w:t>
      </w:r>
      <w:r>
        <w:rPr/>
        <w:t>It</w:t>
      </w:r>
      <w:r>
        <w:rPr>
          <w:spacing w:val="-8"/>
        </w:rPr>
        <w:t> </w:t>
      </w:r>
      <w:r>
        <w:rPr/>
        <w:t>was</w:t>
      </w:r>
      <w:r>
        <w:rPr>
          <w:spacing w:val="-8"/>
        </w:rPr>
        <w:t> </w:t>
      </w:r>
      <w:r>
        <w:rPr/>
        <w:t>reported</w:t>
      </w:r>
      <w:r>
        <w:rPr>
          <w:spacing w:val="-8"/>
        </w:rPr>
        <w:t> </w:t>
      </w:r>
      <w:r>
        <w:rPr/>
        <w:t>that</w:t>
      </w:r>
      <w:r>
        <w:rPr>
          <w:spacing w:val="-8"/>
        </w:rPr>
        <w:t> </w:t>
      </w:r>
      <w:r>
        <w:rPr/>
        <w:t>the</w:t>
      </w:r>
      <w:r>
        <w:rPr>
          <w:spacing w:val="-9"/>
        </w:rPr>
        <w:t> </w:t>
      </w:r>
      <w:r>
        <w:rPr/>
        <w:t>higher</w:t>
      </w:r>
      <w:r>
        <w:rPr>
          <w:spacing w:val="-9"/>
        </w:rPr>
        <w:t> </w:t>
      </w:r>
      <w:r>
        <w:rPr/>
        <w:t>the</w:t>
      </w:r>
      <w:r>
        <w:rPr>
          <w:spacing w:val="-9"/>
        </w:rPr>
        <w:t> </w:t>
      </w:r>
      <w:r>
        <w:rPr/>
        <w:t>temperature</w:t>
      </w:r>
      <w:r>
        <w:rPr>
          <w:spacing w:val="-9"/>
        </w:rPr>
        <w:t> </w:t>
      </w:r>
      <w:r>
        <w:rPr/>
        <w:t>of</w:t>
      </w:r>
      <w:r>
        <w:rPr>
          <w:spacing w:val="-9"/>
        </w:rPr>
        <w:t> </w:t>
      </w:r>
      <w:r>
        <w:rPr/>
        <w:t>the</w:t>
      </w:r>
      <w:r>
        <w:rPr>
          <w:spacing w:val="-9"/>
        </w:rPr>
        <w:t> </w:t>
      </w:r>
      <w:r>
        <w:rPr/>
        <w:t>extract, the lower the pH, which suggests that more phenolic compounds are extracted at higher temperatures.</w:t>
      </w:r>
      <w:r>
        <w:rPr>
          <w:spacing w:val="-15"/>
        </w:rPr>
        <w:t> </w:t>
      </w:r>
      <w:r>
        <w:rPr/>
        <w:t>This</w:t>
      </w:r>
      <w:r>
        <w:rPr>
          <w:spacing w:val="-15"/>
        </w:rPr>
        <w:t> </w:t>
      </w:r>
      <w:r>
        <w:rPr/>
        <w:t>statement</w:t>
      </w:r>
      <w:r>
        <w:rPr>
          <w:spacing w:val="-15"/>
        </w:rPr>
        <w:t> </w:t>
      </w:r>
      <w:r>
        <w:rPr/>
        <w:t>was</w:t>
      </w:r>
      <w:r>
        <w:rPr>
          <w:spacing w:val="-15"/>
        </w:rPr>
        <w:t> </w:t>
      </w:r>
      <w:r>
        <w:rPr/>
        <w:t>supported</w:t>
      </w:r>
      <w:r>
        <w:rPr>
          <w:spacing w:val="-15"/>
        </w:rPr>
        <w:t> </w:t>
      </w:r>
      <w:r>
        <w:rPr/>
        <w:t>by</w:t>
      </w:r>
      <w:r>
        <w:rPr>
          <w:spacing w:val="-15"/>
        </w:rPr>
        <w:t> </w:t>
      </w:r>
      <w:r>
        <w:rPr/>
        <w:t>an</w:t>
      </w:r>
      <w:r>
        <w:rPr>
          <w:spacing w:val="-12"/>
        </w:rPr>
        <w:t> </w:t>
      </w:r>
      <w:r>
        <w:rPr/>
        <w:t>experiment</w:t>
      </w:r>
      <w:r>
        <w:rPr>
          <w:spacing w:val="-15"/>
        </w:rPr>
        <w:t> </w:t>
      </w:r>
      <w:r>
        <w:rPr/>
        <w:t>carried</w:t>
      </w:r>
      <w:r>
        <w:rPr>
          <w:spacing w:val="-15"/>
        </w:rPr>
        <w:t> </w:t>
      </w:r>
      <w:r>
        <w:rPr/>
        <w:t>out</w:t>
      </w:r>
      <w:r>
        <w:rPr>
          <w:spacing w:val="-14"/>
        </w:rPr>
        <w:t> </w:t>
      </w:r>
      <w:r>
        <w:rPr/>
        <w:t>with</w:t>
      </w:r>
      <w:r>
        <w:rPr>
          <w:spacing w:val="-15"/>
        </w:rPr>
        <w:t> </w:t>
      </w:r>
      <w:r>
        <w:rPr/>
        <w:t>Chamomile</w:t>
      </w:r>
      <w:r>
        <w:rPr>
          <w:spacing w:val="-15"/>
        </w:rPr>
        <w:t> </w:t>
      </w:r>
      <w:r>
        <w:rPr/>
        <w:t>extracts and</w:t>
      </w:r>
      <w:r>
        <w:rPr>
          <w:spacing w:val="-2"/>
        </w:rPr>
        <w:t> </w:t>
      </w:r>
      <w:r>
        <w:rPr/>
        <w:t>green</w:t>
      </w:r>
      <w:r>
        <w:rPr>
          <w:spacing w:val="-5"/>
        </w:rPr>
        <w:t> </w:t>
      </w:r>
      <w:r>
        <w:rPr/>
        <w:t>tea</w:t>
      </w:r>
      <w:r>
        <w:rPr>
          <w:spacing w:val="-6"/>
        </w:rPr>
        <w:t> </w:t>
      </w:r>
      <w:r>
        <w:rPr/>
        <w:t>extracts,</w:t>
      </w:r>
      <w:r>
        <w:rPr>
          <w:spacing w:val="-3"/>
        </w:rPr>
        <w:t> </w:t>
      </w:r>
      <w:r>
        <w:rPr/>
        <w:t>where</w:t>
      </w:r>
      <w:r>
        <w:rPr>
          <w:spacing w:val="-5"/>
        </w:rPr>
        <w:t> </w:t>
      </w:r>
      <w:r>
        <w:rPr/>
        <w:t>the</w:t>
      </w:r>
      <w:r>
        <w:rPr>
          <w:spacing w:val="-6"/>
        </w:rPr>
        <w:t> </w:t>
      </w:r>
      <w:r>
        <w:rPr/>
        <w:t>pH</w:t>
      </w:r>
      <w:r>
        <w:rPr>
          <w:spacing w:val="-4"/>
        </w:rPr>
        <w:t> </w:t>
      </w:r>
      <w:r>
        <w:rPr/>
        <w:t>values</w:t>
      </w:r>
      <w:r>
        <w:rPr>
          <w:spacing w:val="-5"/>
        </w:rPr>
        <w:t> </w:t>
      </w:r>
      <w:r>
        <w:rPr/>
        <w:t>were</w:t>
      </w:r>
      <w:r>
        <w:rPr>
          <w:spacing w:val="-2"/>
        </w:rPr>
        <w:t> </w:t>
      </w:r>
      <w:r>
        <w:rPr/>
        <w:t>measured.</w:t>
      </w:r>
      <w:r>
        <w:rPr>
          <w:spacing w:val="-2"/>
        </w:rPr>
        <w:t> </w:t>
      </w:r>
      <w:r>
        <w:rPr/>
        <w:t>There</w:t>
      </w:r>
      <w:r>
        <w:rPr>
          <w:spacing w:val="-5"/>
        </w:rPr>
        <w:t> </w:t>
      </w:r>
      <w:r>
        <w:rPr/>
        <w:t>was</w:t>
      </w:r>
      <w:r>
        <w:rPr>
          <w:spacing w:val="-5"/>
        </w:rPr>
        <w:t> </w:t>
      </w:r>
      <w:r>
        <w:rPr/>
        <w:t>little</w:t>
      </w:r>
      <w:r>
        <w:rPr>
          <w:spacing w:val="-5"/>
        </w:rPr>
        <w:t> </w:t>
      </w:r>
      <w:r>
        <w:rPr/>
        <w:t>decrease</w:t>
      </w:r>
      <w:r>
        <w:rPr>
          <w:spacing w:val="-5"/>
        </w:rPr>
        <w:t> </w:t>
      </w:r>
      <w:r>
        <w:rPr/>
        <w:t>in</w:t>
      </w:r>
      <w:r>
        <w:rPr>
          <w:spacing w:val="-4"/>
        </w:rPr>
        <w:t> </w:t>
      </w:r>
      <w:r>
        <w:rPr/>
        <w:t>the</w:t>
      </w:r>
      <w:r>
        <w:rPr>
          <w:spacing w:val="-3"/>
        </w:rPr>
        <w:t> </w:t>
      </w:r>
      <w:r>
        <w:rPr/>
        <w:t>pH</w:t>
      </w:r>
      <w:r>
        <w:rPr>
          <w:spacing w:val="-5"/>
        </w:rPr>
        <w:t> of</w:t>
      </w:r>
    </w:p>
    <w:p>
      <w:pPr>
        <w:spacing w:after="0" w:line="480" w:lineRule="auto"/>
        <w:jc w:val="both"/>
        <w:sectPr>
          <w:pgSz w:w="12240" w:h="15840"/>
          <w:pgMar w:header="0" w:footer="1015" w:top="1360" w:bottom="1200" w:left="1320" w:right="1320"/>
        </w:sectPr>
      </w:pPr>
    </w:p>
    <w:p>
      <w:pPr>
        <w:pStyle w:val="BodyText"/>
        <w:spacing w:line="482" w:lineRule="auto" w:before="72"/>
        <w:ind w:left="120" w:right="114"/>
        <w:jc w:val="both"/>
      </w:pPr>
      <w:r>
        <w:rPr/>
        <w:t>Chamomile extracts when the temperature of extraction was increased while that of green tea extracts gave more acidic extracts at varying temperatures(Njagi </w:t>
      </w:r>
      <w:r>
        <w:rPr>
          <w:i/>
        </w:rPr>
        <w:t>et al</w:t>
      </w:r>
      <w:r>
        <w:rPr/>
        <w:t>., 2011). This implies that green tea extract would produce better nanoparticles when compared to the other extracts.</w:t>
      </w:r>
    </w:p>
    <w:p>
      <w:pPr>
        <w:pStyle w:val="Heading2"/>
        <w:numPr>
          <w:ilvl w:val="1"/>
          <w:numId w:val="3"/>
        </w:numPr>
        <w:tabs>
          <w:tab w:pos="841" w:val="left" w:leader="none"/>
        </w:tabs>
        <w:spacing w:line="240" w:lineRule="auto" w:before="196" w:after="0"/>
        <w:ind w:left="840" w:right="0" w:hanging="721"/>
        <w:jc w:val="both"/>
      </w:pPr>
      <w:r>
        <w:rPr/>
        <w:t>Corn</w:t>
      </w:r>
      <w:r>
        <w:rPr>
          <w:spacing w:val="-3"/>
        </w:rPr>
        <w:t> </w:t>
      </w:r>
      <w:r>
        <w:rPr/>
        <w:t>Silk</w:t>
      </w:r>
      <w:r>
        <w:rPr>
          <w:spacing w:val="-3"/>
        </w:rPr>
        <w:t> </w:t>
      </w:r>
      <w:r>
        <w:rPr/>
        <w:t>(</w:t>
      </w:r>
      <w:r>
        <w:rPr>
          <w:i/>
        </w:rPr>
        <w:t>Zea</w:t>
      </w:r>
      <w:r>
        <w:rPr>
          <w:i/>
          <w:spacing w:val="-4"/>
        </w:rPr>
        <w:t> </w:t>
      </w:r>
      <w:r>
        <w:rPr>
          <w:i/>
        </w:rPr>
        <w:t>mays</w:t>
      </w:r>
      <w:r>
        <w:rPr>
          <w:i/>
          <w:spacing w:val="-2"/>
        </w:rPr>
        <w:t> </w:t>
      </w:r>
      <w:r>
        <w:rPr/>
        <w:t>L.),</w:t>
      </w:r>
      <w:r>
        <w:rPr>
          <w:spacing w:val="-4"/>
        </w:rPr>
        <w:t> </w:t>
      </w:r>
      <w:r>
        <w:rPr/>
        <w:t>a</w:t>
      </w:r>
      <w:r>
        <w:rPr>
          <w:spacing w:val="-3"/>
        </w:rPr>
        <w:t> </w:t>
      </w:r>
      <w:r>
        <w:rPr/>
        <w:t>Source</w:t>
      </w:r>
      <w:r>
        <w:rPr>
          <w:spacing w:val="-4"/>
        </w:rPr>
        <w:t> </w:t>
      </w:r>
      <w:r>
        <w:rPr/>
        <w:t>of</w:t>
      </w:r>
      <w:r>
        <w:rPr>
          <w:spacing w:val="-3"/>
        </w:rPr>
        <w:t> </w:t>
      </w:r>
      <w:r>
        <w:rPr/>
        <w:t>Natural</w:t>
      </w:r>
      <w:r>
        <w:rPr>
          <w:spacing w:val="-3"/>
        </w:rPr>
        <w:t> </w:t>
      </w:r>
      <w:r>
        <w:rPr>
          <w:spacing w:val="-2"/>
        </w:rPr>
        <w:t>Antioxidants</w:t>
      </w:r>
    </w:p>
    <w:p>
      <w:pPr>
        <w:pStyle w:val="BodyText"/>
        <w:spacing w:before="6"/>
        <w:rPr>
          <w:b/>
          <w:sz w:val="23"/>
        </w:rPr>
      </w:pPr>
    </w:p>
    <w:p>
      <w:pPr>
        <w:pStyle w:val="BodyText"/>
        <w:spacing w:line="480" w:lineRule="auto" w:before="1"/>
        <w:ind w:left="120" w:right="117"/>
        <w:jc w:val="both"/>
      </w:pPr>
      <w:r>
        <w:rPr/>
        <w:t>Corn silk is a common name for the long shiny, silky thread that grows underneath the husk of fresh ears of corn as depicted in Figure 2.2. It contains a variety of plant compounds (phytochemicals) that may be responsible for various benefits. It may</w:t>
      </w:r>
      <w:r>
        <w:rPr>
          <w:spacing w:val="-2"/>
        </w:rPr>
        <w:t> </w:t>
      </w:r>
      <w:r>
        <w:rPr/>
        <w:t>be used fresh but it’s often dried before being used as an extract. Corn silk is made up of different biologically active phytochemicals, which include phenols, polyphenols, phenolic acids, flavonoids, flavone glycosides, anthocyanins, carotenoids, terpenoids, alkaloids, steroids, luteins, tannins, saponins, volatile oils, vitamins, some sugars, and polysaccharides. The polyphenols present in corn silk include Tannins, saponins,</w:t>
      </w:r>
      <w:r>
        <w:rPr/>
        <w:t> flavonoids,</w:t>
      </w:r>
      <w:r>
        <w:rPr/>
        <w:t> alkaloids,</w:t>
      </w:r>
      <w:r>
        <w:rPr/>
        <w:t> steroids,</w:t>
      </w:r>
      <w:r>
        <w:rPr/>
        <w:t> cardiac</w:t>
      </w:r>
      <w:r>
        <w:rPr/>
        <w:t> glycosides,</w:t>
      </w:r>
      <w:r>
        <w:rPr/>
        <w:t> allantoins, anthocyanins,</w:t>
      </w:r>
      <w:r>
        <w:rPr>
          <w:spacing w:val="-11"/>
        </w:rPr>
        <w:t> </w:t>
      </w:r>
      <w:r>
        <w:rPr/>
        <w:t>hesperidin,</w:t>
      </w:r>
      <w:r>
        <w:rPr>
          <w:spacing w:val="-11"/>
        </w:rPr>
        <w:t> </w:t>
      </w:r>
      <w:r>
        <w:rPr/>
        <w:t>and</w:t>
      </w:r>
      <w:r>
        <w:rPr>
          <w:spacing w:val="-12"/>
        </w:rPr>
        <w:t> </w:t>
      </w:r>
      <w:r>
        <w:rPr/>
        <w:t>resins</w:t>
      </w:r>
      <w:r>
        <w:rPr>
          <w:spacing w:val="-10"/>
        </w:rPr>
        <w:t> </w:t>
      </w:r>
      <w:r>
        <w:rPr/>
        <w:t>(Emmanuel</w:t>
      </w:r>
      <w:r>
        <w:rPr>
          <w:spacing w:val="-8"/>
        </w:rPr>
        <w:t> </w:t>
      </w:r>
      <w:r>
        <w:rPr>
          <w:i/>
        </w:rPr>
        <w:t>et</w:t>
      </w:r>
      <w:r>
        <w:rPr>
          <w:i/>
          <w:spacing w:val="-8"/>
        </w:rPr>
        <w:t> </w:t>
      </w:r>
      <w:r>
        <w:rPr>
          <w:i/>
        </w:rPr>
        <w:t>al.</w:t>
      </w:r>
      <w:r>
        <w:rPr/>
        <w:t>,</w:t>
      </w:r>
      <w:r>
        <w:rPr>
          <w:spacing w:val="-11"/>
        </w:rPr>
        <w:t> </w:t>
      </w:r>
      <w:r>
        <w:rPr/>
        <w:t>2016;</w:t>
      </w:r>
      <w:r>
        <w:rPr>
          <w:spacing w:val="-10"/>
        </w:rPr>
        <w:t> </w:t>
      </w:r>
      <w:r>
        <w:rPr/>
        <w:t>Nawaz</w:t>
      </w:r>
      <w:r>
        <w:rPr>
          <w:spacing w:val="-9"/>
        </w:rPr>
        <w:t> </w:t>
      </w:r>
      <w:r>
        <w:rPr>
          <w:i/>
        </w:rPr>
        <w:t>et</w:t>
      </w:r>
      <w:r>
        <w:rPr>
          <w:i/>
          <w:spacing w:val="-10"/>
        </w:rPr>
        <w:t> </w:t>
      </w:r>
      <w:r>
        <w:rPr>
          <w:i/>
        </w:rPr>
        <w:t>al.</w:t>
      </w:r>
      <w:r>
        <w:rPr/>
        <w:t>,</w:t>
      </w:r>
      <w:r>
        <w:rPr>
          <w:spacing w:val="-11"/>
        </w:rPr>
        <w:t> </w:t>
      </w:r>
      <w:r>
        <w:rPr/>
        <w:t>2018).</w:t>
      </w:r>
      <w:r>
        <w:rPr>
          <w:spacing w:val="-11"/>
        </w:rPr>
        <w:t> </w:t>
      </w:r>
      <w:r>
        <w:rPr/>
        <w:t>Wang</w:t>
      </w:r>
      <w:r>
        <w:rPr>
          <w:spacing w:val="-11"/>
        </w:rPr>
        <w:t> </w:t>
      </w:r>
      <w:r>
        <w:rPr/>
        <w:t>and</w:t>
      </w:r>
      <w:r>
        <w:rPr>
          <w:spacing w:val="-8"/>
        </w:rPr>
        <w:t> </w:t>
      </w:r>
      <w:r>
        <w:rPr/>
        <w:t>Zhao (2019), also reported that corn silk contain antioxidants and polyphenolics which are good reducing agents making it useful in the biosynthesis of nanoparticles.</w:t>
      </w:r>
    </w:p>
    <w:p>
      <w:pPr>
        <w:spacing w:after="0" w:line="480" w:lineRule="auto"/>
        <w:jc w:val="both"/>
        <w:sectPr>
          <w:pgSz w:w="12240" w:h="15840"/>
          <w:pgMar w:header="0" w:footer="1015" w:top="1360" w:bottom="1200" w:left="1320" w:right="1320"/>
        </w:sectPr>
      </w:pPr>
    </w:p>
    <w:p>
      <w:pPr>
        <w:pStyle w:val="BodyText"/>
        <w:ind w:left="151"/>
        <w:rPr>
          <w:sz w:val="20"/>
        </w:rPr>
      </w:pPr>
      <w:r>
        <w:rPr>
          <w:sz w:val="20"/>
        </w:rPr>
        <w:drawing>
          <wp:inline distT="0" distB="0" distL="0" distR="0">
            <wp:extent cx="5946002" cy="3135915"/>
            <wp:effectExtent l="0" t="0" r="0" b="0"/>
            <wp:docPr id="3" name="image2.jpeg" descr="Image_1575106635.jp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5946002" cy="3135915"/>
                    </a:xfrm>
                    <a:prstGeom prst="rect">
                      <a:avLst/>
                    </a:prstGeom>
                  </pic:spPr>
                </pic:pic>
              </a:graphicData>
            </a:graphic>
          </wp:inline>
        </w:drawing>
      </w:r>
      <w:r>
        <w:rPr>
          <w:sz w:val="20"/>
        </w:rPr>
      </w:r>
    </w:p>
    <w:p>
      <w:pPr>
        <w:pStyle w:val="BodyText"/>
        <w:spacing w:before="10"/>
        <w:rPr>
          <w:sz w:val="13"/>
        </w:rPr>
      </w:pPr>
    </w:p>
    <w:p>
      <w:pPr>
        <w:spacing w:before="90"/>
        <w:ind w:left="120" w:right="0" w:firstLine="0"/>
        <w:jc w:val="both"/>
        <w:rPr>
          <w:sz w:val="24"/>
        </w:rPr>
      </w:pPr>
      <w:r>
        <w:rPr>
          <w:b/>
          <w:sz w:val="24"/>
        </w:rPr>
        <w:t>Figure</w:t>
      </w:r>
      <w:r>
        <w:rPr>
          <w:b/>
          <w:spacing w:val="-7"/>
          <w:sz w:val="24"/>
        </w:rPr>
        <w:t> </w:t>
      </w:r>
      <w:r>
        <w:rPr>
          <w:b/>
          <w:sz w:val="24"/>
        </w:rPr>
        <w:t>2.2:</w:t>
      </w:r>
      <w:r>
        <w:rPr>
          <w:b/>
          <w:spacing w:val="-6"/>
          <w:sz w:val="24"/>
        </w:rPr>
        <w:t> </w:t>
      </w:r>
      <w:r>
        <w:rPr>
          <w:b/>
          <w:sz w:val="24"/>
        </w:rPr>
        <w:t>photograhphic</w:t>
      </w:r>
      <w:r>
        <w:rPr>
          <w:b/>
          <w:spacing w:val="-6"/>
          <w:sz w:val="24"/>
        </w:rPr>
        <w:t> </w:t>
      </w:r>
      <w:r>
        <w:rPr>
          <w:b/>
          <w:sz w:val="24"/>
        </w:rPr>
        <w:t>representation</w:t>
      </w:r>
      <w:r>
        <w:rPr>
          <w:b/>
          <w:spacing w:val="-7"/>
          <w:sz w:val="24"/>
        </w:rPr>
        <w:t> </w:t>
      </w:r>
      <w:r>
        <w:rPr>
          <w:b/>
          <w:sz w:val="24"/>
        </w:rPr>
        <w:t>of</w:t>
      </w:r>
      <w:r>
        <w:rPr>
          <w:b/>
          <w:spacing w:val="-5"/>
          <w:sz w:val="24"/>
        </w:rPr>
        <w:t> </w:t>
      </w:r>
      <w:r>
        <w:rPr>
          <w:b/>
          <w:sz w:val="24"/>
        </w:rPr>
        <w:t>corn</w:t>
      </w:r>
      <w:r>
        <w:rPr>
          <w:b/>
          <w:spacing w:val="-6"/>
          <w:sz w:val="24"/>
        </w:rPr>
        <w:t> </w:t>
      </w:r>
      <w:r>
        <w:rPr>
          <w:b/>
          <w:sz w:val="24"/>
        </w:rPr>
        <w:t>silk</w:t>
      </w:r>
      <w:r>
        <w:rPr>
          <w:b/>
          <w:spacing w:val="-2"/>
          <w:sz w:val="24"/>
        </w:rPr>
        <w:t> </w:t>
      </w:r>
      <w:r>
        <w:rPr>
          <w:sz w:val="24"/>
        </w:rPr>
        <w:t>(Lynnley,</w:t>
      </w:r>
      <w:r>
        <w:rPr>
          <w:spacing w:val="-6"/>
          <w:sz w:val="24"/>
        </w:rPr>
        <w:t> </w:t>
      </w:r>
      <w:r>
        <w:rPr>
          <w:spacing w:val="-2"/>
          <w:sz w:val="24"/>
        </w:rPr>
        <w:t>2021)</w:t>
      </w:r>
    </w:p>
    <w:p>
      <w:pPr>
        <w:pStyle w:val="BodyText"/>
        <w:rPr>
          <w:sz w:val="26"/>
        </w:rPr>
      </w:pPr>
    </w:p>
    <w:p>
      <w:pPr>
        <w:pStyle w:val="BodyText"/>
        <w:rPr>
          <w:sz w:val="26"/>
        </w:rPr>
      </w:pPr>
    </w:p>
    <w:p>
      <w:pPr>
        <w:pStyle w:val="Heading2"/>
        <w:numPr>
          <w:ilvl w:val="1"/>
          <w:numId w:val="3"/>
        </w:numPr>
        <w:tabs>
          <w:tab w:pos="901" w:val="left" w:leader="none"/>
        </w:tabs>
        <w:spacing w:line="240" w:lineRule="auto" w:before="163" w:after="0"/>
        <w:ind w:left="900" w:right="0" w:hanging="781"/>
        <w:jc w:val="both"/>
      </w:pPr>
      <w:r>
        <w:rPr/>
        <w:t>Application</w:t>
      </w:r>
      <w:r>
        <w:rPr>
          <w:spacing w:val="-5"/>
        </w:rPr>
        <w:t> </w:t>
      </w:r>
      <w:r>
        <w:rPr/>
        <w:t>of</w:t>
      </w:r>
      <w:r>
        <w:rPr>
          <w:spacing w:val="-3"/>
        </w:rPr>
        <w:t> </w:t>
      </w:r>
      <w:r>
        <w:rPr/>
        <w:t>Iron</w:t>
      </w:r>
      <w:r>
        <w:rPr>
          <w:spacing w:val="-4"/>
        </w:rPr>
        <w:t> </w:t>
      </w:r>
      <w:r>
        <w:rPr/>
        <w:t>oxide</w:t>
      </w:r>
      <w:r>
        <w:rPr>
          <w:spacing w:val="-5"/>
        </w:rPr>
        <w:t> </w:t>
      </w:r>
      <w:r>
        <w:rPr>
          <w:spacing w:val="-2"/>
        </w:rPr>
        <w:t>Nanoparticle</w:t>
      </w:r>
    </w:p>
    <w:p>
      <w:pPr>
        <w:pStyle w:val="BodyText"/>
        <w:spacing w:before="7"/>
        <w:rPr>
          <w:b/>
          <w:sz w:val="23"/>
        </w:rPr>
      </w:pPr>
    </w:p>
    <w:p>
      <w:pPr>
        <w:pStyle w:val="BodyText"/>
        <w:spacing w:line="480" w:lineRule="auto"/>
        <w:ind w:left="120" w:right="114"/>
        <w:jc w:val="both"/>
      </w:pPr>
      <w:r>
        <w:rPr/>
        <w:t>Among the researchers working in the field of nanotechnology, Iron nanoparticles have attracted powerful</w:t>
      </w:r>
      <w:r>
        <w:rPr>
          <w:spacing w:val="-2"/>
        </w:rPr>
        <w:t> </w:t>
      </w:r>
      <w:r>
        <w:rPr/>
        <w:t>experimental</w:t>
      </w:r>
      <w:r>
        <w:rPr>
          <w:spacing w:val="-2"/>
        </w:rPr>
        <w:t> </w:t>
      </w:r>
      <w:r>
        <w:rPr/>
        <w:t>activities</w:t>
      </w:r>
      <w:r>
        <w:rPr>
          <w:spacing w:val="-2"/>
        </w:rPr>
        <w:t> </w:t>
      </w:r>
      <w:r>
        <w:rPr/>
        <w:t>due</w:t>
      </w:r>
      <w:r>
        <w:rPr>
          <w:spacing w:val="-2"/>
        </w:rPr>
        <w:t> </w:t>
      </w:r>
      <w:r>
        <w:rPr/>
        <w:t>to</w:t>
      </w:r>
      <w:r>
        <w:rPr>
          <w:spacing w:val="-3"/>
        </w:rPr>
        <w:t> </w:t>
      </w:r>
      <w:r>
        <w:rPr/>
        <w:t>their</w:t>
      </w:r>
      <w:r>
        <w:rPr>
          <w:spacing w:val="-2"/>
        </w:rPr>
        <w:t> </w:t>
      </w:r>
      <w:r>
        <w:rPr/>
        <w:t>potential</w:t>
      </w:r>
      <w:r>
        <w:rPr>
          <w:spacing w:val="-2"/>
        </w:rPr>
        <w:t> </w:t>
      </w:r>
      <w:r>
        <w:rPr/>
        <w:t>application</w:t>
      </w:r>
      <w:r>
        <w:rPr>
          <w:spacing w:val="-2"/>
        </w:rPr>
        <w:t> </w:t>
      </w:r>
      <w:r>
        <w:rPr/>
        <w:t>in</w:t>
      </w:r>
      <w:r>
        <w:rPr>
          <w:spacing w:val="-2"/>
        </w:rPr>
        <w:t> </w:t>
      </w:r>
      <w:r>
        <w:rPr/>
        <w:t>a</w:t>
      </w:r>
      <w:r>
        <w:rPr>
          <w:spacing w:val="-2"/>
        </w:rPr>
        <w:t> </w:t>
      </w:r>
      <w:r>
        <w:rPr/>
        <w:t>various</w:t>
      </w:r>
      <w:r>
        <w:rPr>
          <w:spacing w:val="-2"/>
        </w:rPr>
        <w:t> </w:t>
      </w:r>
      <w:r>
        <w:rPr/>
        <w:t>different</w:t>
      </w:r>
      <w:r>
        <w:rPr>
          <w:spacing w:val="-2"/>
        </w:rPr>
        <w:t> </w:t>
      </w:r>
      <w:r>
        <w:rPr/>
        <w:t>industries such</w:t>
      </w:r>
      <w:r>
        <w:rPr>
          <w:spacing w:val="-15"/>
        </w:rPr>
        <w:t> </w:t>
      </w:r>
      <w:r>
        <w:rPr/>
        <w:t>as</w:t>
      </w:r>
      <w:r>
        <w:rPr>
          <w:spacing w:val="-15"/>
        </w:rPr>
        <w:t> </w:t>
      </w:r>
      <w:r>
        <w:rPr/>
        <w:t>Ferro</w:t>
      </w:r>
      <w:r>
        <w:rPr>
          <w:spacing w:val="-13"/>
        </w:rPr>
        <w:t> </w:t>
      </w:r>
      <w:r>
        <w:rPr/>
        <w:t>fluid,</w:t>
      </w:r>
      <w:r>
        <w:rPr>
          <w:spacing w:val="-15"/>
        </w:rPr>
        <w:t> </w:t>
      </w:r>
      <w:r>
        <w:rPr/>
        <w:t>audio</w:t>
      </w:r>
      <w:r>
        <w:rPr>
          <w:spacing w:val="-13"/>
        </w:rPr>
        <w:t> </w:t>
      </w:r>
      <w:r>
        <w:rPr/>
        <w:t>and</w:t>
      </w:r>
      <w:r>
        <w:rPr>
          <w:spacing w:val="-15"/>
        </w:rPr>
        <w:t> </w:t>
      </w:r>
      <w:r>
        <w:rPr/>
        <w:t>video</w:t>
      </w:r>
      <w:r>
        <w:rPr>
          <w:spacing w:val="-15"/>
        </w:rPr>
        <w:t> </w:t>
      </w:r>
      <w:r>
        <w:rPr/>
        <w:t>recording,</w:t>
      </w:r>
      <w:r>
        <w:rPr>
          <w:spacing w:val="-15"/>
        </w:rPr>
        <w:t> </w:t>
      </w:r>
      <w:r>
        <w:rPr/>
        <w:t>bioprocess</w:t>
      </w:r>
      <w:r>
        <w:rPr>
          <w:spacing w:val="-13"/>
        </w:rPr>
        <w:t> </w:t>
      </w:r>
      <w:r>
        <w:rPr/>
        <w:t>(Neuberger</w:t>
      </w:r>
      <w:r>
        <w:rPr>
          <w:spacing w:val="-13"/>
        </w:rPr>
        <w:t> </w:t>
      </w:r>
      <w:r>
        <w:rPr>
          <w:i/>
        </w:rPr>
        <w:t>et</w:t>
      </w:r>
      <w:r>
        <w:rPr>
          <w:i/>
          <w:spacing w:val="-15"/>
        </w:rPr>
        <w:t> </w:t>
      </w:r>
      <w:r>
        <w:rPr>
          <w:i/>
        </w:rPr>
        <w:t>al</w:t>
      </w:r>
      <w:r>
        <w:rPr/>
        <w:t>.,</w:t>
      </w:r>
      <w:r>
        <w:rPr>
          <w:spacing w:val="-15"/>
        </w:rPr>
        <w:t> </w:t>
      </w:r>
      <w:r>
        <w:rPr/>
        <w:t>2005)</w:t>
      </w:r>
      <w:r>
        <w:rPr>
          <w:spacing w:val="-15"/>
        </w:rPr>
        <w:t> </w:t>
      </w:r>
      <w:r>
        <w:rPr/>
        <w:t>gas</w:t>
      </w:r>
      <w:r>
        <w:rPr>
          <w:spacing w:val="-15"/>
        </w:rPr>
        <w:t> </w:t>
      </w:r>
      <w:r>
        <w:rPr/>
        <w:t>sensor</w:t>
      </w:r>
      <w:r>
        <w:rPr>
          <w:spacing w:val="-14"/>
        </w:rPr>
        <w:t> </w:t>
      </w:r>
      <w:r>
        <w:rPr/>
        <w:t>(Jing and</w:t>
      </w:r>
      <w:r>
        <w:rPr>
          <w:spacing w:val="-2"/>
        </w:rPr>
        <w:t> </w:t>
      </w:r>
      <w:r>
        <w:rPr/>
        <w:t>Wu,</w:t>
      </w:r>
      <w:r>
        <w:rPr>
          <w:spacing w:val="-2"/>
        </w:rPr>
        <w:t> </w:t>
      </w:r>
      <w:r>
        <w:rPr/>
        <w:t>2006),</w:t>
      </w:r>
      <w:r>
        <w:rPr>
          <w:spacing w:val="-2"/>
        </w:rPr>
        <w:t> </w:t>
      </w:r>
      <w:r>
        <w:rPr/>
        <w:t>refrigeration</w:t>
      </w:r>
      <w:r>
        <w:rPr>
          <w:spacing w:val="-2"/>
        </w:rPr>
        <w:t> </w:t>
      </w:r>
      <w:r>
        <w:rPr/>
        <w:t>system</w:t>
      </w:r>
      <w:r>
        <w:rPr>
          <w:spacing w:val="-2"/>
        </w:rPr>
        <w:t> </w:t>
      </w:r>
      <w:r>
        <w:rPr/>
        <w:t>(Lim </w:t>
      </w:r>
      <w:r>
        <w:rPr>
          <w:i/>
        </w:rPr>
        <w:t>et</w:t>
      </w:r>
      <w:r>
        <w:rPr>
          <w:i/>
          <w:spacing w:val="-2"/>
        </w:rPr>
        <w:t> </w:t>
      </w:r>
      <w:r>
        <w:rPr>
          <w:i/>
        </w:rPr>
        <w:t>al</w:t>
      </w:r>
      <w:r>
        <w:rPr/>
        <w:t>.,</w:t>
      </w:r>
      <w:r>
        <w:rPr>
          <w:spacing w:val="-2"/>
        </w:rPr>
        <w:t> </w:t>
      </w:r>
      <w:r>
        <w:rPr/>
        <w:t>2016),</w:t>
      </w:r>
      <w:r>
        <w:rPr>
          <w:spacing w:val="-3"/>
        </w:rPr>
        <w:t> </w:t>
      </w:r>
      <w:r>
        <w:rPr/>
        <w:t>information</w:t>
      </w:r>
      <w:r>
        <w:rPr>
          <w:spacing w:val="-2"/>
        </w:rPr>
        <w:t> </w:t>
      </w:r>
      <w:r>
        <w:rPr/>
        <w:t>storage,</w:t>
      </w:r>
      <w:r>
        <w:rPr>
          <w:spacing w:val="-2"/>
        </w:rPr>
        <w:t> </w:t>
      </w:r>
      <w:r>
        <w:rPr/>
        <w:t>medical</w:t>
      </w:r>
      <w:r>
        <w:rPr>
          <w:spacing w:val="-2"/>
        </w:rPr>
        <w:t> </w:t>
      </w:r>
      <w:r>
        <w:rPr/>
        <w:t>applications (Cornell and Schwertmann, 2003). Shahwan </w:t>
      </w:r>
      <w:r>
        <w:rPr>
          <w:i/>
        </w:rPr>
        <w:t>et al. </w:t>
      </w:r>
      <w:r>
        <w:rPr/>
        <w:t>(2011) synthesized iron nanoparticles using green</w:t>
      </w:r>
      <w:r>
        <w:rPr>
          <w:spacing w:val="-13"/>
        </w:rPr>
        <w:t> </w:t>
      </w:r>
      <w:r>
        <w:rPr/>
        <w:t>tea</w:t>
      </w:r>
      <w:r>
        <w:rPr>
          <w:spacing w:val="-12"/>
        </w:rPr>
        <w:t> </w:t>
      </w:r>
      <w:r>
        <w:rPr/>
        <w:t>extracts.</w:t>
      </w:r>
      <w:r>
        <w:rPr>
          <w:spacing w:val="-12"/>
        </w:rPr>
        <w:t> </w:t>
      </w:r>
      <w:r>
        <w:rPr/>
        <w:t>These</w:t>
      </w:r>
      <w:r>
        <w:rPr>
          <w:spacing w:val="-9"/>
        </w:rPr>
        <w:t> </w:t>
      </w:r>
      <w:r>
        <w:rPr/>
        <w:t>nanoparticles</w:t>
      </w:r>
      <w:r>
        <w:rPr>
          <w:spacing w:val="-11"/>
        </w:rPr>
        <w:t> </w:t>
      </w:r>
      <w:r>
        <w:rPr/>
        <w:t>were</w:t>
      </w:r>
      <w:r>
        <w:rPr>
          <w:spacing w:val="-15"/>
        </w:rPr>
        <w:t> </w:t>
      </w:r>
      <w:r>
        <w:rPr/>
        <w:t>used</w:t>
      </w:r>
      <w:r>
        <w:rPr>
          <w:spacing w:val="-11"/>
        </w:rPr>
        <w:t> </w:t>
      </w:r>
      <w:r>
        <w:rPr/>
        <w:t>as</w:t>
      </w:r>
      <w:r>
        <w:rPr>
          <w:spacing w:val="-13"/>
        </w:rPr>
        <w:t> </w:t>
      </w:r>
      <w:r>
        <w:rPr/>
        <w:t>Fentonlike</w:t>
      </w:r>
      <w:r>
        <w:rPr>
          <w:spacing w:val="-11"/>
        </w:rPr>
        <w:t> </w:t>
      </w:r>
      <w:r>
        <w:rPr/>
        <w:t>catalyst</w:t>
      </w:r>
      <w:r>
        <w:rPr>
          <w:spacing w:val="-12"/>
        </w:rPr>
        <w:t> </w:t>
      </w:r>
      <w:r>
        <w:rPr/>
        <w:t>to</w:t>
      </w:r>
      <w:r>
        <w:rPr>
          <w:spacing w:val="-13"/>
        </w:rPr>
        <w:t> </w:t>
      </w:r>
      <w:r>
        <w:rPr/>
        <w:t>degrade</w:t>
      </w:r>
      <w:r>
        <w:rPr>
          <w:spacing w:val="-12"/>
        </w:rPr>
        <w:t> </w:t>
      </w:r>
      <w:r>
        <w:rPr/>
        <w:t>methylene</w:t>
      </w:r>
      <w:r>
        <w:rPr>
          <w:spacing w:val="-12"/>
        </w:rPr>
        <w:t> </w:t>
      </w:r>
      <w:r>
        <w:rPr/>
        <w:t>blue and methyl orange. methylene blue and methyl orange were almost completely removed in 200 and 350 minutes respectively. About 10 mg/L of iron nanoparticles nearly removed 100% methylene blue while 100mg/L removed methyl orange. When conventional borohydride reduction</w:t>
      </w:r>
      <w:r>
        <w:rPr>
          <w:spacing w:val="15"/>
        </w:rPr>
        <w:t> </w:t>
      </w:r>
      <w:r>
        <w:rPr/>
        <w:t>method</w:t>
      </w:r>
      <w:r>
        <w:rPr>
          <w:spacing w:val="17"/>
        </w:rPr>
        <w:t> </w:t>
      </w:r>
      <w:r>
        <w:rPr/>
        <w:t>was</w:t>
      </w:r>
      <w:r>
        <w:rPr>
          <w:spacing w:val="16"/>
        </w:rPr>
        <w:t> </w:t>
      </w:r>
      <w:r>
        <w:rPr/>
        <w:t>used,</w:t>
      </w:r>
      <w:r>
        <w:rPr>
          <w:spacing w:val="15"/>
        </w:rPr>
        <w:t> </w:t>
      </w:r>
      <w:r>
        <w:rPr/>
        <w:t>the</w:t>
      </w:r>
      <w:r>
        <w:rPr>
          <w:spacing w:val="16"/>
        </w:rPr>
        <w:t> </w:t>
      </w:r>
      <w:r>
        <w:rPr/>
        <w:t>efficiency</w:t>
      </w:r>
      <w:r>
        <w:rPr>
          <w:spacing w:val="12"/>
        </w:rPr>
        <w:t> </w:t>
      </w:r>
      <w:r>
        <w:rPr/>
        <w:t>of</w:t>
      </w:r>
      <w:r>
        <w:rPr>
          <w:spacing w:val="15"/>
        </w:rPr>
        <w:t> </w:t>
      </w:r>
      <w:r>
        <w:rPr/>
        <w:t>the</w:t>
      </w:r>
      <w:r>
        <w:rPr>
          <w:spacing w:val="16"/>
        </w:rPr>
        <w:t> </w:t>
      </w:r>
      <w:r>
        <w:rPr/>
        <w:t>nanoparticles</w:t>
      </w:r>
      <w:r>
        <w:rPr>
          <w:spacing w:val="15"/>
        </w:rPr>
        <w:t> </w:t>
      </w:r>
      <w:r>
        <w:rPr/>
        <w:t>decreased.</w:t>
      </w:r>
      <w:r>
        <w:rPr>
          <w:spacing w:val="16"/>
        </w:rPr>
        <w:t> </w:t>
      </w:r>
      <w:r>
        <w:rPr/>
        <w:t>Methylene</w:t>
      </w:r>
      <w:r>
        <w:rPr>
          <w:spacing w:val="15"/>
        </w:rPr>
        <w:t> </w:t>
      </w:r>
      <w:r>
        <w:rPr/>
        <w:t>blue</w:t>
      </w:r>
      <w:r>
        <w:rPr>
          <w:spacing w:val="16"/>
        </w:rPr>
        <w:t> </w:t>
      </w:r>
      <w:r>
        <w:rPr>
          <w:spacing w:val="-4"/>
        </w:rPr>
        <w:t>gave</w:t>
      </w:r>
    </w:p>
    <w:p>
      <w:pPr>
        <w:pStyle w:val="BodyText"/>
        <w:spacing w:before="1"/>
        <w:ind w:left="120"/>
        <w:jc w:val="both"/>
      </w:pPr>
      <w:r>
        <w:rPr/>
        <w:t>96.3</w:t>
      </w:r>
      <w:r>
        <w:rPr>
          <w:spacing w:val="-4"/>
        </w:rPr>
        <w:t> </w:t>
      </w:r>
      <w:r>
        <w:rPr/>
        <w:t>%</w:t>
      </w:r>
      <w:r>
        <w:rPr>
          <w:spacing w:val="-4"/>
        </w:rPr>
        <w:t> </w:t>
      </w:r>
      <w:r>
        <w:rPr/>
        <w:t>of</w:t>
      </w:r>
      <w:r>
        <w:rPr>
          <w:spacing w:val="-4"/>
        </w:rPr>
        <w:t> </w:t>
      </w:r>
      <w:r>
        <w:rPr/>
        <w:t>degradation</w:t>
      </w:r>
      <w:r>
        <w:rPr>
          <w:spacing w:val="-4"/>
        </w:rPr>
        <w:t> </w:t>
      </w:r>
      <w:r>
        <w:rPr/>
        <w:t>for</w:t>
      </w:r>
      <w:r>
        <w:rPr>
          <w:spacing w:val="-4"/>
        </w:rPr>
        <w:t> </w:t>
      </w:r>
      <w:r>
        <w:rPr/>
        <w:t>10mg/L</w:t>
      </w:r>
      <w:r>
        <w:rPr>
          <w:spacing w:val="-6"/>
        </w:rPr>
        <w:t> </w:t>
      </w:r>
      <w:r>
        <w:rPr/>
        <w:t>and</w:t>
      </w:r>
      <w:r>
        <w:rPr>
          <w:spacing w:val="-3"/>
        </w:rPr>
        <w:t> </w:t>
      </w:r>
      <w:r>
        <w:rPr/>
        <w:t>86.6 %</w:t>
      </w:r>
      <w:r>
        <w:rPr>
          <w:spacing w:val="-4"/>
        </w:rPr>
        <w:t> </w:t>
      </w:r>
      <w:r>
        <w:rPr/>
        <w:t>for</w:t>
      </w:r>
      <w:r>
        <w:rPr>
          <w:spacing w:val="-2"/>
        </w:rPr>
        <w:t> </w:t>
      </w:r>
      <w:r>
        <w:rPr/>
        <w:t>100</w:t>
      </w:r>
      <w:r>
        <w:rPr>
          <w:spacing w:val="-3"/>
        </w:rPr>
        <w:t> </w:t>
      </w:r>
      <w:r>
        <w:rPr/>
        <w:t>mg/L</w:t>
      </w:r>
      <w:r>
        <w:rPr>
          <w:spacing w:val="-6"/>
        </w:rPr>
        <w:t> </w:t>
      </w:r>
      <w:r>
        <w:rPr/>
        <w:t>while</w:t>
      </w:r>
      <w:r>
        <w:rPr>
          <w:spacing w:val="-3"/>
        </w:rPr>
        <w:t> </w:t>
      </w:r>
      <w:r>
        <w:rPr/>
        <w:t>methyl</w:t>
      </w:r>
      <w:r>
        <w:rPr>
          <w:spacing w:val="-2"/>
        </w:rPr>
        <w:t> </w:t>
      </w:r>
      <w:r>
        <w:rPr/>
        <w:t>orange</w:t>
      </w:r>
      <w:r>
        <w:rPr>
          <w:spacing w:val="-2"/>
        </w:rPr>
        <w:t> </w:t>
      </w:r>
      <w:r>
        <w:rPr/>
        <w:t>gave</w:t>
      </w:r>
      <w:r>
        <w:rPr>
          <w:spacing w:val="-4"/>
        </w:rPr>
        <w:t> </w:t>
      </w:r>
      <w:r>
        <w:rPr/>
        <w:t>61.6</w:t>
      </w:r>
      <w:r>
        <w:rPr>
          <w:spacing w:val="-3"/>
        </w:rPr>
        <w:t> </w:t>
      </w:r>
      <w:r>
        <w:rPr/>
        <w:t>%</w:t>
      </w:r>
      <w:r>
        <w:rPr>
          <w:spacing w:val="-4"/>
        </w:rPr>
        <w:t> </w:t>
      </w:r>
      <w:r>
        <w:rPr>
          <w:spacing w:val="-5"/>
        </w:rPr>
        <w:t>for</w:t>
      </w:r>
    </w:p>
    <w:p>
      <w:pPr>
        <w:spacing w:after="0"/>
        <w:jc w:val="both"/>
        <w:sectPr>
          <w:pgSz w:w="12240" w:h="15840"/>
          <w:pgMar w:header="0" w:footer="1015" w:top="1440" w:bottom="1200" w:left="1320" w:right="1320"/>
        </w:sectPr>
      </w:pPr>
    </w:p>
    <w:p>
      <w:pPr>
        <w:pStyle w:val="BodyText"/>
        <w:spacing w:line="482" w:lineRule="auto" w:before="72"/>
        <w:ind w:left="120" w:right="123"/>
        <w:jc w:val="both"/>
      </w:pPr>
      <w:r>
        <w:rPr/>
        <w:t>10mg/L and 47.1 % for 100 mg/L.This implies that the rate of degradation was lower in methyl orange than methylene blue when this method of nanoparticles synthesis was used.</w:t>
      </w:r>
    </w:p>
    <w:p>
      <w:pPr>
        <w:pStyle w:val="BodyText"/>
        <w:spacing w:line="480" w:lineRule="auto" w:before="194"/>
        <w:ind w:left="120" w:right="112" w:firstLine="62"/>
        <w:jc w:val="both"/>
      </w:pPr>
      <w:r>
        <w:rPr/>
        <w:t>It</w:t>
      </w:r>
      <w:r>
        <w:rPr>
          <w:spacing w:val="-8"/>
        </w:rPr>
        <w:t> </w:t>
      </w:r>
      <w:r>
        <w:rPr/>
        <w:t>was</w:t>
      </w:r>
      <w:r>
        <w:rPr>
          <w:spacing w:val="-7"/>
        </w:rPr>
        <w:t> </w:t>
      </w:r>
      <w:r>
        <w:rPr/>
        <w:t>reported</w:t>
      </w:r>
      <w:r>
        <w:rPr>
          <w:spacing w:val="-7"/>
        </w:rPr>
        <w:t> </w:t>
      </w:r>
      <w:r>
        <w:rPr/>
        <w:t>that</w:t>
      </w:r>
      <w:r>
        <w:rPr>
          <w:spacing w:val="-7"/>
        </w:rPr>
        <w:t> </w:t>
      </w:r>
      <w:r>
        <w:rPr/>
        <w:t>Kuang</w:t>
      </w:r>
      <w:r>
        <w:rPr>
          <w:spacing w:val="-8"/>
        </w:rPr>
        <w:t> </w:t>
      </w:r>
      <w:r>
        <w:rPr>
          <w:i/>
        </w:rPr>
        <w:t>et</w:t>
      </w:r>
      <w:r>
        <w:rPr>
          <w:i/>
          <w:spacing w:val="-7"/>
        </w:rPr>
        <w:t> </w:t>
      </w:r>
      <w:r>
        <w:rPr>
          <w:i/>
        </w:rPr>
        <w:t>al.</w:t>
      </w:r>
      <w:r>
        <w:rPr>
          <w:i/>
          <w:spacing w:val="-7"/>
        </w:rPr>
        <w:t> </w:t>
      </w:r>
      <w:r>
        <w:rPr/>
        <w:t>(2013)</w:t>
      </w:r>
      <w:r>
        <w:rPr>
          <w:spacing w:val="-8"/>
        </w:rPr>
        <w:t> </w:t>
      </w:r>
      <w:r>
        <w:rPr/>
        <w:t>utilized</w:t>
      </w:r>
      <w:r>
        <w:rPr>
          <w:spacing w:val="-7"/>
        </w:rPr>
        <w:t> </w:t>
      </w:r>
      <w:r>
        <w:rPr/>
        <w:t>green</w:t>
      </w:r>
      <w:r>
        <w:rPr>
          <w:spacing w:val="-7"/>
        </w:rPr>
        <w:t> </w:t>
      </w:r>
      <w:r>
        <w:rPr/>
        <w:t>tea</w:t>
      </w:r>
      <w:r>
        <w:rPr>
          <w:spacing w:val="-6"/>
        </w:rPr>
        <w:t> </w:t>
      </w:r>
      <w:r>
        <w:rPr/>
        <w:t>extract,</w:t>
      </w:r>
      <w:r>
        <w:rPr>
          <w:spacing w:val="-7"/>
        </w:rPr>
        <w:t> </w:t>
      </w:r>
      <w:r>
        <w:rPr/>
        <w:t>oolong</w:t>
      </w:r>
      <w:r>
        <w:rPr>
          <w:spacing w:val="-10"/>
        </w:rPr>
        <w:t> </w:t>
      </w:r>
      <w:r>
        <w:rPr/>
        <w:t>tea</w:t>
      </w:r>
      <w:r>
        <w:rPr>
          <w:spacing w:val="-8"/>
        </w:rPr>
        <w:t> </w:t>
      </w:r>
      <w:r>
        <w:rPr/>
        <w:t>extract</w:t>
      </w:r>
      <w:r>
        <w:rPr>
          <w:spacing w:val="-7"/>
        </w:rPr>
        <w:t> </w:t>
      </w:r>
      <w:r>
        <w:rPr/>
        <w:t>and</w:t>
      </w:r>
      <w:r>
        <w:rPr>
          <w:spacing w:val="-7"/>
        </w:rPr>
        <w:t> </w:t>
      </w:r>
      <w:r>
        <w:rPr/>
        <w:t>black</w:t>
      </w:r>
      <w:r>
        <w:rPr>
          <w:spacing w:val="-7"/>
        </w:rPr>
        <w:t> </w:t>
      </w:r>
      <w:r>
        <w:rPr/>
        <w:t>tea extract in the synthesis of iron nanoparticles. The synthesized nanoparticles were</w:t>
      </w:r>
      <w:r>
        <w:rPr/>
        <w:t> used as Fentonlike catalyst for the oxidation of monochlorobenzene. About 69 % of this compound was removed</w:t>
      </w:r>
      <w:r>
        <w:rPr>
          <w:spacing w:val="-13"/>
        </w:rPr>
        <w:t> </w:t>
      </w:r>
      <w:r>
        <w:rPr/>
        <w:t>by</w:t>
      </w:r>
      <w:r>
        <w:rPr>
          <w:spacing w:val="-14"/>
        </w:rPr>
        <w:t> </w:t>
      </w:r>
      <w:r>
        <w:rPr/>
        <w:t>nanoparticles</w:t>
      </w:r>
      <w:r>
        <w:rPr>
          <w:spacing w:val="-11"/>
        </w:rPr>
        <w:t> </w:t>
      </w:r>
      <w:r>
        <w:rPr/>
        <w:t>obtained</w:t>
      </w:r>
      <w:r>
        <w:rPr>
          <w:spacing w:val="-11"/>
        </w:rPr>
        <w:t> </w:t>
      </w:r>
      <w:r>
        <w:rPr/>
        <w:t>from</w:t>
      </w:r>
      <w:r>
        <w:rPr>
          <w:spacing w:val="-9"/>
        </w:rPr>
        <w:t> </w:t>
      </w:r>
      <w:r>
        <w:rPr/>
        <w:t>green</w:t>
      </w:r>
      <w:r>
        <w:rPr>
          <w:spacing w:val="-11"/>
        </w:rPr>
        <w:t> </w:t>
      </w:r>
      <w:r>
        <w:rPr/>
        <w:t>tea,</w:t>
      </w:r>
      <w:r>
        <w:rPr>
          <w:spacing w:val="-11"/>
        </w:rPr>
        <w:t> </w:t>
      </w:r>
      <w:r>
        <w:rPr/>
        <w:t>which</w:t>
      </w:r>
      <w:r>
        <w:rPr>
          <w:spacing w:val="-11"/>
        </w:rPr>
        <w:t> </w:t>
      </w:r>
      <w:r>
        <w:rPr/>
        <w:t>was</w:t>
      </w:r>
      <w:r>
        <w:rPr>
          <w:spacing w:val="-11"/>
        </w:rPr>
        <w:t> </w:t>
      </w:r>
      <w:r>
        <w:rPr/>
        <w:t>followed</w:t>
      </w:r>
      <w:r>
        <w:rPr>
          <w:spacing w:val="-11"/>
        </w:rPr>
        <w:t> </w:t>
      </w:r>
      <w:r>
        <w:rPr/>
        <w:t>by</w:t>
      </w:r>
      <w:r>
        <w:rPr>
          <w:spacing w:val="-13"/>
        </w:rPr>
        <w:t> </w:t>
      </w:r>
      <w:r>
        <w:rPr/>
        <w:t>53%</w:t>
      </w:r>
      <w:r>
        <w:rPr>
          <w:spacing w:val="-12"/>
        </w:rPr>
        <w:t> </w:t>
      </w:r>
      <w:r>
        <w:rPr/>
        <w:t>for</w:t>
      </w:r>
      <w:r>
        <w:rPr>
          <w:spacing w:val="-10"/>
        </w:rPr>
        <w:t> </w:t>
      </w:r>
      <w:r>
        <w:rPr/>
        <w:t>oolong</w:t>
      </w:r>
      <w:r>
        <w:rPr>
          <w:spacing w:val="-11"/>
        </w:rPr>
        <w:t> </w:t>
      </w:r>
      <w:r>
        <w:rPr/>
        <w:t>tea</w:t>
      </w:r>
      <w:r>
        <w:rPr>
          <w:spacing w:val="-10"/>
        </w:rPr>
        <w:t> </w:t>
      </w:r>
      <w:r>
        <w:rPr/>
        <w:t>and 39 %</w:t>
      </w:r>
      <w:r>
        <w:rPr>
          <w:spacing w:val="-1"/>
        </w:rPr>
        <w:t> </w:t>
      </w:r>
      <w:r>
        <w:rPr/>
        <w:t>for</w:t>
      </w:r>
      <w:r>
        <w:rPr>
          <w:spacing w:val="-2"/>
        </w:rPr>
        <w:t> </w:t>
      </w:r>
      <w:r>
        <w:rPr/>
        <w:t>black tea</w:t>
      </w:r>
      <w:r>
        <w:rPr>
          <w:spacing w:val="-2"/>
        </w:rPr>
        <w:t> </w:t>
      </w:r>
      <w:r>
        <w:rPr/>
        <w:t>in 3</w:t>
      </w:r>
      <w:r>
        <w:rPr>
          <w:spacing w:val="-1"/>
        </w:rPr>
        <w:t> </w:t>
      </w:r>
      <w:r>
        <w:rPr/>
        <w:t>hours.</w:t>
      </w:r>
      <w:r>
        <w:rPr>
          <w:spacing w:val="-1"/>
        </w:rPr>
        <w:t> </w:t>
      </w:r>
      <w:r>
        <w:rPr/>
        <w:t>When the</w:t>
      </w:r>
      <w:r>
        <w:rPr>
          <w:spacing w:val="-1"/>
        </w:rPr>
        <w:t> </w:t>
      </w:r>
      <w:r>
        <w:rPr/>
        <w:t>experiment was</w:t>
      </w:r>
      <w:r>
        <w:rPr>
          <w:spacing w:val="-1"/>
        </w:rPr>
        <w:t> </w:t>
      </w:r>
      <w:r>
        <w:rPr/>
        <w:t>carried</w:t>
      </w:r>
      <w:r>
        <w:rPr>
          <w:spacing w:val="-1"/>
        </w:rPr>
        <w:t> </w:t>
      </w:r>
      <w:r>
        <w:rPr/>
        <w:t>out at</w:t>
      </w:r>
      <w:r>
        <w:rPr>
          <w:spacing w:val="-1"/>
        </w:rPr>
        <w:t> </w:t>
      </w:r>
      <w:r>
        <w:rPr/>
        <w:t>optimum conditions,</w:t>
      </w:r>
      <w:r>
        <w:rPr>
          <w:spacing w:val="-1"/>
        </w:rPr>
        <w:t> </w:t>
      </w:r>
      <w:r>
        <w:rPr/>
        <w:t>81 % of monochlorobenzene were oxidatively degraded followed by a reduction in chemical oxygen demandto</w:t>
      </w:r>
      <w:r>
        <w:rPr>
          <w:spacing w:val="-3"/>
        </w:rPr>
        <w:t> </w:t>
      </w:r>
      <w:r>
        <w:rPr/>
        <w:t>about</w:t>
      </w:r>
      <w:r>
        <w:rPr>
          <w:spacing w:val="-3"/>
        </w:rPr>
        <w:t> </w:t>
      </w:r>
      <w:r>
        <w:rPr/>
        <w:t>31</w:t>
      </w:r>
      <w:r>
        <w:rPr>
          <w:spacing w:val="-3"/>
        </w:rPr>
        <w:t> </w:t>
      </w:r>
      <w:r>
        <w:rPr/>
        <w:t>%.</w:t>
      </w:r>
      <w:r>
        <w:rPr>
          <w:spacing w:val="-3"/>
        </w:rPr>
        <w:t> </w:t>
      </w:r>
      <w:r>
        <w:rPr/>
        <w:t>The</w:t>
      </w:r>
      <w:r>
        <w:rPr>
          <w:spacing w:val="-5"/>
        </w:rPr>
        <w:t> </w:t>
      </w:r>
      <w:r>
        <w:rPr/>
        <w:t>surface</w:t>
      </w:r>
      <w:r>
        <w:rPr>
          <w:spacing w:val="-3"/>
        </w:rPr>
        <w:t> </w:t>
      </w:r>
      <w:r>
        <w:rPr/>
        <w:t>area</w:t>
      </w:r>
      <w:r>
        <w:rPr>
          <w:spacing w:val="-3"/>
        </w:rPr>
        <w:t> </w:t>
      </w:r>
      <w:r>
        <w:rPr/>
        <w:t>of</w:t>
      </w:r>
      <w:r>
        <w:rPr>
          <w:spacing w:val="-2"/>
        </w:rPr>
        <w:t> </w:t>
      </w:r>
      <w:r>
        <w:rPr/>
        <w:t>5.82m2/g</w:t>
      </w:r>
      <w:r>
        <w:rPr>
          <w:spacing w:val="-4"/>
        </w:rPr>
        <w:t> </w:t>
      </w:r>
      <w:r>
        <w:rPr/>
        <w:t>and</w:t>
      </w:r>
      <w:r>
        <w:rPr>
          <w:spacing w:val="-2"/>
        </w:rPr>
        <w:t> </w:t>
      </w:r>
      <w:r>
        <w:rPr/>
        <w:t>percentage</w:t>
      </w:r>
      <w:r>
        <w:rPr>
          <w:spacing w:val="-3"/>
        </w:rPr>
        <w:t> </w:t>
      </w:r>
      <w:r>
        <w:rPr/>
        <w:t>iron</w:t>
      </w:r>
      <w:r>
        <w:rPr>
          <w:spacing w:val="-2"/>
        </w:rPr>
        <w:t> </w:t>
      </w:r>
      <w:r>
        <w:rPr/>
        <w:t>content</w:t>
      </w:r>
      <w:r>
        <w:rPr>
          <w:spacing w:val="-2"/>
        </w:rPr>
        <w:t> </w:t>
      </w:r>
      <w:r>
        <w:rPr/>
        <w:t>of</w:t>
      </w:r>
      <w:r>
        <w:rPr>
          <w:spacing w:val="-3"/>
        </w:rPr>
        <w:t> </w:t>
      </w:r>
      <w:r>
        <w:rPr/>
        <w:t>14.5</w:t>
      </w:r>
      <w:r>
        <w:rPr>
          <w:spacing w:val="-1"/>
        </w:rPr>
        <w:t> </w:t>
      </w:r>
      <w:r>
        <w:rPr/>
        <w:t>%</w:t>
      </w:r>
      <w:r>
        <w:rPr>
          <w:spacing w:val="-3"/>
        </w:rPr>
        <w:t> </w:t>
      </w:r>
      <w:r>
        <w:rPr/>
        <w:t>of</w:t>
      </w:r>
      <w:r>
        <w:rPr>
          <w:spacing w:val="-2"/>
        </w:rPr>
        <w:t> </w:t>
      </w:r>
      <w:r>
        <w:rPr/>
        <w:t>the assynthesized nanoparticles was low.</w:t>
      </w:r>
    </w:p>
    <w:p>
      <w:pPr>
        <w:pStyle w:val="BodyText"/>
        <w:spacing w:line="480" w:lineRule="auto" w:before="200"/>
        <w:ind w:left="120" w:right="116"/>
        <w:jc w:val="both"/>
      </w:pPr>
      <w:r>
        <w:rPr/>
        <w:t>According</w:t>
      </w:r>
      <w:r>
        <w:rPr>
          <w:spacing w:val="-9"/>
        </w:rPr>
        <w:t> </w:t>
      </w:r>
      <w:r>
        <w:rPr/>
        <w:t>to</w:t>
      </w:r>
      <w:r>
        <w:rPr>
          <w:spacing w:val="-6"/>
        </w:rPr>
        <w:t> </w:t>
      </w:r>
      <w:r>
        <w:rPr/>
        <w:t>the</w:t>
      </w:r>
      <w:r>
        <w:rPr>
          <w:spacing w:val="-7"/>
        </w:rPr>
        <w:t> </w:t>
      </w:r>
      <w:r>
        <w:rPr/>
        <w:t>report</w:t>
      </w:r>
      <w:r>
        <w:rPr>
          <w:spacing w:val="-7"/>
        </w:rPr>
        <w:t> </w:t>
      </w:r>
      <w:r>
        <w:rPr/>
        <w:t>of</w:t>
      </w:r>
      <w:r>
        <w:rPr>
          <w:spacing w:val="-7"/>
        </w:rPr>
        <w:t> </w:t>
      </w:r>
      <w:r>
        <w:rPr/>
        <w:t>Huang</w:t>
      </w:r>
      <w:r>
        <w:rPr>
          <w:spacing w:val="-4"/>
        </w:rPr>
        <w:t> </w:t>
      </w:r>
      <w:r>
        <w:rPr>
          <w:i/>
        </w:rPr>
        <w:t>et</w:t>
      </w:r>
      <w:r>
        <w:rPr>
          <w:i/>
          <w:spacing w:val="-6"/>
        </w:rPr>
        <w:t> </w:t>
      </w:r>
      <w:r>
        <w:rPr>
          <w:i/>
        </w:rPr>
        <w:t>al.</w:t>
      </w:r>
      <w:r>
        <w:rPr>
          <w:i/>
          <w:spacing w:val="-6"/>
        </w:rPr>
        <w:t> </w:t>
      </w:r>
      <w:r>
        <w:rPr/>
        <w:t>(2014),</w:t>
      </w:r>
      <w:r>
        <w:rPr>
          <w:spacing w:val="-7"/>
        </w:rPr>
        <w:t> </w:t>
      </w:r>
      <w:r>
        <w:rPr/>
        <w:t>who</w:t>
      </w:r>
      <w:r>
        <w:rPr>
          <w:spacing w:val="-6"/>
        </w:rPr>
        <w:t> </w:t>
      </w:r>
      <w:r>
        <w:rPr/>
        <w:t>utilized</w:t>
      </w:r>
      <w:r>
        <w:rPr>
          <w:spacing w:val="-6"/>
        </w:rPr>
        <w:t> </w:t>
      </w:r>
      <w:r>
        <w:rPr/>
        <w:t>oolong</w:t>
      </w:r>
      <w:r>
        <w:rPr>
          <w:spacing w:val="-8"/>
        </w:rPr>
        <w:t> </w:t>
      </w:r>
      <w:r>
        <w:rPr/>
        <w:t>tea</w:t>
      </w:r>
      <w:r>
        <w:rPr>
          <w:spacing w:val="-5"/>
        </w:rPr>
        <w:t> </w:t>
      </w:r>
      <w:r>
        <w:rPr/>
        <w:t>extract</w:t>
      </w:r>
      <w:r>
        <w:rPr>
          <w:spacing w:val="-6"/>
        </w:rPr>
        <w:t> </w:t>
      </w:r>
      <w:r>
        <w:rPr/>
        <w:t>for</w:t>
      </w:r>
      <w:r>
        <w:rPr>
          <w:spacing w:val="-6"/>
        </w:rPr>
        <w:t> </w:t>
      </w:r>
      <w:r>
        <w:rPr/>
        <w:t>the</w:t>
      </w:r>
      <w:r>
        <w:rPr>
          <w:spacing w:val="-7"/>
        </w:rPr>
        <w:t> </w:t>
      </w:r>
      <w:r>
        <w:rPr/>
        <w:t>synthesis</w:t>
      </w:r>
      <w:r>
        <w:rPr>
          <w:spacing w:val="-6"/>
        </w:rPr>
        <w:t> </w:t>
      </w:r>
      <w:r>
        <w:rPr/>
        <w:t>of iron</w:t>
      </w:r>
      <w:r>
        <w:rPr>
          <w:spacing w:val="-15"/>
        </w:rPr>
        <w:t> </w:t>
      </w:r>
      <w:r>
        <w:rPr/>
        <w:t>nanoparticles.</w:t>
      </w:r>
      <w:r>
        <w:rPr>
          <w:spacing w:val="-15"/>
        </w:rPr>
        <w:t> </w:t>
      </w:r>
      <w:r>
        <w:rPr/>
        <w:t>The</w:t>
      </w:r>
      <w:r>
        <w:rPr>
          <w:spacing w:val="-15"/>
        </w:rPr>
        <w:t> </w:t>
      </w:r>
      <w:r>
        <w:rPr/>
        <w:t>polyphenolic</w:t>
      </w:r>
      <w:r>
        <w:rPr>
          <w:spacing w:val="-15"/>
        </w:rPr>
        <w:t> </w:t>
      </w:r>
      <w:r>
        <w:rPr/>
        <w:t>compounds</w:t>
      </w:r>
      <w:r>
        <w:rPr>
          <w:spacing w:val="-15"/>
        </w:rPr>
        <w:t> </w:t>
      </w:r>
      <w:r>
        <w:rPr/>
        <w:t>present</w:t>
      </w:r>
      <w:r>
        <w:rPr>
          <w:spacing w:val="-15"/>
        </w:rPr>
        <w:t> </w:t>
      </w:r>
      <w:r>
        <w:rPr/>
        <w:t>in</w:t>
      </w:r>
      <w:r>
        <w:rPr>
          <w:spacing w:val="-15"/>
        </w:rPr>
        <w:t> </w:t>
      </w:r>
      <w:r>
        <w:rPr/>
        <w:t>the</w:t>
      </w:r>
      <w:r>
        <w:rPr>
          <w:spacing w:val="-15"/>
        </w:rPr>
        <w:t> </w:t>
      </w:r>
      <w:r>
        <w:rPr/>
        <w:t>extract</w:t>
      </w:r>
      <w:r>
        <w:rPr>
          <w:spacing w:val="-15"/>
        </w:rPr>
        <w:t> </w:t>
      </w:r>
      <w:r>
        <w:rPr/>
        <w:t>help</w:t>
      </w:r>
      <w:r>
        <w:rPr>
          <w:spacing w:val="-15"/>
        </w:rPr>
        <w:t> </w:t>
      </w:r>
      <w:r>
        <w:rPr/>
        <w:t>to</w:t>
      </w:r>
      <w:r>
        <w:rPr>
          <w:spacing w:val="-15"/>
        </w:rPr>
        <w:t> </w:t>
      </w:r>
      <w:r>
        <w:rPr/>
        <w:t>serve</w:t>
      </w:r>
      <w:r>
        <w:rPr>
          <w:spacing w:val="-15"/>
        </w:rPr>
        <w:t> </w:t>
      </w:r>
      <w:r>
        <w:rPr/>
        <w:t>as</w:t>
      </w:r>
      <w:r>
        <w:rPr>
          <w:spacing w:val="-15"/>
        </w:rPr>
        <w:t> </w:t>
      </w:r>
      <w:r>
        <w:rPr/>
        <w:t>the</w:t>
      </w:r>
      <w:r>
        <w:rPr>
          <w:spacing w:val="-15"/>
        </w:rPr>
        <w:t> </w:t>
      </w:r>
      <w:r>
        <w:rPr/>
        <w:t>reducing and</w:t>
      </w:r>
      <w:r>
        <w:rPr>
          <w:spacing w:val="-13"/>
        </w:rPr>
        <w:t> </w:t>
      </w:r>
      <w:r>
        <w:rPr/>
        <w:t>capping</w:t>
      </w:r>
      <w:r>
        <w:rPr>
          <w:spacing w:val="-13"/>
        </w:rPr>
        <w:t> </w:t>
      </w:r>
      <w:r>
        <w:rPr/>
        <w:t>agent.</w:t>
      </w:r>
      <w:r>
        <w:rPr>
          <w:spacing w:val="-10"/>
        </w:rPr>
        <w:t> </w:t>
      </w:r>
      <w:r>
        <w:rPr/>
        <w:t>XRD</w:t>
      </w:r>
      <w:r>
        <w:rPr>
          <w:spacing w:val="-11"/>
        </w:rPr>
        <w:t> </w:t>
      </w:r>
      <w:r>
        <w:rPr/>
        <w:t>and</w:t>
      </w:r>
      <w:r>
        <w:rPr>
          <w:spacing w:val="-13"/>
        </w:rPr>
        <w:t> </w:t>
      </w:r>
      <w:r>
        <w:rPr/>
        <w:t>FTIR</w:t>
      </w:r>
      <w:r>
        <w:rPr>
          <w:spacing w:val="-10"/>
        </w:rPr>
        <w:t> </w:t>
      </w:r>
      <w:r>
        <w:rPr/>
        <w:t>techniques</w:t>
      </w:r>
      <w:r>
        <w:rPr>
          <w:spacing w:val="-11"/>
        </w:rPr>
        <w:t> </w:t>
      </w:r>
      <w:r>
        <w:rPr/>
        <w:t>for</w:t>
      </w:r>
      <w:r>
        <w:rPr>
          <w:spacing w:val="-15"/>
        </w:rPr>
        <w:t> </w:t>
      </w:r>
      <w:r>
        <w:rPr/>
        <w:t>the</w:t>
      </w:r>
      <w:r>
        <w:rPr>
          <w:spacing w:val="-14"/>
        </w:rPr>
        <w:t> </w:t>
      </w:r>
      <w:r>
        <w:rPr/>
        <w:t>characterization</w:t>
      </w:r>
      <w:r>
        <w:rPr>
          <w:spacing w:val="-13"/>
        </w:rPr>
        <w:t> </w:t>
      </w:r>
      <w:r>
        <w:rPr/>
        <w:t>of</w:t>
      </w:r>
      <w:r>
        <w:rPr>
          <w:spacing w:val="-14"/>
        </w:rPr>
        <w:t> </w:t>
      </w:r>
      <w:r>
        <w:rPr/>
        <w:t>the</w:t>
      </w:r>
      <w:r>
        <w:rPr>
          <w:spacing w:val="-11"/>
        </w:rPr>
        <w:t> </w:t>
      </w:r>
      <w:r>
        <w:rPr/>
        <w:t>nanoparticles</w:t>
      </w:r>
      <w:r>
        <w:rPr>
          <w:spacing w:val="-13"/>
        </w:rPr>
        <w:t> </w:t>
      </w:r>
      <w:r>
        <w:rPr/>
        <w:t>showed that</w:t>
      </w:r>
      <w:r>
        <w:rPr>
          <w:spacing w:val="-12"/>
        </w:rPr>
        <w:t> </w:t>
      </w:r>
      <w:r>
        <w:rPr/>
        <w:t>zerovalent</w:t>
      </w:r>
      <w:r>
        <w:rPr>
          <w:spacing w:val="-12"/>
        </w:rPr>
        <w:t> </w:t>
      </w:r>
      <w:r>
        <w:rPr/>
        <w:t>iron,</w:t>
      </w:r>
      <w:r>
        <w:rPr>
          <w:spacing w:val="-12"/>
        </w:rPr>
        <w:t> </w:t>
      </w:r>
      <w:r>
        <w:rPr/>
        <w:t>maghemite,</w:t>
      </w:r>
      <w:r>
        <w:rPr>
          <w:spacing w:val="-12"/>
        </w:rPr>
        <w:t> </w:t>
      </w:r>
      <w:r>
        <w:rPr/>
        <w:t>and</w:t>
      </w:r>
      <w:r>
        <w:rPr>
          <w:spacing w:val="-12"/>
        </w:rPr>
        <w:t> </w:t>
      </w:r>
      <w:r>
        <w:rPr/>
        <w:t>magnetite</w:t>
      </w:r>
      <w:r>
        <w:rPr>
          <w:spacing w:val="-12"/>
        </w:rPr>
        <w:t> </w:t>
      </w:r>
      <w:r>
        <w:rPr/>
        <w:t>nanoparticles</w:t>
      </w:r>
      <w:r>
        <w:rPr>
          <w:spacing w:val="-12"/>
        </w:rPr>
        <w:t> </w:t>
      </w:r>
      <w:r>
        <w:rPr/>
        <w:t>were</w:t>
      </w:r>
      <w:r>
        <w:rPr>
          <w:spacing w:val="-13"/>
        </w:rPr>
        <w:t> </w:t>
      </w:r>
      <w:r>
        <w:rPr/>
        <w:t>present.</w:t>
      </w:r>
      <w:r>
        <w:rPr>
          <w:spacing w:val="-9"/>
        </w:rPr>
        <w:t> </w:t>
      </w:r>
      <w:r>
        <w:rPr/>
        <w:t>Because</w:t>
      </w:r>
      <w:r>
        <w:rPr>
          <w:spacing w:val="-12"/>
        </w:rPr>
        <w:t> </w:t>
      </w:r>
      <w:r>
        <w:rPr/>
        <w:t>of</w:t>
      </w:r>
      <w:r>
        <w:rPr>
          <w:spacing w:val="-12"/>
        </w:rPr>
        <w:t> </w:t>
      </w:r>
      <w:r>
        <w:rPr/>
        <w:t>the</w:t>
      </w:r>
      <w:r>
        <w:rPr>
          <w:spacing w:val="-12"/>
        </w:rPr>
        <w:t> </w:t>
      </w:r>
      <w:r>
        <w:rPr/>
        <w:t>organic coating</w:t>
      </w:r>
      <w:r>
        <w:rPr>
          <w:spacing w:val="-15"/>
        </w:rPr>
        <w:t> </w:t>
      </w:r>
      <w:r>
        <w:rPr/>
        <w:t>offered</w:t>
      </w:r>
      <w:r>
        <w:rPr>
          <w:spacing w:val="-14"/>
        </w:rPr>
        <w:t> </w:t>
      </w:r>
      <w:r>
        <w:rPr/>
        <w:t>by</w:t>
      </w:r>
      <w:r>
        <w:rPr>
          <w:spacing w:val="-15"/>
        </w:rPr>
        <w:t> </w:t>
      </w:r>
      <w:r>
        <w:rPr/>
        <w:t>biomolecules,</w:t>
      </w:r>
      <w:r>
        <w:rPr>
          <w:spacing w:val="-15"/>
        </w:rPr>
        <w:t> </w:t>
      </w:r>
      <w:r>
        <w:rPr/>
        <w:t>as-synthesized</w:t>
      </w:r>
      <w:r>
        <w:rPr>
          <w:spacing w:val="-14"/>
        </w:rPr>
        <w:t> </w:t>
      </w:r>
      <w:r>
        <w:rPr/>
        <w:t>nanoparticles</w:t>
      </w:r>
      <w:r>
        <w:rPr>
          <w:spacing w:val="-15"/>
        </w:rPr>
        <w:t> </w:t>
      </w:r>
      <w:r>
        <w:rPr/>
        <w:t>was</w:t>
      </w:r>
      <w:r>
        <w:rPr>
          <w:spacing w:val="-14"/>
        </w:rPr>
        <w:t> </w:t>
      </w:r>
      <w:r>
        <w:rPr/>
        <w:t>left</w:t>
      </w:r>
      <w:r>
        <w:rPr>
          <w:spacing w:val="-15"/>
        </w:rPr>
        <w:t> </w:t>
      </w:r>
      <w:r>
        <w:rPr/>
        <w:t>in</w:t>
      </w:r>
      <w:r>
        <w:rPr>
          <w:spacing w:val="-14"/>
        </w:rPr>
        <w:t> </w:t>
      </w:r>
      <w:r>
        <w:rPr/>
        <w:t>a</w:t>
      </w:r>
      <w:r>
        <w:rPr>
          <w:spacing w:val="-13"/>
        </w:rPr>
        <w:t> </w:t>
      </w:r>
      <w:r>
        <w:rPr/>
        <w:t>dispersed</w:t>
      </w:r>
      <w:r>
        <w:rPr>
          <w:spacing w:val="-14"/>
        </w:rPr>
        <w:t> </w:t>
      </w:r>
      <w:r>
        <w:rPr/>
        <w:t>state</w:t>
      </w:r>
      <w:r>
        <w:rPr>
          <w:spacing w:val="-13"/>
        </w:rPr>
        <w:t> </w:t>
      </w:r>
      <w:r>
        <w:rPr/>
        <w:t>and</w:t>
      </w:r>
      <w:r>
        <w:rPr>
          <w:spacing w:val="-12"/>
        </w:rPr>
        <w:t> </w:t>
      </w:r>
      <w:r>
        <w:rPr/>
        <w:t>also showed good reactivity. Interestingly, 75.5 % degradation in 60 minutes was observed for iron nanoparticles</w:t>
      </w:r>
      <w:r>
        <w:rPr>
          <w:spacing w:val="-11"/>
        </w:rPr>
        <w:t> </w:t>
      </w:r>
      <w:r>
        <w:rPr/>
        <w:t>synthesized</w:t>
      </w:r>
      <w:r>
        <w:rPr>
          <w:spacing w:val="-9"/>
        </w:rPr>
        <w:t> </w:t>
      </w:r>
      <w:r>
        <w:rPr/>
        <w:t>using</w:t>
      </w:r>
      <w:r>
        <w:rPr>
          <w:spacing w:val="-12"/>
        </w:rPr>
        <w:t> </w:t>
      </w:r>
      <w:r>
        <w:rPr/>
        <w:t>oolong</w:t>
      </w:r>
      <w:r>
        <w:rPr>
          <w:spacing w:val="-13"/>
        </w:rPr>
        <w:t> </w:t>
      </w:r>
      <w:r>
        <w:rPr/>
        <w:t>tea</w:t>
      </w:r>
      <w:r>
        <w:rPr>
          <w:spacing w:val="-8"/>
        </w:rPr>
        <w:t> </w:t>
      </w:r>
      <w:r>
        <w:rPr/>
        <w:t>extract</w:t>
      </w:r>
      <w:r>
        <w:rPr>
          <w:spacing w:val="-10"/>
        </w:rPr>
        <w:t> </w:t>
      </w:r>
      <w:r>
        <w:rPr/>
        <w:t>to</w:t>
      </w:r>
      <w:r>
        <w:rPr>
          <w:spacing w:val="-10"/>
        </w:rPr>
        <w:t> </w:t>
      </w:r>
      <w:r>
        <w:rPr/>
        <w:t>degrade</w:t>
      </w:r>
      <w:r>
        <w:rPr>
          <w:spacing w:val="-12"/>
        </w:rPr>
        <w:t> </w:t>
      </w:r>
      <w:r>
        <w:rPr/>
        <w:t>malachite</w:t>
      </w:r>
      <w:r>
        <w:rPr>
          <w:spacing w:val="-7"/>
        </w:rPr>
        <w:t> </w:t>
      </w:r>
      <w:r>
        <w:rPr/>
        <w:t>green,</w:t>
      </w:r>
      <w:r>
        <w:rPr>
          <w:spacing w:val="-11"/>
        </w:rPr>
        <w:t> </w:t>
      </w:r>
      <w:r>
        <w:rPr/>
        <w:t>which</w:t>
      </w:r>
      <w:r>
        <w:rPr>
          <w:spacing w:val="-11"/>
        </w:rPr>
        <w:t> </w:t>
      </w:r>
      <w:r>
        <w:rPr/>
        <w:t>was</w:t>
      </w:r>
      <w:r>
        <w:rPr>
          <w:spacing w:val="-10"/>
        </w:rPr>
        <w:t> </w:t>
      </w:r>
      <w:r>
        <w:rPr/>
        <w:t>difficult to degrade with a degradation rate of 0.045 min</w:t>
      </w:r>
      <w:r>
        <w:rPr>
          <w:vertAlign w:val="superscript"/>
        </w:rPr>
        <w:t>−1</w:t>
      </w:r>
      <w:r>
        <w:rPr>
          <w:vertAlign w:val="baseline"/>
        </w:rPr>
        <w:t>.</w:t>
      </w:r>
    </w:p>
    <w:p>
      <w:pPr>
        <w:pStyle w:val="BodyText"/>
        <w:spacing w:line="477" w:lineRule="auto" w:before="244"/>
        <w:ind w:left="120" w:right="114"/>
        <w:jc w:val="both"/>
      </w:pPr>
      <w:r>
        <w:rPr/>
        <w:t>El-Sheshtawy and Ahmed (2017) reported 35 % and 50 % removal of crude oil when </w:t>
      </w:r>
      <w:r>
        <w:rPr>
          <w:i/>
        </w:rPr>
        <w:t>Bacillus </w:t>
      </w:r>
      <w:r>
        <w:rPr>
          <w:i/>
          <w:position w:val="2"/>
        </w:rPr>
        <w:t>licheniformis </w:t>
      </w:r>
      <w:r>
        <w:rPr>
          <w:position w:val="2"/>
        </w:rPr>
        <w:t>and Fe</w:t>
      </w:r>
      <w:r>
        <w:rPr>
          <w:sz w:val="16"/>
        </w:rPr>
        <w:t>2</w:t>
      </w:r>
      <w:r>
        <w:rPr>
          <w:position w:val="2"/>
        </w:rPr>
        <w:t>O</w:t>
      </w:r>
      <w:r>
        <w:rPr>
          <w:sz w:val="16"/>
        </w:rPr>
        <w:t>3</w:t>
      </w:r>
      <w:r>
        <w:rPr>
          <w:spacing w:val="40"/>
          <w:sz w:val="16"/>
        </w:rPr>
        <w:t> </w:t>
      </w:r>
      <w:r>
        <w:rPr>
          <w:position w:val="2"/>
        </w:rPr>
        <w:t>NPs where used at concentration of 0.1 g/L and o.2 g/L while 60 % </w:t>
      </w:r>
      <w:r>
        <w:rPr/>
        <w:t>degradation</w:t>
      </w:r>
      <w:r>
        <w:rPr>
          <w:spacing w:val="-15"/>
        </w:rPr>
        <w:t> </w:t>
      </w:r>
      <w:r>
        <w:rPr/>
        <w:t>was</w:t>
      </w:r>
      <w:r>
        <w:rPr>
          <w:spacing w:val="-15"/>
        </w:rPr>
        <w:t> </w:t>
      </w:r>
      <w:r>
        <w:rPr/>
        <w:t>obtained</w:t>
      </w:r>
      <w:r>
        <w:rPr>
          <w:spacing w:val="-15"/>
        </w:rPr>
        <w:t> </w:t>
      </w:r>
      <w:r>
        <w:rPr/>
        <w:t>when</w:t>
      </w:r>
      <w:r>
        <w:rPr>
          <w:spacing w:val="-15"/>
        </w:rPr>
        <w:t> </w:t>
      </w:r>
      <w:r>
        <w:rPr/>
        <w:t>biosurfactant</w:t>
      </w:r>
      <w:r>
        <w:rPr>
          <w:spacing w:val="-15"/>
        </w:rPr>
        <w:t> </w:t>
      </w:r>
      <w:r>
        <w:rPr/>
        <w:t>was</w:t>
      </w:r>
      <w:r>
        <w:rPr>
          <w:spacing w:val="-15"/>
        </w:rPr>
        <w:t> </w:t>
      </w:r>
      <w:r>
        <w:rPr/>
        <w:t>included</w:t>
      </w:r>
      <w:r>
        <w:rPr>
          <w:spacing w:val="-15"/>
        </w:rPr>
        <w:t> </w:t>
      </w:r>
      <w:r>
        <w:rPr/>
        <w:t>for</w:t>
      </w:r>
      <w:r>
        <w:rPr>
          <w:spacing w:val="-15"/>
        </w:rPr>
        <w:t> </w:t>
      </w:r>
      <w:r>
        <w:rPr/>
        <w:t>7</w:t>
      </w:r>
      <w:r>
        <w:rPr>
          <w:spacing w:val="-15"/>
        </w:rPr>
        <w:t> </w:t>
      </w:r>
      <w:r>
        <w:rPr/>
        <w:t>days</w:t>
      </w:r>
      <w:r>
        <w:rPr>
          <w:spacing w:val="-15"/>
        </w:rPr>
        <w:t> </w:t>
      </w:r>
      <w:r>
        <w:rPr/>
        <w:t>tretment.</w:t>
      </w:r>
      <w:r>
        <w:rPr>
          <w:spacing w:val="-15"/>
        </w:rPr>
        <w:t> </w:t>
      </w:r>
      <w:r>
        <w:rPr/>
        <w:t>They</w:t>
      </w:r>
      <w:r>
        <w:rPr>
          <w:spacing w:val="-15"/>
        </w:rPr>
        <w:t> </w:t>
      </w:r>
      <w:r>
        <w:rPr/>
        <w:t>also</w:t>
      </w:r>
      <w:r>
        <w:rPr>
          <w:spacing w:val="-15"/>
        </w:rPr>
        <w:t> </w:t>
      </w:r>
      <w:r>
        <w:rPr/>
        <w:t>observed </w:t>
      </w:r>
      <w:r>
        <w:rPr>
          <w:position w:val="2"/>
        </w:rPr>
        <w:t>that</w:t>
      </w:r>
      <w:r>
        <w:rPr>
          <w:spacing w:val="41"/>
          <w:position w:val="2"/>
        </w:rPr>
        <w:t> </w:t>
      </w:r>
      <w:r>
        <w:rPr>
          <w:position w:val="2"/>
        </w:rPr>
        <w:t>total</w:t>
      </w:r>
      <w:r>
        <w:rPr>
          <w:spacing w:val="44"/>
          <w:position w:val="2"/>
        </w:rPr>
        <w:t> </w:t>
      </w:r>
      <w:r>
        <w:rPr>
          <w:position w:val="2"/>
        </w:rPr>
        <w:t>parafins</w:t>
      </w:r>
      <w:r>
        <w:rPr>
          <w:spacing w:val="43"/>
          <w:position w:val="2"/>
        </w:rPr>
        <w:t> </w:t>
      </w:r>
      <w:r>
        <w:rPr>
          <w:position w:val="2"/>
        </w:rPr>
        <w:t>was</w:t>
      </w:r>
      <w:r>
        <w:rPr>
          <w:spacing w:val="48"/>
          <w:position w:val="2"/>
        </w:rPr>
        <w:t> </w:t>
      </w:r>
      <w:r>
        <w:rPr>
          <w:position w:val="2"/>
        </w:rPr>
        <w:t>best</w:t>
      </w:r>
      <w:r>
        <w:rPr>
          <w:spacing w:val="44"/>
          <w:position w:val="2"/>
        </w:rPr>
        <w:t> </w:t>
      </w:r>
      <w:r>
        <w:rPr>
          <w:position w:val="2"/>
        </w:rPr>
        <w:t>degraded</w:t>
      </w:r>
      <w:r>
        <w:rPr>
          <w:spacing w:val="44"/>
          <w:position w:val="2"/>
        </w:rPr>
        <w:t> </w:t>
      </w:r>
      <w:r>
        <w:rPr>
          <w:position w:val="2"/>
        </w:rPr>
        <w:t>in</w:t>
      </w:r>
      <w:r>
        <w:rPr>
          <w:spacing w:val="43"/>
          <w:position w:val="2"/>
        </w:rPr>
        <w:t> </w:t>
      </w:r>
      <w:r>
        <w:rPr>
          <w:position w:val="2"/>
        </w:rPr>
        <w:t>microcosm</w:t>
      </w:r>
      <w:r>
        <w:rPr>
          <w:spacing w:val="46"/>
          <w:position w:val="2"/>
        </w:rPr>
        <w:t> </w:t>
      </w:r>
      <w:r>
        <w:rPr>
          <w:position w:val="2"/>
        </w:rPr>
        <w:t>that</w:t>
      </w:r>
      <w:r>
        <w:rPr>
          <w:spacing w:val="43"/>
          <w:position w:val="2"/>
        </w:rPr>
        <w:t> </w:t>
      </w:r>
      <w:r>
        <w:rPr>
          <w:position w:val="2"/>
        </w:rPr>
        <w:t>contains</w:t>
      </w:r>
      <w:r>
        <w:rPr>
          <w:spacing w:val="44"/>
          <w:position w:val="2"/>
        </w:rPr>
        <w:t> </w:t>
      </w:r>
      <w:r>
        <w:rPr>
          <w:position w:val="2"/>
        </w:rPr>
        <w:t>200</w:t>
      </w:r>
      <w:r>
        <w:rPr>
          <w:spacing w:val="45"/>
          <w:position w:val="2"/>
        </w:rPr>
        <w:t> </w:t>
      </w:r>
      <w:r>
        <w:rPr>
          <w:position w:val="2"/>
        </w:rPr>
        <w:t>mg</w:t>
      </w:r>
      <w:r>
        <w:rPr>
          <w:spacing w:val="42"/>
          <w:position w:val="2"/>
        </w:rPr>
        <w:t> </w:t>
      </w:r>
      <w:r>
        <w:rPr>
          <w:position w:val="2"/>
        </w:rPr>
        <w:t>of</w:t>
      </w:r>
      <w:r>
        <w:rPr>
          <w:spacing w:val="45"/>
          <w:position w:val="2"/>
        </w:rPr>
        <w:t> </w:t>
      </w:r>
      <w:r>
        <w:rPr>
          <w:position w:val="2"/>
        </w:rPr>
        <w:t>Fe</w:t>
      </w:r>
      <w:r>
        <w:rPr>
          <w:sz w:val="16"/>
        </w:rPr>
        <w:t>2</w:t>
      </w:r>
      <w:r>
        <w:rPr>
          <w:position w:val="2"/>
        </w:rPr>
        <w:t>O</w:t>
      </w:r>
      <w:r>
        <w:rPr>
          <w:sz w:val="16"/>
        </w:rPr>
        <w:t>3</w:t>
      </w:r>
      <w:r>
        <w:rPr>
          <w:spacing w:val="37"/>
          <w:sz w:val="16"/>
        </w:rPr>
        <w:t> </w:t>
      </w:r>
      <w:r>
        <w:rPr>
          <w:position w:val="2"/>
        </w:rPr>
        <w:t>(np)</w:t>
      </w:r>
      <w:r>
        <w:rPr>
          <w:spacing w:val="42"/>
          <w:position w:val="2"/>
        </w:rPr>
        <w:t> </w:t>
      </w:r>
      <w:r>
        <w:rPr>
          <w:spacing w:val="-5"/>
          <w:position w:val="2"/>
        </w:rPr>
        <w:t>and</w:t>
      </w:r>
    </w:p>
    <w:p>
      <w:pPr>
        <w:spacing w:after="0" w:line="477" w:lineRule="auto"/>
        <w:jc w:val="both"/>
        <w:sectPr>
          <w:pgSz w:w="12240" w:h="15840"/>
          <w:pgMar w:header="0" w:footer="1015" w:top="1360" w:bottom="1200" w:left="1320" w:right="1320"/>
        </w:sectPr>
      </w:pPr>
    </w:p>
    <w:p>
      <w:pPr>
        <w:pStyle w:val="BodyText"/>
        <w:spacing w:line="480" w:lineRule="auto" w:before="71"/>
        <w:ind w:left="120" w:right="116"/>
        <w:jc w:val="both"/>
      </w:pPr>
      <w:r>
        <w:rPr>
          <w:position w:val="2"/>
        </w:rPr>
        <w:t>biosurfactant,</w:t>
      </w:r>
      <w:r>
        <w:rPr>
          <w:position w:val="2"/>
        </w:rPr>
        <w:t> which</w:t>
      </w:r>
      <w:r>
        <w:rPr>
          <w:position w:val="2"/>
        </w:rPr>
        <w:t> showed that use of biosurfactant together with 200 mg of Fe</w:t>
      </w:r>
      <w:r>
        <w:rPr>
          <w:sz w:val="16"/>
        </w:rPr>
        <w:t>2</w:t>
      </w:r>
      <w:r>
        <w:rPr>
          <w:position w:val="2"/>
        </w:rPr>
        <w:t>O</w:t>
      </w:r>
      <w:r>
        <w:rPr>
          <w:sz w:val="16"/>
        </w:rPr>
        <w:t>3</w:t>
      </w:r>
      <w:r>
        <w:rPr>
          <w:spacing w:val="40"/>
          <w:sz w:val="16"/>
        </w:rPr>
        <w:t> </w:t>
      </w:r>
      <w:r>
        <w:rPr>
          <w:position w:val="2"/>
        </w:rPr>
        <w:t>(np) </w:t>
      </w:r>
      <w:r>
        <w:rPr/>
        <w:t>stimulates the bacterium to metabolize total paraffins.</w:t>
      </w:r>
    </w:p>
    <w:p>
      <w:pPr>
        <w:pStyle w:val="Heading2"/>
        <w:numPr>
          <w:ilvl w:val="1"/>
          <w:numId w:val="3"/>
        </w:numPr>
        <w:tabs>
          <w:tab w:pos="841" w:val="left" w:leader="none"/>
        </w:tabs>
        <w:spacing w:line="240" w:lineRule="auto" w:before="202" w:after="0"/>
        <w:ind w:left="840" w:right="0" w:hanging="721"/>
        <w:jc w:val="both"/>
      </w:pPr>
      <w:r>
        <w:rPr/>
        <w:t>Biochar</w:t>
      </w:r>
      <w:r>
        <w:rPr>
          <w:spacing w:val="-8"/>
        </w:rPr>
        <w:t> </w:t>
      </w:r>
      <w:r>
        <w:rPr/>
        <w:t>and</w:t>
      </w:r>
      <w:r>
        <w:rPr>
          <w:spacing w:val="-6"/>
        </w:rPr>
        <w:t> </w:t>
      </w:r>
      <w:r>
        <w:rPr/>
        <w:t>Environmental</w:t>
      </w:r>
      <w:r>
        <w:rPr>
          <w:spacing w:val="-8"/>
        </w:rPr>
        <w:t> </w:t>
      </w:r>
      <w:r>
        <w:rPr>
          <w:spacing w:val="-2"/>
        </w:rPr>
        <w:t>Remediation</w:t>
      </w:r>
    </w:p>
    <w:p>
      <w:pPr>
        <w:pStyle w:val="BodyText"/>
        <w:spacing w:before="7"/>
        <w:rPr>
          <w:b/>
          <w:sz w:val="23"/>
        </w:rPr>
      </w:pPr>
    </w:p>
    <w:p>
      <w:pPr>
        <w:pStyle w:val="BodyText"/>
        <w:spacing w:line="480" w:lineRule="auto"/>
        <w:ind w:left="120" w:right="114"/>
        <w:jc w:val="both"/>
      </w:pPr>
      <w:r>
        <w:rPr/>
        <w:t>Biochar is a product rich in carbon that is obtained from the thermal decomposition of biomass, such as wood, manure, or leaves, at relatively low temperatures of &lt;700°C in an enclosed vessel with the availability</w:t>
      </w:r>
      <w:r>
        <w:rPr>
          <w:spacing w:val="-2"/>
        </w:rPr>
        <w:t> </w:t>
      </w:r>
      <w:r>
        <w:rPr/>
        <w:t>of little or no air. The extraordinary sorption affinity of biochar enables it to act as an important binding phase for several hydrocarbon pollutants in the environment. It also has</w:t>
      </w:r>
      <w:r>
        <w:rPr>
          <w:spacing w:val="-10"/>
        </w:rPr>
        <w:t> </w:t>
      </w:r>
      <w:r>
        <w:rPr/>
        <w:t>a</w:t>
      </w:r>
      <w:r>
        <w:rPr>
          <w:spacing w:val="-11"/>
        </w:rPr>
        <w:t> </w:t>
      </w:r>
      <w:r>
        <w:rPr/>
        <w:t>long</w:t>
      </w:r>
      <w:r>
        <w:rPr>
          <w:spacing w:val="-10"/>
        </w:rPr>
        <w:t> </w:t>
      </w:r>
      <w:r>
        <w:rPr/>
        <w:t>lasting</w:t>
      </w:r>
      <w:r>
        <w:rPr>
          <w:spacing w:val="-9"/>
        </w:rPr>
        <w:t> </w:t>
      </w:r>
      <w:r>
        <w:rPr/>
        <w:t>effect</w:t>
      </w:r>
      <w:r>
        <w:rPr>
          <w:spacing w:val="-7"/>
        </w:rPr>
        <w:t> </w:t>
      </w:r>
      <w:r>
        <w:rPr/>
        <w:t>on</w:t>
      </w:r>
      <w:r>
        <w:rPr>
          <w:spacing w:val="-10"/>
        </w:rPr>
        <w:t> </w:t>
      </w:r>
      <w:r>
        <w:rPr/>
        <w:t>the</w:t>
      </w:r>
      <w:r>
        <w:rPr>
          <w:spacing w:val="-10"/>
        </w:rPr>
        <w:t> </w:t>
      </w:r>
      <w:r>
        <w:rPr/>
        <w:t>soil</w:t>
      </w:r>
      <w:r>
        <w:rPr>
          <w:spacing w:val="-9"/>
        </w:rPr>
        <w:t> </w:t>
      </w:r>
      <w:r>
        <w:rPr/>
        <w:t>(</w:t>
      </w:r>
      <w:hyperlink r:id="rId10">
        <w:r>
          <w:rPr/>
          <w:t>Kavitha</w:t>
        </w:r>
      </w:hyperlink>
      <w:r>
        <w:rPr>
          <w:spacing w:val="-15"/>
        </w:rPr>
        <w:t> </w:t>
      </w:r>
      <w:r>
        <w:rPr>
          <w:i/>
        </w:rPr>
        <w:t>et</w:t>
      </w:r>
      <w:r>
        <w:rPr>
          <w:i/>
          <w:spacing w:val="-9"/>
        </w:rPr>
        <w:t> </w:t>
      </w:r>
      <w:r>
        <w:rPr>
          <w:i/>
        </w:rPr>
        <w:t>al.,</w:t>
      </w:r>
      <w:r>
        <w:rPr>
          <w:i/>
          <w:spacing w:val="-7"/>
        </w:rPr>
        <w:t> </w:t>
      </w:r>
      <w:r>
        <w:rPr/>
        <w:t>2018).</w:t>
      </w:r>
      <w:r>
        <w:rPr>
          <w:spacing w:val="-10"/>
        </w:rPr>
        <w:t> </w:t>
      </w:r>
      <w:r>
        <w:rPr/>
        <w:t>Biochar</w:t>
      </w:r>
      <w:r>
        <w:rPr>
          <w:spacing w:val="-8"/>
        </w:rPr>
        <w:t> </w:t>
      </w:r>
      <w:r>
        <w:rPr/>
        <w:t>is</w:t>
      </w:r>
      <w:r>
        <w:rPr>
          <w:spacing w:val="-9"/>
        </w:rPr>
        <w:t> </w:t>
      </w:r>
      <w:r>
        <w:rPr/>
        <w:t>a</w:t>
      </w:r>
      <w:r>
        <w:rPr>
          <w:spacing w:val="-8"/>
        </w:rPr>
        <w:t> </w:t>
      </w:r>
      <w:r>
        <w:rPr/>
        <w:t>carbon-rich</w:t>
      </w:r>
      <w:r>
        <w:rPr>
          <w:spacing w:val="-10"/>
        </w:rPr>
        <w:t> </w:t>
      </w:r>
      <w:r>
        <w:rPr/>
        <w:t>product</w:t>
      </w:r>
      <w:r>
        <w:rPr>
          <w:spacing w:val="-9"/>
        </w:rPr>
        <w:t> </w:t>
      </w:r>
      <w:r>
        <w:rPr/>
        <w:t>varying from 50 % to 93 %, that results from the high temperature (300–900 °C), oxygen limited (below 0.5 %) combustion (also known as pyrolysis) of carbonaceous biomass in a closed system (Nhuchhen </w:t>
      </w:r>
      <w:r>
        <w:rPr>
          <w:i/>
        </w:rPr>
        <w:t>et al</w:t>
      </w:r>
      <w:r>
        <w:rPr/>
        <w:t>., 2014; Alhashimi and Aktas, 2017). Biochar is commonly obtained from materials</w:t>
      </w:r>
      <w:r>
        <w:rPr>
          <w:spacing w:val="-15"/>
        </w:rPr>
        <w:t> </w:t>
      </w:r>
      <w:r>
        <w:rPr/>
        <w:t>that</w:t>
      </w:r>
      <w:r>
        <w:rPr>
          <w:spacing w:val="-15"/>
        </w:rPr>
        <w:t> </w:t>
      </w:r>
      <w:r>
        <w:rPr/>
        <w:t>are</w:t>
      </w:r>
      <w:r>
        <w:rPr>
          <w:spacing w:val="-15"/>
        </w:rPr>
        <w:t> </w:t>
      </w:r>
      <w:r>
        <w:rPr/>
        <w:t>naturally</w:t>
      </w:r>
      <w:r>
        <w:rPr>
          <w:spacing w:val="-15"/>
        </w:rPr>
        <w:t> </w:t>
      </w:r>
      <w:r>
        <w:rPr/>
        <w:t>available</w:t>
      </w:r>
      <w:r>
        <w:rPr>
          <w:spacing w:val="-15"/>
        </w:rPr>
        <w:t> </w:t>
      </w:r>
      <w:r>
        <w:rPr/>
        <w:t>and</w:t>
      </w:r>
      <w:r>
        <w:rPr>
          <w:spacing w:val="-15"/>
        </w:rPr>
        <w:t> </w:t>
      </w:r>
      <w:r>
        <w:rPr/>
        <w:t>easily</w:t>
      </w:r>
      <w:r>
        <w:rPr>
          <w:spacing w:val="-15"/>
        </w:rPr>
        <w:t> </w:t>
      </w:r>
      <w:r>
        <w:rPr/>
        <w:t>obtained</w:t>
      </w:r>
      <w:r>
        <w:rPr>
          <w:spacing w:val="-15"/>
        </w:rPr>
        <w:t> </w:t>
      </w:r>
      <w:r>
        <w:rPr/>
        <w:t>such</w:t>
      </w:r>
      <w:r>
        <w:rPr>
          <w:spacing w:val="-15"/>
        </w:rPr>
        <w:t> </w:t>
      </w:r>
      <w:r>
        <w:rPr/>
        <w:t>as</w:t>
      </w:r>
      <w:r>
        <w:rPr>
          <w:spacing w:val="-15"/>
        </w:rPr>
        <w:t> </w:t>
      </w:r>
      <w:r>
        <w:rPr/>
        <w:t>agricultural</w:t>
      </w:r>
      <w:r>
        <w:rPr>
          <w:spacing w:val="-15"/>
        </w:rPr>
        <w:t> </w:t>
      </w:r>
      <w:r>
        <w:rPr/>
        <w:t>residue,</w:t>
      </w:r>
      <w:r>
        <w:rPr>
          <w:spacing w:val="-15"/>
        </w:rPr>
        <w:t> </w:t>
      </w:r>
      <w:r>
        <w:rPr/>
        <w:t>animal</w:t>
      </w:r>
      <w:r>
        <w:rPr>
          <w:spacing w:val="-15"/>
        </w:rPr>
        <w:t> </w:t>
      </w:r>
      <w:r>
        <w:rPr/>
        <w:t>waste, biomass, forest residues, manures, activated sludge, or refuse of woody plants with high carbon content. The raw material as well as the procedure and temperature used in production directly affect the yield and composition of the product. For centuries, biochar has been in use by</w:t>
      </w:r>
      <w:r>
        <w:rPr>
          <w:spacing w:val="-2"/>
        </w:rPr>
        <w:t> </w:t>
      </w:r>
      <w:r>
        <w:rPr/>
        <w:t>man as a</w:t>
      </w:r>
      <w:r>
        <w:rPr>
          <w:spacing w:val="-2"/>
        </w:rPr>
        <w:t> </w:t>
      </w:r>
      <w:r>
        <w:rPr/>
        <w:t>supplement</w:t>
      </w:r>
      <w:r>
        <w:rPr>
          <w:spacing w:val="-1"/>
        </w:rPr>
        <w:t> </w:t>
      </w:r>
      <w:r>
        <w:rPr/>
        <w:t>in</w:t>
      </w:r>
      <w:r>
        <w:rPr>
          <w:spacing w:val="-1"/>
        </w:rPr>
        <w:t> </w:t>
      </w:r>
      <w:r>
        <w:rPr/>
        <w:t>the</w:t>
      </w:r>
      <w:r>
        <w:rPr>
          <w:spacing w:val="-2"/>
        </w:rPr>
        <w:t> </w:t>
      </w:r>
      <w:r>
        <w:rPr/>
        <w:t>soil</w:t>
      </w:r>
      <w:r>
        <w:rPr>
          <w:spacing w:val="-1"/>
        </w:rPr>
        <w:t> </w:t>
      </w:r>
      <w:r>
        <w:rPr/>
        <w:t>to remove</w:t>
      </w:r>
      <w:r>
        <w:rPr>
          <w:spacing w:val="-2"/>
        </w:rPr>
        <w:t> </w:t>
      </w:r>
      <w:r>
        <w:rPr/>
        <w:t>heavy</w:t>
      </w:r>
      <w:r>
        <w:rPr>
          <w:spacing w:val="-6"/>
        </w:rPr>
        <w:t> </w:t>
      </w:r>
      <w:r>
        <w:rPr/>
        <w:t>metals,</w:t>
      </w:r>
      <w:r>
        <w:rPr>
          <w:spacing w:val="-1"/>
        </w:rPr>
        <w:t> </w:t>
      </w:r>
      <w:r>
        <w:rPr/>
        <w:t>organic</w:t>
      </w:r>
      <w:r>
        <w:rPr>
          <w:spacing w:val="-2"/>
        </w:rPr>
        <w:t> </w:t>
      </w:r>
      <w:r>
        <w:rPr/>
        <w:t>and</w:t>
      </w:r>
      <w:r>
        <w:rPr>
          <w:spacing w:val="-1"/>
        </w:rPr>
        <w:t> </w:t>
      </w:r>
      <w:r>
        <w:rPr/>
        <w:t>inorganic</w:t>
      </w:r>
      <w:r>
        <w:rPr>
          <w:spacing w:val="-2"/>
        </w:rPr>
        <w:t> </w:t>
      </w:r>
      <w:r>
        <w:rPr/>
        <w:t>contaminants</w:t>
      </w:r>
      <w:r>
        <w:rPr>
          <w:spacing w:val="-1"/>
        </w:rPr>
        <w:t> </w:t>
      </w:r>
      <w:r>
        <w:rPr/>
        <w:t>(Oliveira </w:t>
      </w:r>
      <w:r>
        <w:rPr>
          <w:i/>
        </w:rPr>
        <w:t>et al</w:t>
      </w:r>
      <w:r>
        <w:rPr/>
        <w:t>., 2017).</w:t>
      </w:r>
    </w:p>
    <w:p>
      <w:pPr>
        <w:pStyle w:val="BodyText"/>
        <w:spacing w:line="480" w:lineRule="auto" w:before="201"/>
        <w:ind w:left="120" w:right="115"/>
        <w:jc w:val="both"/>
      </w:pPr>
      <w:r>
        <w:rPr/>
        <w:t>Slow and fast pyrolysis, gasification, torrefaction, and hydrothermal carbonization are the main thermochemical techniques that have</w:t>
      </w:r>
      <w:r>
        <w:rPr>
          <w:spacing w:val="-1"/>
        </w:rPr>
        <w:t> </w:t>
      </w:r>
      <w:r>
        <w:rPr/>
        <w:t>been used for</w:t>
      </w:r>
      <w:r>
        <w:rPr>
          <w:spacing w:val="-1"/>
        </w:rPr>
        <w:t> </w:t>
      </w:r>
      <w:r>
        <w:rPr/>
        <w:t>the</w:t>
      </w:r>
      <w:r>
        <w:rPr>
          <w:spacing w:val="-1"/>
        </w:rPr>
        <w:t> </w:t>
      </w:r>
      <w:r>
        <w:rPr/>
        <w:t>production of biochar</w:t>
      </w:r>
      <w:r>
        <w:rPr>
          <w:spacing w:val="-1"/>
        </w:rPr>
        <w:t> </w:t>
      </w:r>
      <w:r>
        <w:rPr/>
        <w:t>(Kambo and Dutta, 2015). The type of pyrolysis is greatly</w:t>
      </w:r>
      <w:r>
        <w:rPr>
          <w:spacing w:val="-3"/>
        </w:rPr>
        <w:t> </w:t>
      </w:r>
      <w:r>
        <w:rPr/>
        <w:t>dependent on the yield of biochar. Slow pyrolysis usually yield</w:t>
      </w:r>
      <w:r>
        <w:rPr>
          <w:spacing w:val="-8"/>
        </w:rPr>
        <w:t> </w:t>
      </w:r>
      <w:r>
        <w:rPr/>
        <w:t>about</w:t>
      </w:r>
      <w:r>
        <w:rPr>
          <w:spacing w:val="-10"/>
        </w:rPr>
        <w:t> </w:t>
      </w:r>
      <w:r>
        <w:rPr/>
        <w:t>30</w:t>
      </w:r>
      <w:r>
        <w:rPr>
          <w:spacing w:val="-10"/>
        </w:rPr>
        <w:t> </w:t>
      </w:r>
      <w:r>
        <w:rPr/>
        <w:t>%</w:t>
      </w:r>
      <w:r>
        <w:rPr>
          <w:spacing w:val="-9"/>
        </w:rPr>
        <w:t> </w:t>
      </w:r>
      <w:r>
        <w:rPr/>
        <w:t>of</w:t>
      </w:r>
      <w:r>
        <w:rPr>
          <w:spacing w:val="-11"/>
        </w:rPr>
        <w:t> </w:t>
      </w:r>
      <w:r>
        <w:rPr/>
        <w:t>biochar</w:t>
      </w:r>
      <w:r>
        <w:rPr>
          <w:spacing w:val="-11"/>
        </w:rPr>
        <w:t> </w:t>
      </w:r>
      <w:r>
        <w:rPr/>
        <w:t>than</w:t>
      </w:r>
      <w:r>
        <w:rPr>
          <w:spacing w:val="-9"/>
        </w:rPr>
        <w:t> </w:t>
      </w:r>
      <w:r>
        <w:rPr/>
        <w:t>fast</w:t>
      </w:r>
      <w:r>
        <w:rPr>
          <w:spacing w:val="-10"/>
        </w:rPr>
        <w:t> </w:t>
      </w:r>
      <w:r>
        <w:rPr/>
        <w:t>pyrolysis</w:t>
      </w:r>
      <w:r>
        <w:rPr>
          <w:spacing w:val="-10"/>
        </w:rPr>
        <w:t> </w:t>
      </w:r>
      <w:r>
        <w:rPr/>
        <w:t>with</w:t>
      </w:r>
      <w:r>
        <w:rPr>
          <w:spacing w:val="-11"/>
        </w:rPr>
        <w:t> </w:t>
      </w:r>
      <w:r>
        <w:rPr/>
        <w:t>12</w:t>
      </w:r>
      <w:r>
        <w:rPr>
          <w:spacing w:val="-8"/>
        </w:rPr>
        <w:t> </w:t>
      </w:r>
      <w:r>
        <w:rPr/>
        <w:t>%</w:t>
      </w:r>
      <w:r>
        <w:rPr>
          <w:spacing w:val="-7"/>
        </w:rPr>
        <w:t> </w:t>
      </w:r>
      <w:r>
        <w:rPr/>
        <w:t>yield</w:t>
      </w:r>
      <w:r>
        <w:rPr>
          <w:spacing w:val="-11"/>
        </w:rPr>
        <w:t> </w:t>
      </w:r>
      <w:r>
        <w:rPr/>
        <w:t>or</w:t>
      </w:r>
      <w:r>
        <w:rPr>
          <w:spacing w:val="-11"/>
        </w:rPr>
        <w:t> </w:t>
      </w:r>
      <w:r>
        <w:rPr/>
        <w:t>even</w:t>
      </w:r>
      <w:r>
        <w:rPr>
          <w:spacing w:val="-8"/>
        </w:rPr>
        <w:t> </w:t>
      </w:r>
      <w:r>
        <w:rPr/>
        <w:t>gasification</w:t>
      </w:r>
      <w:r>
        <w:rPr>
          <w:spacing w:val="-6"/>
        </w:rPr>
        <w:t> </w:t>
      </w:r>
      <w:r>
        <w:rPr/>
        <w:t>yielding</w:t>
      </w:r>
      <w:r>
        <w:rPr>
          <w:spacing w:val="-10"/>
        </w:rPr>
        <w:t> </w:t>
      </w:r>
      <w:r>
        <w:rPr/>
        <w:t>about 10% at a temperature of</w:t>
      </w:r>
      <w:r>
        <w:rPr>
          <w:spacing w:val="40"/>
        </w:rPr>
        <w:t> </w:t>
      </w:r>
      <w:r>
        <w:rPr/>
        <w:t>350–550 °C, in the absence of air and at longer pyrolysis time (Inyang and</w:t>
      </w:r>
      <w:r>
        <w:rPr>
          <w:spacing w:val="25"/>
        </w:rPr>
        <w:t> </w:t>
      </w:r>
      <w:r>
        <w:rPr/>
        <w:t>Dickenson,</w:t>
      </w:r>
      <w:r>
        <w:rPr>
          <w:spacing w:val="26"/>
        </w:rPr>
        <w:t> </w:t>
      </w:r>
      <w:r>
        <w:rPr/>
        <w:t>2015).</w:t>
      </w:r>
      <w:r>
        <w:rPr>
          <w:spacing w:val="28"/>
        </w:rPr>
        <w:t> </w:t>
      </w:r>
      <w:r>
        <w:rPr/>
        <w:t>When</w:t>
      </w:r>
      <w:r>
        <w:rPr>
          <w:spacing w:val="26"/>
        </w:rPr>
        <w:t> </w:t>
      </w:r>
      <w:r>
        <w:rPr/>
        <w:t>pyrolysis</w:t>
      </w:r>
      <w:r>
        <w:rPr>
          <w:spacing w:val="30"/>
        </w:rPr>
        <w:t> </w:t>
      </w:r>
      <w:r>
        <w:rPr/>
        <w:t>is</w:t>
      </w:r>
      <w:r>
        <w:rPr>
          <w:spacing w:val="29"/>
        </w:rPr>
        <w:t> </w:t>
      </w:r>
      <w:r>
        <w:rPr/>
        <w:t>carried</w:t>
      </w:r>
      <w:r>
        <w:rPr>
          <w:spacing w:val="26"/>
        </w:rPr>
        <w:t> </w:t>
      </w:r>
      <w:r>
        <w:rPr/>
        <w:t>out,</w:t>
      </w:r>
      <w:r>
        <w:rPr>
          <w:spacing w:val="27"/>
        </w:rPr>
        <w:t> </w:t>
      </w:r>
      <w:r>
        <w:rPr/>
        <w:t>lignin,</w:t>
      </w:r>
      <w:r>
        <w:rPr>
          <w:spacing w:val="29"/>
        </w:rPr>
        <w:t> </w:t>
      </w:r>
      <w:r>
        <w:rPr/>
        <w:t>cellulose,</w:t>
      </w:r>
      <w:r>
        <w:rPr>
          <w:spacing w:val="28"/>
        </w:rPr>
        <w:t> </w:t>
      </w:r>
      <w:r>
        <w:rPr/>
        <w:t>hemicellulose,</w:t>
      </w:r>
      <w:r>
        <w:rPr>
          <w:spacing w:val="26"/>
        </w:rPr>
        <w:t> </w:t>
      </w:r>
      <w:r>
        <w:rPr/>
        <w:t>fat,</w:t>
      </w:r>
      <w:r>
        <w:rPr>
          <w:spacing w:val="29"/>
        </w:rPr>
        <w:t> </w:t>
      </w:r>
      <w:r>
        <w:rPr>
          <w:spacing w:val="-5"/>
        </w:rPr>
        <w:t>and</w:t>
      </w:r>
    </w:p>
    <w:p>
      <w:pPr>
        <w:spacing w:after="0" w:line="480" w:lineRule="auto"/>
        <w:jc w:val="both"/>
        <w:sectPr>
          <w:pgSz w:w="12240" w:h="15840"/>
          <w:pgMar w:header="0" w:footer="1015" w:top="1360" w:bottom="1200" w:left="1320" w:right="1320"/>
        </w:sectPr>
      </w:pPr>
    </w:p>
    <w:p>
      <w:pPr>
        <w:pStyle w:val="BodyText"/>
        <w:spacing w:line="480" w:lineRule="auto" w:before="72"/>
        <w:ind w:left="120" w:right="117"/>
        <w:jc w:val="both"/>
      </w:pPr>
      <w:r>
        <w:rPr/>
        <w:t>starch</w:t>
      </w:r>
      <w:r>
        <w:rPr>
          <w:spacing w:val="-1"/>
        </w:rPr>
        <w:t> </w:t>
      </w:r>
      <w:r>
        <w:rPr/>
        <w:t>in</w:t>
      </w:r>
      <w:r>
        <w:rPr>
          <w:spacing w:val="-1"/>
        </w:rPr>
        <w:t> </w:t>
      </w:r>
      <w:r>
        <w:rPr/>
        <w:t>the</w:t>
      </w:r>
      <w:r>
        <w:rPr>
          <w:spacing w:val="-2"/>
        </w:rPr>
        <w:t> </w:t>
      </w:r>
      <w:r>
        <w:rPr/>
        <w:t>raw</w:t>
      </w:r>
      <w:r>
        <w:rPr>
          <w:spacing w:val="-2"/>
        </w:rPr>
        <w:t> </w:t>
      </w:r>
      <w:r>
        <w:rPr/>
        <w:t>materials</w:t>
      </w:r>
      <w:r>
        <w:rPr>
          <w:spacing w:val="-1"/>
        </w:rPr>
        <w:t> </w:t>
      </w:r>
      <w:r>
        <w:rPr/>
        <w:t>that</w:t>
      </w:r>
      <w:r>
        <w:rPr>
          <w:spacing w:val="-1"/>
        </w:rPr>
        <w:t> </w:t>
      </w:r>
      <w:r>
        <w:rPr/>
        <w:t>thermally</w:t>
      </w:r>
      <w:r>
        <w:rPr>
          <w:spacing w:val="-8"/>
        </w:rPr>
        <w:t> </w:t>
      </w:r>
      <w:r>
        <w:rPr/>
        <w:t>breakdown</w:t>
      </w:r>
      <w:r>
        <w:rPr>
          <w:spacing w:val="-2"/>
        </w:rPr>
        <w:t> </w:t>
      </w:r>
      <w:r>
        <w:rPr/>
        <w:t>to</w:t>
      </w:r>
      <w:r>
        <w:rPr>
          <w:spacing w:val="-1"/>
        </w:rPr>
        <w:t> </w:t>
      </w:r>
      <w:r>
        <w:rPr/>
        <w:t>form</w:t>
      </w:r>
      <w:r>
        <w:rPr>
          <w:spacing w:val="-1"/>
        </w:rPr>
        <w:t> </w:t>
      </w:r>
      <w:r>
        <w:rPr/>
        <w:t>three</w:t>
      </w:r>
      <w:r>
        <w:rPr>
          <w:spacing w:val="-2"/>
        </w:rPr>
        <w:t> </w:t>
      </w:r>
      <w:r>
        <w:rPr/>
        <w:t>main</w:t>
      </w:r>
      <w:r>
        <w:rPr>
          <w:spacing w:val="-1"/>
        </w:rPr>
        <w:t> </w:t>
      </w:r>
      <w:r>
        <w:rPr/>
        <w:t>products</w:t>
      </w:r>
      <w:r>
        <w:rPr>
          <w:spacing w:val="-1"/>
        </w:rPr>
        <w:t> </w:t>
      </w:r>
      <w:r>
        <w:rPr/>
        <w:t>such</w:t>
      </w:r>
      <w:r>
        <w:rPr>
          <w:spacing w:val="-1"/>
        </w:rPr>
        <w:t> </w:t>
      </w:r>
      <w:r>
        <w:rPr/>
        <w:t>as</w:t>
      </w:r>
      <w:r>
        <w:rPr>
          <w:spacing w:val="-1"/>
        </w:rPr>
        <w:t> </w:t>
      </w:r>
      <w:r>
        <w:rPr/>
        <w:t>biochar </w:t>
      </w:r>
      <w:r>
        <w:rPr>
          <w:position w:val="2"/>
        </w:rPr>
        <w:t>(solid fraction), bio-oil (partly condensed volatile matter), and non-condensable gases (CO, CO</w:t>
      </w:r>
      <w:r>
        <w:rPr>
          <w:sz w:val="16"/>
        </w:rPr>
        <w:t>2</w:t>
      </w:r>
      <w:r>
        <w:rPr>
          <w:position w:val="2"/>
        </w:rPr>
        <w:t>, CH</w:t>
      </w:r>
      <w:r>
        <w:rPr>
          <w:sz w:val="16"/>
        </w:rPr>
        <w:t>4</w:t>
      </w:r>
      <w:r>
        <w:rPr>
          <w:spacing w:val="18"/>
          <w:sz w:val="16"/>
        </w:rPr>
        <w:t> </w:t>
      </w:r>
      <w:r>
        <w:rPr>
          <w:position w:val="2"/>
        </w:rPr>
        <w:t>and</w:t>
      </w:r>
      <w:r>
        <w:rPr>
          <w:spacing w:val="-3"/>
          <w:position w:val="2"/>
        </w:rPr>
        <w:t> </w:t>
      </w:r>
      <w:r>
        <w:rPr>
          <w:position w:val="2"/>
        </w:rPr>
        <w:t>H</w:t>
      </w:r>
      <w:r>
        <w:rPr>
          <w:sz w:val="16"/>
        </w:rPr>
        <w:t>2</w:t>
      </w:r>
      <w:r>
        <w:rPr>
          <w:position w:val="2"/>
        </w:rPr>
        <w:t>)</w:t>
      </w:r>
      <w:r>
        <w:rPr>
          <w:spacing w:val="-4"/>
          <w:position w:val="2"/>
        </w:rPr>
        <w:t> </w:t>
      </w:r>
      <w:r>
        <w:rPr>
          <w:position w:val="2"/>
        </w:rPr>
        <w:t>(Ahmad</w:t>
      </w:r>
      <w:r>
        <w:rPr>
          <w:spacing w:val="-4"/>
          <w:position w:val="2"/>
        </w:rPr>
        <w:t> </w:t>
      </w:r>
      <w:r>
        <w:rPr>
          <w:i/>
          <w:position w:val="2"/>
        </w:rPr>
        <w:t>et</w:t>
      </w:r>
      <w:r>
        <w:rPr>
          <w:i/>
          <w:spacing w:val="-5"/>
          <w:position w:val="2"/>
        </w:rPr>
        <w:t> </w:t>
      </w:r>
      <w:r>
        <w:rPr>
          <w:i/>
          <w:position w:val="2"/>
        </w:rPr>
        <w:t>al</w:t>
      </w:r>
      <w:r>
        <w:rPr>
          <w:position w:val="2"/>
        </w:rPr>
        <w:t>.,</w:t>
      </w:r>
      <w:r>
        <w:rPr>
          <w:spacing w:val="-4"/>
          <w:position w:val="2"/>
        </w:rPr>
        <w:t> </w:t>
      </w:r>
      <w:r>
        <w:rPr>
          <w:position w:val="2"/>
        </w:rPr>
        <w:t>2012;</w:t>
      </w:r>
      <w:r>
        <w:rPr>
          <w:spacing w:val="-5"/>
          <w:position w:val="2"/>
        </w:rPr>
        <w:t> </w:t>
      </w:r>
      <w:r>
        <w:rPr>
          <w:position w:val="2"/>
        </w:rPr>
        <w:t>Suliman</w:t>
      </w:r>
      <w:r>
        <w:rPr>
          <w:spacing w:val="-3"/>
          <w:position w:val="2"/>
        </w:rPr>
        <w:t> </w:t>
      </w:r>
      <w:r>
        <w:rPr>
          <w:i/>
          <w:position w:val="2"/>
        </w:rPr>
        <w:t>et</w:t>
      </w:r>
      <w:r>
        <w:rPr>
          <w:i/>
          <w:spacing w:val="-5"/>
          <w:position w:val="2"/>
        </w:rPr>
        <w:t> </w:t>
      </w:r>
      <w:r>
        <w:rPr>
          <w:i/>
          <w:position w:val="2"/>
        </w:rPr>
        <w:t>al</w:t>
      </w:r>
      <w:r>
        <w:rPr>
          <w:position w:val="2"/>
        </w:rPr>
        <w:t>.,</w:t>
      </w:r>
      <w:r>
        <w:rPr>
          <w:spacing w:val="-6"/>
          <w:position w:val="2"/>
        </w:rPr>
        <w:t> </w:t>
      </w:r>
      <w:r>
        <w:rPr>
          <w:position w:val="2"/>
        </w:rPr>
        <w:t>2016).</w:t>
      </w:r>
      <w:r>
        <w:rPr>
          <w:spacing w:val="-3"/>
          <w:position w:val="2"/>
        </w:rPr>
        <w:t> </w:t>
      </w:r>
      <w:r>
        <w:rPr>
          <w:position w:val="2"/>
        </w:rPr>
        <w:t>Furthermore,</w:t>
      </w:r>
      <w:r>
        <w:rPr>
          <w:spacing w:val="-3"/>
          <w:position w:val="2"/>
        </w:rPr>
        <w:t> </w:t>
      </w:r>
      <w:r>
        <w:rPr>
          <w:position w:val="2"/>
        </w:rPr>
        <w:t>a</w:t>
      </w:r>
      <w:r>
        <w:rPr>
          <w:spacing w:val="-4"/>
          <w:position w:val="2"/>
        </w:rPr>
        <w:t> </w:t>
      </w:r>
      <w:r>
        <w:rPr>
          <w:position w:val="2"/>
        </w:rPr>
        <w:t>variation</w:t>
      </w:r>
      <w:r>
        <w:rPr>
          <w:spacing w:val="-3"/>
          <w:position w:val="2"/>
        </w:rPr>
        <w:t> </w:t>
      </w:r>
      <w:r>
        <w:rPr>
          <w:position w:val="2"/>
        </w:rPr>
        <w:t>in</w:t>
      </w:r>
      <w:r>
        <w:rPr>
          <w:spacing w:val="-3"/>
          <w:position w:val="2"/>
        </w:rPr>
        <w:t> </w:t>
      </w:r>
      <w:r>
        <w:rPr>
          <w:position w:val="2"/>
        </w:rPr>
        <w:t>O/C</w:t>
      </w:r>
      <w:r>
        <w:rPr>
          <w:spacing w:val="-5"/>
          <w:position w:val="2"/>
        </w:rPr>
        <w:t> </w:t>
      </w:r>
      <w:r>
        <w:rPr>
          <w:position w:val="2"/>
        </w:rPr>
        <w:t>and</w:t>
      </w:r>
      <w:r>
        <w:rPr>
          <w:spacing w:val="-3"/>
          <w:position w:val="2"/>
        </w:rPr>
        <w:t> </w:t>
      </w:r>
      <w:r>
        <w:rPr>
          <w:position w:val="2"/>
        </w:rPr>
        <w:t>H/C </w:t>
      </w:r>
      <w:r>
        <w:rPr/>
        <w:t>ratios in biochar is as a result of the selective removal of different elements such as carbon, hydrogen, and oxygen, into gases and other volatile compounds (Brewer </w:t>
      </w:r>
      <w:r>
        <w:rPr>
          <w:i/>
        </w:rPr>
        <w:t>et al.</w:t>
      </w:r>
      <w:r>
        <w:rPr/>
        <w:t>, 2012).</w:t>
      </w:r>
      <w:r>
        <w:rPr>
          <w:spacing w:val="40"/>
        </w:rPr>
        <w:t> </w:t>
      </w:r>
      <w:r>
        <w:rPr/>
        <w:t>The ratio of O/C and H/C in the biochar is directly proportional to the aromaticity, biodegradability, and polarity and these properties are best desirable for organic pollutants removal (Crombie </w:t>
      </w:r>
      <w:r>
        <w:rPr>
          <w:i/>
        </w:rPr>
        <w:t>et al.</w:t>
      </w:r>
      <w:r>
        <w:rPr/>
        <w:t>, </w:t>
      </w:r>
      <w:r>
        <w:rPr>
          <w:spacing w:val="-2"/>
        </w:rPr>
        <w:t>2013).</w:t>
      </w:r>
    </w:p>
    <w:p>
      <w:pPr>
        <w:pStyle w:val="BodyText"/>
        <w:spacing w:line="480" w:lineRule="auto" w:before="195"/>
        <w:ind w:left="120" w:right="113"/>
        <w:jc w:val="both"/>
      </w:pPr>
      <w:r>
        <w:rPr/>
        <w:t>As said earlier that the type of pyrolysis, atomic ratios, pH, temperature among others, have a noticeable effect on the properties of biochar. The pH of biochar increases as the temperature of pyrolysis</w:t>
      </w:r>
      <w:r>
        <w:rPr>
          <w:spacing w:val="-10"/>
        </w:rPr>
        <w:t> </w:t>
      </w:r>
      <w:r>
        <w:rPr/>
        <w:t>increase</w:t>
      </w:r>
      <w:r>
        <w:rPr>
          <w:spacing w:val="-9"/>
        </w:rPr>
        <w:t> </w:t>
      </w:r>
      <w:r>
        <w:rPr/>
        <w:t>because</w:t>
      </w:r>
      <w:r>
        <w:rPr>
          <w:spacing w:val="-12"/>
        </w:rPr>
        <w:t> </w:t>
      </w:r>
      <w:r>
        <w:rPr/>
        <w:t>the</w:t>
      </w:r>
      <w:r>
        <w:rPr>
          <w:spacing w:val="-11"/>
        </w:rPr>
        <w:t> </w:t>
      </w:r>
      <w:r>
        <w:rPr/>
        <w:t>ash</w:t>
      </w:r>
      <w:r>
        <w:rPr>
          <w:spacing w:val="-8"/>
        </w:rPr>
        <w:t> </w:t>
      </w:r>
      <w:r>
        <w:rPr/>
        <w:t>content</w:t>
      </w:r>
      <w:r>
        <w:rPr>
          <w:spacing w:val="-11"/>
        </w:rPr>
        <w:t> </w:t>
      </w:r>
      <w:r>
        <w:rPr/>
        <w:t>is</w:t>
      </w:r>
      <w:r>
        <w:rPr>
          <w:spacing w:val="-10"/>
        </w:rPr>
        <w:t> </w:t>
      </w:r>
      <w:r>
        <w:rPr/>
        <w:t>enriched.</w:t>
      </w:r>
      <w:r>
        <w:rPr>
          <w:spacing w:val="-11"/>
        </w:rPr>
        <w:t> </w:t>
      </w:r>
      <w:r>
        <w:rPr/>
        <w:t>High</w:t>
      </w:r>
      <w:r>
        <w:rPr>
          <w:spacing w:val="-11"/>
        </w:rPr>
        <w:t> </w:t>
      </w:r>
      <w:r>
        <w:rPr/>
        <w:t>pyrolysis</w:t>
      </w:r>
      <w:r>
        <w:rPr>
          <w:spacing w:val="-10"/>
        </w:rPr>
        <w:t> </w:t>
      </w:r>
      <w:r>
        <w:rPr/>
        <w:t>temperatures</w:t>
      </w:r>
      <w:r>
        <w:rPr>
          <w:spacing w:val="-10"/>
        </w:rPr>
        <w:t> </w:t>
      </w:r>
      <w:r>
        <w:rPr/>
        <w:t>of</w:t>
      </w:r>
      <w:r>
        <w:rPr>
          <w:spacing w:val="-9"/>
        </w:rPr>
        <w:t> </w:t>
      </w:r>
      <w:r>
        <w:rPr/>
        <w:t>greater</w:t>
      </w:r>
      <w:r>
        <w:rPr>
          <w:spacing w:val="-12"/>
        </w:rPr>
        <w:t> </w:t>
      </w:r>
      <w:r>
        <w:rPr/>
        <w:t>than 500 °C always result in higher hydrophobicity</w:t>
      </w:r>
      <w:r>
        <w:rPr>
          <w:spacing w:val="-3"/>
        </w:rPr>
        <w:t> </w:t>
      </w:r>
      <w:r>
        <w:rPr/>
        <w:t>and higher surface area, which make biochar very suitable for removing organic pollutants (Oliveira </w:t>
      </w:r>
      <w:r>
        <w:rPr>
          <w:i/>
        </w:rPr>
        <w:t>et al.</w:t>
      </w:r>
      <w:r>
        <w:rPr/>
        <w:t>, 2017). Lower pyrolysis temperature of less</w:t>
      </w:r>
      <w:r>
        <w:rPr>
          <w:spacing w:val="-10"/>
        </w:rPr>
        <w:t> </w:t>
      </w:r>
      <w:r>
        <w:rPr/>
        <w:t>than</w:t>
      </w:r>
      <w:r>
        <w:rPr>
          <w:spacing w:val="-10"/>
        </w:rPr>
        <w:t> </w:t>
      </w:r>
      <w:r>
        <w:rPr/>
        <w:t>500</w:t>
      </w:r>
      <w:r>
        <w:rPr>
          <w:spacing w:val="-10"/>
        </w:rPr>
        <w:t> </w:t>
      </w:r>
      <w:r>
        <w:rPr/>
        <w:t>°C)</w:t>
      </w:r>
      <w:r>
        <w:rPr>
          <w:spacing w:val="-8"/>
        </w:rPr>
        <w:t> </w:t>
      </w:r>
      <w:r>
        <w:rPr/>
        <w:t>enhances</w:t>
      </w:r>
      <w:r>
        <w:rPr>
          <w:spacing w:val="-9"/>
        </w:rPr>
        <w:t> </w:t>
      </w:r>
      <w:r>
        <w:rPr/>
        <w:t>partial</w:t>
      </w:r>
      <w:r>
        <w:rPr>
          <w:spacing w:val="-7"/>
        </w:rPr>
        <w:t> </w:t>
      </w:r>
      <w:r>
        <w:rPr/>
        <w:t>carbonization,</w:t>
      </w:r>
      <w:r>
        <w:rPr>
          <w:spacing w:val="-10"/>
        </w:rPr>
        <w:t> </w:t>
      </w:r>
      <w:r>
        <w:rPr/>
        <w:t>resulting</w:t>
      </w:r>
      <w:r>
        <w:rPr>
          <w:spacing w:val="-12"/>
        </w:rPr>
        <w:t> </w:t>
      </w:r>
      <w:r>
        <w:rPr/>
        <w:t>in</w:t>
      </w:r>
      <w:r>
        <w:rPr>
          <w:spacing w:val="-9"/>
        </w:rPr>
        <w:t> </w:t>
      </w:r>
      <w:r>
        <w:rPr/>
        <w:t>biochar</w:t>
      </w:r>
      <w:r>
        <w:rPr>
          <w:spacing w:val="-10"/>
        </w:rPr>
        <w:t> </w:t>
      </w:r>
      <w:r>
        <w:rPr/>
        <w:t>with</w:t>
      </w:r>
      <w:r>
        <w:rPr>
          <w:spacing w:val="-9"/>
        </w:rPr>
        <w:t> </w:t>
      </w:r>
      <w:r>
        <w:rPr/>
        <w:t>smaller</w:t>
      </w:r>
      <w:r>
        <w:rPr>
          <w:spacing w:val="-11"/>
        </w:rPr>
        <w:t> </w:t>
      </w:r>
      <w:r>
        <w:rPr/>
        <w:t>pore</w:t>
      </w:r>
      <w:r>
        <w:rPr>
          <w:spacing w:val="-9"/>
        </w:rPr>
        <w:t> </w:t>
      </w:r>
      <w:r>
        <w:rPr/>
        <w:t>size,</w:t>
      </w:r>
      <w:r>
        <w:rPr>
          <w:spacing w:val="-10"/>
        </w:rPr>
        <w:t> </w:t>
      </w:r>
      <w:r>
        <w:rPr/>
        <w:t>lower surface area and higher O-containing</w:t>
      </w:r>
      <w:r>
        <w:rPr/>
        <w:t> functional</w:t>
      </w:r>
      <w:r>
        <w:rPr/>
        <w:t> groups,</w:t>
      </w:r>
      <w:r>
        <w:rPr/>
        <w:t> which</w:t>
      </w:r>
      <w:r>
        <w:rPr/>
        <w:t> make</w:t>
      </w:r>
      <w:r>
        <w:rPr/>
        <w:t> it</w:t>
      </w:r>
      <w:r>
        <w:rPr/>
        <w:t> highly</w:t>
      </w:r>
      <w:r>
        <w:rPr/>
        <w:t> amenable</w:t>
      </w:r>
      <w:r>
        <w:rPr/>
        <w:t> for removal of inorganic pollutants because of the increase in ionic interactions through interaction with</w:t>
      </w:r>
      <w:r>
        <w:rPr>
          <w:spacing w:val="-8"/>
        </w:rPr>
        <w:t> </w:t>
      </w:r>
      <w:r>
        <w:rPr/>
        <w:t>O-containing</w:t>
      </w:r>
      <w:r>
        <w:rPr>
          <w:spacing w:val="-9"/>
        </w:rPr>
        <w:t> </w:t>
      </w:r>
      <w:r>
        <w:rPr/>
        <w:t>functional</w:t>
      </w:r>
      <w:r>
        <w:rPr>
          <w:spacing w:val="-9"/>
        </w:rPr>
        <w:t> </w:t>
      </w:r>
      <w:r>
        <w:rPr/>
        <w:t>groups</w:t>
      </w:r>
      <w:r>
        <w:rPr>
          <w:spacing w:val="-10"/>
        </w:rPr>
        <w:t> </w:t>
      </w:r>
      <w:r>
        <w:rPr/>
        <w:t>(Lu</w:t>
      </w:r>
      <w:r>
        <w:rPr>
          <w:spacing w:val="-8"/>
        </w:rPr>
        <w:t> </w:t>
      </w:r>
      <w:r>
        <w:rPr>
          <w:i/>
        </w:rPr>
        <w:t>et</w:t>
      </w:r>
      <w:r>
        <w:rPr>
          <w:i/>
          <w:spacing w:val="-9"/>
        </w:rPr>
        <w:t> </w:t>
      </w:r>
      <w:r>
        <w:rPr>
          <w:i/>
        </w:rPr>
        <w:t>al</w:t>
      </w:r>
      <w:r>
        <w:rPr/>
        <w:t>.,</w:t>
      </w:r>
      <w:r>
        <w:rPr>
          <w:spacing w:val="-9"/>
        </w:rPr>
        <w:t> </w:t>
      </w:r>
      <w:r>
        <w:rPr/>
        <w:t>2014;</w:t>
      </w:r>
      <w:r>
        <w:rPr>
          <w:spacing w:val="-6"/>
        </w:rPr>
        <w:t> </w:t>
      </w:r>
      <w:r>
        <w:rPr/>
        <w:t>Lawrinenko</w:t>
      </w:r>
      <w:r>
        <w:rPr>
          <w:spacing w:val="-8"/>
        </w:rPr>
        <w:t> </w:t>
      </w:r>
      <w:r>
        <w:rPr/>
        <w:t>and</w:t>
      </w:r>
      <w:r>
        <w:rPr>
          <w:spacing w:val="-6"/>
        </w:rPr>
        <w:t> </w:t>
      </w:r>
      <w:r>
        <w:rPr/>
        <w:t>Laird,</w:t>
      </w:r>
      <w:r>
        <w:rPr>
          <w:spacing w:val="-8"/>
        </w:rPr>
        <w:t> </w:t>
      </w:r>
      <w:r>
        <w:rPr/>
        <w:t>2015;</w:t>
      </w:r>
      <w:r>
        <w:rPr>
          <w:spacing w:val="-8"/>
        </w:rPr>
        <w:t> </w:t>
      </w:r>
      <w:r>
        <w:rPr/>
        <w:t>Oliveira</w:t>
      </w:r>
      <w:r>
        <w:rPr>
          <w:spacing w:val="-7"/>
        </w:rPr>
        <w:t> </w:t>
      </w:r>
      <w:r>
        <w:rPr>
          <w:i/>
        </w:rPr>
        <w:t>et</w:t>
      </w:r>
      <w:r>
        <w:rPr>
          <w:i/>
          <w:spacing w:val="-8"/>
        </w:rPr>
        <w:t> </w:t>
      </w:r>
      <w:r>
        <w:rPr>
          <w:i/>
        </w:rPr>
        <w:t>al</w:t>
      </w:r>
      <w:r>
        <w:rPr/>
        <w:t>., </w:t>
      </w:r>
      <w:r>
        <w:rPr>
          <w:spacing w:val="-2"/>
        </w:rPr>
        <w:t>2017).</w:t>
      </w:r>
    </w:p>
    <w:p>
      <w:pPr>
        <w:pStyle w:val="BodyText"/>
        <w:rPr>
          <w:sz w:val="26"/>
        </w:rPr>
      </w:pPr>
    </w:p>
    <w:p>
      <w:pPr>
        <w:pStyle w:val="BodyText"/>
        <w:rPr>
          <w:sz w:val="26"/>
        </w:rPr>
      </w:pPr>
    </w:p>
    <w:p>
      <w:pPr>
        <w:pStyle w:val="BodyText"/>
        <w:spacing w:before="4"/>
        <w:rPr>
          <w:sz w:val="31"/>
        </w:rPr>
      </w:pPr>
    </w:p>
    <w:p>
      <w:pPr>
        <w:pStyle w:val="Heading2"/>
        <w:numPr>
          <w:ilvl w:val="1"/>
          <w:numId w:val="3"/>
        </w:numPr>
        <w:tabs>
          <w:tab w:pos="840" w:val="left" w:leader="none"/>
          <w:tab w:pos="841" w:val="left" w:leader="none"/>
        </w:tabs>
        <w:spacing w:line="240" w:lineRule="auto" w:before="0" w:after="0"/>
        <w:ind w:left="840" w:right="0" w:hanging="721"/>
        <w:jc w:val="left"/>
      </w:pPr>
      <w:r>
        <w:rPr/>
        <w:t>Applications</w:t>
      </w:r>
      <w:r>
        <w:rPr>
          <w:spacing w:val="-5"/>
        </w:rPr>
        <w:t> </w:t>
      </w:r>
      <w:r>
        <w:rPr/>
        <w:t>of</w:t>
      </w:r>
      <w:r>
        <w:rPr>
          <w:spacing w:val="-3"/>
        </w:rPr>
        <w:t> </w:t>
      </w:r>
      <w:r>
        <w:rPr/>
        <w:t>biochar</w:t>
      </w:r>
      <w:r>
        <w:rPr>
          <w:spacing w:val="-5"/>
        </w:rPr>
        <w:t> </w:t>
      </w:r>
      <w:r>
        <w:rPr/>
        <w:t>in</w:t>
      </w:r>
      <w:r>
        <w:rPr>
          <w:spacing w:val="-3"/>
        </w:rPr>
        <w:t> </w:t>
      </w:r>
      <w:r>
        <w:rPr/>
        <w:t>removing</w:t>
      </w:r>
      <w:r>
        <w:rPr>
          <w:spacing w:val="-4"/>
        </w:rPr>
        <w:t> </w:t>
      </w:r>
      <w:r>
        <w:rPr/>
        <w:t>organic</w:t>
      </w:r>
      <w:r>
        <w:rPr>
          <w:spacing w:val="-4"/>
        </w:rPr>
        <w:t> </w:t>
      </w:r>
      <w:r>
        <w:rPr>
          <w:spacing w:val="-2"/>
        </w:rPr>
        <w:t>pollutants</w:t>
      </w:r>
    </w:p>
    <w:p>
      <w:pPr>
        <w:pStyle w:val="BodyText"/>
        <w:spacing w:before="7"/>
        <w:rPr>
          <w:b/>
          <w:sz w:val="23"/>
        </w:rPr>
      </w:pPr>
    </w:p>
    <w:p>
      <w:pPr>
        <w:pStyle w:val="BodyText"/>
        <w:spacing w:line="480" w:lineRule="auto"/>
        <w:ind w:left="120" w:right="115"/>
        <w:jc w:val="both"/>
      </w:pPr>
      <w:r>
        <w:rPr/>
        <w:t>Biochar</w:t>
      </w:r>
      <w:r>
        <w:rPr>
          <w:spacing w:val="-15"/>
        </w:rPr>
        <w:t> </w:t>
      </w:r>
      <w:r>
        <w:rPr/>
        <w:t>has</w:t>
      </w:r>
      <w:r>
        <w:rPr>
          <w:spacing w:val="-15"/>
        </w:rPr>
        <w:t> </w:t>
      </w:r>
      <w:r>
        <w:rPr/>
        <w:t>been</w:t>
      </w:r>
      <w:r>
        <w:rPr>
          <w:spacing w:val="-15"/>
        </w:rPr>
        <w:t> </w:t>
      </w:r>
      <w:r>
        <w:rPr/>
        <w:t>primarily</w:t>
      </w:r>
      <w:r>
        <w:rPr>
          <w:spacing w:val="-15"/>
        </w:rPr>
        <w:t> </w:t>
      </w:r>
      <w:r>
        <w:rPr/>
        <w:t>applied</w:t>
      </w:r>
      <w:r>
        <w:rPr>
          <w:spacing w:val="-15"/>
        </w:rPr>
        <w:t> </w:t>
      </w:r>
      <w:r>
        <w:rPr/>
        <w:t>in</w:t>
      </w:r>
      <w:r>
        <w:rPr>
          <w:spacing w:val="-15"/>
        </w:rPr>
        <w:t> </w:t>
      </w:r>
      <w:r>
        <w:rPr/>
        <w:t>the</w:t>
      </w:r>
      <w:r>
        <w:rPr>
          <w:spacing w:val="-15"/>
        </w:rPr>
        <w:t> </w:t>
      </w:r>
      <w:r>
        <w:rPr/>
        <w:t>remediation</w:t>
      </w:r>
      <w:r>
        <w:rPr>
          <w:spacing w:val="-15"/>
        </w:rPr>
        <w:t> </w:t>
      </w:r>
      <w:r>
        <w:rPr/>
        <w:t>of</w:t>
      </w:r>
      <w:r>
        <w:rPr>
          <w:spacing w:val="-15"/>
        </w:rPr>
        <w:t> </w:t>
      </w:r>
      <w:r>
        <w:rPr/>
        <w:t>the</w:t>
      </w:r>
      <w:r>
        <w:rPr>
          <w:spacing w:val="-15"/>
        </w:rPr>
        <w:t> </w:t>
      </w:r>
      <w:r>
        <w:rPr/>
        <w:t>environemnt.</w:t>
      </w:r>
      <w:r>
        <w:rPr>
          <w:spacing w:val="-13"/>
        </w:rPr>
        <w:t> </w:t>
      </w:r>
      <w:r>
        <w:rPr/>
        <w:t>Biochar</w:t>
      </w:r>
      <w:r>
        <w:rPr>
          <w:spacing w:val="-15"/>
        </w:rPr>
        <w:t> </w:t>
      </w:r>
      <w:r>
        <w:rPr/>
        <w:t>is</w:t>
      </w:r>
      <w:r>
        <w:rPr>
          <w:spacing w:val="-15"/>
        </w:rPr>
        <w:t> </w:t>
      </w:r>
      <w:r>
        <w:rPr/>
        <w:t>economicaljy substituted</w:t>
      </w:r>
      <w:r>
        <w:rPr>
          <w:spacing w:val="-3"/>
        </w:rPr>
        <w:t> </w:t>
      </w:r>
      <w:r>
        <w:rPr/>
        <w:t>for</w:t>
      </w:r>
      <w:r>
        <w:rPr>
          <w:spacing w:val="-2"/>
        </w:rPr>
        <w:t> </w:t>
      </w:r>
      <w:r>
        <w:rPr/>
        <w:t>activated</w:t>
      </w:r>
      <w:r>
        <w:rPr>
          <w:spacing w:val="-1"/>
        </w:rPr>
        <w:t> </w:t>
      </w:r>
      <w:r>
        <w:rPr/>
        <w:t>carbon</w:t>
      </w:r>
      <w:r>
        <w:rPr>
          <w:spacing w:val="-3"/>
        </w:rPr>
        <w:t> </w:t>
      </w:r>
      <w:r>
        <w:rPr/>
        <w:t>in</w:t>
      </w:r>
      <w:r>
        <w:rPr>
          <w:spacing w:val="-3"/>
        </w:rPr>
        <w:t> </w:t>
      </w:r>
      <w:r>
        <w:rPr/>
        <w:t>the</w:t>
      </w:r>
      <w:r>
        <w:rPr>
          <w:spacing w:val="-1"/>
        </w:rPr>
        <w:t> </w:t>
      </w:r>
      <w:r>
        <w:rPr/>
        <w:t>removal</w:t>
      </w:r>
      <w:r>
        <w:rPr>
          <w:spacing w:val="-2"/>
        </w:rPr>
        <w:t> </w:t>
      </w:r>
      <w:r>
        <w:rPr/>
        <w:t>of</w:t>
      </w:r>
      <w:r>
        <w:rPr>
          <w:spacing w:val="1"/>
        </w:rPr>
        <w:t> </w:t>
      </w:r>
      <w:r>
        <w:rPr/>
        <w:t>several</w:t>
      </w:r>
      <w:r>
        <w:rPr>
          <w:spacing w:val="-3"/>
        </w:rPr>
        <w:t> </w:t>
      </w:r>
      <w:r>
        <w:rPr/>
        <w:t>organic</w:t>
      </w:r>
      <w:r>
        <w:rPr>
          <w:spacing w:val="-2"/>
        </w:rPr>
        <w:t> </w:t>
      </w:r>
      <w:r>
        <w:rPr/>
        <w:t>polluted such</w:t>
      </w:r>
      <w:r>
        <w:rPr>
          <w:spacing w:val="-2"/>
        </w:rPr>
        <w:t> </w:t>
      </w:r>
      <w:r>
        <w:rPr/>
        <w:t>as</w:t>
      </w:r>
      <w:r>
        <w:rPr>
          <w:spacing w:val="-3"/>
        </w:rPr>
        <w:t> </w:t>
      </w:r>
      <w:r>
        <w:rPr>
          <w:spacing w:val="-2"/>
        </w:rPr>
        <w:t>agrochemicals,</w:t>
      </w:r>
    </w:p>
    <w:p>
      <w:pPr>
        <w:spacing w:after="0" w:line="480" w:lineRule="auto"/>
        <w:jc w:val="both"/>
        <w:sectPr>
          <w:pgSz w:w="12240" w:h="15840"/>
          <w:pgMar w:header="0" w:footer="1015" w:top="1360" w:bottom="1200" w:left="1320" w:right="1320"/>
        </w:sectPr>
      </w:pPr>
    </w:p>
    <w:p>
      <w:pPr>
        <w:pStyle w:val="BodyText"/>
        <w:spacing w:line="480" w:lineRule="auto" w:before="72"/>
        <w:ind w:left="120" w:right="118"/>
        <w:jc w:val="both"/>
      </w:pPr>
      <w:r>
        <w:rPr/>
        <w:t>antibiotics/drugs, industrial chemicals including polycyclic aromatic hydrocarbons (PAHs), polychlorinated biphenyls (PCBs), volatile organic compounds (VOCs), cationic aromatic dyesand aromatic dyes and several inorganic contaminants (e.g., heavy</w:t>
      </w:r>
      <w:r>
        <w:rPr>
          <w:spacing w:val="-4"/>
        </w:rPr>
        <w:t> </w:t>
      </w:r>
      <w:r>
        <w:rPr/>
        <w:t>metals, ammonia, nitrate, phosphate, sulfide etc.) from water</w:t>
      </w:r>
      <w:r>
        <w:rPr/>
        <w:t> and</w:t>
      </w:r>
      <w:r>
        <w:rPr/>
        <w:t> soil (Mondal </w:t>
      </w:r>
      <w:r>
        <w:rPr>
          <w:i/>
        </w:rPr>
        <w:t>et al.</w:t>
      </w:r>
      <w:r>
        <w:rPr/>
        <w:t>, 2016). Biochar has a very large application in the environment because of its characteristic properties such as high adsorption capacity, high specific surface area, microporosity, and ion exchange capacity. The variableness and</w:t>
      </w:r>
      <w:r>
        <w:rPr>
          <w:spacing w:val="-15"/>
        </w:rPr>
        <w:t> </w:t>
      </w:r>
      <w:r>
        <w:rPr/>
        <w:t>preponderance</w:t>
      </w:r>
      <w:r>
        <w:rPr>
          <w:spacing w:val="-15"/>
        </w:rPr>
        <w:t> </w:t>
      </w:r>
      <w:r>
        <w:rPr/>
        <w:t>of</w:t>
      </w:r>
      <w:r>
        <w:rPr>
          <w:spacing w:val="-15"/>
        </w:rPr>
        <w:t> </w:t>
      </w:r>
      <w:r>
        <w:rPr/>
        <w:t>a</w:t>
      </w:r>
      <w:r>
        <w:rPr>
          <w:spacing w:val="-15"/>
        </w:rPr>
        <w:t> </w:t>
      </w:r>
      <w:r>
        <w:rPr/>
        <w:t>particular</w:t>
      </w:r>
      <w:r>
        <w:rPr>
          <w:spacing w:val="-15"/>
        </w:rPr>
        <w:t> </w:t>
      </w:r>
      <w:r>
        <w:rPr/>
        <w:t>reaction</w:t>
      </w:r>
      <w:r>
        <w:rPr>
          <w:spacing w:val="-15"/>
        </w:rPr>
        <w:t> </w:t>
      </w:r>
      <w:r>
        <w:rPr/>
        <w:t>are</w:t>
      </w:r>
      <w:r>
        <w:rPr>
          <w:spacing w:val="-15"/>
        </w:rPr>
        <w:t> </w:t>
      </w:r>
      <w:r>
        <w:rPr/>
        <w:t>influenced</w:t>
      </w:r>
      <w:r>
        <w:rPr>
          <w:spacing w:val="-15"/>
        </w:rPr>
        <w:t> </w:t>
      </w:r>
      <w:r>
        <w:rPr/>
        <w:t>by</w:t>
      </w:r>
      <w:r>
        <w:rPr>
          <w:spacing w:val="-15"/>
        </w:rPr>
        <w:t> </w:t>
      </w:r>
      <w:r>
        <w:rPr/>
        <w:t>the</w:t>
      </w:r>
      <w:r>
        <w:rPr>
          <w:spacing w:val="-15"/>
        </w:rPr>
        <w:t> </w:t>
      </w:r>
      <w:r>
        <w:rPr/>
        <w:t>type</w:t>
      </w:r>
      <w:r>
        <w:rPr>
          <w:spacing w:val="-15"/>
        </w:rPr>
        <w:t> </w:t>
      </w:r>
      <w:r>
        <w:rPr/>
        <w:t>of</w:t>
      </w:r>
      <w:r>
        <w:rPr>
          <w:spacing w:val="-15"/>
        </w:rPr>
        <w:t> </w:t>
      </w:r>
      <w:r>
        <w:rPr/>
        <w:t>feedstock</w:t>
      </w:r>
      <w:r>
        <w:rPr>
          <w:spacing w:val="-15"/>
        </w:rPr>
        <w:t> </w:t>
      </w:r>
      <w:r>
        <w:rPr/>
        <w:t>and</w:t>
      </w:r>
      <w:r>
        <w:rPr>
          <w:spacing w:val="-15"/>
        </w:rPr>
        <w:t> </w:t>
      </w:r>
      <w:r>
        <w:rPr/>
        <w:t>the</w:t>
      </w:r>
      <w:r>
        <w:rPr>
          <w:spacing w:val="-15"/>
        </w:rPr>
        <w:t> </w:t>
      </w:r>
      <w:r>
        <w:rPr/>
        <w:t>condition of</w:t>
      </w:r>
      <w:r>
        <w:rPr>
          <w:spacing w:val="-3"/>
        </w:rPr>
        <w:t> </w:t>
      </w:r>
      <w:r>
        <w:rPr/>
        <w:t>pyrolysis</w:t>
      </w:r>
      <w:r>
        <w:rPr>
          <w:spacing w:val="-2"/>
        </w:rPr>
        <w:t> </w:t>
      </w:r>
      <w:r>
        <w:rPr/>
        <w:t>used.</w:t>
      </w:r>
      <w:r>
        <w:rPr>
          <w:spacing w:val="-2"/>
        </w:rPr>
        <w:t> </w:t>
      </w:r>
      <w:r>
        <w:rPr/>
        <w:t>Both</w:t>
      </w:r>
      <w:r>
        <w:rPr>
          <w:spacing w:val="-2"/>
        </w:rPr>
        <w:t> </w:t>
      </w:r>
      <w:r>
        <w:rPr/>
        <w:t>conditions largely</w:t>
      </w:r>
      <w:r>
        <w:rPr>
          <w:spacing w:val="-7"/>
        </w:rPr>
        <w:t> </w:t>
      </w:r>
      <w:r>
        <w:rPr/>
        <w:t>affect</w:t>
      </w:r>
      <w:r>
        <w:rPr>
          <w:spacing w:val="-2"/>
        </w:rPr>
        <w:t> </w:t>
      </w:r>
      <w:r>
        <w:rPr/>
        <w:t>physical</w:t>
      </w:r>
      <w:r>
        <w:rPr>
          <w:spacing w:val="-2"/>
        </w:rPr>
        <w:t> </w:t>
      </w:r>
      <w:r>
        <w:rPr/>
        <w:t>and</w:t>
      </w:r>
      <w:r>
        <w:rPr>
          <w:spacing w:val="-2"/>
        </w:rPr>
        <w:t> </w:t>
      </w:r>
      <w:r>
        <w:rPr/>
        <w:t>chemical</w:t>
      </w:r>
      <w:r>
        <w:rPr>
          <w:spacing w:val="-2"/>
        </w:rPr>
        <w:t> </w:t>
      </w:r>
      <w:r>
        <w:rPr/>
        <w:t>properties</w:t>
      </w:r>
      <w:r>
        <w:rPr>
          <w:spacing w:val="-2"/>
        </w:rPr>
        <w:t> </w:t>
      </w:r>
      <w:r>
        <w:rPr/>
        <w:t>such</w:t>
      </w:r>
      <w:r>
        <w:rPr>
          <w:spacing w:val="-2"/>
        </w:rPr>
        <w:t> </w:t>
      </w:r>
      <w:r>
        <w:rPr/>
        <w:t>as</w:t>
      </w:r>
      <w:r>
        <w:rPr>
          <w:spacing w:val="-2"/>
        </w:rPr>
        <w:t> </w:t>
      </w:r>
      <w:r>
        <w:rPr/>
        <w:t>surface area,</w:t>
      </w:r>
      <w:r>
        <w:rPr>
          <w:spacing w:val="-1"/>
        </w:rPr>
        <w:t> </w:t>
      </w:r>
      <w:r>
        <w:rPr/>
        <w:t>polarity,</w:t>
      </w:r>
      <w:r>
        <w:rPr>
          <w:spacing w:val="-1"/>
        </w:rPr>
        <w:t> </w:t>
      </w:r>
      <w:r>
        <w:rPr/>
        <w:t>atomic</w:t>
      </w:r>
      <w:r>
        <w:rPr>
          <w:spacing w:val="-2"/>
        </w:rPr>
        <w:t> </w:t>
      </w:r>
      <w:r>
        <w:rPr/>
        <w:t>ratio,</w:t>
      </w:r>
      <w:r>
        <w:rPr>
          <w:spacing w:val="-1"/>
        </w:rPr>
        <w:t> </w:t>
      </w:r>
      <w:r>
        <w:rPr/>
        <w:t>pH,</w:t>
      </w:r>
      <w:r>
        <w:rPr>
          <w:spacing w:val="-2"/>
        </w:rPr>
        <w:t> </w:t>
      </w:r>
      <w:r>
        <w:rPr/>
        <w:t>and</w:t>
      </w:r>
      <w:r>
        <w:rPr>
          <w:spacing w:val="-1"/>
        </w:rPr>
        <w:t> </w:t>
      </w:r>
      <w:r>
        <w:rPr/>
        <w:t>element</w:t>
      </w:r>
      <w:r>
        <w:rPr>
          <w:spacing w:val="-1"/>
        </w:rPr>
        <w:t> </w:t>
      </w:r>
      <w:r>
        <w:rPr/>
        <w:t>composition</w:t>
      </w:r>
      <w:r>
        <w:rPr>
          <w:spacing w:val="-1"/>
        </w:rPr>
        <w:t> </w:t>
      </w:r>
      <w:r>
        <w:rPr/>
        <w:t>resulting</w:t>
      </w:r>
      <w:r>
        <w:rPr>
          <w:spacing w:val="-3"/>
        </w:rPr>
        <w:t> </w:t>
      </w:r>
      <w:r>
        <w:rPr/>
        <w:t>in</w:t>
      </w:r>
      <w:r>
        <w:rPr>
          <w:spacing w:val="-1"/>
        </w:rPr>
        <w:t> </w:t>
      </w:r>
      <w:r>
        <w:rPr/>
        <w:t>the</w:t>
      </w:r>
      <w:r>
        <w:rPr>
          <w:spacing w:val="-2"/>
        </w:rPr>
        <w:t> </w:t>
      </w:r>
      <w:r>
        <w:rPr/>
        <w:t>overall</w:t>
      </w:r>
      <w:r>
        <w:rPr>
          <w:spacing w:val="-1"/>
        </w:rPr>
        <w:t> </w:t>
      </w:r>
      <w:r>
        <w:rPr/>
        <w:t>surface</w:t>
      </w:r>
      <w:r>
        <w:rPr>
          <w:spacing w:val="-2"/>
        </w:rPr>
        <w:t> </w:t>
      </w:r>
      <w:r>
        <w:rPr/>
        <w:t>property of the biochar (Ahmad </w:t>
      </w:r>
      <w:r>
        <w:rPr>
          <w:i/>
        </w:rPr>
        <w:t>et al</w:t>
      </w:r>
      <w:r>
        <w:rPr/>
        <w:t>., 2016; Oliveira </w:t>
      </w:r>
      <w:r>
        <w:rPr>
          <w:i/>
        </w:rPr>
        <w:t>et al</w:t>
      </w:r>
      <w:r>
        <w:rPr/>
        <w:t>., 2017).</w:t>
      </w:r>
    </w:p>
    <w:p>
      <w:pPr>
        <w:pStyle w:val="BodyText"/>
        <w:spacing w:line="480" w:lineRule="auto" w:before="200"/>
        <w:ind w:left="120" w:right="112"/>
        <w:jc w:val="both"/>
      </w:pPr>
      <w:r>
        <w:rPr/>
        <w:t>Pyrolysis</w:t>
      </w:r>
      <w:r>
        <w:rPr>
          <w:spacing w:val="-15"/>
        </w:rPr>
        <w:t> </w:t>
      </w:r>
      <w:r>
        <w:rPr/>
        <w:t>of</w:t>
      </w:r>
      <w:r>
        <w:rPr>
          <w:spacing w:val="-15"/>
        </w:rPr>
        <w:t> </w:t>
      </w:r>
      <w:r>
        <w:rPr/>
        <w:t>fully</w:t>
      </w:r>
      <w:r>
        <w:rPr>
          <w:spacing w:val="-15"/>
        </w:rPr>
        <w:t> </w:t>
      </w:r>
      <w:r>
        <w:rPr/>
        <w:t>carbonized</w:t>
      </w:r>
      <w:r>
        <w:rPr>
          <w:spacing w:val="-15"/>
        </w:rPr>
        <w:t> </w:t>
      </w:r>
      <w:r>
        <w:rPr/>
        <w:t>biochar</w:t>
      </w:r>
      <w:r>
        <w:rPr>
          <w:spacing w:val="-15"/>
        </w:rPr>
        <w:t> </w:t>
      </w:r>
      <w:r>
        <w:rPr/>
        <w:t>obtained</w:t>
      </w:r>
      <w:r>
        <w:rPr>
          <w:spacing w:val="-15"/>
        </w:rPr>
        <w:t> </w:t>
      </w:r>
      <w:r>
        <w:rPr/>
        <w:t>at</w:t>
      </w:r>
      <w:r>
        <w:rPr>
          <w:spacing w:val="-15"/>
        </w:rPr>
        <w:t> </w:t>
      </w:r>
      <w:r>
        <w:rPr/>
        <w:t>temperature</w:t>
      </w:r>
      <w:r>
        <w:rPr>
          <w:spacing w:val="-15"/>
        </w:rPr>
        <w:t> </w:t>
      </w:r>
      <w:r>
        <w:rPr/>
        <w:t>greater</w:t>
      </w:r>
      <w:r>
        <w:rPr>
          <w:spacing w:val="-15"/>
        </w:rPr>
        <w:t> </w:t>
      </w:r>
      <w:r>
        <w:rPr/>
        <w:t>than</w:t>
      </w:r>
      <w:r>
        <w:rPr>
          <w:spacing w:val="-15"/>
        </w:rPr>
        <w:t> </w:t>
      </w:r>
      <w:r>
        <w:rPr/>
        <w:t>500</w:t>
      </w:r>
      <w:r>
        <w:rPr>
          <w:spacing w:val="-15"/>
        </w:rPr>
        <w:t> </w:t>
      </w:r>
      <w:r>
        <w:rPr/>
        <w:t>°C</w:t>
      </w:r>
      <w:r>
        <w:rPr>
          <w:spacing w:val="-15"/>
        </w:rPr>
        <w:t> </w:t>
      </w:r>
      <w:r>
        <w:rPr/>
        <w:t>is</w:t>
      </w:r>
      <w:r>
        <w:rPr>
          <w:spacing w:val="-15"/>
        </w:rPr>
        <w:t> </w:t>
      </w:r>
      <w:r>
        <w:rPr/>
        <w:t>more</w:t>
      </w:r>
      <w:r>
        <w:rPr>
          <w:spacing w:val="-15"/>
        </w:rPr>
        <w:t> </w:t>
      </w:r>
      <w:r>
        <w:rPr/>
        <w:t>effiecient in the remediation of organic pollutants because of its large surface</w:t>
      </w:r>
      <w:r>
        <w:rPr/>
        <w:t> area,</w:t>
      </w:r>
      <w:r>
        <w:rPr/>
        <w:t> microporosity, hydrophobicity,</w:t>
      </w:r>
      <w:r>
        <w:rPr/>
        <w:t> high</w:t>
      </w:r>
      <w:r>
        <w:rPr/>
        <w:t> C/N ratio, high pH and low dissolved organic carbon. Partly carbonized biochar,</w:t>
      </w:r>
      <w:r>
        <w:rPr>
          <w:spacing w:val="-15"/>
        </w:rPr>
        <w:t> </w:t>
      </w:r>
      <w:r>
        <w:rPr/>
        <w:t>which</w:t>
      </w:r>
      <w:r>
        <w:rPr>
          <w:spacing w:val="-15"/>
        </w:rPr>
        <w:t> </w:t>
      </w:r>
      <w:r>
        <w:rPr/>
        <w:t>was</w:t>
      </w:r>
      <w:r>
        <w:rPr>
          <w:spacing w:val="-15"/>
        </w:rPr>
        <w:t> </w:t>
      </w:r>
      <w:r>
        <w:rPr/>
        <w:t>obtained</w:t>
      </w:r>
      <w:r>
        <w:rPr>
          <w:spacing w:val="-15"/>
        </w:rPr>
        <w:t> </w:t>
      </w:r>
      <w:r>
        <w:rPr/>
        <w:t>at</w:t>
      </w:r>
      <w:r>
        <w:rPr>
          <w:spacing w:val="-15"/>
        </w:rPr>
        <w:t> </w:t>
      </w:r>
      <w:r>
        <w:rPr/>
        <w:t>pyrolysis</w:t>
      </w:r>
      <w:r>
        <w:rPr>
          <w:spacing w:val="-14"/>
        </w:rPr>
        <w:t> </w:t>
      </w:r>
      <w:r>
        <w:rPr/>
        <w:t>temperature</w:t>
      </w:r>
      <w:r>
        <w:rPr>
          <w:spacing w:val="-15"/>
        </w:rPr>
        <w:t> </w:t>
      </w:r>
      <w:r>
        <w:rPr/>
        <w:t>less</w:t>
      </w:r>
      <w:r>
        <w:rPr>
          <w:spacing w:val="-15"/>
        </w:rPr>
        <w:t> </w:t>
      </w:r>
      <w:r>
        <w:rPr/>
        <w:t>than</w:t>
      </w:r>
      <w:r>
        <w:rPr>
          <w:spacing w:val="-15"/>
        </w:rPr>
        <w:t> </w:t>
      </w:r>
      <w:r>
        <w:rPr/>
        <w:t>500°C,</w:t>
      </w:r>
      <w:r>
        <w:rPr>
          <w:spacing w:val="-14"/>
        </w:rPr>
        <w:t> </w:t>
      </w:r>
      <w:r>
        <w:rPr/>
        <w:t>has</w:t>
      </w:r>
      <w:r>
        <w:rPr>
          <w:spacing w:val="-15"/>
        </w:rPr>
        <w:t> </w:t>
      </w:r>
      <w:r>
        <w:rPr/>
        <w:t>a</w:t>
      </w:r>
      <w:r>
        <w:rPr>
          <w:spacing w:val="-15"/>
        </w:rPr>
        <w:t> </w:t>
      </w:r>
      <w:r>
        <w:rPr/>
        <w:t>high</w:t>
      </w:r>
      <w:r>
        <w:rPr>
          <w:spacing w:val="-15"/>
        </w:rPr>
        <w:t> </w:t>
      </w:r>
      <w:r>
        <w:rPr/>
        <w:t>dissolved</w:t>
      </w:r>
      <w:r>
        <w:rPr>
          <w:spacing w:val="-15"/>
        </w:rPr>
        <w:t> </w:t>
      </w:r>
      <w:r>
        <w:rPr/>
        <w:t>organic carbon content, relatively low porosity and C/N ration, consequently more suitable for removing inorganic pollutants.</w:t>
      </w:r>
      <w:r>
        <w:rPr>
          <w:spacing w:val="40"/>
        </w:rPr>
        <w:t> </w:t>
      </w:r>
      <w:r>
        <w:rPr/>
        <w:t>With respect to the type of feedstocks, biochar obtained from biomass of wood and residues of crop has larger surface area than that obtained from solid municipal wastes and</w:t>
      </w:r>
      <w:r>
        <w:rPr>
          <w:spacing w:val="-10"/>
        </w:rPr>
        <w:t> </w:t>
      </w:r>
      <w:r>
        <w:rPr/>
        <w:t>animal</w:t>
      </w:r>
      <w:r>
        <w:rPr>
          <w:spacing w:val="-9"/>
        </w:rPr>
        <w:t> </w:t>
      </w:r>
      <w:r>
        <w:rPr/>
        <w:t>manure-derived,</w:t>
      </w:r>
      <w:r>
        <w:rPr>
          <w:spacing w:val="-10"/>
        </w:rPr>
        <w:t> </w:t>
      </w:r>
      <w:r>
        <w:rPr/>
        <w:t>all</w:t>
      </w:r>
      <w:r>
        <w:rPr>
          <w:spacing w:val="-9"/>
        </w:rPr>
        <w:t> </w:t>
      </w:r>
      <w:r>
        <w:rPr/>
        <w:t>of</w:t>
      </w:r>
      <w:r>
        <w:rPr>
          <w:spacing w:val="-10"/>
        </w:rPr>
        <w:t> </w:t>
      </w:r>
      <w:r>
        <w:rPr/>
        <w:t>which</w:t>
      </w:r>
      <w:r>
        <w:rPr>
          <w:spacing w:val="-8"/>
        </w:rPr>
        <w:t> </w:t>
      </w:r>
      <w:r>
        <w:rPr/>
        <w:t>were</w:t>
      </w:r>
      <w:r>
        <w:rPr>
          <w:spacing w:val="-12"/>
        </w:rPr>
        <w:t> </w:t>
      </w:r>
      <w:r>
        <w:rPr/>
        <w:t>produced</w:t>
      </w:r>
      <w:r>
        <w:rPr>
          <w:spacing w:val="-11"/>
        </w:rPr>
        <w:t> </w:t>
      </w:r>
      <w:r>
        <w:rPr/>
        <w:t>at</w:t>
      </w:r>
      <w:r>
        <w:rPr>
          <w:spacing w:val="-8"/>
        </w:rPr>
        <w:t> </w:t>
      </w:r>
      <w:r>
        <w:rPr/>
        <w:t>a</w:t>
      </w:r>
      <w:r>
        <w:rPr>
          <w:spacing w:val="-12"/>
        </w:rPr>
        <w:t> </w:t>
      </w:r>
      <w:r>
        <w:rPr/>
        <w:t>higher</w:t>
      </w:r>
      <w:r>
        <w:rPr>
          <w:spacing w:val="-11"/>
        </w:rPr>
        <w:t> </w:t>
      </w:r>
      <w:r>
        <w:rPr/>
        <w:t>pyrolysis</w:t>
      </w:r>
      <w:r>
        <w:rPr>
          <w:spacing w:val="-9"/>
        </w:rPr>
        <w:t> </w:t>
      </w:r>
      <w:r>
        <w:rPr/>
        <w:t>temperature</w:t>
      </w:r>
      <w:r>
        <w:rPr>
          <w:spacing w:val="-8"/>
        </w:rPr>
        <w:t> </w:t>
      </w:r>
      <w:r>
        <w:rPr/>
        <w:t>(Ahmad </w:t>
      </w:r>
      <w:r>
        <w:rPr>
          <w:i/>
        </w:rPr>
        <w:t>et</w:t>
      </w:r>
      <w:r>
        <w:rPr>
          <w:i/>
          <w:spacing w:val="-3"/>
        </w:rPr>
        <w:t> </w:t>
      </w:r>
      <w:r>
        <w:rPr>
          <w:i/>
        </w:rPr>
        <w:t>al</w:t>
      </w:r>
      <w:r>
        <w:rPr/>
        <w:t>.,</w:t>
      </w:r>
      <w:r>
        <w:rPr>
          <w:spacing w:val="-3"/>
        </w:rPr>
        <w:t> </w:t>
      </w:r>
      <w:r>
        <w:rPr/>
        <w:t>2014).</w:t>
      </w:r>
      <w:r>
        <w:rPr>
          <w:spacing w:val="-3"/>
        </w:rPr>
        <w:t> </w:t>
      </w:r>
      <w:r>
        <w:rPr/>
        <w:t>Other</w:t>
      </w:r>
      <w:r>
        <w:rPr>
          <w:spacing w:val="-3"/>
        </w:rPr>
        <w:t> </w:t>
      </w:r>
      <w:r>
        <w:rPr/>
        <w:t>factors</w:t>
      </w:r>
      <w:r>
        <w:rPr>
          <w:spacing w:val="-3"/>
        </w:rPr>
        <w:t> </w:t>
      </w:r>
      <w:r>
        <w:rPr/>
        <w:t>like</w:t>
      </w:r>
      <w:r>
        <w:rPr>
          <w:spacing w:val="-4"/>
        </w:rPr>
        <w:t> </w:t>
      </w:r>
      <w:r>
        <w:rPr/>
        <w:t>pH,</w:t>
      </w:r>
      <w:r>
        <w:rPr>
          <w:spacing w:val="-3"/>
        </w:rPr>
        <w:t> </w:t>
      </w:r>
      <w:r>
        <w:rPr/>
        <w:t>rate</w:t>
      </w:r>
      <w:r>
        <w:rPr>
          <w:spacing w:val="-3"/>
        </w:rPr>
        <w:t> </w:t>
      </w:r>
      <w:r>
        <w:rPr/>
        <w:t>of</w:t>
      </w:r>
      <w:r>
        <w:rPr>
          <w:spacing w:val="-5"/>
        </w:rPr>
        <w:t> </w:t>
      </w:r>
      <w:r>
        <w:rPr/>
        <w:t>application</w:t>
      </w:r>
      <w:r>
        <w:rPr>
          <w:spacing w:val="-3"/>
        </w:rPr>
        <w:t> </w:t>
      </w:r>
      <w:r>
        <w:rPr/>
        <w:t>and</w:t>
      </w:r>
      <w:r>
        <w:rPr>
          <w:spacing w:val="-3"/>
        </w:rPr>
        <w:t> </w:t>
      </w:r>
      <w:r>
        <w:rPr/>
        <w:t>type</w:t>
      </w:r>
      <w:r>
        <w:rPr>
          <w:spacing w:val="-4"/>
        </w:rPr>
        <w:t> </w:t>
      </w:r>
      <w:r>
        <w:rPr/>
        <w:t>of</w:t>
      </w:r>
      <w:r>
        <w:rPr>
          <w:spacing w:val="-3"/>
        </w:rPr>
        <w:t> </w:t>
      </w:r>
      <w:r>
        <w:rPr/>
        <w:t>contaminant</w:t>
      </w:r>
      <w:r>
        <w:rPr>
          <w:spacing w:val="-3"/>
        </w:rPr>
        <w:t> </w:t>
      </w:r>
      <w:r>
        <w:rPr/>
        <w:t>also</w:t>
      </w:r>
      <w:r>
        <w:rPr>
          <w:spacing w:val="-3"/>
        </w:rPr>
        <w:t> </w:t>
      </w:r>
      <w:r>
        <w:rPr/>
        <w:t>have</w:t>
      </w:r>
      <w:r>
        <w:rPr>
          <w:spacing w:val="-5"/>
        </w:rPr>
        <w:t> </w:t>
      </w:r>
      <w:r>
        <w:rPr/>
        <w:t>effect</w:t>
      </w:r>
      <w:r>
        <w:rPr>
          <w:spacing w:val="-3"/>
        </w:rPr>
        <w:t> </w:t>
      </w:r>
      <w:r>
        <w:rPr/>
        <w:t>in the efficiency of biochar in pollutants removal (Ahmad </w:t>
      </w:r>
      <w:r>
        <w:rPr>
          <w:i/>
        </w:rPr>
        <w:t>et al</w:t>
      </w:r>
      <w:r>
        <w:rPr/>
        <w:t>., 2014; Oliveira </w:t>
      </w:r>
      <w:r>
        <w:rPr>
          <w:i/>
        </w:rPr>
        <w:t>et al.</w:t>
      </w:r>
      <w:r>
        <w:rPr/>
        <w:t>, 2017). Therefore, the selection of biochar is very important in the removal of contaminants.</w:t>
      </w:r>
    </w:p>
    <w:p>
      <w:pPr>
        <w:pStyle w:val="BodyText"/>
        <w:spacing w:line="480" w:lineRule="auto" w:before="201"/>
        <w:ind w:left="120" w:right="120"/>
        <w:jc w:val="both"/>
      </w:pPr>
      <w:r>
        <w:rPr/>
        <w:t>The mechanisms of removal are usually controlled by the interactions of the different properties of</w:t>
      </w:r>
      <w:r>
        <w:rPr>
          <w:spacing w:val="-6"/>
        </w:rPr>
        <w:t> </w:t>
      </w:r>
      <w:r>
        <w:rPr/>
        <w:t>biochar</w:t>
      </w:r>
      <w:r>
        <w:rPr>
          <w:spacing w:val="-2"/>
        </w:rPr>
        <w:t> </w:t>
      </w:r>
      <w:r>
        <w:rPr/>
        <w:t>with</w:t>
      </w:r>
      <w:r>
        <w:rPr>
          <w:spacing w:val="-4"/>
        </w:rPr>
        <w:t> </w:t>
      </w:r>
      <w:r>
        <w:rPr/>
        <w:t>the</w:t>
      </w:r>
      <w:r>
        <w:rPr>
          <w:spacing w:val="-5"/>
        </w:rPr>
        <w:t> </w:t>
      </w:r>
      <w:r>
        <w:rPr/>
        <w:t>pollutants.</w:t>
      </w:r>
      <w:r>
        <w:rPr>
          <w:spacing w:val="-4"/>
        </w:rPr>
        <w:t> </w:t>
      </w:r>
      <w:r>
        <w:rPr/>
        <w:t>The</w:t>
      </w:r>
      <w:r>
        <w:rPr>
          <w:spacing w:val="-5"/>
        </w:rPr>
        <w:t> </w:t>
      </w:r>
      <w:r>
        <w:rPr/>
        <w:t>removal</w:t>
      </w:r>
      <w:r>
        <w:rPr>
          <w:spacing w:val="-4"/>
        </w:rPr>
        <w:t> </w:t>
      </w:r>
      <w:r>
        <w:rPr/>
        <w:t>of</w:t>
      </w:r>
      <w:r>
        <w:rPr>
          <w:spacing w:val="-5"/>
        </w:rPr>
        <w:t> </w:t>
      </w:r>
      <w:r>
        <w:rPr/>
        <w:t>organic</w:t>
      </w:r>
      <w:r>
        <w:rPr>
          <w:spacing w:val="-4"/>
        </w:rPr>
        <w:t> </w:t>
      </w:r>
      <w:r>
        <w:rPr/>
        <w:t>pollutants</w:t>
      </w:r>
      <w:r>
        <w:rPr>
          <w:spacing w:val="-4"/>
        </w:rPr>
        <w:t> </w:t>
      </w:r>
      <w:r>
        <w:rPr/>
        <w:t>is</w:t>
      </w:r>
      <w:r>
        <w:rPr>
          <w:spacing w:val="-4"/>
        </w:rPr>
        <w:t> </w:t>
      </w:r>
      <w:r>
        <w:rPr/>
        <w:t>mainly</w:t>
      </w:r>
      <w:r>
        <w:rPr>
          <w:spacing w:val="-6"/>
        </w:rPr>
        <w:t> </w:t>
      </w:r>
      <w:r>
        <w:rPr/>
        <w:t>through</w:t>
      </w:r>
      <w:r>
        <w:rPr>
          <w:spacing w:val="-4"/>
        </w:rPr>
        <w:t> </w:t>
      </w:r>
      <w:r>
        <w:rPr/>
        <w:t>partitioning</w:t>
      </w:r>
      <w:r>
        <w:rPr>
          <w:spacing w:val="-6"/>
        </w:rPr>
        <w:t> </w:t>
      </w:r>
      <w:r>
        <w:rPr>
          <w:spacing w:val="-5"/>
        </w:rPr>
        <w:t>in</w:t>
      </w:r>
    </w:p>
    <w:p>
      <w:pPr>
        <w:spacing w:after="0" w:line="480" w:lineRule="auto"/>
        <w:jc w:val="both"/>
        <w:sectPr>
          <w:pgSz w:w="12240" w:h="15840"/>
          <w:pgMar w:header="0" w:footer="1015" w:top="1360" w:bottom="1200" w:left="1320" w:right="1320"/>
        </w:sectPr>
      </w:pPr>
    </w:p>
    <w:p>
      <w:pPr>
        <w:pStyle w:val="BodyText"/>
        <w:spacing w:line="480" w:lineRule="auto" w:before="72"/>
        <w:ind w:left="120" w:right="119"/>
        <w:jc w:val="both"/>
      </w:pPr>
      <w:r>
        <w:rPr/>
        <w:t>a non-carbonized phase because of the reduction in the polarity of the substrate,</w:t>
      </w:r>
      <w:r>
        <w:rPr/>
        <w:t> chemical transformation</w:t>
      </w:r>
      <w:r>
        <w:rPr/>
        <w:t> through</w:t>
      </w:r>
      <w:r>
        <w:rPr/>
        <w:t> the</w:t>
      </w:r>
      <w:r>
        <w:rPr/>
        <w:t> reductive</w:t>
      </w:r>
      <w:r>
        <w:rPr/>
        <w:t> reactions or electrical conductivity, and majority of the pollutants are eventually mineralized through biodegradation by various microorganisms. The bioavailabilty of organic pollutants in the soil as well as their utilization by microogansims and plants have also been reported to be reduced by biochar. In soil amended with biochar, the phytoavailabilty and toxicity to plants have been reduced due a significant immobilization of pollutant on the biochar (Ahmad </w:t>
      </w:r>
      <w:r>
        <w:rPr>
          <w:i/>
        </w:rPr>
        <w:t>et al.</w:t>
      </w:r>
      <w:r>
        <w:rPr/>
        <w:t>, 2014; Oliveira </w:t>
      </w:r>
      <w:r>
        <w:rPr>
          <w:i/>
        </w:rPr>
        <w:t>et al</w:t>
      </w:r>
      <w:r>
        <w:rPr/>
        <w:t>., 2017).</w:t>
      </w:r>
    </w:p>
    <w:p>
      <w:pPr>
        <w:pStyle w:val="BodyText"/>
        <w:spacing w:line="480" w:lineRule="auto" w:before="200"/>
        <w:ind w:left="120" w:right="118"/>
        <w:jc w:val="both"/>
      </w:pPr>
      <w:r>
        <w:rPr/>
        <w:t>Interestingly,</w:t>
      </w:r>
      <w:r>
        <w:rPr>
          <w:spacing w:val="-5"/>
        </w:rPr>
        <w:t> </w:t>
      </w:r>
      <w:r>
        <w:rPr/>
        <w:t>biochar</w:t>
      </w:r>
      <w:r>
        <w:rPr>
          <w:spacing w:val="-6"/>
        </w:rPr>
        <w:t> </w:t>
      </w:r>
      <w:r>
        <w:rPr/>
        <w:t>applied</w:t>
      </w:r>
      <w:r>
        <w:rPr>
          <w:spacing w:val="-7"/>
        </w:rPr>
        <w:t> </w:t>
      </w:r>
      <w:r>
        <w:rPr/>
        <w:t>in</w:t>
      </w:r>
      <w:r>
        <w:rPr>
          <w:spacing w:val="-7"/>
        </w:rPr>
        <w:t> </w:t>
      </w:r>
      <w:r>
        <w:rPr/>
        <w:t>the</w:t>
      </w:r>
      <w:r>
        <w:rPr>
          <w:spacing w:val="-8"/>
        </w:rPr>
        <w:t> </w:t>
      </w:r>
      <w:r>
        <w:rPr/>
        <w:t>soil</w:t>
      </w:r>
      <w:r>
        <w:rPr>
          <w:spacing w:val="-6"/>
        </w:rPr>
        <w:t> </w:t>
      </w:r>
      <w:r>
        <w:rPr/>
        <w:t>does</w:t>
      </w:r>
      <w:r>
        <w:rPr>
          <w:spacing w:val="-7"/>
        </w:rPr>
        <w:t> </w:t>
      </w:r>
      <w:r>
        <w:rPr/>
        <w:t>not</w:t>
      </w:r>
      <w:r>
        <w:rPr>
          <w:spacing w:val="-7"/>
        </w:rPr>
        <w:t> </w:t>
      </w:r>
      <w:r>
        <w:rPr/>
        <w:t>only</w:t>
      </w:r>
      <w:r>
        <w:rPr>
          <w:spacing w:val="-12"/>
        </w:rPr>
        <w:t> </w:t>
      </w:r>
      <w:r>
        <w:rPr/>
        <w:t>lead</w:t>
      </w:r>
      <w:r>
        <w:rPr>
          <w:spacing w:val="-7"/>
        </w:rPr>
        <w:t> </w:t>
      </w:r>
      <w:r>
        <w:rPr/>
        <w:t>to</w:t>
      </w:r>
      <w:r>
        <w:rPr>
          <w:spacing w:val="-7"/>
        </w:rPr>
        <w:t> </w:t>
      </w:r>
      <w:r>
        <w:rPr/>
        <w:t>remediation</w:t>
      </w:r>
      <w:r>
        <w:rPr>
          <w:spacing w:val="-7"/>
        </w:rPr>
        <w:t> </w:t>
      </w:r>
      <w:r>
        <w:rPr/>
        <w:t>of</w:t>
      </w:r>
      <w:r>
        <w:rPr>
          <w:spacing w:val="-8"/>
        </w:rPr>
        <w:t> </w:t>
      </w:r>
      <w:r>
        <w:rPr/>
        <w:t>the</w:t>
      </w:r>
      <w:r>
        <w:rPr>
          <w:spacing w:val="-8"/>
        </w:rPr>
        <w:t> </w:t>
      </w:r>
      <w:r>
        <w:rPr/>
        <w:t>pollutant</w:t>
      </w:r>
      <w:r>
        <w:rPr>
          <w:spacing w:val="-7"/>
        </w:rPr>
        <w:t> </w:t>
      </w:r>
      <w:r>
        <w:rPr/>
        <w:t>but</w:t>
      </w:r>
      <w:r>
        <w:rPr>
          <w:spacing w:val="-7"/>
        </w:rPr>
        <w:t> </w:t>
      </w:r>
      <w:r>
        <w:rPr/>
        <w:t>also lead to improvement in the pproprties of the soil. Biochar improves the physical properties (such as water-holding</w:t>
      </w:r>
      <w:r>
        <w:rPr/>
        <w:t> capacity,</w:t>
      </w:r>
      <w:r>
        <w:rPr/>
        <w:t> oxygen</w:t>
      </w:r>
      <w:r>
        <w:rPr/>
        <w:t> content</w:t>
      </w:r>
      <w:r>
        <w:rPr/>
        <w:t> and</w:t>
      </w:r>
      <w:r>
        <w:rPr/>
        <w:t> moisture</w:t>
      </w:r>
      <w:r>
        <w:rPr/>
        <w:t> level),</w:t>
      </w:r>
      <w:r>
        <w:rPr/>
        <w:t> chemical</w:t>
      </w:r>
      <w:r>
        <w:rPr/>
        <w:t> properties (such as pollutants immobilization and carbon sequestration), as well as biological properties (such as microbial population, diversity and activity) of the soil (Gul </w:t>
      </w:r>
      <w:r>
        <w:rPr>
          <w:i/>
        </w:rPr>
        <w:t>et al</w:t>
      </w:r>
      <w:r>
        <w:rPr/>
        <w:t>., 2015; Oliveira </w:t>
      </w:r>
      <w:r>
        <w:rPr>
          <w:i/>
        </w:rPr>
        <w:t>et al.</w:t>
      </w:r>
      <w:r>
        <w:rPr/>
        <w:t>, 2017).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pPr>
    </w:p>
    <w:p>
      <w:pPr>
        <w:pStyle w:val="Heading1"/>
        <w:spacing w:before="1"/>
        <w:ind w:left="3309" w:right="3309"/>
      </w:pPr>
      <w:r>
        <w:rPr/>
        <w:t>CHAPTER</w:t>
      </w:r>
      <w:r>
        <w:rPr>
          <w:spacing w:val="-13"/>
        </w:rPr>
        <w:t> </w:t>
      </w:r>
      <w:r>
        <w:rPr>
          <w:spacing w:val="-2"/>
        </w:rPr>
        <w:t>THREE</w:t>
      </w:r>
    </w:p>
    <w:p>
      <w:pPr>
        <w:pStyle w:val="BodyText"/>
        <w:spacing w:before="11"/>
        <w:rPr>
          <w:b/>
          <w:sz w:val="23"/>
        </w:rPr>
      </w:pPr>
    </w:p>
    <w:p>
      <w:pPr>
        <w:pStyle w:val="Heading2"/>
        <w:numPr>
          <w:ilvl w:val="1"/>
          <w:numId w:val="4"/>
        </w:numPr>
        <w:tabs>
          <w:tab w:pos="840" w:val="left" w:leader="none"/>
          <w:tab w:pos="841" w:val="left" w:leader="none"/>
        </w:tabs>
        <w:spacing w:line="240" w:lineRule="auto" w:before="0" w:after="0"/>
        <w:ind w:left="840" w:right="0" w:hanging="721"/>
        <w:jc w:val="left"/>
      </w:pPr>
      <w:r>
        <w:rPr/>
        <w:t>Materials</w:t>
      </w:r>
      <w:r>
        <w:rPr>
          <w:spacing w:val="-5"/>
        </w:rPr>
        <w:t> </w:t>
      </w:r>
      <w:r>
        <w:rPr/>
        <w:t>and</w:t>
      </w:r>
      <w:r>
        <w:rPr>
          <w:spacing w:val="-4"/>
        </w:rPr>
        <w:t> </w:t>
      </w:r>
      <w:r>
        <w:rPr>
          <w:spacing w:val="-2"/>
        </w:rPr>
        <w:t>Methods</w:t>
      </w:r>
    </w:p>
    <w:p>
      <w:pPr>
        <w:pStyle w:val="BodyText"/>
        <w:rPr>
          <w:b/>
        </w:rPr>
      </w:pPr>
    </w:p>
    <w:p>
      <w:pPr>
        <w:pStyle w:val="ListParagraph"/>
        <w:numPr>
          <w:ilvl w:val="1"/>
          <w:numId w:val="4"/>
        </w:numPr>
        <w:tabs>
          <w:tab w:pos="840" w:val="left" w:leader="none"/>
          <w:tab w:pos="841" w:val="left" w:leader="none"/>
        </w:tabs>
        <w:spacing w:line="240" w:lineRule="auto" w:before="0" w:after="0"/>
        <w:ind w:left="840" w:right="0" w:hanging="721"/>
        <w:jc w:val="left"/>
        <w:rPr>
          <w:b/>
          <w:sz w:val="24"/>
        </w:rPr>
      </w:pPr>
      <w:r>
        <w:rPr>
          <w:b/>
          <w:sz w:val="24"/>
        </w:rPr>
        <w:t>Sample</w:t>
      </w:r>
      <w:r>
        <w:rPr>
          <w:b/>
          <w:spacing w:val="-6"/>
          <w:sz w:val="24"/>
        </w:rPr>
        <w:t> </w:t>
      </w:r>
      <w:r>
        <w:rPr>
          <w:b/>
          <w:sz w:val="24"/>
        </w:rPr>
        <w:t>Collection</w:t>
      </w:r>
      <w:r>
        <w:rPr>
          <w:b/>
          <w:spacing w:val="-6"/>
          <w:sz w:val="24"/>
        </w:rPr>
        <w:t> </w:t>
      </w:r>
      <w:r>
        <w:rPr>
          <w:b/>
          <w:sz w:val="24"/>
        </w:rPr>
        <w:t>and</w:t>
      </w:r>
      <w:r>
        <w:rPr>
          <w:b/>
          <w:spacing w:val="-7"/>
          <w:sz w:val="24"/>
        </w:rPr>
        <w:t> </w:t>
      </w:r>
      <w:r>
        <w:rPr>
          <w:b/>
          <w:spacing w:val="-2"/>
          <w:sz w:val="24"/>
        </w:rPr>
        <w:t>Processing</w:t>
      </w:r>
    </w:p>
    <w:p>
      <w:pPr>
        <w:spacing w:after="0" w:line="240" w:lineRule="auto"/>
        <w:jc w:val="left"/>
        <w:rPr>
          <w:sz w:val="24"/>
        </w:rPr>
        <w:sectPr>
          <w:pgSz w:w="12240" w:h="15840"/>
          <w:pgMar w:header="0" w:footer="1015" w:top="1360" w:bottom="1200" w:left="1320" w:right="1320"/>
        </w:sectPr>
      </w:pPr>
    </w:p>
    <w:p>
      <w:pPr>
        <w:pStyle w:val="BodyText"/>
        <w:spacing w:line="480" w:lineRule="auto" w:before="72"/>
        <w:ind w:left="120" w:right="112"/>
        <w:jc w:val="both"/>
      </w:pPr>
      <w:r>
        <w:rPr/>
        <w:t>Soil</w:t>
      </w:r>
      <w:r>
        <w:rPr>
          <w:spacing w:val="-5"/>
        </w:rPr>
        <w:t> </w:t>
      </w:r>
      <w:r>
        <w:rPr/>
        <w:t>sample</w:t>
      </w:r>
      <w:r>
        <w:rPr>
          <w:spacing w:val="-6"/>
        </w:rPr>
        <w:t> </w:t>
      </w:r>
      <w:r>
        <w:rPr/>
        <w:t>was</w:t>
      </w:r>
      <w:r>
        <w:rPr>
          <w:spacing w:val="-6"/>
        </w:rPr>
        <w:t> </w:t>
      </w:r>
      <w:r>
        <w:rPr/>
        <w:t>obtained</w:t>
      </w:r>
      <w:r>
        <w:rPr>
          <w:spacing w:val="-4"/>
        </w:rPr>
        <w:t> </w:t>
      </w:r>
      <w:r>
        <w:rPr/>
        <w:t>from</w:t>
      </w:r>
      <w:r>
        <w:rPr>
          <w:spacing w:val="-5"/>
        </w:rPr>
        <w:t> </w:t>
      </w:r>
      <w:r>
        <w:rPr/>
        <w:t>the</w:t>
      </w:r>
      <w:r>
        <w:rPr>
          <w:spacing w:val="-6"/>
        </w:rPr>
        <w:t> </w:t>
      </w:r>
      <w:r>
        <w:rPr/>
        <w:t>biological</w:t>
      </w:r>
      <w:r>
        <w:rPr>
          <w:spacing w:val="-3"/>
        </w:rPr>
        <w:t> </w:t>
      </w:r>
      <w:r>
        <w:rPr/>
        <w:t>garden</w:t>
      </w:r>
      <w:r>
        <w:rPr>
          <w:spacing w:val="-6"/>
        </w:rPr>
        <w:t> </w:t>
      </w:r>
      <w:r>
        <w:rPr/>
        <w:t>of</w:t>
      </w:r>
      <w:r>
        <w:rPr>
          <w:spacing w:val="-3"/>
        </w:rPr>
        <w:t> </w:t>
      </w:r>
      <w:r>
        <w:rPr/>
        <w:t>Federal</w:t>
      </w:r>
      <w:r>
        <w:rPr>
          <w:spacing w:val="-5"/>
        </w:rPr>
        <w:t> </w:t>
      </w:r>
      <w:r>
        <w:rPr/>
        <w:t>University</w:t>
      </w:r>
      <w:r>
        <w:rPr>
          <w:spacing w:val="-6"/>
        </w:rPr>
        <w:t> </w:t>
      </w:r>
      <w:r>
        <w:rPr/>
        <w:t>of</w:t>
      </w:r>
      <w:r>
        <w:rPr>
          <w:spacing w:val="-6"/>
        </w:rPr>
        <w:t> </w:t>
      </w:r>
      <w:r>
        <w:rPr/>
        <w:t>Technology,</w:t>
      </w:r>
      <w:r>
        <w:rPr>
          <w:spacing w:val="-6"/>
        </w:rPr>
        <w:t> </w:t>
      </w:r>
      <w:r>
        <w:rPr/>
        <w:t>Minna from the upper layer (0–15 cm) in a clean polythene bag and taken to the Department of Microbiology,</w:t>
      </w:r>
      <w:r>
        <w:rPr/>
        <w:t> Federal University of Technology, Minna. Corn silk and plantain trunks were obtained from Bosso area of Niger State and dried to remove the residual moisture. Previously isolated potential biosurfactant producing bacterium by Dada (2018) was obtained from Microbiology Department, Federal University of Technology, Minna.</w:t>
      </w:r>
    </w:p>
    <w:p>
      <w:pPr>
        <w:pStyle w:val="Heading2"/>
        <w:numPr>
          <w:ilvl w:val="1"/>
          <w:numId w:val="4"/>
        </w:numPr>
        <w:tabs>
          <w:tab w:pos="841" w:val="left" w:leader="none"/>
        </w:tabs>
        <w:spacing w:line="240" w:lineRule="auto" w:before="204" w:after="0"/>
        <w:ind w:left="840" w:right="0" w:hanging="721"/>
        <w:jc w:val="both"/>
      </w:pPr>
      <w:r>
        <w:rPr/>
        <w:t>Growth</w:t>
      </w:r>
      <w:r>
        <w:rPr>
          <w:spacing w:val="-6"/>
        </w:rPr>
        <w:t> </w:t>
      </w:r>
      <w:r>
        <w:rPr/>
        <w:t>Media</w:t>
      </w:r>
      <w:r>
        <w:rPr>
          <w:spacing w:val="-3"/>
        </w:rPr>
        <w:t> </w:t>
      </w:r>
      <w:r>
        <w:rPr>
          <w:spacing w:val="-2"/>
        </w:rPr>
        <w:t>Preparation</w:t>
      </w:r>
    </w:p>
    <w:p>
      <w:pPr>
        <w:pStyle w:val="BodyText"/>
        <w:spacing w:before="7"/>
        <w:rPr>
          <w:b/>
          <w:sz w:val="23"/>
        </w:rPr>
      </w:pPr>
    </w:p>
    <w:p>
      <w:pPr>
        <w:pStyle w:val="BodyText"/>
        <w:spacing w:before="1"/>
        <w:ind w:left="120"/>
        <w:jc w:val="both"/>
      </w:pPr>
      <w:r>
        <w:rPr/>
        <w:t>All</w:t>
      </w:r>
      <w:r>
        <w:rPr>
          <w:spacing w:val="-10"/>
        </w:rPr>
        <w:t> </w:t>
      </w:r>
      <w:r>
        <w:rPr/>
        <w:t>growth</w:t>
      </w:r>
      <w:r>
        <w:rPr>
          <w:spacing w:val="-10"/>
        </w:rPr>
        <w:t> </w:t>
      </w:r>
      <w:r>
        <w:rPr/>
        <w:t>media</w:t>
      </w:r>
      <w:r>
        <w:rPr>
          <w:spacing w:val="-10"/>
        </w:rPr>
        <w:t> </w:t>
      </w:r>
      <w:r>
        <w:rPr/>
        <w:t>preparations</w:t>
      </w:r>
      <w:r>
        <w:rPr>
          <w:spacing w:val="-10"/>
        </w:rPr>
        <w:t> </w:t>
      </w:r>
      <w:r>
        <w:rPr/>
        <w:t>were</w:t>
      </w:r>
      <w:r>
        <w:rPr>
          <w:spacing w:val="-12"/>
        </w:rPr>
        <w:t> </w:t>
      </w:r>
      <w:r>
        <w:rPr/>
        <w:t>done</w:t>
      </w:r>
      <w:r>
        <w:rPr>
          <w:spacing w:val="-11"/>
        </w:rPr>
        <w:t> </w:t>
      </w:r>
      <w:r>
        <w:rPr/>
        <w:t>in</w:t>
      </w:r>
      <w:r>
        <w:rPr>
          <w:spacing w:val="-10"/>
        </w:rPr>
        <w:t> </w:t>
      </w:r>
      <w:r>
        <w:rPr/>
        <w:t>accordance</w:t>
      </w:r>
      <w:r>
        <w:rPr>
          <w:spacing w:val="-11"/>
        </w:rPr>
        <w:t> </w:t>
      </w:r>
      <w:r>
        <w:rPr/>
        <w:t>with</w:t>
      </w:r>
      <w:r>
        <w:rPr>
          <w:spacing w:val="-11"/>
        </w:rPr>
        <w:t> </w:t>
      </w:r>
      <w:r>
        <w:rPr/>
        <w:t>the</w:t>
      </w:r>
      <w:r>
        <w:rPr>
          <w:spacing w:val="-11"/>
        </w:rPr>
        <w:t> </w:t>
      </w:r>
      <w:r>
        <w:rPr/>
        <w:t>prescription</w:t>
      </w:r>
      <w:r>
        <w:rPr>
          <w:spacing w:val="-9"/>
        </w:rPr>
        <w:t> </w:t>
      </w:r>
      <w:r>
        <w:rPr/>
        <w:t>of</w:t>
      </w:r>
      <w:r>
        <w:rPr>
          <w:spacing w:val="-11"/>
        </w:rPr>
        <w:t> </w:t>
      </w:r>
      <w:r>
        <w:rPr/>
        <w:t>the</w:t>
      </w:r>
      <w:r>
        <w:rPr>
          <w:spacing w:val="-10"/>
        </w:rPr>
        <w:t> </w:t>
      </w:r>
      <w:r>
        <w:rPr>
          <w:spacing w:val="-2"/>
        </w:rPr>
        <w:t>manufacturer.</w:t>
      </w:r>
    </w:p>
    <w:p>
      <w:pPr>
        <w:pStyle w:val="BodyText"/>
        <w:rPr>
          <w:sz w:val="26"/>
        </w:rPr>
      </w:pPr>
    </w:p>
    <w:p>
      <w:pPr>
        <w:pStyle w:val="Heading2"/>
        <w:numPr>
          <w:ilvl w:val="2"/>
          <w:numId w:val="4"/>
        </w:numPr>
        <w:tabs>
          <w:tab w:pos="841" w:val="left" w:leader="none"/>
        </w:tabs>
        <w:spacing w:line="240" w:lineRule="auto" w:before="183" w:after="0"/>
        <w:ind w:left="840" w:right="0" w:hanging="721"/>
        <w:jc w:val="both"/>
      </w:pPr>
      <w:r>
        <w:rPr/>
        <w:t>Pеptоnе</w:t>
      </w:r>
      <w:r>
        <w:rPr>
          <w:spacing w:val="-5"/>
        </w:rPr>
        <w:t> </w:t>
      </w:r>
      <w:r>
        <w:rPr>
          <w:spacing w:val="-2"/>
        </w:rPr>
        <w:t>wаtеr</w:t>
      </w:r>
    </w:p>
    <w:p>
      <w:pPr>
        <w:pStyle w:val="BodyText"/>
        <w:spacing w:before="4"/>
        <w:rPr>
          <w:b/>
          <w:sz w:val="23"/>
        </w:rPr>
      </w:pPr>
    </w:p>
    <w:p>
      <w:pPr>
        <w:pStyle w:val="BodyText"/>
        <w:spacing w:line="480" w:lineRule="auto"/>
        <w:ind w:left="120" w:right="120"/>
        <w:jc w:val="both"/>
      </w:pPr>
      <w:r>
        <w:rPr/>
        <w:t>In 1000mL оf dіstіllеd wаtеr, 15 g of preweighed pеptоnе wаtеr bаsе pоwdеr was suspended, shаkеn thоrоughly and heated for total dissolution. About 5 mL оf thе dissolved medium was dіspеnsеd іn clеаn tеst tubеs аnd аutоclаved аt 121</w:t>
      </w:r>
      <w:r>
        <w:rPr>
          <w:vertAlign w:val="superscript"/>
        </w:rPr>
        <w:t>º</w:t>
      </w:r>
      <w:r>
        <w:rPr>
          <w:vertAlign w:val="baseline"/>
        </w:rPr>
        <w:t>C fоr 15 mіnutеs to be properly sterilized.</w:t>
      </w:r>
    </w:p>
    <w:p>
      <w:pPr>
        <w:pStyle w:val="ListParagraph"/>
        <w:numPr>
          <w:ilvl w:val="2"/>
          <w:numId w:val="4"/>
        </w:numPr>
        <w:tabs>
          <w:tab w:pos="841" w:val="left" w:leader="none"/>
        </w:tabs>
        <w:spacing w:line="480" w:lineRule="auto" w:before="203" w:after="0"/>
        <w:ind w:left="120" w:right="117" w:firstLine="0"/>
        <w:jc w:val="both"/>
        <w:rPr>
          <w:sz w:val="24"/>
        </w:rPr>
      </w:pPr>
      <w:r>
        <w:rPr>
          <w:b/>
          <w:sz w:val="24"/>
        </w:rPr>
        <w:t>Nutrient agar: </w:t>
      </w:r>
      <w:r>
        <w:rPr>
          <w:sz w:val="24"/>
        </w:rPr>
        <w:t>The 28 g of preweighed nutrient agar pоwdеr was suspended in 1 L оf dіstіllеd</w:t>
      </w:r>
      <w:r>
        <w:rPr>
          <w:spacing w:val="-9"/>
          <w:sz w:val="24"/>
        </w:rPr>
        <w:t> </w:t>
      </w:r>
      <w:r>
        <w:rPr>
          <w:sz w:val="24"/>
        </w:rPr>
        <w:t>wаtеr,</w:t>
      </w:r>
      <w:r>
        <w:rPr>
          <w:spacing w:val="-8"/>
          <w:sz w:val="24"/>
        </w:rPr>
        <w:t> </w:t>
      </w:r>
      <w:r>
        <w:rPr>
          <w:sz w:val="24"/>
        </w:rPr>
        <w:t>well</w:t>
      </w:r>
      <w:r>
        <w:rPr>
          <w:spacing w:val="-8"/>
          <w:sz w:val="24"/>
        </w:rPr>
        <w:t> </w:t>
      </w:r>
      <w:r>
        <w:rPr>
          <w:sz w:val="24"/>
        </w:rPr>
        <w:t>mixed</w:t>
      </w:r>
      <w:r>
        <w:rPr>
          <w:spacing w:val="-8"/>
          <w:sz w:val="24"/>
        </w:rPr>
        <w:t> </w:t>
      </w:r>
      <w:r>
        <w:rPr>
          <w:sz w:val="24"/>
        </w:rPr>
        <w:t>and</w:t>
      </w:r>
      <w:r>
        <w:rPr>
          <w:spacing w:val="-8"/>
          <w:sz w:val="24"/>
        </w:rPr>
        <w:t> </w:t>
      </w:r>
      <w:r>
        <w:rPr>
          <w:sz w:val="24"/>
        </w:rPr>
        <w:t>hеаtеd</w:t>
      </w:r>
      <w:r>
        <w:rPr>
          <w:spacing w:val="-9"/>
          <w:sz w:val="24"/>
        </w:rPr>
        <w:t> </w:t>
      </w:r>
      <w:r>
        <w:rPr>
          <w:sz w:val="24"/>
        </w:rPr>
        <w:t>tо</w:t>
      </w:r>
      <w:r>
        <w:rPr>
          <w:spacing w:val="-8"/>
          <w:sz w:val="24"/>
        </w:rPr>
        <w:t> </w:t>
      </w:r>
      <w:r>
        <w:rPr>
          <w:sz w:val="24"/>
        </w:rPr>
        <w:t>properly</w:t>
      </w:r>
      <w:r>
        <w:rPr>
          <w:spacing w:val="-11"/>
          <w:sz w:val="24"/>
        </w:rPr>
        <w:t> </w:t>
      </w:r>
      <w:r>
        <w:rPr>
          <w:sz w:val="24"/>
        </w:rPr>
        <w:t>dіssоlvе</w:t>
      </w:r>
      <w:r>
        <w:rPr>
          <w:spacing w:val="-9"/>
          <w:sz w:val="24"/>
        </w:rPr>
        <w:t> </w:t>
      </w:r>
      <w:r>
        <w:rPr>
          <w:sz w:val="24"/>
        </w:rPr>
        <w:t>thе</w:t>
      </w:r>
      <w:r>
        <w:rPr>
          <w:spacing w:val="-9"/>
          <w:sz w:val="24"/>
        </w:rPr>
        <w:t> </w:t>
      </w:r>
      <w:r>
        <w:rPr>
          <w:sz w:val="24"/>
        </w:rPr>
        <w:t>mеdіum</w:t>
      </w:r>
      <w:r>
        <w:rPr>
          <w:spacing w:val="-8"/>
          <w:sz w:val="24"/>
        </w:rPr>
        <w:t> </w:t>
      </w:r>
      <w:r>
        <w:rPr>
          <w:sz w:val="24"/>
        </w:rPr>
        <w:t>and</w:t>
      </w:r>
      <w:r>
        <w:rPr>
          <w:spacing w:val="-11"/>
          <w:sz w:val="24"/>
        </w:rPr>
        <w:t> </w:t>
      </w:r>
      <w:r>
        <w:rPr>
          <w:sz w:val="24"/>
        </w:rPr>
        <w:t>thereafter,</w:t>
      </w:r>
      <w:r>
        <w:rPr>
          <w:spacing w:val="-9"/>
          <w:sz w:val="24"/>
        </w:rPr>
        <w:t> </w:t>
      </w:r>
      <w:r>
        <w:rPr>
          <w:sz w:val="24"/>
        </w:rPr>
        <w:t>stеrіlіzеd</w:t>
      </w:r>
      <w:r>
        <w:rPr>
          <w:spacing w:val="-8"/>
          <w:sz w:val="24"/>
        </w:rPr>
        <w:t> </w:t>
      </w:r>
      <w:r>
        <w:rPr>
          <w:sz w:val="24"/>
        </w:rPr>
        <w:t>аt 121</w:t>
      </w:r>
      <w:r>
        <w:rPr>
          <w:sz w:val="24"/>
          <w:vertAlign w:val="superscript"/>
        </w:rPr>
        <w:t>º</w:t>
      </w:r>
      <w:r>
        <w:rPr>
          <w:sz w:val="24"/>
          <w:vertAlign w:val="baseline"/>
        </w:rPr>
        <w:t>C fоr 15 mіnutеs.</w:t>
      </w:r>
    </w:p>
    <w:p>
      <w:pPr>
        <w:pStyle w:val="ListParagraph"/>
        <w:numPr>
          <w:ilvl w:val="2"/>
          <w:numId w:val="4"/>
        </w:numPr>
        <w:tabs>
          <w:tab w:pos="841" w:val="left" w:leader="none"/>
        </w:tabs>
        <w:spacing w:line="480" w:lineRule="auto" w:before="0" w:after="0"/>
        <w:ind w:left="120" w:right="115" w:firstLine="0"/>
        <w:jc w:val="both"/>
        <w:rPr>
          <w:sz w:val="24"/>
        </w:rPr>
      </w:pPr>
      <w:r>
        <w:rPr>
          <w:b/>
          <w:sz w:val="24"/>
        </w:rPr>
        <w:t>Sabouraud</w:t>
      </w:r>
      <w:r>
        <w:rPr>
          <w:b/>
          <w:spacing w:val="-1"/>
          <w:sz w:val="24"/>
        </w:rPr>
        <w:t> </w:t>
      </w:r>
      <w:r>
        <w:rPr>
          <w:b/>
          <w:sz w:val="24"/>
        </w:rPr>
        <w:t>dextrose agar:</w:t>
      </w:r>
      <w:r>
        <w:rPr>
          <w:b/>
          <w:spacing w:val="-2"/>
          <w:sz w:val="24"/>
        </w:rPr>
        <w:t> </w:t>
      </w:r>
      <w:r>
        <w:rPr>
          <w:sz w:val="24"/>
        </w:rPr>
        <w:t>The</w:t>
      </w:r>
      <w:r>
        <w:rPr>
          <w:spacing w:val="-2"/>
          <w:sz w:val="24"/>
        </w:rPr>
        <w:t> </w:t>
      </w:r>
      <w:r>
        <w:rPr>
          <w:sz w:val="24"/>
        </w:rPr>
        <w:t>40</w:t>
      </w:r>
      <w:r>
        <w:rPr>
          <w:spacing w:val="-1"/>
          <w:sz w:val="24"/>
        </w:rPr>
        <w:t> </w:t>
      </w:r>
      <w:r>
        <w:rPr>
          <w:sz w:val="24"/>
        </w:rPr>
        <w:t>g</w:t>
      </w:r>
      <w:r>
        <w:rPr>
          <w:spacing w:val="-4"/>
          <w:sz w:val="24"/>
        </w:rPr>
        <w:t> </w:t>
      </w:r>
      <w:r>
        <w:rPr>
          <w:sz w:val="24"/>
        </w:rPr>
        <w:t>of</w:t>
      </w:r>
      <w:r>
        <w:rPr>
          <w:spacing w:val="-2"/>
          <w:sz w:val="24"/>
        </w:rPr>
        <w:t> </w:t>
      </w:r>
      <w:r>
        <w:rPr>
          <w:sz w:val="24"/>
        </w:rPr>
        <w:t>Sabouraud</w:t>
      </w:r>
      <w:r>
        <w:rPr>
          <w:spacing w:val="-1"/>
          <w:sz w:val="24"/>
        </w:rPr>
        <w:t> </w:t>
      </w:r>
      <w:r>
        <w:rPr>
          <w:sz w:val="24"/>
        </w:rPr>
        <w:t>dextrose</w:t>
      </w:r>
      <w:r>
        <w:rPr>
          <w:spacing w:val="-2"/>
          <w:sz w:val="24"/>
        </w:rPr>
        <w:t> </w:t>
      </w:r>
      <w:r>
        <w:rPr>
          <w:sz w:val="24"/>
        </w:rPr>
        <w:t>agar</w:t>
      </w:r>
      <w:r>
        <w:rPr>
          <w:spacing w:val="-2"/>
          <w:sz w:val="24"/>
        </w:rPr>
        <w:t> </w:t>
      </w:r>
      <w:r>
        <w:rPr>
          <w:sz w:val="24"/>
        </w:rPr>
        <w:t>was</w:t>
      </w:r>
      <w:r>
        <w:rPr>
          <w:spacing w:val="-1"/>
          <w:sz w:val="24"/>
        </w:rPr>
        <w:t> </w:t>
      </w:r>
      <w:r>
        <w:rPr>
          <w:sz w:val="24"/>
        </w:rPr>
        <w:t>wеіghеd</w:t>
      </w:r>
      <w:r>
        <w:rPr>
          <w:spacing w:val="-1"/>
          <w:sz w:val="24"/>
        </w:rPr>
        <w:t> </w:t>
      </w:r>
      <w:r>
        <w:rPr>
          <w:sz w:val="24"/>
        </w:rPr>
        <w:t>аnd</w:t>
      </w:r>
      <w:r>
        <w:rPr>
          <w:spacing w:val="-1"/>
          <w:sz w:val="24"/>
        </w:rPr>
        <w:t> </w:t>
      </w:r>
      <w:r>
        <w:rPr>
          <w:sz w:val="24"/>
        </w:rPr>
        <w:t>аddеd tо</w:t>
      </w:r>
      <w:r>
        <w:rPr>
          <w:spacing w:val="-2"/>
          <w:sz w:val="24"/>
        </w:rPr>
        <w:t> </w:t>
      </w:r>
      <w:r>
        <w:rPr>
          <w:sz w:val="24"/>
        </w:rPr>
        <w:t>1 L</w:t>
      </w:r>
      <w:r>
        <w:rPr>
          <w:spacing w:val="-5"/>
          <w:sz w:val="24"/>
        </w:rPr>
        <w:t> </w:t>
      </w:r>
      <w:r>
        <w:rPr>
          <w:sz w:val="24"/>
        </w:rPr>
        <w:t>оf</w:t>
      </w:r>
      <w:r>
        <w:rPr>
          <w:spacing w:val="-2"/>
          <w:sz w:val="24"/>
        </w:rPr>
        <w:t> </w:t>
      </w:r>
      <w:r>
        <w:rPr>
          <w:sz w:val="24"/>
        </w:rPr>
        <w:t>dіstіllеd</w:t>
      </w:r>
      <w:r>
        <w:rPr>
          <w:spacing w:val="-2"/>
          <w:sz w:val="24"/>
        </w:rPr>
        <w:t> </w:t>
      </w:r>
      <w:r>
        <w:rPr>
          <w:sz w:val="24"/>
        </w:rPr>
        <w:t>wаtеr.</w:t>
      </w:r>
      <w:r>
        <w:rPr>
          <w:spacing w:val="-1"/>
          <w:sz w:val="24"/>
        </w:rPr>
        <w:t> </w:t>
      </w:r>
      <w:r>
        <w:rPr>
          <w:sz w:val="24"/>
        </w:rPr>
        <w:t>Іt was vigorously</w:t>
      </w:r>
      <w:r>
        <w:rPr>
          <w:spacing w:val="-7"/>
          <w:sz w:val="24"/>
        </w:rPr>
        <w:t> </w:t>
      </w:r>
      <w:r>
        <w:rPr>
          <w:sz w:val="24"/>
        </w:rPr>
        <w:t>shаkеn and</w:t>
      </w:r>
      <w:r>
        <w:rPr>
          <w:spacing w:val="-2"/>
          <w:sz w:val="24"/>
        </w:rPr>
        <w:t> </w:t>
      </w:r>
      <w:r>
        <w:rPr>
          <w:sz w:val="24"/>
        </w:rPr>
        <w:t>hеаtеd</w:t>
      </w:r>
      <w:r>
        <w:rPr>
          <w:spacing w:val="-2"/>
          <w:sz w:val="24"/>
        </w:rPr>
        <w:t> </w:t>
      </w:r>
      <w:r>
        <w:rPr>
          <w:sz w:val="24"/>
        </w:rPr>
        <w:t>for</w:t>
      </w:r>
      <w:r>
        <w:rPr>
          <w:spacing w:val="-2"/>
          <w:sz w:val="24"/>
        </w:rPr>
        <w:t> </w:t>
      </w:r>
      <w:r>
        <w:rPr>
          <w:sz w:val="24"/>
        </w:rPr>
        <w:t>proper</w:t>
      </w:r>
      <w:r>
        <w:rPr>
          <w:spacing w:val="-2"/>
          <w:sz w:val="24"/>
        </w:rPr>
        <w:t> </w:t>
      </w:r>
      <w:r>
        <w:rPr>
          <w:sz w:val="24"/>
        </w:rPr>
        <w:t>dіssоlution</w:t>
      </w:r>
      <w:r>
        <w:rPr>
          <w:spacing w:val="-2"/>
          <w:sz w:val="24"/>
        </w:rPr>
        <w:t> </w:t>
      </w:r>
      <w:r>
        <w:rPr>
          <w:sz w:val="24"/>
        </w:rPr>
        <w:t>and</w:t>
      </w:r>
      <w:r>
        <w:rPr>
          <w:spacing w:val="-2"/>
          <w:sz w:val="24"/>
        </w:rPr>
        <w:t> </w:t>
      </w:r>
      <w:r>
        <w:rPr>
          <w:sz w:val="24"/>
        </w:rPr>
        <w:t>stеrіlіzеd аt 121</w:t>
      </w:r>
      <w:r>
        <w:rPr>
          <w:sz w:val="24"/>
          <w:vertAlign w:val="superscript"/>
        </w:rPr>
        <w:t>º</w:t>
      </w:r>
      <w:r>
        <w:rPr>
          <w:sz w:val="24"/>
          <w:vertAlign w:val="baseline"/>
        </w:rPr>
        <w:t>C fоr 15 mіnutеs.</w:t>
      </w:r>
    </w:p>
    <w:p>
      <w:pPr>
        <w:pStyle w:val="ListParagraph"/>
        <w:numPr>
          <w:ilvl w:val="2"/>
          <w:numId w:val="4"/>
        </w:numPr>
        <w:tabs>
          <w:tab w:pos="841" w:val="left" w:leader="none"/>
        </w:tabs>
        <w:spacing w:line="480" w:lineRule="auto" w:before="0" w:after="0"/>
        <w:ind w:left="120" w:right="114" w:firstLine="0"/>
        <w:jc w:val="both"/>
        <w:rPr>
          <w:sz w:val="24"/>
        </w:rPr>
      </w:pPr>
      <w:r>
        <w:rPr>
          <w:b/>
          <w:sz w:val="24"/>
        </w:rPr>
        <w:t>Tryptone broth: </w:t>
      </w:r>
      <w:r>
        <w:rPr>
          <w:sz w:val="24"/>
        </w:rPr>
        <w:t>In 100 mL оf dіstіllеd wаtеr, 1.5 g of preweighed tryptоnе wаtеr bаsе pоwdеr</w:t>
      </w:r>
      <w:r>
        <w:rPr>
          <w:spacing w:val="-2"/>
          <w:sz w:val="24"/>
        </w:rPr>
        <w:t> </w:t>
      </w:r>
      <w:r>
        <w:rPr>
          <w:sz w:val="24"/>
        </w:rPr>
        <w:t>was</w:t>
      </w:r>
      <w:r>
        <w:rPr>
          <w:spacing w:val="-5"/>
          <w:sz w:val="24"/>
        </w:rPr>
        <w:t> </w:t>
      </w:r>
      <w:r>
        <w:rPr>
          <w:sz w:val="24"/>
        </w:rPr>
        <w:t>dispensed,</w:t>
      </w:r>
      <w:r>
        <w:rPr>
          <w:spacing w:val="-5"/>
          <w:sz w:val="24"/>
        </w:rPr>
        <w:t> </w:t>
      </w:r>
      <w:r>
        <w:rPr>
          <w:sz w:val="24"/>
        </w:rPr>
        <w:t>vigorously</w:t>
      </w:r>
      <w:r>
        <w:rPr>
          <w:spacing w:val="-10"/>
          <w:sz w:val="24"/>
        </w:rPr>
        <w:t> </w:t>
      </w:r>
      <w:r>
        <w:rPr>
          <w:sz w:val="24"/>
        </w:rPr>
        <w:t>mixed</w:t>
      </w:r>
      <w:r>
        <w:rPr>
          <w:spacing w:val="-3"/>
          <w:sz w:val="24"/>
        </w:rPr>
        <w:t> </w:t>
      </w:r>
      <w:r>
        <w:rPr>
          <w:sz w:val="24"/>
        </w:rPr>
        <w:t>аnd</w:t>
      </w:r>
      <w:r>
        <w:rPr>
          <w:spacing w:val="-5"/>
          <w:sz w:val="24"/>
        </w:rPr>
        <w:t> </w:t>
      </w:r>
      <w:r>
        <w:rPr>
          <w:sz w:val="24"/>
        </w:rPr>
        <w:t>hеаtеd</w:t>
      </w:r>
      <w:r>
        <w:rPr>
          <w:spacing w:val="-5"/>
          <w:sz w:val="24"/>
        </w:rPr>
        <w:t> </w:t>
      </w:r>
      <w:r>
        <w:rPr>
          <w:sz w:val="24"/>
        </w:rPr>
        <w:t>tо</w:t>
      </w:r>
      <w:r>
        <w:rPr>
          <w:spacing w:val="-4"/>
          <w:sz w:val="24"/>
        </w:rPr>
        <w:t> </w:t>
      </w:r>
      <w:r>
        <w:rPr>
          <w:sz w:val="24"/>
        </w:rPr>
        <w:t>completely</w:t>
      </w:r>
      <w:r>
        <w:rPr>
          <w:spacing w:val="-7"/>
          <w:sz w:val="24"/>
        </w:rPr>
        <w:t> </w:t>
      </w:r>
      <w:r>
        <w:rPr>
          <w:sz w:val="24"/>
        </w:rPr>
        <w:t>dіssоlvе</w:t>
      </w:r>
      <w:r>
        <w:rPr>
          <w:spacing w:val="-3"/>
          <w:sz w:val="24"/>
        </w:rPr>
        <w:t> </w:t>
      </w:r>
      <w:r>
        <w:rPr>
          <w:sz w:val="24"/>
        </w:rPr>
        <w:t>thе</w:t>
      </w:r>
      <w:r>
        <w:rPr>
          <w:spacing w:val="-5"/>
          <w:sz w:val="24"/>
        </w:rPr>
        <w:t> </w:t>
      </w:r>
      <w:r>
        <w:rPr>
          <w:sz w:val="24"/>
        </w:rPr>
        <w:t>mеdіum.</w:t>
      </w:r>
      <w:r>
        <w:rPr>
          <w:spacing w:val="-4"/>
          <w:sz w:val="24"/>
        </w:rPr>
        <w:t> </w:t>
      </w:r>
      <w:r>
        <w:rPr>
          <w:sz w:val="24"/>
        </w:rPr>
        <w:t>About</w:t>
      </w:r>
      <w:r>
        <w:rPr>
          <w:spacing w:val="-3"/>
          <w:sz w:val="24"/>
        </w:rPr>
        <w:t> </w:t>
      </w:r>
      <w:r>
        <w:rPr>
          <w:sz w:val="24"/>
        </w:rPr>
        <w:t>5 mL</w:t>
      </w:r>
      <w:r>
        <w:rPr>
          <w:spacing w:val="-1"/>
          <w:sz w:val="24"/>
        </w:rPr>
        <w:t> </w:t>
      </w:r>
      <w:r>
        <w:rPr>
          <w:sz w:val="24"/>
        </w:rPr>
        <w:t>оf thе medium was withdrawn and dіspеnsеd іn clеаn tеst tubе аnd stеrіlіzеd аt 121</w:t>
      </w:r>
      <w:r>
        <w:rPr>
          <w:sz w:val="24"/>
          <w:vertAlign w:val="superscript"/>
        </w:rPr>
        <w:t>º</w:t>
      </w:r>
      <w:r>
        <w:rPr>
          <w:sz w:val="24"/>
          <w:vertAlign w:val="baseline"/>
        </w:rPr>
        <w:t>C fоr 15 </w:t>
      </w:r>
      <w:r>
        <w:rPr>
          <w:spacing w:val="-2"/>
          <w:sz w:val="24"/>
          <w:vertAlign w:val="baseline"/>
        </w:rPr>
        <w:t>mіnutеs.</w:t>
      </w:r>
    </w:p>
    <w:p>
      <w:pPr>
        <w:spacing w:after="0" w:line="480" w:lineRule="auto"/>
        <w:jc w:val="both"/>
        <w:rPr>
          <w:sz w:val="24"/>
        </w:rPr>
        <w:sectPr>
          <w:pgSz w:w="12240" w:h="15840"/>
          <w:pgMar w:header="0" w:footer="1015" w:top="1360" w:bottom="1200" w:left="1320" w:right="1320"/>
        </w:sectPr>
      </w:pPr>
    </w:p>
    <w:p>
      <w:pPr>
        <w:pStyle w:val="ListParagraph"/>
        <w:numPr>
          <w:ilvl w:val="2"/>
          <w:numId w:val="4"/>
        </w:numPr>
        <w:tabs>
          <w:tab w:pos="841" w:val="left" w:leader="none"/>
        </w:tabs>
        <w:spacing w:line="480" w:lineRule="auto" w:before="72" w:after="0"/>
        <w:ind w:left="120" w:right="117" w:firstLine="0"/>
        <w:jc w:val="both"/>
        <w:rPr>
          <w:sz w:val="24"/>
        </w:rPr>
      </w:pPr>
      <w:r>
        <w:rPr>
          <w:b/>
          <w:sz w:val="24"/>
        </w:rPr>
        <w:t>Simmons</w:t>
      </w:r>
      <w:r>
        <w:rPr>
          <w:b/>
          <w:spacing w:val="-5"/>
          <w:sz w:val="24"/>
        </w:rPr>
        <w:t> </w:t>
      </w:r>
      <w:r>
        <w:rPr>
          <w:b/>
          <w:sz w:val="24"/>
        </w:rPr>
        <w:t>Citrate</w:t>
      </w:r>
      <w:r>
        <w:rPr>
          <w:b/>
          <w:spacing w:val="-7"/>
          <w:sz w:val="24"/>
        </w:rPr>
        <w:t> </w:t>
      </w:r>
      <w:r>
        <w:rPr>
          <w:b/>
          <w:sz w:val="24"/>
        </w:rPr>
        <w:t>agar</w:t>
      </w:r>
      <w:r>
        <w:rPr>
          <w:sz w:val="24"/>
        </w:rPr>
        <w:t>:</w:t>
      </w:r>
      <w:r>
        <w:rPr>
          <w:spacing w:val="-3"/>
          <w:sz w:val="24"/>
        </w:rPr>
        <w:t> </w:t>
      </w:r>
      <w:r>
        <w:rPr>
          <w:sz w:val="24"/>
        </w:rPr>
        <w:t>About</w:t>
      </w:r>
      <w:r>
        <w:rPr>
          <w:spacing w:val="-5"/>
          <w:sz w:val="24"/>
        </w:rPr>
        <w:t> </w:t>
      </w:r>
      <w:r>
        <w:rPr>
          <w:sz w:val="24"/>
        </w:rPr>
        <w:t>1</w:t>
      </w:r>
      <w:r>
        <w:rPr>
          <w:spacing w:val="-3"/>
          <w:sz w:val="24"/>
        </w:rPr>
        <w:t> </w:t>
      </w:r>
      <w:r>
        <w:rPr>
          <w:sz w:val="24"/>
        </w:rPr>
        <w:t>L</w:t>
      </w:r>
      <w:r>
        <w:rPr>
          <w:spacing w:val="-10"/>
          <w:sz w:val="24"/>
        </w:rPr>
        <w:t> </w:t>
      </w:r>
      <w:r>
        <w:rPr>
          <w:sz w:val="24"/>
        </w:rPr>
        <w:t>оf</w:t>
      </w:r>
      <w:r>
        <w:rPr>
          <w:spacing w:val="-6"/>
          <w:sz w:val="24"/>
        </w:rPr>
        <w:t> </w:t>
      </w:r>
      <w:r>
        <w:rPr>
          <w:sz w:val="24"/>
        </w:rPr>
        <w:t>dіstіllеd</w:t>
      </w:r>
      <w:r>
        <w:rPr>
          <w:spacing w:val="-5"/>
          <w:sz w:val="24"/>
        </w:rPr>
        <w:t> </w:t>
      </w:r>
      <w:r>
        <w:rPr>
          <w:sz w:val="24"/>
        </w:rPr>
        <w:t>wаtеr,</w:t>
      </w:r>
      <w:r>
        <w:rPr>
          <w:spacing w:val="-5"/>
          <w:sz w:val="24"/>
        </w:rPr>
        <w:t> </w:t>
      </w:r>
      <w:r>
        <w:rPr>
          <w:sz w:val="24"/>
        </w:rPr>
        <w:t>25</w:t>
      </w:r>
      <w:r>
        <w:rPr>
          <w:spacing w:val="-2"/>
          <w:sz w:val="24"/>
        </w:rPr>
        <w:t> </w:t>
      </w:r>
      <w:r>
        <w:rPr>
          <w:sz w:val="24"/>
        </w:rPr>
        <w:t>g</w:t>
      </w:r>
      <w:r>
        <w:rPr>
          <w:spacing w:val="-7"/>
          <w:sz w:val="24"/>
        </w:rPr>
        <w:t> </w:t>
      </w:r>
      <w:r>
        <w:rPr>
          <w:sz w:val="24"/>
        </w:rPr>
        <w:t>of</w:t>
      </w:r>
      <w:r>
        <w:rPr>
          <w:spacing w:val="-6"/>
          <w:sz w:val="24"/>
        </w:rPr>
        <w:t> </w:t>
      </w:r>
      <w:r>
        <w:rPr>
          <w:sz w:val="24"/>
        </w:rPr>
        <w:t>preweighed</w:t>
      </w:r>
      <w:r>
        <w:rPr>
          <w:spacing w:val="-5"/>
          <w:sz w:val="24"/>
        </w:rPr>
        <w:t> </w:t>
      </w:r>
      <w:r>
        <w:rPr>
          <w:sz w:val="24"/>
        </w:rPr>
        <w:t>Simmons</w:t>
      </w:r>
      <w:r>
        <w:rPr>
          <w:spacing w:val="-5"/>
          <w:sz w:val="24"/>
        </w:rPr>
        <w:t> </w:t>
      </w:r>
      <w:r>
        <w:rPr>
          <w:sz w:val="24"/>
        </w:rPr>
        <w:t>citrate agar powder was аddеd, mixed properly and hеаtеd tо completely</w:t>
      </w:r>
      <w:r>
        <w:rPr>
          <w:spacing w:val="-2"/>
          <w:sz w:val="24"/>
        </w:rPr>
        <w:t> </w:t>
      </w:r>
      <w:r>
        <w:rPr>
          <w:sz w:val="24"/>
        </w:rPr>
        <w:t>dіssоlvе it. About 5 mL оf thе medium was dіspеnsеd іn clеаn tеst tubе аnd stеrіlіzеd аt 121</w:t>
      </w:r>
      <w:r>
        <w:rPr>
          <w:sz w:val="24"/>
          <w:vertAlign w:val="superscript"/>
        </w:rPr>
        <w:t>º</w:t>
      </w:r>
      <w:r>
        <w:rPr>
          <w:sz w:val="24"/>
          <w:vertAlign w:val="baseline"/>
        </w:rPr>
        <w:t>C fоr 15 mіnutеs.</w:t>
      </w:r>
    </w:p>
    <w:p>
      <w:pPr>
        <w:pStyle w:val="ListParagraph"/>
        <w:numPr>
          <w:ilvl w:val="2"/>
          <w:numId w:val="4"/>
        </w:numPr>
        <w:tabs>
          <w:tab w:pos="841" w:val="left" w:leader="none"/>
        </w:tabs>
        <w:spacing w:line="480" w:lineRule="auto" w:before="0" w:after="0"/>
        <w:ind w:left="120" w:right="115" w:firstLine="0"/>
        <w:jc w:val="both"/>
        <w:rPr>
          <w:sz w:val="24"/>
        </w:rPr>
      </w:pPr>
      <w:r>
        <w:rPr>
          <w:b/>
          <w:sz w:val="24"/>
        </w:rPr>
        <w:t>Mineral</w:t>
      </w:r>
      <w:r>
        <w:rPr>
          <w:b/>
          <w:spacing w:val="-7"/>
          <w:sz w:val="24"/>
        </w:rPr>
        <w:t> </w:t>
      </w:r>
      <w:r>
        <w:rPr>
          <w:b/>
          <w:sz w:val="24"/>
        </w:rPr>
        <w:t>salt</w:t>
      </w:r>
      <w:r>
        <w:rPr>
          <w:b/>
          <w:spacing w:val="-6"/>
          <w:sz w:val="24"/>
        </w:rPr>
        <w:t> </w:t>
      </w:r>
      <w:r>
        <w:rPr>
          <w:b/>
          <w:sz w:val="24"/>
        </w:rPr>
        <w:t>medium:</w:t>
      </w:r>
      <w:r>
        <w:rPr>
          <w:b/>
          <w:spacing w:val="-8"/>
          <w:sz w:val="24"/>
        </w:rPr>
        <w:t> </w:t>
      </w:r>
      <w:r>
        <w:rPr>
          <w:sz w:val="24"/>
        </w:rPr>
        <w:t>The</w:t>
      </w:r>
      <w:r>
        <w:rPr>
          <w:spacing w:val="-9"/>
          <w:sz w:val="24"/>
        </w:rPr>
        <w:t> </w:t>
      </w:r>
      <w:r>
        <w:rPr>
          <w:sz w:val="24"/>
        </w:rPr>
        <w:t>mineral</w:t>
      </w:r>
      <w:r>
        <w:rPr>
          <w:spacing w:val="-8"/>
          <w:sz w:val="24"/>
        </w:rPr>
        <w:t> </w:t>
      </w:r>
      <w:r>
        <w:rPr>
          <w:sz w:val="24"/>
        </w:rPr>
        <w:t>salt</w:t>
      </w:r>
      <w:r>
        <w:rPr>
          <w:spacing w:val="-7"/>
          <w:sz w:val="24"/>
        </w:rPr>
        <w:t> </w:t>
      </w:r>
      <w:r>
        <w:rPr>
          <w:sz w:val="24"/>
        </w:rPr>
        <w:t>medium</w:t>
      </w:r>
      <w:r>
        <w:rPr>
          <w:spacing w:val="-7"/>
          <w:sz w:val="24"/>
        </w:rPr>
        <w:t> </w:t>
      </w:r>
      <w:r>
        <w:rPr>
          <w:sz w:val="24"/>
        </w:rPr>
        <w:t>(MSM)</w:t>
      </w:r>
      <w:r>
        <w:rPr>
          <w:spacing w:val="-6"/>
          <w:sz w:val="24"/>
        </w:rPr>
        <w:t> </w:t>
      </w:r>
      <w:r>
        <w:rPr>
          <w:sz w:val="24"/>
        </w:rPr>
        <w:t>was</w:t>
      </w:r>
      <w:r>
        <w:rPr>
          <w:spacing w:val="-7"/>
          <w:sz w:val="24"/>
        </w:rPr>
        <w:t> </w:t>
      </w:r>
      <w:r>
        <w:rPr>
          <w:sz w:val="24"/>
        </w:rPr>
        <w:t>prepared</w:t>
      </w:r>
      <w:r>
        <w:rPr>
          <w:spacing w:val="-7"/>
          <w:sz w:val="24"/>
        </w:rPr>
        <w:t> </w:t>
      </w:r>
      <w:r>
        <w:rPr>
          <w:sz w:val="24"/>
        </w:rPr>
        <w:t>by</w:t>
      </w:r>
      <w:r>
        <w:rPr>
          <w:spacing w:val="-10"/>
          <w:sz w:val="24"/>
        </w:rPr>
        <w:t> </w:t>
      </w:r>
      <w:r>
        <w:rPr>
          <w:sz w:val="24"/>
        </w:rPr>
        <w:t>adding</w:t>
      </w:r>
      <w:r>
        <w:rPr>
          <w:spacing w:val="-9"/>
          <w:sz w:val="24"/>
        </w:rPr>
        <w:t> </w:t>
      </w:r>
      <w:r>
        <w:rPr>
          <w:sz w:val="24"/>
        </w:rPr>
        <w:t>in</w:t>
      </w:r>
      <w:r>
        <w:rPr>
          <w:spacing w:val="-7"/>
          <w:sz w:val="24"/>
        </w:rPr>
        <w:t> </w:t>
      </w:r>
      <w:r>
        <w:rPr>
          <w:sz w:val="24"/>
        </w:rPr>
        <w:t>1</w:t>
      </w:r>
      <w:r>
        <w:rPr>
          <w:spacing w:val="-4"/>
          <w:sz w:val="24"/>
        </w:rPr>
        <w:t> </w:t>
      </w:r>
      <w:r>
        <w:rPr>
          <w:sz w:val="24"/>
        </w:rPr>
        <w:t>L</w:t>
      </w:r>
      <w:r>
        <w:rPr>
          <w:spacing w:val="-10"/>
          <w:sz w:val="24"/>
        </w:rPr>
        <w:t> </w:t>
      </w:r>
      <w:r>
        <w:rPr>
          <w:sz w:val="24"/>
        </w:rPr>
        <w:t>of </w:t>
      </w:r>
      <w:r>
        <w:rPr>
          <w:position w:val="2"/>
          <w:sz w:val="24"/>
        </w:rPr>
        <w:t>distilled</w:t>
      </w:r>
      <w:r>
        <w:rPr>
          <w:spacing w:val="-2"/>
          <w:position w:val="2"/>
          <w:sz w:val="24"/>
        </w:rPr>
        <w:t> </w:t>
      </w:r>
      <w:r>
        <w:rPr>
          <w:position w:val="2"/>
          <w:sz w:val="24"/>
        </w:rPr>
        <w:t>water:</w:t>
      </w:r>
      <w:r>
        <w:rPr>
          <w:spacing w:val="-1"/>
          <w:position w:val="2"/>
          <w:sz w:val="24"/>
        </w:rPr>
        <w:t> </w:t>
      </w:r>
      <w:r>
        <w:rPr>
          <w:position w:val="2"/>
          <w:sz w:val="24"/>
        </w:rPr>
        <w:t>K</w:t>
      </w:r>
      <w:r>
        <w:rPr>
          <w:sz w:val="16"/>
        </w:rPr>
        <w:t>2</w:t>
      </w:r>
      <w:r>
        <w:rPr>
          <w:position w:val="2"/>
          <w:sz w:val="24"/>
        </w:rPr>
        <w:t>HPО</w:t>
      </w:r>
      <w:r>
        <w:rPr>
          <w:sz w:val="16"/>
        </w:rPr>
        <w:t>4</w:t>
      </w:r>
      <w:r>
        <w:rPr>
          <w:spacing w:val="20"/>
          <w:sz w:val="16"/>
        </w:rPr>
        <w:t> </w:t>
      </w:r>
      <w:r>
        <w:rPr>
          <w:position w:val="2"/>
          <w:sz w:val="24"/>
        </w:rPr>
        <w:t>(1.8 g),</w:t>
      </w:r>
      <w:r>
        <w:rPr>
          <w:spacing w:val="-2"/>
          <w:position w:val="2"/>
          <w:sz w:val="24"/>
        </w:rPr>
        <w:t> </w:t>
      </w:r>
      <w:r>
        <w:rPr>
          <w:position w:val="2"/>
          <w:sz w:val="24"/>
        </w:rPr>
        <w:t>KH</w:t>
      </w:r>
      <w:r>
        <w:rPr>
          <w:sz w:val="16"/>
        </w:rPr>
        <w:t>2</w:t>
      </w:r>
      <w:r>
        <w:rPr>
          <w:position w:val="2"/>
          <w:sz w:val="24"/>
        </w:rPr>
        <w:t>PО</w:t>
      </w:r>
      <w:r>
        <w:rPr>
          <w:sz w:val="16"/>
        </w:rPr>
        <w:t>4</w:t>
      </w:r>
      <w:r>
        <w:rPr>
          <w:spacing w:val="20"/>
          <w:sz w:val="16"/>
        </w:rPr>
        <w:t> </w:t>
      </w:r>
      <w:r>
        <w:rPr>
          <w:position w:val="2"/>
          <w:sz w:val="24"/>
        </w:rPr>
        <w:t>(1.2</w:t>
      </w:r>
      <w:r>
        <w:rPr>
          <w:spacing w:val="-2"/>
          <w:position w:val="2"/>
          <w:sz w:val="24"/>
        </w:rPr>
        <w:t> </w:t>
      </w:r>
      <w:r>
        <w:rPr>
          <w:position w:val="2"/>
          <w:sz w:val="24"/>
        </w:rPr>
        <w:t>g),</w:t>
      </w:r>
      <w:r>
        <w:rPr>
          <w:spacing w:val="1"/>
          <w:position w:val="2"/>
          <w:sz w:val="24"/>
        </w:rPr>
        <w:t> </w:t>
      </w:r>
      <w:r>
        <w:rPr>
          <w:position w:val="2"/>
          <w:sz w:val="24"/>
        </w:rPr>
        <w:t>NH</w:t>
      </w:r>
      <w:r>
        <w:rPr>
          <w:sz w:val="16"/>
        </w:rPr>
        <w:t>4</w:t>
      </w:r>
      <w:r>
        <w:rPr>
          <w:position w:val="2"/>
          <w:sz w:val="24"/>
        </w:rPr>
        <w:t>Cl</w:t>
      </w:r>
      <w:r>
        <w:rPr>
          <w:spacing w:val="-1"/>
          <w:position w:val="2"/>
          <w:sz w:val="24"/>
        </w:rPr>
        <w:t> </w:t>
      </w:r>
      <w:r>
        <w:rPr>
          <w:position w:val="2"/>
          <w:sz w:val="24"/>
        </w:rPr>
        <w:t>(4.0</w:t>
      </w:r>
      <w:r>
        <w:rPr>
          <w:spacing w:val="-1"/>
          <w:position w:val="2"/>
          <w:sz w:val="24"/>
        </w:rPr>
        <w:t> </w:t>
      </w:r>
      <w:r>
        <w:rPr>
          <w:position w:val="2"/>
          <w:sz w:val="24"/>
        </w:rPr>
        <w:t>g),</w:t>
      </w:r>
      <w:r>
        <w:rPr>
          <w:spacing w:val="-2"/>
          <w:position w:val="2"/>
          <w:sz w:val="24"/>
        </w:rPr>
        <w:t> </w:t>
      </w:r>
      <w:r>
        <w:rPr>
          <w:position w:val="2"/>
          <w:sz w:val="24"/>
        </w:rPr>
        <w:t>MgSО</w:t>
      </w:r>
      <w:r>
        <w:rPr>
          <w:sz w:val="16"/>
        </w:rPr>
        <w:t>4</w:t>
      </w:r>
      <w:r>
        <w:rPr>
          <w:position w:val="2"/>
          <w:sz w:val="24"/>
        </w:rPr>
        <w:t>.7H</w:t>
      </w:r>
      <w:r>
        <w:rPr>
          <w:sz w:val="16"/>
        </w:rPr>
        <w:t>2</w:t>
      </w:r>
      <w:r>
        <w:rPr>
          <w:position w:val="2"/>
          <w:sz w:val="24"/>
        </w:rPr>
        <w:t>О</w:t>
      </w:r>
      <w:r>
        <w:rPr>
          <w:spacing w:val="-2"/>
          <w:position w:val="2"/>
          <w:sz w:val="24"/>
        </w:rPr>
        <w:t> </w:t>
      </w:r>
      <w:r>
        <w:rPr>
          <w:position w:val="2"/>
          <w:sz w:val="24"/>
        </w:rPr>
        <w:t>(0.2</w:t>
      </w:r>
      <w:r>
        <w:rPr>
          <w:spacing w:val="-1"/>
          <w:position w:val="2"/>
          <w:sz w:val="24"/>
        </w:rPr>
        <w:t> </w:t>
      </w:r>
      <w:r>
        <w:rPr>
          <w:position w:val="2"/>
          <w:sz w:val="24"/>
        </w:rPr>
        <w:t>g),</w:t>
      </w:r>
      <w:r>
        <w:rPr>
          <w:spacing w:val="-2"/>
          <w:position w:val="2"/>
          <w:sz w:val="24"/>
        </w:rPr>
        <w:t> </w:t>
      </w:r>
      <w:r>
        <w:rPr>
          <w:position w:val="2"/>
          <w:sz w:val="24"/>
        </w:rPr>
        <w:t>NаCl</w:t>
      </w:r>
      <w:r>
        <w:rPr>
          <w:spacing w:val="-1"/>
          <w:position w:val="2"/>
          <w:sz w:val="24"/>
        </w:rPr>
        <w:t> </w:t>
      </w:r>
      <w:r>
        <w:rPr>
          <w:spacing w:val="-4"/>
          <w:position w:val="2"/>
          <w:sz w:val="24"/>
        </w:rPr>
        <w:t>(0.1</w:t>
      </w:r>
    </w:p>
    <w:p>
      <w:pPr>
        <w:pStyle w:val="BodyText"/>
        <w:spacing w:line="480" w:lineRule="auto"/>
        <w:ind w:left="120" w:right="116"/>
        <w:jc w:val="both"/>
      </w:pPr>
      <w:r>
        <w:rPr>
          <w:position w:val="2"/>
        </w:rPr>
        <w:t>g),</w:t>
      </w:r>
      <w:r>
        <w:rPr>
          <w:spacing w:val="-8"/>
          <w:position w:val="2"/>
        </w:rPr>
        <w:t> </w:t>
      </w:r>
      <w:r>
        <w:rPr>
          <w:position w:val="2"/>
        </w:rPr>
        <w:t>FеSО</w:t>
      </w:r>
      <w:r>
        <w:rPr>
          <w:sz w:val="16"/>
        </w:rPr>
        <w:t>4</w:t>
      </w:r>
      <w:r>
        <w:rPr>
          <w:position w:val="2"/>
        </w:rPr>
        <w:t>.7H</w:t>
      </w:r>
      <w:r>
        <w:rPr>
          <w:sz w:val="16"/>
        </w:rPr>
        <w:t>2</w:t>
      </w:r>
      <w:r>
        <w:rPr>
          <w:position w:val="2"/>
        </w:rPr>
        <w:t>О</w:t>
      </w:r>
      <w:r>
        <w:rPr>
          <w:spacing w:val="-10"/>
          <w:position w:val="2"/>
        </w:rPr>
        <w:t> </w:t>
      </w:r>
      <w:r>
        <w:rPr>
          <w:position w:val="2"/>
        </w:rPr>
        <w:t>(0.01</w:t>
      </w:r>
      <w:r>
        <w:rPr>
          <w:spacing w:val="-8"/>
          <w:position w:val="2"/>
        </w:rPr>
        <w:t> </w:t>
      </w:r>
      <w:r>
        <w:rPr>
          <w:position w:val="2"/>
        </w:rPr>
        <w:t>g).</w:t>
      </w:r>
      <w:r>
        <w:rPr>
          <w:spacing w:val="-8"/>
          <w:position w:val="2"/>
        </w:rPr>
        <w:t> </w:t>
      </w:r>
      <w:r>
        <w:rPr>
          <w:position w:val="2"/>
        </w:rPr>
        <w:t>Crude</w:t>
      </w:r>
      <w:r>
        <w:rPr>
          <w:spacing w:val="-11"/>
          <w:position w:val="2"/>
        </w:rPr>
        <w:t> </w:t>
      </w:r>
      <w:r>
        <w:rPr>
          <w:position w:val="2"/>
        </w:rPr>
        <w:t>oil</w:t>
      </w:r>
      <w:r>
        <w:rPr>
          <w:spacing w:val="-8"/>
          <w:position w:val="2"/>
        </w:rPr>
        <w:t> </w:t>
      </w:r>
      <w:r>
        <w:rPr>
          <w:position w:val="2"/>
        </w:rPr>
        <w:t>(10</w:t>
      </w:r>
      <w:r>
        <w:rPr>
          <w:spacing w:val="-10"/>
          <w:position w:val="2"/>
        </w:rPr>
        <w:t> </w:t>
      </w:r>
      <w:r>
        <w:rPr>
          <w:position w:val="2"/>
        </w:rPr>
        <w:t>mL)</w:t>
      </w:r>
      <w:r>
        <w:rPr>
          <w:spacing w:val="-10"/>
          <w:position w:val="2"/>
        </w:rPr>
        <w:t> </w:t>
      </w:r>
      <w:r>
        <w:rPr>
          <w:position w:val="2"/>
        </w:rPr>
        <w:t>was</w:t>
      </w:r>
      <w:r>
        <w:rPr>
          <w:spacing w:val="-10"/>
          <w:position w:val="2"/>
        </w:rPr>
        <w:t> </w:t>
      </w:r>
      <w:r>
        <w:rPr>
          <w:position w:val="2"/>
        </w:rPr>
        <w:t>added</w:t>
      </w:r>
      <w:r>
        <w:rPr>
          <w:spacing w:val="-10"/>
          <w:position w:val="2"/>
        </w:rPr>
        <w:t> </w:t>
      </w:r>
      <w:r>
        <w:rPr>
          <w:position w:val="2"/>
        </w:rPr>
        <w:t>to</w:t>
      </w:r>
      <w:r>
        <w:rPr>
          <w:spacing w:val="-9"/>
          <w:position w:val="2"/>
        </w:rPr>
        <w:t> </w:t>
      </w:r>
      <w:r>
        <w:rPr>
          <w:position w:val="2"/>
        </w:rPr>
        <w:t>serve</w:t>
      </w:r>
      <w:r>
        <w:rPr>
          <w:spacing w:val="-9"/>
          <w:position w:val="2"/>
        </w:rPr>
        <w:t> </w:t>
      </w:r>
      <w:r>
        <w:rPr>
          <w:position w:val="2"/>
        </w:rPr>
        <w:t>as</w:t>
      </w:r>
      <w:r>
        <w:rPr>
          <w:spacing w:val="-10"/>
          <w:position w:val="2"/>
        </w:rPr>
        <w:t> </w:t>
      </w:r>
      <w:r>
        <w:rPr>
          <w:position w:val="2"/>
        </w:rPr>
        <w:t>the</w:t>
      </w:r>
      <w:r>
        <w:rPr>
          <w:spacing w:val="-8"/>
          <w:position w:val="2"/>
        </w:rPr>
        <w:t> </w:t>
      </w:r>
      <w:r>
        <w:rPr>
          <w:position w:val="2"/>
        </w:rPr>
        <w:t>carbon</w:t>
      </w:r>
      <w:r>
        <w:rPr>
          <w:spacing w:val="-10"/>
          <w:position w:val="2"/>
        </w:rPr>
        <w:t> </w:t>
      </w:r>
      <w:r>
        <w:rPr>
          <w:position w:val="2"/>
        </w:rPr>
        <w:t>source.</w:t>
      </w:r>
      <w:r>
        <w:rPr>
          <w:spacing w:val="-10"/>
          <w:position w:val="2"/>
        </w:rPr>
        <w:t> </w:t>
      </w:r>
      <w:r>
        <w:rPr>
          <w:position w:val="2"/>
        </w:rPr>
        <w:t>Thе</w:t>
      </w:r>
      <w:r>
        <w:rPr>
          <w:spacing w:val="-11"/>
          <w:position w:val="2"/>
        </w:rPr>
        <w:t> </w:t>
      </w:r>
      <w:r>
        <w:rPr>
          <w:position w:val="2"/>
        </w:rPr>
        <w:t>mеdіum </w:t>
      </w:r>
      <w:r>
        <w:rPr/>
        <w:t>was</w:t>
      </w:r>
      <w:r>
        <w:rPr>
          <w:spacing w:val="-4"/>
        </w:rPr>
        <w:t> </w:t>
      </w:r>
      <w:r>
        <w:rPr/>
        <w:t>absolutely</w:t>
      </w:r>
      <w:r>
        <w:rPr>
          <w:spacing w:val="-9"/>
        </w:rPr>
        <w:t> </w:t>
      </w:r>
      <w:r>
        <w:rPr/>
        <w:t>mixed,</w:t>
      </w:r>
      <w:r>
        <w:rPr>
          <w:spacing w:val="-4"/>
        </w:rPr>
        <w:t> </w:t>
      </w:r>
      <w:r>
        <w:rPr/>
        <w:t>hеаtеd</w:t>
      </w:r>
      <w:r>
        <w:rPr>
          <w:spacing w:val="-4"/>
        </w:rPr>
        <w:t> </w:t>
      </w:r>
      <w:r>
        <w:rPr/>
        <w:t>for</w:t>
      </w:r>
      <w:r>
        <w:rPr>
          <w:spacing w:val="-3"/>
        </w:rPr>
        <w:t> </w:t>
      </w:r>
      <w:r>
        <w:rPr/>
        <w:t>proper</w:t>
      </w:r>
      <w:r>
        <w:rPr>
          <w:spacing w:val="-5"/>
        </w:rPr>
        <w:t> </w:t>
      </w:r>
      <w:r>
        <w:rPr/>
        <w:t>dіssоlution</w:t>
      </w:r>
      <w:r>
        <w:rPr>
          <w:spacing w:val="-4"/>
        </w:rPr>
        <w:t> </w:t>
      </w:r>
      <w:r>
        <w:rPr/>
        <w:t>of</w:t>
      </w:r>
      <w:r>
        <w:rPr>
          <w:spacing w:val="-5"/>
        </w:rPr>
        <w:t> </w:t>
      </w:r>
      <w:r>
        <w:rPr/>
        <w:t>thе</w:t>
      </w:r>
      <w:r>
        <w:rPr>
          <w:spacing w:val="-4"/>
        </w:rPr>
        <w:t> </w:t>
      </w:r>
      <w:r>
        <w:rPr/>
        <w:t>sаlts</w:t>
      </w:r>
      <w:r>
        <w:rPr>
          <w:spacing w:val="-4"/>
        </w:rPr>
        <w:t> </w:t>
      </w:r>
      <w:r>
        <w:rPr/>
        <w:t>and</w:t>
      </w:r>
      <w:r>
        <w:rPr>
          <w:spacing w:val="-4"/>
        </w:rPr>
        <w:t> </w:t>
      </w:r>
      <w:r>
        <w:rPr/>
        <w:t>then</w:t>
      </w:r>
      <w:r>
        <w:rPr>
          <w:spacing w:val="-2"/>
        </w:rPr>
        <w:t> </w:t>
      </w:r>
      <w:r>
        <w:rPr/>
        <w:t>stеrіlіzеd</w:t>
      </w:r>
      <w:r>
        <w:rPr>
          <w:spacing w:val="-4"/>
        </w:rPr>
        <w:t> </w:t>
      </w:r>
      <w:r>
        <w:rPr/>
        <w:t>аt</w:t>
      </w:r>
      <w:r>
        <w:rPr>
          <w:spacing w:val="-3"/>
        </w:rPr>
        <w:t> </w:t>
      </w:r>
      <w:r>
        <w:rPr/>
        <w:t>121</w:t>
      </w:r>
      <w:r>
        <w:rPr>
          <w:vertAlign w:val="superscript"/>
        </w:rPr>
        <w:t>º</w:t>
      </w:r>
      <w:r>
        <w:rPr>
          <w:vertAlign w:val="baseline"/>
        </w:rPr>
        <w:t>C</w:t>
      </w:r>
      <w:r>
        <w:rPr>
          <w:spacing w:val="-3"/>
          <w:vertAlign w:val="baseline"/>
        </w:rPr>
        <w:t> </w:t>
      </w:r>
      <w:r>
        <w:rPr>
          <w:vertAlign w:val="baseline"/>
        </w:rPr>
        <w:t>fоr</w:t>
      </w:r>
      <w:r>
        <w:rPr>
          <w:spacing w:val="-5"/>
          <w:vertAlign w:val="baseline"/>
        </w:rPr>
        <w:t> </w:t>
      </w:r>
      <w:r>
        <w:rPr>
          <w:vertAlign w:val="baseline"/>
        </w:rPr>
        <w:t>15 minutes (Zajic, and Supplisson, 1972).</w:t>
      </w:r>
    </w:p>
    <w:p>
      <w:pPr>
        <w:pStyle w:val="Heading2"/>
        <w:numPr>
          <w:ilvl w:val="1"/>
          <w:numId w:val="4"/>
        </w:numPr>
        <w:tabs>
          <w:tab w:pos="841" w:val="left" w:leader="none"/>
        </w:tabs>
        <w:spacing w:line="240" w:lineRule="auto" w:before="0" w:after="0"/>
        <w:ind w:left="840" w:right="0" w:hanging="721"/>
        <w:jc w:val="both"/>
      </w:pPr>
      <w:r>
        <w:rPr/>
        <w:t>Confirmation</w:t>
      </w:r>
      <w:r>
        <w:rPr>
          <w:spacing w:val="-5"/>
        </w:rPr>
        <w:t> </w:t>
      </w:r>
      <w:r>
        <w:rPr/>
        <w:t>of</w:t>
      </w:r>
      <w:r>
        <w:rPr>
          <w:spacing w:val="-3"/>
        </w:rPr>
        <w:t> </w:t>
      </w:r>
      <w:r>
        <w:rPr/>
        <w:t>the</w:t>
      </w:r>
      <w:r>
        <w:rPr>
          <w:spacing w:val="-4"/>
        </w:rPr>
        <w:t> </w:t>
      </w:r>
      <w:r>
        <w:rPr/>
        <w:t>Bacterium</w:t>
      </w:r>
      <w:r>
        <w:rPr>
          <w:spacing w:val="-8"/>
        </w:rPr>
        <w:t> </w:t>
      </w:r>
      <w:r>
        <w:rPr>
          <w:spacing w:val="-2"/>
        </w:rPr>
        <w:t>species</w:t>
      </w:r>
    </w:p>
    <w:p>
      <w:pPr>
        <w:pStyle w:val="BodyText"/>
        <w:spacing w:before="7"/>
        <w:rPr>
          <w:b/>
          <w:sz w:val="23"/>
        </w:rPr>
      </w:pPr>
    </w:p>
    <w:p>
      <w:pPr>
        <w:pStyle w:val="BodyText"/>
        <w:spacing w:line="480" w:lineRule="auto"/>
        <w:ind w:left="120" w:right="118"/>
        <w:jc w:val="both"/>
        <w:rPr>
          <w:i/>
        </w:rPr>
      </w:pPr>
      <w:r>
        <w:rPr/>
        <w:t>The identity of previously isolated potential biosurfactant producing bacterium species was confirmed by the observation of the cultural morphology, microscopic examination by Gram’s staining and by specific biochemical tests like oxidase test, catalase test, citrate test, and indole test using Bеrgy’s Mаnuаl оf Systеmіc Bаctеrіоlоgy (Garrity, 2012)</w:t>
      </w:r>
      <w:r>
        <w:rPr>
          <w:i/>
        </w:rPr>
        <w:t>.</w:t>
      </w:r>
    </w:p>
    <w:p>
      <w:pPr>
        <w:pStyle w:val="ListParagraph"/>
        <w:numPr>
          <w:ilvl w:val="2"/>
          <w:numId w:val="4"/>
        </w:numPr>
        <w:tabs>
          <w:tab w:pos="841" w:val="left" w:leader="none"/>
        </w:tabs>
        <w:spacing w:line="480" w:lineRule="auto" w:before="200" w:after="0"/>
        <w:ind w:left="120" w:right="121" w:firstLine="0"/>
        <w:jc w:val="both"/>
        <w:rPr>
          <w:sz w:val="24"/>
        </w:rPr>
      </w:pPr>
      <w:r>
        <w:rPr>
          <w:b/>
          <w:sz w:val="24"/>
        </w:rPr>
        <w:t>Cultural</w:t>
      </w:r>
      <w:r>
        <w:rPr>
          <w:b/>
          <w:spacing w:val="-5"/>
          <w:sz w:val="24"/>
        </w:rPr>
        <w:t> </w:t>
      </w:r>
      <w:r>
        <w:rPr>
          <w:b/>
          <w:sz w:val="24"/>
        </w:rPr>
        <w:t>identification:</w:t>
      </w:r>
      <w:r>
        <w:rPr>
          <w:b/>
          <w:spacing w:val="-6"/>
          <w:sz w:val="24"/>
        </w:rPr>
        <w:t> </w:t>
      </w:r>
      <w:r>
        <w:rPr>
          <w:sz w:val="24"/>
        </w:rPr>
        <w:t>A</w:t>
      </w:r>
      <w:r>
        <w:rPr>
          <w:spacing w:val="-6"/>
          <w:sz w:val="24"/>
        </w:rPr>
        <w:t> </w:t>
      </w:r>
      <w:r>
        <w:rPr>
          <w:sz w:val="24"/>
        </w:rPr>
        <w:t>loopful</w:t>
      </w:r>
      <w:r>
        <w:rPr>
          <w:spacing w:val="-5"/>
          <w:sz w:val="24"/>
        </w:rPr>
        <w:t> </w:t>
      </w:r>
      <w:r>
        <w:rPr>
          <w:sz w:val="24"/>
        </w:rPr>
        <w:t>of</w:t>
      </w:r>
      <w:r>
        <w:rPr>
          <w:spacing w:val="-7"/>
          <w:sz w:val="24"/>
        </w:rPr>
        <w:t> </w:t>
      </w:r>
      <w:r>
        <w:rPr>
          <w:sz w:val="24"/>
        </w:rPr>
        <w:t>the</w:t>
      </w:r>
      <w:r>
        <w:rPr>
          <w:spacing w:val="-6"/>
          <w:sz w:val="24"/>
        </w:rPr>
        <w:t> </w:t>
      </w:r>
      <w:r>
        <w:rPr>
          <w:sz w:val="24"/>
        </w:rPr>
        <w:t>bacterium</w:t>
      </w:r>
      <w:r>
        <w:rPr>
          <w:spacing w:val="-5"/>
          <w:sz w:val="24"/>
        </w:rPr>
        <w:t> </w:t>
      </w:r>
      <w:r>
        <w:rPr>
          <w:sz w:val="24"/>
        </w:rPr>
        <w:t>culture</w:t>
      </w:r>
      <w:r>
        <w:rPr>
          <w:spacing w:val="-8"/>
          <w:sz w:val="24"/>
        </w:rPr>
        <w:t> </w:t>
      </w:r>
      <w:r>
        <w:rPr>
          <w:sz w:val="24"/>
        </w:rPr>
        <w:t>was</w:t>
      </w:r>
      <w:r>
        <w:rPr>
          <w:spacing w:val="-6"/>
          <w:sz w:val="24"/>
        </w:rPr>
        <w:t> </w:t>
      </w:r>
      <w:r>
        <w:rPr>
          <w:sz w:val="24"/>
        </w:rPr>
        <w:t>streaked</w:t>
      </w:r>
      <w:r>
        <w:rPr>
          <w:spacing w:val="-6"/>
          <w:sz w:val="24"/>
        </w:rPr>
        <w:t> </w:t>
      </w:r>
      <w:r>
        <w:rPr>
          <w:sz w:val="24"/>
        </w:rPr>
        <w:t>on</w:t>
      </w:r>
      <w:r>
        <w:rPr>
          <w:spacing w:val="-6"/>
          <w:sz w:val="24"/>
        </w:rPr>
        <w:t> </w:t>
      </w:r>
      <w:r>
        <w:rPr>
          <w:sz w:val="24"/>
        </w:rPr>
        <w:t>nutriient</w:t>
      </w:r>
      <w:r>
        <w:rPr>
          <w:spacing w:val="-5"/>
          <w:sz w:val="24"/>
        </w:rPr>
        <w:t> </w:t>
      </w:r>
      <w:r>
        <w:rPr>
          <w:sz w:val="24"/>
        </w:rPr>
        <w:t>agar plate and incubated at 37</w:t>
      </w:r>
      <w:r>
        <w:rPr>
          <w:sz w:val="24"/>
          <w:vertAlign w:val="superscript"/>
        </w:rPr>
        <w:t>o</w:t>
      </w:r>
      <w:r>
        <w:rPr>
          <w:sz w:val="24"/>
          <w:vertAlign w:val="baseline"/>
        </w:rPr>
        <w:t>C for 24 hours and the shape, colour and structure of the colonies was examined after appropriate growth.</w:t>
      </w:r>
    </w:p>
    <w:p>
      <w:pPr>
        <w:pStyle w:val="ListParagraph"/>
        <w:numPr>
          <w:ilvl w:val="2"/>
          <w:numId w:val="4"/>
        </w:numPr>
        <w:tabs>
          <w:tab w:pos="841" w:val="left" w:leader="none"/>
        </w:tabs>
        <w:spacing w:line="480" w:lineRule="auto" w:before="0" w:after="0"/>
        <w:ind w:left="120" w:right="118" w:firstLine="0"/>
        <w:jc w:val="both"/>
        <w:rPr>
          <w:i/>
          <w:sz w:val="24"/>
        </w:rPr>
      </w:pPr>
      <w:r>
        <w:rPr>
          <w:b/>
          <w:sz w:val="24"/>
        </w:rPr>
        <w:t>Biochemical characterization: </w:t>
      </w:r>
      <w:r>
        <w:rPr>
          <w:sz w:val="24"/>
        </w:rPr>
        <w:t>Gram staining, oxidase test, catalase test, citrate test and indole testswere</w:t>
      </w:r>
      <w:r>
        <w:rPr>
          <w:sz w:val="24"/>
        </w:rPr>
        <w:t> carried</w:t>
      </w:r>
      <w:r>
        <w:rPr>
          <w:sz w:val="24"/>
        </w:rPr>
        <w:t> out.</w:t>
      </w:r>
      <w:r>
        <w:rPr>
          <w:sz w:val="24"/>
        </w:rPr>
        <w:t> Thе</w:t>
      </w:r>
      <w:r>
        <w:rPr>
          <w:sz w:val="24"/>
        </w:rPr>
        <w:t> bacterium</w:t>
      </w:r>
      <w:r>
        <w:rPr>
          <w:sz w:val="24"/>
        </w:rPr>
        <w:t> was</w:t>
      </w:r>
      <w:r>
        <w:rPr>
          <w:sz w:val="24"/>
        </w:rPr>
        <w:t> іdеntіfіеd</w:t>
      </w:r>
      <w:r>
        <w:rPr>
          <w:sz w:val="24"/>
        </w:rPr>
        <w:t> bаsеd</w:t>
      </w:r>
      <w:r>
        <w:rPr>
          <w:sz w:val="24"/>
        </w:rPr>
        <w:t> оn</w:t>
      </w:r>
      <w:r>
        <w:rPr>
          <w:sz w:val="24"/>
        </w:rPr>
        <w:t> thе</w:t>
      </w:r>
      <w:r>
        <w:rPr>
          <w:sz w:val="24"/>
        </w:rPr>
        <w:t> Bеrgy’s</w:t>
      </w:r>
      <w:r>
        <w:rPr>
          <w:sz w:val="24"/>
        </w:rPr>
        <w:t> Mаnuаl</w:t>
      </w:r>
      <w:r>
        <w:rPr>
          <w:sz w:val="24"/>
        </w:rPr>
        <w:t> оf Systеmіc Bаctеrіоlоgy (Garrity, 2012)</w:t>
      </w:r>
      <w:r>
        <w:rPr>
          <w:i/>
          <w:sz w:val="24"/>
        </w:rPr>
        <w:t>.</w:t>
      </w:r>
    </w:p>
    <w:p>
      <w:pPr>
        <w:pStyle w:val="ListParagraph"/>
        <w:numPr>
          <w:ilvl w:val="3"/>
          <w:numId w:val="4"/>
        </w:numPr>
        <w:tabs>
          <w:tab w:pos="841" w:val="left" w:leader="none"/>
        </w:tabs>
        <w:spacing w:line="480" w:lineRule="auto" w:before="1" w:after="0"/>
        <w:ind w:left="120" w:right="116" w:firstLine="0"/>
        <w:jc w:val="both"/>
        <w:rPr>
          <w:sz w:val="24"/>
        </w:rPr>
      </w:pPr>
      <w:r>
        <w:rPr>
          <w:b/>
          <w:sz w:val="24"/>
        </w:rPr>
        <w:t>Gram’s staining: </w:t>
      </w:r>
      <w:r>
        <w:rPr>
          <w:sz w:val="24"/>
        </w:rPr>
        <w:t>A loopful culture was taken and smeared on a clean grease free glass slide and air dried. The smear was heat fixed by</w:t>
      </w:r>
      <w:r>
        <w:rPr>
          <w:spacing w:val="-2"/>
          <w:sz w:val="24"/>
        </w:rPr>
        <w:t> </w:t>
      </w:r>
      <w:r>
        <w:rPr>
          <w:sz w:val="24"/>
        </w:rPr>
        <w:t>passing</w:t>
      </w:r>
      <w:r>
        <w:rPr>
          <w:spacing w:val="-2"/>
          <w:sz w:val="24"/>
        </w:rPr>
        <w:t> </w:t>
      </w:r>
      <w:r>
        <w:rPr>
          <w:sz w:val="24"/>
        </w:rPr>
        <w:t>the smeared slide through the flame of a bunsen burner for about 2 to 3 times with the smeared side up. The heat fixed smear was placed on the staining rack and gently flooded with crystal violet and allowed to stand for 1 minute and</w:t>
      </w:r>
    </w:p>
    <w:p>
      <w:pPr>
        <w:spacing w:after="0" w:line="480" w:lineRule="auto"/>
        <w:jc w:val="both"/>
        <w:rPr>
          <w:sz w:val="24"/>
        </w:rPr>
        <w:sectPr>
          <w:pgSz w:w="12240" w:h="15840"/>
          <w:pgMar w:header="0" w:footer="1015" w:top="1360" w:bottom="1200" w:left="1320" w:right="1320"/>
        </w:sectPr>
      </w:pPr>
    </w:p>
    <w:p>
      <w:pPr>
        <w:pStyle w:val="BodyText"/>
        <w:spacing w:line="480" w:lineRule="auto" w:before="72"/>
        <w:ind w:left="120" w:right="116"/>
        <w:jc w:val="both"/>
      </w:pPr>
      <w:r>
        <w:rPr/>
        <w:t>then rinsed gently</w:t>
      </w:r>
      <w:r>
        <w:rPr>
          <w:spacing w:val="-1"/>
        </w:rPr>
        <w:t> </w:t>
      </w:r>
      <w:r>
        <w:rPr/>
        <w:t>with distilled water. The slide was gently</w:t>
      </w:r>
      <w:r>
        <w:rPr>
          <w:spacing w:val="-1"/>
        </w:rPr>
        <w:t> </w:t>
      </w:r>
      <w:r>
        <w:rPr/>
        <w:t>flooded with Gram’s iodine allowed to</w:t>
      </w:r>
      <w:r>
        <w:rPr>
          <w:spacing w:val="26"/>
        </w:rPr>
        <w:t> </w:t>
      </w:r>
      <w:r>
        <w:rPr/>
        <w:t>stand</w:t>
      </w:r>
      <w:r>
        <w:rPr>
          <w:spacing w:val="25"/>
        </w:rPr>
        <w:t> </w:t>
      </w:r>
      <w:r>
        <w:rPr/>
        <w:t>for</w:t>
      </w:r>
      <w:r>
        <w:rPr>
          <w:spacing w:val="24"/>
        </w:rPr>
        <w:t> </w:t>
      </w:r>
      <w:r>
        <w:rPr/>
        <w:t>1</w:t>
      </w:r>
      <w:r>
        <w:rPr>
          <w:spacing w:val="23"/>
        </w:rPr>
        <w:t> </w:t>
      </w:r>
      <w:r>
        <w:rPr/>
        <w:t>minute</w:t>
      </w:r>
      <w:r>
        <w:rPr>
          <w:spacing w:val="25"/>
        </w:rPr>
        <w:t> </w:t>
      </w:r>
      <w:r>
        <w:rPr/>
        <w:t>and</w:t>
      </w:r>
      <w:r>
        <w:rPr>
          <w:spacing w:val="27"/>
        </w:rPr>
        <w:t> </w:t>
      </w:r>
      <w:r>
        <w:rPr/>
        <w:t>rinsed</w:t>
      </w:r>
      <w:r>
        <w:rPr>
          <w:spacing w:val="25"/>
        </w:rPr>
        <w:t> </w:t>
      </w:r>
      <w:r>
        <w:rPr/>
        <w:t>gently</w:t>
      </w:r>
      <w:r>
        <w:rPr>
          <w:spacing w:val="20"/>
        </w:rPr>
        <w:t> </w:t>
      </w:r>
      <w:r>
        <w:rPr/>
        <w:t>with</w:t>
      </w:r>
      <w:r>
        <w:rPr>
          <w:spacing w:val="26"/>
        </w:rPr>
        <w:t> </w:t>
      </w:r>
      <w:r>
        <w:rPr/>
        <w:t>distilled</w:t>
      </w:r>
      <w:r>
        <w:rPr>
          <w:spacing w:val="25"/>
        </w:rPr>
        <w:t> </w:t>
      </w:r>
      <w:r>
        <w:rPr/>
        <w:t>water.</w:t>
      </w:r>
      <w:r>
        <w:rPr>
          <w:spacing w:val="25"/>
        </w:rPr>
        <w:t> </w:t>
      </w:r>
      <w:r>
        <w:rPr/>
        <w:t>The</w:t>
      </w:r>
      <w:r>
        <w:rPr>
          <w:spacing w:val="24"/>
        </w:rPr>
        <w:t> </w:t>
      </w:r>
      <w:r>
        <w:rPr/>
        <w:t>smear</w:t>
      </w:r>
      <w:r>
        <w:rPr>
          <w:spacing w:val="24"/>
        </w:rPr>
        <w:t> </w:t>
      </w:r>
      <w:r>
        <w:rPr/>
        <w:t>was</w:t>
      </w:r>
      <w:r>
        <w:rPr>
          <w:spacing w:val="25"/>
        </w:rPr>
        <w:t> </w:t>
      </w:r>
      <w:r>
        <w:rPr/>
        <w:t>decolorized</w:t>
      </w:r>
      <w:r>
        <w:rPr>
          <w:spacing w:val="25"/>
        </w:rPr>
        <w:t> </w:t>
      </w:r>
      <w:r>
        <w:rPr/>
        <w:t>using 95 % alcohol for 30 seconds to avoid over decolorizing and immediately rinsed with distilled water.</w:t>
      </w:r>
      <w:r>
        <w:rPr>
          <w:spacing w:val="-6"/>
        </w:rPr>
        <w:t> </w:t>
      </w:r>
      <w:r>
        <w:rPr/>
        <w:t>The</w:t>
      </w:r>
      <w:r>
        <w:rPr>
          <w:spacing w:val="-6"/>
        </w:rPr>
        <w:t> </w:t>
      </w:r>
      <w:r>
        <w:rPr/>
        <w:t>smear</w:t>
      </w:r>
      <w:r>
        <w:rPr>
          <w:spacing w:val="-6"/>
        </w:rPr>
        <w:t> </w:t>
      </w:r>
      <w:r>
        <w:rPr/>
        <w:t>was</w:t>
      </w:r>
      <w:r>
        <w:rPr>
          <w:spacing w:val="-5"/>
        </w:rPr>
        <w:t> </w:t>
      </w:r>
      <w:r>
        <w:rPr/>
        <w:t>gently</w:t>
      </w:r>
      <w:r>
        <w:rPr>
          <w:spacing w:val="-10"/>
        </w:rPr>
        <w:t> </w:t>
      </w:r>
      <w:r>
        <w:rPr/>
        <w:t>flooded</w:t>
      </w:r>
      <w:r>
        <w:rPr>
          <w:spacing w:val="-5"/>
        </w:rPr>
        <w:t> </w:t>
      </w:r>
      <w:r>
        <w:rPr/>
        <w:t>with</w:t>
      </w:r>
      <w:r>
        <w:rPr>
          <w:spacing w:val="-2"/>
        </w:rPr>
        <w:t> </w:t>
      </w:r>
      <w:r>
        <w:rPr/>
        <w:t>safranin</w:t>
      </w:r>
      <w:r>
        <w:rPr>
          <w:spacing w:val="-6"/>
        </w:rPr>
        <w:t> </w:t>
      </w:r>
      <w:r>
        <w:rPr/>
        <w:t>to</w:t>
      </w:r>
      <w:r>
        <w:rPr>
          <w:spacing w:val="-5"/>
        </w:rPr>
        <w:t> </w:t>
      </w:r>
      <w:r>
        <w:rPr/>
        <w:t>counter</w:t>
      </w:r>
      <w:r>
        <w:rPr>
          <w:spacing w:val="-6"/>
        </w:rPr>
        <w:t> </w:t>
      </w:r>
      <w:r>
        <w:rPr/>
        <w:t>stain</w:t>
      </w:r>
      <w:r>
        <w:rPr>
          <w:spacing w:val="-6"/>
        </w:rPr>
        <w:t> </w:t>
      </w:r>
      <w:r>
        <w:rPr/>
        <w:t>for</w:t>
      </w:r>
      <w:r>
        <w:rPr>
          <w:spacing w:val="-6"/>
        </w:rPr>
        <w:t> </w:t>
      </w:r>
      <w:r>
        <w:rPr/>
        <w:t>30</w:t>
      </w:r>
      <w:r>
        <w:rPr>
          <w:spacing w:val="-6"/>
        </w:rPr>
        <w:t> </w:t>
      </w:r>
      <w:r>
        <w:rPr/>
        <w:t>seconds</w:t>
      </w:r>
      <w:r>
        <w:rPr>
          <w:spacing w:val="-4"/>
        </w:rPr>
        <w:t> </w:t>
      </w:r>
      <w:r>
        <w:rPr/>
        <w:t>and</w:t>
      </w:r>
      <w:r>
        <w:rPr>
          <w:spacing w:val="-5"/>
        </w:rPr>
        <w:t> </w:t>
      </w:r>
      <w:r>
        <w:rPr/>
        <w:t>rinsed</w:t>
      </w:r>
      <w:r>
        <w:rPr>
          <w:spacing w:val="-5"/>
        </w:rPr>
        <w:t> </w:t>
      </w:r>
      <w:r>
        <w:rPr/>
        <w:t>with distilled water.</w:t>
      </w:r>
      <w:r>
        <w:rPr/>
        <w:t> The</w:t>
      </w:r>
      <w:r>
        <w:rPr/>
        <w:t> smear</w:t>
      </w:r>
      <w:r>
        <w:rPr/>
        <w:t> was allowed to dry and viewed using a light microscope under oil </w:t>
      </w:r>
      <w:r>
        <w:rPr>
          <w:spacing w:val="-2"/>
        </w:rPr>
        <w:t>immersion.</w:t>
      </w:r>
    </w:p>
    <w:p>
      <w:pPr>
        <w:pStyle w:val="ListParagraph"/>
        <w:numPr>
          <w:ilvl w:val="3"/>
          <w:numId w:val="4"/>
        </w:numPr>
        <w:tabs>
          <w:tab w:pos="841" w:val="left" w:leader="none"/>
        </w:tabs>
        <w:spacing w:line="480" w:lineRule="auto" w:before="0" w:after="0"/>
        <w:ind w:left="120" w:right="118" w:firstLine="0"/>
        <w:jc w:val="both"/>
        <w:rPr>
          <w:sz w:val="24"/>
        </w:rPr>
      </w:pPr>
      <w:r>
        <w:rPr>
          <w:b/>
          <w:sz w:val="24"/>
        </w:rPr>
        <w:t>Oxidase test: </w:t>
      </w:r>
      <w:r>
        <w:rPr>
          <w:sz w:val="24"/>
        </w:rPr>
        <w:t>Oxidase test was performed on the organism. Filter paper was moistened with 3 drops of oxidase reagent (tetra methyl-p-phenylenediamine dihydrochloride solution) and placed over a colony and then observed for violet colour after 10-15 seconds. The appearance of violet coloration indicated the presence of cytochrome oxidase in the test colony.</w:t>
      </w:r>
    </w:p>
    <w:p>
      <w:pPr>
        <w:pStyle w:val="ListParagraph"/>
        <w:numPr>
          <w:ilvl w:val="3"/>
          <w:numId w:val="4"/>
        </w:numPr>
        <w:tabs>
          <w:tab w:pos="841" w:val="left" w:leader="none"/>
        </w:tabs>
        <w:spacing w:line="480" w:lineRule="auto" w:before="1" w:after="0"/>
        <w:ind w:left="120" w:right="117" w:firstLine="0"/>
        <w:jc w:val="both"/>
        <w:rPr>
          <w:sz w:val="24"/>
        </w:rPr>
      </w:pPr>
      <w:r>
        <w:rPr>
          <w:b/>
          <w:sz w:val="24"/>
        </w:rPr>
        <w:t>Catalase test: </w:t>
      </w:r>
      <w:r>
        <w:rPr>
          <w:sz w:val="24"/>
        </w:rPr>
        <w:t>Loopful of 24 hours old bacterium culture was transferred to a clean, dry, greese free glass slide</w:t>
      </w:r>
      <w:r>
        <w:rPr>
          <w:spacing w:val="-1"/>
          <w:sz w:val="24"/>
        </w:rPr>
        <w:t> </w:t>
      </w:r>
      <w:r>
        <w:rPr>
          <w:sz w:val="24"/>
        </w:rPr>
        <w:t>with the</w:t>
      </w:r>
      <w:r>
        <w:rPr>
          <w:spacing w:val="-1"/>
          <w:sz w:val="24"/>
        </w:rPr>
        <w:t> </w:t>
      </w:r>
      <w:r>
        <w:rPr>
          <w:sz w:val="24"/>
        </w:rPr>
        <w:t>use</w:t>
      </w:r>
      <w:r>
        <w:rPr>
          <w:spacing w:val="-1"/>
          <w:sz w:val="24"/>
        </w:rPr>
        <w:t> </w:t>
      </w:r>
      <w:r>
        <w:rPr>
          <w:sz w:val="24"/>
        </w:rPr>
        <w:t>of a</w:t>
      </w:r>
      <w:r>
        <w:rPr>
          <w:spacing w:val="-1"/>
          <w:sz w:val="24"/>
        </w:rPr>
        <w:t> </w:t>
      </w:r>
      <w:r>
        <w:rPr>
          <w:sz w:val="24"/>
        </w:rPr>
        <w:t>sterilized wire</w:t>
      </w:r>
      <w:r>
        <w:rPr>
          <w:spacing w:val="-2"/>
          <w:sz w:val="24"/>
        </w:rPr>
        <w:t> </w:t>
      </w:r>
      <w:r>
        <w:rPr>
          <w:sz w:val="24"/>
        </w:rPr>
        <w:t>loop and a drop of</w:t>
      </w:r>
      <w:r>
        <w:rPr>
          <w:spacing w:val="-1"/>
          <w:sz w:val="24"/>
        </w:rPr>
        <w:t> </w:t>
      </w:r>
      <w:r>
        <w:rPr>
          <w:sz w:val="24"/>
        </w:rPr>
        <w:t>3 %</w:t>
      </w:r>
      <w:r>
        <w:rPr>
          <w:spacing w:val="-1"/>
          <w:sz w:val="24"/>
        </w:rPr>
        <w:t> </w:t>
      </w:r>
      <w:r>
        <w:rPr>
          <w:sz w:val="24"/>
        </w:rPr>
        <w:t>hydrogen peroxide was</w:t>
      </w:r>
      <w:r>
        <w:rPr>
          <w:spacing w:val="-6"/>
          <w:sz w:val="24"/>
        </w:rPr>
        <w:t> </w:t>
      </w:r>
      <w:r>
        <w:rPr>
          <w:sz w:val="24"/>
        </w:rPr>
        <w:t>added</w:t>
      </w:r>
      <w:r>
        <w:rPr>
          <w:spacing w:val="-6"/>
          <w:sz w:val="24"/>
        </w:rPr>
        <w:t> </w:t>
      </w:r>
      <w:r>
        <w:rPr>
          <w:sz w:val="24"/>
        </w:rPr>
        <w:t>to</w:t>
      </w:r>
      <w:r>
        <w:rPr>
          <w:spacing w:val="-5"/>
          <w:sz w:val="24"/>
        </w:rPr>
        <w:t> </w:t>
      </w:r>
      <w:r>
        <w:rPr>
          <w:sz w:val="24"/>
        </w:rPr>
        <w:t>the</w:t>
      </w:r>
      <w:r>
        <w:rPr>
          <w:spacing w:val="-6"/>
          <w:sz w:val="24"/>
        </w:rPr>
        <w:t> </w:t>
      </w:r>
      <w:r>
        <w:rPr>
          <w:sz w:val="24"/>
        </w:rPr>
        <w:t>slide</w:t>
      </w:r>
      <w:r>
        <w:rPr>
          <w:spacing w:val="-7"/>
          <w:sz w:val="24"/>
        </w:rPr>
        <w:t> </w:t>
      </w:r>
      <w:r>
        <w:rPr>
          <w:sz w:val="24"/>
        </w:rPr>
        <w:t>and</w:t>
      </w:r>
      <w:r>
        <w:rPr>
          <w:spacing w:val="-6"/>
          <w:sz w:val="24"/>
        </w:rPr>
        <w:t> </w:t>
      </w:r>
      <w:r>
        <w:rPr>
          <w:sz w:val="24"/>
        </w:rPr>
        <w:t>mixed.</w:t>
      </w:r>
      <w:r>
        <w:rPr>
          <w:spacing w:val="-6"/>
          <w:sz w:val="24"/>
        </w:rPr>
        <w:t> </w:t>
      </w:r>
      <w:r>
        <w:rPr>
          <w:sz w:val="24"/>
        </w:rPr>
        <w:t>A</w:t>
      </w:r>
      <w:r>
        <w:rPr>
          <w:spacing w:val="-6"/>
          <w:sz w:val="24"/>
        </w:rPr>
        <w:t> </w:t>
      </w:r>
      <w:r>
        <w:rPr>
          <w:sz w:val="24"/>
        </w:rPr>
        <w:t>positive</w:t>
      </w:r>
      <w:r>
        <w:rPr>
          <w:spacing w:val="-7"/>
          <w:sz w:val="24"/>
        </w:rPr>
        <w:t> </w:t>
      </w:r>
      <w:r>
        <w:rPr>
          <w:sz w:val="24"/>
        </w:rPr>
        <w:t>result</w:t>
      </w:r>
      <w:r>
        <w:rPr>
          <w:spacing w:val="-5"/>
          <w:sz w:val="24"/>
        </w:rPr>
        <w:t> </w:t>
      </w:r>
      <w:r>
        <w:rPr>
          <w:sz w:val="24"/>
        </w:rPr>
        <w:t>showed</w:t>
      </w:r>
      <w:r>
        <w:rPr>
          <w:spacing w:val="-4"/>
          <w:sz w:val="24"/>
        </w:rPr>
        <w:t> </w:t>
      </w:r>
      <w:r>
        <w:rPr>
          <w:sz w:val="24"/>
        </w:rPr>
        <w:t>the</w:t>
      </w:r>
      <w:r>
        <w:rPr>
          <w:spacing w:val="-6"/>
          <w:sz w:val="24"/>
        </w:rPr>
        <w:t> </w:t>
      </w:r>
      <w:r>
        <w:rPr>
          <w:sz w:val="24"/>
        </w:rPr>
        <w:t>appearance</w:t>
      </w:r>
      <w:r>
        <w:rPr>
          <w:spacing w:val="-4"/>
          <w:sz w:val="24"/>
        </w:rPr>
        <w:t> </w:t>
      </w:r>
      <w:r>
        <w:rPr>
          <w:sz w:val="24"/>
        </w:rPr>
        <w:t>of</w:t>
      </w:r>
      <w:r>
        <w:rPr>
          <w:spacing w:val="-7"/>
          <w:sz w:val="24"/>
        </w:rPr>
        <w:t> </w:t>
      </w:r>
      <w:r>
        <w:rPr>
          <w:sz w:val="24"/>
        </w:rPr>
        <w:t>air</w:t>
      </w:r>
      <w:r>
        <w:rPr>
          <w:spacing w:val="-6"/>
          <w:sz w:val="24"/>
        </w:rPr>
        <w:t> </w:t>
      </w:r>
      <w:r>
        <w:rPr>
          <w:sz w:val="24"/>
        </w:rPr>
        <w:t>bubbles</w:t>
      </w:r>
      <w:r>
        <w:rPr>
          <w:spacing w:val="-6"/>
          <w:sz w:val="24"/>
        </w:rPr>
        <w:t> </w:t>
      </w:r>
      <w:r>
        <w:rPr>
          <w:sz w:val="24"/>
        </w:rPr>
        <w:t>within</w:t>
      </w:r>
      <w:r>
        <w:rPr>
          <w:spacing w:val="-6"/>
          <w:sz w:val="24"/>
        </w:rPr>
        <w:t> </w:t>
      </w:r>
      <w:r>
        <w:rPr>
          <w:sz w:val="24"/>
        </w:rPr>
        <w:t>5 to 10 seconds while a negative result showed little or no bubbles</w:t>
      </w:r>
    </w:p>
    <w:p>
      <w:pPr>
        <w:pStyle w:val="ListParagraph"/>
        <w:numPr>
          <w:ilvl w:val="3"/>
          <w:numId w:val="4"/>
        </w:numPr>
        <w:tabs>
          <w:tab w:pos="841" w:val="left" w:leader="none"/>
        </w:tabs>
        <w:spacing w:line="480" w:lineRule="auto" w:before="1" w:after="0"/>
        <w:ind w:left="120" w:right="118" w:firstLine="0"/>
        <w:jc w:val="both"/>
        <w:rPr>
          <w:sz w:val="24"/>
        </w:rPr>
      </w:pPr>
      <w:r>
        <w:rPr>
          <w:b/>
          <w:sz w:val="24"/>
        </w:rPr>
        <w:t>Citrate</w:t>
      </w:r>
      <w:r>
        <w:rPr>
          <w:b/>
          <w:spacing w:val="-3"/>
          <w:sz w:val="24"/>
        </w:rPr>
        <w:t> </w:t>
      </w:r>
      <w:r>
        <w:rPr>
          <w:b/>
          <w:sz w:val="24"/>
        </w:rPr>
        <w:t>test:</w:t>
      </w:r>
      <w:r>
        <w:rPr>
          <w:b/>
          <w:spacing w:val="-5"/>
          <w:sz w:val="24"/>
        </w:rPr>
        <w:t> </w:t>
      </w:r>
      <w:r>
        <w:rPr>
          <w:sz w:val="24"/>
        </w:rPr>
        <w:t>A</w:t>
      </w:r>
      <w:r>
        <w:rPr>
          <w:spacing w:val="-3"/>
          <w:sz w:val="24"/>
        </w:rPr>
        <w:t> </w:t>
      </w:r>
      <w:r>
        <w:rPr>
          <w:sz w:val="24"/>
        </w:rPr>
        <w:t>slant</w:t>
      </w:r>
      <w:r>
        <w:rPr>
          <w:spacing w:val="-3"/>
          <w:sz w:val="24"/>
        </w:rPr>
        <w:t> </w:t>
      </w:r>
      <w:r>
        <w:rPr>
          <w:sz w:val="24"/>
        </w:rPr>
        <w:t>of</w:t>
      </w:r>
      <w:r>
        <w:rPr>
          <w:spacing w:val="-3"/>
          <w:sz w:val="24"/>
        </w:rPr>
        <w:t> </w:t>
      </w:r>
      <w:r>
        <w:rPr>
          <w:sz w:val="24"/>
        </w:rPr>
        <w:t>Simmons</w:t>
      </w:r>
      <w:r>
        <w:rPr>
          <w:spacing w:val="-3"/>
          <w:sz w:val="24"/>
        </w:rPr>
        <w:t> </w:t>
      </w:r>
      <w:r>
        <w:rPr>
          <w:sz w:val="24"/>
        </w:rPr>
        <w:t>citrate</w:t>
      </w:r>
      <w:r>
        <w:rPr>
          <w:spacing w:val="-3"/>
          <w:sz w:val="24"/>
        </w:rPr>
        <w:t> </w:t>
      </w:r>
      <w:r>
        <w:rPr>
          <w:sz w:val="24"/>
        </w:rPr>
        <w:t>agar</w:t>
      </w:r>
      <w:r>
        <w:rPr>
          <w:spacing w:val="-3"/>
          <w:sz w:val="24"/>
        </w:rPr>
        <w:t> </w:t>
      </w:r>
      <w:r>
        <w:rPr>
          <w:sz w:val="24"/>
        </w:rPr>
        <w:t>was</w:t>
      </w:r>
      <w:r>
        <w:rPr>
          <w:spacing w:val="-1"/>
          <w:sz w:val="24"/>
        </w:rPr>
        <w:t> </w:t>
      </w:r>
      <w:r>
        <w:rPr>
          <w:sz w:val="24"/>
        </w:rPr>
        <w:t>inoculated</w:t>
      </w:r>
      <w:r>
        <w:rPr>
          <w:spacing w:val="-3"/>
          <w:sz w:val="24"/>
        </w:rPr>
        <w:t> </w:t>
      </w:r>
      <w:r>
        <w:rPr>
          <w:sz w:val="24"/>
        </w:rPr>
        <w:t>and</w:t>
      </w:r>
      <w:r>
        <w:rPr>
          <w:spacing w:val="-3"/>
          <w:sz w:val="24"/>
        </w:rPr>
        <w:t> </w:t>
      </w:r>
      <w:r>
        <w:rPr>
          <w:sz w:val="24"/>
        </w:rPr>
        <w:t>incubated</w:t>
      </w:r>
      <w:r>
        <w:rPr>
          <w:spacing w:val="-2"/>
          <w:sz w:val="24"/>
        </w:rPr>
        <w:t> </w:t>
      </w:r>
      <w:r>
        <w:rPr>
          <w:sz w:val="24"/>
        </w:rPr>
        <w:t>at</w:t>
      </w:r>
      <w:r>
        <w:rPr>
          <w:spacing w:val="-3"/>
          <w:sz w:val="24"/>
        </w:rPr>
        <w:t> </w:t>
      </w:r>
      <w:r>
        <w:rPr>
          <w:sz w:val="24"/>
        </w:rPr>
        <w:t>37</w:t>
      </w:r>
      <w:r>
        <w:rPr>
          <w:sz w:val="24"/>
          <w:vertAlign w:val="superscript"/>
        </w:rPr>
        <w:t>o</w:t>
      </w:r>
      <w:r>
        <w:rPr>
          <w:sz w:val="24"/>
          <w:vertAlign w:val="baseline"/>
        </w:rPr>
        <w:t>C</w:t>
      </w:r>
      <w:r>
        <w:rPr>
          <w:spacing w:val="-3"/>
          <w:sz w:val="24"/>
          <w:vertAlign w:val="baseline"/>
        </w:rPr>
        <w:t> </w:t>
      </w:r>
      <w:r>
        <w:rPr>
          <w:sz w:val="24"/>
          <w:vertAlign w:val="baseline"/>
        </w:rPr>
        <w:t>for</w:t>
      </w:r>
      <w:r>
        <w:rPr>
          <w:spacing w:val="-5"/>
          <w:sz w:val="24"/>
          <w:vertAlign w:val="baseline"/>
        </w:rPr>
        <w:t> </w:t>
      </w:r>
      <w:r>
        <w:rPr>
          <w:sz w:val="24"/>
          <w:vertAlign w:val="baseline"/>
        </w:rPr>
        <w:t>18 to 24 hours. The change in colour from green to blue indicateed a positive test.</w:t>
      </w:r>
    </w:p>
    <w:p>
      <w:pPr>
        <w:pStyle w:val="ListParagraph"/>
        <w:numPr>
          <w:ilvl w:val="3"/>
          <w:numId w:val="4"/>
        </w:numPr>
        <w:tabs>
          <w:tab w:pos="841" w:val="left" w:leader="none"/>
        </w:tabs>
        <w:spacing w:line="480" w:lineRule="auto" w:before="0" w:after="0"/>
        <w:ind w:left="120" w:right="117" w:firstLine="0"/>
        <w:jc w:val="both"/>
        <w:rPr>
          <w:sz w:val="24"/>
        </w:rPr>
      </w:pPr>
      <w:r>
        <w:rPr>
          <w:b/>
          <w:sz w:val="24"/>
        </w:rPr>
        <w:t>Urease test: </w:t>
      </w:r>
      <w:r>
        <w:rPr>
          <w:sz w:val="24"/>
        </w:rPr>
        <w:t>The surface of urea agar slant was inoculated with the isolate and incubated at 37</w:t>
      </w:r>
      <w:r>
        <w:rPr>
          <w:sz w:val="24"/>
          <w:vertAlign w:val="superscript"/>
        </w:rPr>
        <w:t>o</w:t>
      </w:r>
      <w:r>
        <w:rPr>
          <w:sz w:val="24"/>
          <w:vertAlign w:val="baseline"/>
        </w:rPr>
        <w:t>C for 24 hours. The change in colour from yellow to pink indicated a positive test.</w:t>
      </w:r>
    </w:p>
    <w:p>
      <w:pPr>
        <w:pStyle w:val="BodyText"/>
        <w:rPr>
          <w:sz w:val="28"/>
        </w:rPr>
      </w:pPr>
    </w:p>
    <w:p>
      <w:pPr>
        <w:pStyle w:val="ListParagraph"/>
        <w:numPr>
          <w:ilvl w:val="3"/>
          <w:numId w:val="4"/>
        </w:numPr>
        <w:tabs>
          <w:tab w:pos="841" w:val="left" w:leader="none"/>
        </w:tabs>
        <w:spacing w:line="480" w:lineRule="auto" w:before="231" w:after="0"/>
        <w:ind w:left="120" w:right="116" w:firstLine="0"/>
        <w:jc w:val="both"/>
        <w:rPr>
          <w:sz w:val="24"/>
        </w:rPr>
      </w:pPr>
      <w:r>
        <w:rPr>
          <w:b/>
          <w:sz w:val="24"/>
        </w:rPr>
        <w:t>Indole</w:t>
      </w:r>
      <w:r>
        <w:rPr>
          <w:b/>
          <w:spacing w:val="-6"/>
          <w:sz w:val="24"/>
        </w:rPr>
        <w:t> </w:t>
      </w:r>
      <w:r>
        <w:rPr>
          <w:b/>
          <w:sz w:val="24"/>
        </w:rPr>
        <w:t>test:</w:t>
      </w:r>
      <w:r>
        <w:rPr>
          <w:b/>
          <w:spacing w:val="-6"/>
          <w:sz w:val="24"/>
        </w:rPr>
        <w:t> </w:t>
      </w:r>
      <w:r>
        <w:rPr>
          <w:sz w:val="24"/>
        </w:rPr>
        <w:t>tryptophan</w:t>
      </w:r>
      <w:r>
        <w:rPr>
          <w:spacing w:val="-6"/>
          <w:sz w:val="24"/>
        </w:rPr>
        <w:t> </w:t>
      </w:r>
      <w:r>
        <w:rPr>
          <w:sz w:val="24"/>
        </w:rPr>
        <w:t>broth</w:t>
      </w:r>
      <w:r>
        <w:rPr>
          <w:spacing w:val="-5"/>
          <w:sz w:val="24"/>
        </w:rPr>
        <w:t> </w:t>
      </w:r>
      <w:r>
        <w:rPr>
          <w:sz w:val="24"/>
        </w:rPr>
        <w:t>was</w:t>
      </w:r>
      <w:r>
        <w:rPr>
          <w:spacing w:val="-6"/>
          <w:sz w:val="24"/>
        </w:rPr>
        <w:t> </w:t>
      </w:r>
      <w:r>
        <w:rPr>
          <w:sz w:val="24"/>
        </w:rPr>
        <w:t>inoculated</w:t>
      </w:r>
      <w:r>
        <w:rPr>
          <w:spacing w:val="-6"/>
          <w:sz w:val="24"/>
        </w:rPr>
        <w:t> </w:t>
      </w:r>
      <w:r>
        <w:rPr>
          <w:sz w:val="24"/>
        </w:rPr>
        <w:t>with</w:t>
      </w:r>
      <w:r>
        <w:rPr>
          <w:spacing w:val="-3"/>
          <w:sz w:val="24"/>
        </w:rPr>
        <w:t> </w:t>
      </w:r>
      <w:r>
        <w:rPr>
          <w:sz w:val="24"/>
        </w:rPr>
        <w:t>the</w:t>
      </w:r>
      <w:r>
        <w:rPr>
          <w:spacing w:val="-7"/>
          <w:sz w:val="24"/>
        </w:rPr>
        <w:t> </w:t>
      </w:r>
      <w:r>
        <w:rPr>
          <w:sz w:val="24"/>
        </w:rPr>
        <w:t>test</w:t>
      </w:r>
      <w:r>
        <w:rPr>
          <w:spacing w:val="-6"/>
          <w:sz w:val="24"/>
        </w:rPr>
        <w:t> </w:t>
      </w:r>
      <w:r>
        <w:rPr>
          <w:sz w:val="24"/>
        </w:rPr>
        <w:t>organism</w:t>
      </w:r>
      <w:r>
        <w:rPr>
          <w:spacing w:val="-5"/>
          <w:sz w:val="24"/>
        </w:rPr>
        <w:t> </w:t>
      </w:r>
      <w:r>
        <w:rPr>
          <w:sz w:val="24"/>
        </w:rPr>
        <w:t>and</w:t>
      </w:r>
      <w:r>
        <w:rPr>
          <w:spacing w:val="-6"/>
          <w:sz w:val="24"/>
        </w:rPr>
        <w:t> </w:t>
      </w:r>
      <w:r>
        <w:rPr>
          <w:sz w:val="24"/>
        </w:rPr>
        <w:t>incubated</w:t>
      </w:r>
      <w:r>
        <w:rPr>
          <w:spacing w:val="-6"/>
          <w:sz w:val="24"/>
        </w:rPr>
        <w:t> </w:t>
      </w:r>
      <w:r>
        <w:rPr>
          <w:sz w:val="24"/>
        </w:rPr>
        <w:t>at</w:t>
      </w:r>
      <w:r>
        <w:rPr>
          <w:spacing w:val="-5"/>
          <w:sz w:val="24"/>
        </w:rPr>
        <w:t> </w:t>
      </w:r>
      <w:r>
        <w:rPr>
          <w:sz w:val="24"/>
        </w:rPr>
        <w:t>37</w:t>
      </w:r>
      <w:r>
        <w:rPr>
          <w:sz w:val="24"/>
          <w:vertAlign w:val="superscript"/>
        </w:rPr>
        <w:t>o</w:t>
      </w:r>
      <w:r>
        <w:rPr>
          <w:sz w:val="24"/>
          <w:vertAlign w:val="baseline"/>
        </w:rPr>
        <w:t>C for 24 hours. After 24 hours, 0.5 mL of Kovac’s reagent was added to the broth culture and observed the formation of pink ring. Appearance of pink coloration after the addition of Kovac’s reagent showed positive result.</w:t>
      </w:r>
    </w:p>
    <w:p>
      <w:pPr>
        <w:spacing w:after="0" w:line="480" w:lineRule="auto"/>
        <w:jc w:val="both"/>
        <w:rPr>
          <w:sz w:val="24"/>
        </w:rPr>
        <w:sectPr>
          <w:pgSz w:w="12240" w:h="15840"/>
          <w:pgMar w:header="0" w:footer="1015" w:top="1360" w:bottom="1200" w:left="1320" w:right="1320"/>
        </w:sectPr>
      </w:pPr>
    </w:p>
    <w:p>
      <w:pPr>
        <w:pStyle w:val="Heading2"/>
        <w:numPr>
          <w:ilvl w:val="2"/>
          <w:numId w:val="4"/>
        </w:numPr>
        <w:tabs>
          <w:tab w:pos="841" w:val="left" w:leader="none"/>
        </w:tabs>
        <w:spacing w:line="240" w:lineRule="auto" w:before="76" w:after="0"/>
        <w:ind w:left="840" w:right="0" w:hanging="721"/>
        <w:jc w:val="both"/>
      </w:pPr>
      <w:r>
        <w:rPr/>
        <w:t>Molecular</w:t>
      </w:r>
      <w:r>
        <w:rPr>
          <w:spacing w:val="-3"/>
        </w:rPr>
        <w:t> </w:t>
      </w:r>
      <w:r>
        <w:rPr/>
        <w:t>Characterization</w:t>
      </w:r>
      <w:r>
        <w:rPr>
          <w:spacing w:val="-3"/>
        </w:rPr>
        <w:t> </w:t>
      </w:r>
      <w:r>
        <w:rPr/>
        <w:t>of</w:t>
      </w:r>
      <w:r>
        <w:rPr>
          <w:spacing w:val="-2"/>
        </w:rPr>
        <w:t> </w:t>
      </w:r>
      <w:r>
        <w:rPr/>
        <w:t>the</w:t>
      </w:r>
      <w:r>
        <w:rPr>
          <w:spacing w:val="-3"/>
        </w:rPr>
        <w:t> </w:t>
      </w:r>
      <w:r>
        <w:rPr>
          <w:spacing w:val="-2"/>
        </w:rPr>
        <w:t>Isolate</w:t>
      </w:r>
    </w:p>
    <w:p>
      <w:pPr>
        <w:pStyle w:val="BodyText"/>
        <w:spacing w:before="7"/>
        <w:rPr>
          <w:b/>
          <w:sz w:val="23"/>
        </w:rPr>
      </w:pPr>
    </w:p>
    <w:p>
      <w:pPr>
        <w:pStyle w:val="BodyText"/>
        <w:spacing w:line="480" w:lineRule="auto" w:before="1"/>
        <w:ind w:left="120" w:right="125"/>
        <w:jc w:val="both"/>
      </w:pPr>
      <w:r>
        <w:rPr/>
        <w:t>Molecular characterization was carried out on the organism. DNA extraction, amplification and sequencing was performed to ascertain the strain of the organism.</w:t>
      </w:r>
    </w:p>
    <w:p>
      <w:pPr>
        <w:pStyle w:val="ListParagraph"/>
        <w:numPr>
          <w:ilvl w:val="3"/>
          <w:numId w:val="4"/>
        </w:numPr>
        <w:tabs>
          <w:tab w:pos="841" w:val="left" w:leader="none"/>
        </w:tabs>
        <w:spacing w:line="480" w:lineRule="auto" w:before="0" w:after="0"/>
        <w:ind w:left="120" w:right="113" w:firstLine="0"/>
        <w:jc w:val="both"/>
        <w:rPr>
          <w:sz w:val="24"/>
        </w:rPr>
      </w:pPr>
      <w:r>
        <w:rPr>
          <w:b/>
          <w:sz w:val="24"/>
        </w:rPr>
        <w:t>Extraction of DNA: </w:t>
      </w:r>
      <w:r>
        <w:rPr>
          <w:sz w:val="24"/>
        </w:rPr>
        <w:t>DNA extraction was carried out using</w:t>
      </w:r>
      <w:r>
        <w:rPr>
          <w:spacing w:val="-1"/>
          <w:sz w:val="24"/>
        </w:rPr>
        <w:t> </w:t>
      </w:r>
      <w:r>
        <w:rPr>
          <w:sz w:val="24"/>
        </w:rPr>
        <w:t>the method of Trindade </w:t>
      </w:r>
      <w:r>
        <w:rPr>
          <w:i/>
          <w:sz w:val="24"/>
        </w:rPr>
        <w:t>et al. </w:t>
      </w:r>
      <w:r>
        <w:rPr>
          <w:sz w:val="24"/>
        </w:rPr>
        <w:t>(2007).</w:t>
      </w:r>
      <w:r>
        <w:rPr>
          <w:spacing w:val="-7"/>
          <w:sz w:val="24"/>
        </w:rPr>
        <w:t> </w:t>
      </w:r>
      <w:r>
        <w:rPr>
          <w:sz w:val="24"/>
        </w:rPr>
        <w:t>This</w:t>
      </w:r>
      <w:r>
        <w:rPr>
          <w:spacing w:val="-6"/>
          <w:sz w:val="24"/>
        </w:rPr>
        <w:t> </w:t>
      </w:r>
      <w:r>
        <w:rPr>
          <w:sz w:val="24"/>
        </w:rPr>
        <w:t>was</w:t>
      </w:r>
      <w:r>
        <w:rPr>
          <w:spacing w:val="-4"/>
          <w:sz w:val="24"/>
        </w:rPr>
        <w:t> </w:t>
      </w:r>
      <w:r>
        <w:rPr>
          <w:sz w:val="24"/>
        </w:rPr>
        <w:t>done</w:t>
      </w:r>
      <w:r>
        <w:rPr>
          <w:spacing w:val="-7"/>
          <w:sz w:val="24"/>
        </w:rPr>
        <w:t> </w:t>
      </w:r>
      <w:r>
        <w:rPr>
          <w:sz w:val="24"/>
        </w:rPr>
        <w:t>by</w:t>
      </w:r>
      <w:r>
        <w:rPr>
          <w:spacing w:val="-9"/>
          <w:sz w:val="24"/>
        </w:rPr>
        <w:t> </w:t>
      </w:r>
      <w:r>
        <w:rPr>
          <w:sz w:val="24"/>
        </w:rPr>
        <w:t>transferring</w:t>
      </w:r>
      <w:r>
        <w:rPr>
          <w:spacing w:val="-9"/>
          <w:sz w:val="24"/>
        </w:rPr>
        <w:t> </w:t>
      </w:r>
      <w:r>
        <w:rPr>
          <w:sz w:val="24"/>
        </w:rPr>
        <w:t>a</w:t>
      </w:r>
      <w:r>
        <w:rPr>
          <w:spacing w:val="-7"/>
          <w:sz w:val="24"/>
        </w:rPr>
        <w:t> </w:t>
      </w:r>
      <w:r>
        <w:rPr>
          <w:sz w:val="24"/>
        </w:rPr>
        <w:t>pure</w:t>
      </w:r>
      <w:r>
        <w:rPr>
          <w:spacing w:val="-6"/>
          <w:sz w:val="24"/>
        </w:rPr>
        <w:t> </w:t>
      </w:r>
      <w:r>
        <w:rPr>
          <w:sz w:val="24"/>
        </w:rPr>
        <w:t>culture</w:t>
      </w:r>
      <w:r>
        <w:rPr>
          <w:spacing w:val="-7"/>
          <w:sz w:val="24"/>
        </w:rPr>
        <w:t> </w:t>
      </w:r>
      <w:r>
        <w:rPr>
          <w:sz w:val="24"/>
        </w:rPr>
        <w:t>of</w:t>
      </w:r>
      <w:r>
        <w:rPr>
          <w:spacing w:val="-7"/>
          <w:sz w:val="24"/>
        </w:rPr>
        <w:t> </w:t>
      </w:r>
      <w:r>
        <w:rPr>
          <w:sz w:val="24"/>
        </w:rPr>
        <w:t>the</w:t>
      </w:r>
      <w:r>
        <w:rPr>
          <w:spacing w:val="-7"/>
          <w:sz w:val="24"/>
        </w:rPr>
        <w:t> </w:t>
      </w:r>
      <w:r>
        <w:rPr>
          <w:sz w:val="24"/>
        </w:rPr>
        <w:t>isolate</w:t>
      </w:r>
      <w:r>
        <w:rPr>
          <w:spacing w:val="-7"/>
          <w:sz w:val="24"/>
        </w:rPr>
        <w:t> </w:t>
      </w:r>
      <w:r>
        <w:rPr>
          <w:sz w:val="24"/>
        </w:rPr>
        <w:t>to</w:t>
      </w:r>
      <w:r>
        <w:rPr>
          <w:spacing w:val="-6"/>
          <w:sz w:val="24"/>
        </w:rPr>
        <w:t> </w:t>
      </w:r>
      <w:r>
        <w:rPr>
          <w:sz w:val="24"/>
        </w:rPr>
        <w:t>1.5</w:t>
      </w:r>
      <w:r>
        <w:rPr>
          <w:spacing w:val="-6"/>
          <w:sz w:val="24"/>
        </w:rPr>
        <w:t> </w:t>
      </w:r>
      <w:r>
        <w:rPr>
          <w:sz w:val="24"/>
        </w:rPr>
        <w:t>mL</w:t>
      </w:r>
      <w:r>
        <w:rPr>
          <w:spacing w:val="-7"/>
          <w:sz w:val="24"/>
        </w:rPr>
        <w:t> </w:t>
      </w:r>
      <w:r>
        <w:rPr>
          <w:sz w:val="24"/>
        </w:rPr>
        <w:t>of</w:t>
      </w:r>
      <w:r>
        <w:rPr>
          <w:spacing w:val="-7"/>
          <w:sz w:val="24"/>
        </w:rPr>
        <w:t> </w:t>
      </w:r>
      <w:r>
        <w:rPr>
          <w:sz w:val="24"/>
        </w:rPr>
        <w:t>liquid</w:t>
      </w:r>
      <w:r>
        <w:rPr>
          <w:spacing w:val="-6"/>
          <w:sz w:val="24"/>
        </w:rPr>
        <w:t> </w:t>
      </w:r>
      <w:r>
        <w:rPr>
          <w:sz w:val="24"/>
        </w:rPr>
        <w:t>medium</w:t>
      </w:r>
      <w:r>
        <w:rPr>
          <w:spacing w:val="-6"/>
          <w:sz w:val="24"/>
        </w:rPr>
        <w:t> </w:t>
      </w:r>
      <w:r>
        <w:rPr>
          <w:sz w:val="24"/>
        </w:rPr>
        <w:t>and incubated</w:t>
      </w:r>
      <w:r>
        <w:rPr>
          <w:spacing w:val="-15"/>
          <w:sz w:val="24"/>
        </w:rPr>
        <w:t> </w:t>
      </w:r>
      <w:r>
        <w:rPr>
          <w:sz w:val="24"/>
        </w:rPr>
        <w:t>at</w:t>
      </w:r>
      <w:r>
        <w:rPr>
          <w:spacing w:val="-15"/>
          <w:sz w:val="24"/>
        </w:rPr>
        <w:t> </w:t>
      </w:r>
      <w:r>
        <w:rPr>
          <w:sz w:val="24"/>
        </w:rPr>
        <w:t>28</w:t>
      </w:r>
      <w:r>
        <w:rPr>
          <w:spacing w:val="-14"/>
          <w:sz w:val="24"/>
        </w:rPr>
        <w:t> </w:t>
      </w:r>
      <w:r>
        <w:rPr>
          <w:sz w:val="24"/>
        </w:rPr>
        <w:t>ºC</w:t>
      </w:r>
      <w:r>
        <w:rPr>
          <w:spacing w:val="-14"/>
          <w:sz w:val="24"/>
        </w:rPr>
        <w:t> </w:t>
      </w:r>
      <w:r>
        <w:rPr>
          <w:sz w:val="24"/>
        </w:rPr>
        <w:t>using</w:t>
      </w:r>
      <w:r>
        <w:rPr>
          <w:spacing w:val="-15"/>
          <w:sz w:val="24"/>
        </w:rPr>
        <w:t> </w:t>
      </w:r>
      <w:r>
        <w:rPr>
          <w:sz w:val="24"/>
        </w:rPr>
        <w:t>a</w:t>
      </w:r>
      <w:r>
        <w:rPr>
          <w:spacing w:val="-13"/>
          <w:sz w:val="24"/>
        </w:rPr>
        <w:t> </w:t>
      </w:r>
      <w:r>
        <w:rPr>
          <w:sz w:val="24"/>
        </w:rPr>
        <w:t>shaker</w:t>
      </w:r>
      <w:r>
        <w:rPr>
          <w:spacing w:val="-15"/>
          <w:sz w:val="24"/>
        </w:rPr>
        <w:t> </w:t>
      </w:r>
      <w:r>
        <w:rPr>
          <w:sz w:val="24"/>
        </w:rPr>
        <w:t>for</w:t>
      </w:r>
      <w:r>
        <w:rPr>
          <w:spacing w:val="-15"/>
          <w:sz w:val="24"/>
        </w:rPr>
        <w:t> </w:t>
      </w:r>
      <w:r>
        <w:rPr>
          <w:sz w:val="24"/>
        </w:rPr>
        <w:t>a</w:t>
      </w:r>
      <w:r>
        <w:rPr>
          <w:spacing w:val="-15"/>
          <w:sz w:val="24"/>
        </w:rPr>
        <w:t> </w:t>
      </w:r>
      <w:r>
        <w:rPr>
          <w:sz w:val="24"/>
        </w:rPr>
        <w:t>period</w:t>
      </w:r>
      <w:r>
        <w:rPr>
          <w:spacing w:val="-15"/>
          <w:sz w:val="24"/>
        </w:rPr>
        <w:t> </w:t>
      </w:r>
      <w:r>
        <w:rPr>
          <w:sz w:val="24"/>
        </w:rPr>
        <w:t>of</w:t>
      </w:r>
      <w:r>
        <w:rPr>
          <w:spacing w:val="-15"/>
          <w:sz w:val="24"/>
        </w:rPr>
        <w:t> </w:t>
      </w:r>
      <w:r>
        <w:rPr>
          <w:sz w:val="24"/>
        </w:rPr>
        <w:t>48</w:t>
      </w:r>
      <w:r>
        <w:rPr>
          <w:spacing w:val="-14"/>
          <w:sz w:val="24"/>
        </w:rPr>
        <w:t> </w:t>
      </w:r>
      <w:r>
        <w:rPr>
          <w:sz w:val="24"/>
        </w:rPr>
        <w:t>hours.</w:t>
      </w:r>
      <w:r>
        <w:rPr>
          <w:spacing w:val="-15"/>
          <w:sz w:val="24"/>
        </w:rPr>
        <w:t> </w:t>
      </w:r>
      <w:r>
        <w:rPr>
          <w:sz w:val="24"/>
        </w:rPr>
        <w:t>After</w:t>
      </w:r>
      <w:r>
        <w:rPr>
          <w:spacing w:val="-14"/>
          <w:sz w:val="24"/>
        </w:rPr>
        <w:t> </w:t>
      </w:r>
      <w:r>
        <w:rPr>
          <w:sz w:val="24"/>
        </w:rPr>
        <w:t>incubating</w:t>
      </w:r>
      <w:r>
        <w:rPr>
          <w:spacing w:val="-15"/>
          <w:sz w:val="24"/>
        </w:rPr>
        <w:t> </w:t>
      </w:r>
      <w:r>
        <w:rPr>
          <w:sz w:val="24"/>
        </w:rPr>
        <w:t>for</w:t>
      </w:r>
      <w:r>
        <w:rPr>
          <w:spacing w:val="-14"/>
          <w:sz w:val="24"/>
        </w:rPr>
        <w:t> </w:t>
      </w:r>
      <w:r>
        <w:rPr>
          <w:sz w:val="24"/>
        </w:rPr>
        <w:t>48</w:t>
      </w:r>
      <w:r>
        <w:rPr>
          <w:spacing w:val="-14"/>
          <w:sz w:val="24"/>
        </w:rPr>
        <w:t> </w:t>
      </w:r>
      <w:r>
        <w:rPr>
          <w:sz w:val="24"/>
        </w:rPr>
        <w:t>hours,</w:t>
      </w:r>
      <w:r>
        <w:rPr>
          <w:spacing w:val="-15"/>
          <w:sz w:val="24"/>
        </w:rPr>
        <w:t> </w:t>
      </w:r>
      <w:r>
        <w:rPr>
          <w:sz w:val="24"/>
        </w:rPr>
        <w:t>the</w:t>
      </w:r>
      <w:r>
        <w:rPr>
          <w:spacing w:val="-15"/>
          <w:sz w:val="24"/>
        </w:rPr>
        <w:t> </w:t>
      </w:r>
      <w:r>
        <w:rPr>
          <w:sz w:val="24"/>
        </w:rPr>
        <w:t>culture undergoes</w:t>
      </w:r>
      <w:r>
        <w:rPr>
          <w:spacing w:val="-2"/>
          <w:sz w:val="24"/>
        </w:rPr>
        <w:t> </w:t>
      </w:r>
      <w:r>
        <w:rPr>
          <w:sz w:val="24"/>
        </w:rPr>
        <w:t>centrifugation</w:t>
      </w:r>
      <w:r>
        <w:rPr>
          <w:spacing w:val="-2"/>
          <w:sz w:val="24"/>
        </w:rPr>
        <w:t> </w:t>
      </w:r>
      <w:r>
        <w:rPr>
          <w:sz w:val="24"/>
        </w:rPr>
        <w:t>at</w:t>
      </w:r>
      <w:r>
        <w:rPr>
          <w:spacing w:val="-4"/>
          <w:sz w:val="24"/>
        </w:rPr>
        <w:t> </w:t>
      </w:r>
      <w:r>
        <w:rPr>
          <w:sz w:val="24"/>
        </w:rPr>
        <w:t>4600</w:t>
      </w:r>
      <w:r>
        <w:rPr>
          <w:spacing w:val="-5"/>
          <w:sz w:val="24"/>
        </w:rPr>
        <w:t> </w:t>
      </w:r>
      <w:r>
        <w:rPr>
          <w:sz w:val="24"/>
        </w:rPr>
        <w:t>revolution</w:t>
      </w:r>
      <w:r>
        <w:rPr>
          <w:spacing w:val="-4"/>
          <w:sz w:val="24"/>
        </w:rPr>
        <w:t> </w:t>
      </w:r>
      <w:r>
        <w:rPr>
          <w:sz w:val="24"/>
        </w:rPr>
        <w:t>per</w:t>
      </w:r>
      <w:r>
        <w:rPr>
          <w:spacing w:val="-3"/>
          <w:sz w:val="24"/>
        </w:rPr>
        <w:t> </w:t>
      </w:r>
      <w:r>
        <w:rPr>
          <w:sz w:val="24"/>
        </w:rPr>
        <w:t>minute</w:t>
      </w:r>
      <w:r>
        <w:rPr>
          <w:spacing w:val="-6"/>
          <w:sz w:val="24"/>
        </w:rPr>
        <w:t> </w:t>
      </w:r>
      <w:r>
        <w:rPr>
          <w:sz w:val="24"/>
        </w:rPr>
        <w:t>(rpm)</w:t>
      </w:r>
      <w:r>
        <w:rPr>
          <w:spacing w:val="-3"/>
          <w:sz w:val="24"/>
        </w:rPr>
        <w:t> </w:t>
      </w:r>
      <w:r>
        <w:rPr>
          <w:sz w:val="24"/>
        </w:rPr>
        <w:t>for</w:t>
      </w:r>
      <w:r>
        <w:rPr>
          <w:spacing w:val="-4"/>
          <w:sz w:val="24"/>
        </w:rPr>
        <w:t> </w:t>
      </w:r>
      <w:r>
        <w:rPr>
          <w:sz w:val="24"/>
        </w:rPr>
        <w:t>5</w:t>
      </w:r>
      <w:r>
        <w:rPr>
          <w:spacing w:val="-5"/>
          <w:sz w:val="24"/>
        </w:rPr>
        <w:t> </w:t>
      </w:r>
      <w:r>
        <w:rPr>
          <w:sz w:val="24"/>
        </w:rPr>
        <w:t>minutes.</w:t>
      </w:r>
      <w:r>
        <w:rPr>
          <w:spacing w:val="-3"/>
          <w:sz w:val="24"/>
        </w:rPr>
        <w:t> </w:t>
      </w:r>
      <w:r>
        <w:rPr>
          <w:sz w:val="24"/>
        </w:rPr>
        <w:t>The</w:t>
      </w:r>
      <w:r>
        <w:rPr>
          <w:spacing w:val="-6"/>
          <w:sz w:val="24"/>
        </w:rPr>
        <w:t> </w:t>
      </w:r>
      <w:r>
        <w:rPr>
          <w:sz w:val="24"/>
        </w:rPr>
        <w:t>pellets</w:t>
      </w:r>
      <w:r>
        <w:rPr>
          <w:spacing w:val="-4"/>
          <w:sz w:val="24"/>
        </w:rPr>
        <w:t> </w:t>
      </w:r>
      <w:r>
        <w:rPr>
          <w:sz w:val="24"/>
        </w:rPr>
        <w:t>that</w:t>
      </w:r>
      <w:r>
        <w:rPr>
          <w:spacing w:val="-2"/>
          <w:sz w:val="24"/>
        </w:rPr>
        <w:t> </w:t>
      </w:r>
      <w:r>
        <w:rPr>
          <w:sz w:val="24"/>
        </w:rPr>
        <w:t>were obtained</w:t>
      </w:r>
      <w:r>
        <w:rPr>
          <w:spacing w:val="-5"/>
          <w:sz w:val="24"/>
        </w:rPr>
        <w:t> </w:t>
      </w:r>
      <w:r>
        <w:rPr>
          <w:sz w:val="24"/>
        </w:rPr>
        <w:t>were</w:t>
      </w:r>
      <w:r>
        <w:rPr>
          <w:spacing w:val="-7"/>
          <w:sz w:val="24"/>
        </w:rPr>
        <w:t> </w:t>
      </w:r>
      <w:r>
        <w:rPr>
          <w:sz w:val="24"/>
        </w:rPr>
        <w:t>suspended</w:t>
      </w:r>
      <w:r>
        <w:rPr>
          <w:spacing w:val="-4"/>
          <w:sz w:val="24"/>
        </w:rPr>
        <w:t> </w:t>
      </w:r>
      <w:r>
        <w:rPr>
          <w:sz w:val="24"/>
        </w:rPr>
        <w:t>in</w:t>
      </w:r>
      <w:r>
        <w:rPr>
          <w:spacing w:val="-4"/>
          <w:sz w:val="24"/>
        </w:rPr>
        <w:t> </w:t>
      </w:r>
      <w:r>
        <w:rPr>
          <w:sz w:val="24"/>
        </w:rPr>
        <w:t>520</w:t>
      </w:r>
      <w:r>
        <w:rPr>
          <w:spacing w:val="-7"/>
          <w:sz w:val="24"/>
        </w:rPr>
        <w:t> </w:t>
      </w:r>
      <w:r>
        <w:rPr>
          <w:sz w:val="24"/>
        </w:rPr>
        <w:t>μL</w:t>
      </w:r>
      <w:r>
        <w:rPr>
          <w:spacing w:val="-10"/>
          <w:sz w:val="24"/>
        </w:rPr>
        <w:t> </w:t>
      </w:r>
      <w:r>
        <w:rPr>
          <w:sz w:val="24"/>
        </w:rPr>
        <w:t>of</w:t>
      </w:r>
      <w:r>
        <w:rPr>
          <w:spacing w:val="-6"/>
          <w:sz w:val="24"/>
        </w:rPr>
        <w:t> </w:t>
      </w:r>
      <w:r>
        <w:rPr>
          <w:sz w:val="24"/>
        </w:rPr>
        <w:t>TE</w:t>
      </w:r>
      <w:r>
        <w:rPr>
          <w:spacing w:val="-5"/>
          <w:sz w:val="24"/>
        </w:rPr>
        <w:t> </w:t>
      </w:r>
      <w:r>
        <w:rPr>
          <w:sz w:val="24"/>
        </w:rPr>
        <w:t>buffer</w:t>
      </w:r>
      <w:r>
        <w:rPr>
          <w:spacing w:val="-6"/>
          <w:sz w:val="24"/>
        </w:rPr>
        <w:t> </w:t>
      </w:r>
      <w:r>
        <w:rPr>
          <w:sz w:val="24"/>
        </w:rPr>
        <w:t>containing</w:t>
      </w:r>
      <w:r>
        <w:rPr>
          <w:spacing w:val="-7"/>
          <w:sz w:val="24"/>
        </w:rPr>
        <w:t> </w:t>
      </w:r>
      <w:r>
        <w:rPr>
          <w:sz w:val="24"/>
        </w:rPr>
        <w:t>10</w:t>
      </w:r>
      <w:r>
        <w:rPr>
          <w:spacing w:val="-5"/>
          <w:sz w:val="24"/>
        </w:rPr>
        <w:t> </w:t>
      </w:r>
      <w:r>
        <w:rPr>
          <w:sz w:val="24"/>
        </w:rPr>
        <w:t>mM</w:t>
      </w:r>
      <w:r>
        <w:rPr>
          <w:spacing w:val="-4"/>
          <w:sz w:val="24"/>
        </w:rPr>
        <w:t> </w:t>
      </w:r>
      <w:r>
        <w:rPr>
          <w:sz w:val="24"/>
        </w:rPr>
        <w:t>Tris-HCl,</w:t>
      </w:r>
      <w:r>
        <w:rPr>
          <w:spacing w:val="-5"/>
          <w:sz w:val="24"/>
        </w:rPr>
        <w:t> </w:t>
      </w:r>
      <w:r>
        <w:rPr>
          <w:sz w:val="24"/>
        </w:rPr>
        <w:t>1</w:t>
      </w:r>
      <w:r>
        <w:rPr>
          <w:spacing w:val="-7"/>
          <w:sz w:val="24"/>
        </w:rPr>
        <w:t> </w:t>
      </w:r>
      <w:r>
        <w:rPr>
          <w:sz w:val="24"/>
        </w:rPr>
        <w:t>mM</w:t>
      </w:r>
      <w:r>
        <w:rPr>
          <w:spacing w:val="-4"/>
          <w:sz w:val="24"/>
        </w:rPr>
        <w:t> </w:t>
      </w:r>
      <w:r>
        <w:rPr>
          <w:sz w:val="24"/>
        </w:rPr>
        <w:t>EDTA</w:t>
      </w:r>
      <w:r>
        <w:rPr>
          <w:spacing w:val="-6"/>
          <w:sz w:val="24"/>
        </w:rPr>
        <w:t> </w:t>
      </w:r>
      <w:r>
        <w:rPr>
          <w:sz w:val="24"/>
        </w:rPr>
        <w:t>at</w:t>
      </w:r>
      <w:r>
        <w:rPr>
          <w:spacing w:val="-4"/>
          <w:sz w:val="24"/>
        </w:rPr>
        <w:t> </w:t>
      </w:r>
      <w:r>
        <w:rPr>
          <w:sz w:val="24"/>
        </w:rPr>
        <w:t>pH</w:t>
      </w:r>
    </w:p>
    <w:p>
      <w:pPr>
        <w:pStyle w:val="BodyText"/>
        <w:spacing w:line="480" w:lineRule="auto" w:before="1"/>
        <w:ind w:left="120" w:right="114"/>
        <w:jc w:val="both"/>
      </w:pPr>
      <w:r>
        <w:rPr/>
        <w:t>8.0.</w:t>
      </w:r>
      <w:r>
        <w:rPr>
          <w:spacing w:val="-4"/>
        </w:rPr>
        <w:t> </w:t>
      </w:r>
      <w:r>
        <w:rPr/>
        <w:t>Added</w:t>
      </w:r>
      <w:r>
        <w:rPr>
          <w:spacing w:val="-4"/>
        </w:rPr>
        <w:t> </w:t>
      </w:r>
      <w:r>
        <w:rPr/>
        <w:t>to</w:t>
      </w:r>
      <w:r>
        <w:rPr>
          <w:spacing w:val="-1"/>
        </w:rPr>
        <w:t> </w:t>
      </w:r>
      <w:r>
        <w:rPr/>
        <w:t>the</w:t>
      </w:r>
      <w:r>
        <w:rPr>
          <w:spacing w:val="-4"/>
        </w:rPr>
        <w:t> </w:t>
      </w:r>
      <w:r>
        <w:rPr/>
        <w:t>buffer was</w:t>
      </w:r>
      <w:r>
        <w:rPr>
          <w:spacing w:val="-4"/>
        </w:rPr>
        <w:t> </w:t>
      </w:r>
      <w:r>
        <w:rPr/>
        <w:t>15</w:t>
      </w:r>
      <w:r>
        <w:rPr>
          <w:spacing w:val="-4"/>
        </w:rPr>
        <w:t> </w:t>
      </w:r>
      <w:r>
        <w:rPr/>
        <w:t>μL</w:t>
      </w:r>
      <w:r>
        <w:rPr>
          <w:spacing w:val="-6"/>
        </w:rPr>
        <w:t> </w:t>
      </w:r>
      <w:r>
        <w:rPr/>
        <w:t>of</w:t>
      </w:r>
      <w:r>
        <w:rPr>
          <w:spacing w:val="-5"/>
        </w:rPr>
        <w:t> </w:t>
      </w:r>
      <w:r>
        <w:rPr/>
        <w:t>20 %</w:t>
      </w:r>
      <w:r>
        <w:rPr>
          <w:spacing w:val="-5"/>
        </w:rPr>
        <w:t> </w:t>
      </w:r>
      <w:r>
        <w:rPr/>
        <w:t>sodium</w:t>
      </w:r>
      <w:r>
        <w:rPr>
          <w:spacing w:val="-3"/>
        </w:rPr>
        <w:t> </w:t>
      </w:r>
      <w:r>
        <w:rPr/>
        <w:t>dodecyl</w:t>
      </w:r>
      <w:r>
        <w:rPr>
          <w:spacing w:val="-3"/>
        </w:rPr>
        <w:t> </w:t>
      </w:r>
      <w:r>
        <w:rPr/>
        <w:t>sulfate</w:t>
      </w:r>
      <w:r>
        <w:rPr>
          <w:spacing w:val="-4"/>
        </w:rPr>
        <w:t> </w:t>
      </w:r>
      <w:r>
        <w:rPr/>
        <w:t>(SDS) and</w:t>
      </w:r>
      <w:r>
        <w:rPr>
          <w:spacing w:val="-4"/>
        </w:rPr>
        <w:t> </w:t>
      </w:r>
      <w:r>
        <w:rPr/>
        <w:t>3</w:t>
      </w:r>
      <w:r>
        <w:rPr>
          <w:spacing w:val="-4"/>
        </w:rPr>
        <w:t> </w:t>
      </w:r>
      <w:r>
        <w:rPr/>
        <w:t>μL</w:t>
      </w:r>
      <w:r>
        <w:rPr>
          <w:spacing w:val="-6"/>
        </w:rPr>
        <w:t> </w:t>
      </w:r>
      <w:r>
        <w:rPr/>
        <w:t>of</w:t>
      </w:r>
      <w:r>
        <w:rPr>
          <w:spacing w:val="-5"/>
        </w:rPr>
        <w:t> </w:t>
      </w:r>
      <w:r>
        <w:rPr/>
        <w:t>20</w:t>
      </w:r>
      <w:r>
        <w:rPr>
          <w:spacing w:val="-4"/>
        </w:rPr>
        <w:t> </w:t>
      </w:r>
      <w:r>
        <w:rPr/>
        <w:t>mg/mL Proteinase</w:t>
      </w:r>
      <w:r>
        <w:rPr>
          <w:spacing w:val="-7"/>
        </w:rPr>
        <w:t> </w:t>
      </w:r>
      <w:r>
        <w:rPr/>
        <w:t>K.</w:t>
      </w:r>
      <w:r>
        <w:rPr>
          <w:spacing w:val="-5"/>
        </w:rPr>
        <w:t> </w:t>
      </w:r>
      <w:r>
        <w:rPr/>
        <w:t>This</w:t>
      </w:r>
      <w:r>
        <w:rPr>
          <w:spacing w:val="-6"/>
        </w:rPr>
        <w:t> </w:t>
      </w:r>
      <w:r>
        <w:rPr/>
        <w:t>mixture</w:t>
      </w:r>
      <w:r>
        <w:rPr>
          <w:spacing w:val="-8"/>
        </w:rPr>
        <w:t> </w:t>
      </w:r>
      <w:r>
        <w:rPr/>
        <w:t>undergo</w:t>
      </w:r>
      <w:r>
        <w:rPr>
          <w:spacing w:val="-6"/>
        </w:rPr>
        <w:t> </w:t>
      </w:r>
      <w:r>
        <w:rPr/>
        <w:t>incubation</w:t>
      </w:r>
      <w:r>
        <w:rPr>
          <w:spacing w:val="-6"/>
        </w:rPr>
        <w:t> </w:t>
      </w:r>
      <w:r>
        <w:rPr/>
        <w:t>at</w:t>
      </w:r>
      <w:r>
        <w:rPr>
          <w:spacing w:val="40"/>
        </w:rPr>
        <w:t> </w:t>
      </w:r>
      <w:r>
        <w:rPr/>
        <w:t>37</w:t>
      </w:r>
      <w:r>
        <w:rPr>
          <w:spacing w:val="-6"/>
        </w:rPr>
        <w:t> </w:t>
      </w:r>
      <w:r>
        <w:rPr/>
        <w:t>ºC</w:t>
      </w:r>
      <w:r>
        <w:rPr>
          <w:spacing w:val="-6"/>
        </w:rPr>
        <w:t> </w:t>
      </w:r>
      <w:r>
        <w:rPr/>
        <w:t>for</w:t>
      </w:r>
      <w:r>
        <w:rPr>
          <w:spacing w:val="-4"/>
        </w:rPr>
        <w:t> </w:t>
      </w:r>
      <w:r>
        <w:rPr/>
        <w:t>an</w:t>
      </w:r>
      <w:r>
        <w:rPr>
          <w:spacing w:val="-6"/>
        </w:rPr>
        <w:t> </w:t>
      </w:r>
      <w:r>
        <w:rPr/>
        <w:t>hour</w:t>
      </w:r>
      <w:r>
        <w:rPr>
          <w:spacing w:val="-7"/>
        </w:rPr>
        <w:t> </w:t>
      </w:r>
      <w:r>
        <w:rPr/>
        <w:t>and</w:t>
      </w:r>
      <w:r>
        <w:rPr>
          <w:spacing w:val="-4"/>
        </w:rPr>
        <w:t> </w:t>
      </w:r>
      <w:r>
        <w:rPr/>
        <w:t>thereafter,</w:t>
      </w:r>
      <w:r>
        <w:rPr>
          <w:spacing w:val="-7"/>
        </w:rPr>
        <w:t> </w:t>
      </w:r>
      <w:r>
        <w:rPr/>
        <w:t>100</w:t>
      </w:r>
      <w:r>
        <w:rPr>
          <w:spacing w:val="-4"/>
        </w:rPr>
        <w:t> </w:t>
      </w:r>
      <w:r>
        <w:rPr/>
        <w:t>μL</w:t>
      </w:r>
      <w:r>
        <w:rPr>
          <w:spacing w:val="-9"/>
        </w:rPr>
        <w:t> </w:t>
      </w:r>
      <w:r>
        <w:rPr/>
        <w:t>of</w:t>
      </w:r>
      <w:r>
        <w:rPr>
          <w:spacing w:val="-7"/>
        </w:rPr>
        <w:t> </w:t>
      </w:r>
      <w:r>
        <w:rPr/>
        <w:t>5</w:t>
      </w:r>
      <w:r>
        <w:rPr>
          <w:spacing w:val="-4"/>
        </w:rPr>
        <w:t> </w:t>
      </w:r>
      <w:r>
        <w:rPr/>
        <w:t>M NaCl and 80 μL of a 10 % cetyltrimethylammonium-bromide (CTAB)</w:t>
      </w:r>
      <w:r>
        <w:rPr>
          <w:spacing w:val="40"/>
        </w:rPr>
        <w:t> </w:t>
      </w:r>
      <w:r>
        <w:rPr/>
        <w:t>solution in 0.7 M NaCl was</w:t>
      </w:r>
      <w:r>
        <w:rPr>
          <w:spacing w:val="-6"/>
        </w:rPr>
        <w:t> </w:t>
      </w:r>
      <w:r>
        <w:rPr/>
        <w:t>added</w:t>
      </w:r>
      <w:r>
        <w:rPr>
          <w:spacing w:val="-6"/>
        </w:rPr>
        <w:t> </w:t>
      </w:r>
      <w:r>
        <w:rPr/>
        <w:t>and</w:t>
      </w:r>
      <w:r>
        <w:rPr>
          <w:spacing w:val="-6"/>
        </w:rPr>
        <w:t> </w:t>
      </w:r>
      <w:r>
        <w:rPr/>
        <w:t>votexed.</w:t>
      </w:r>
      <w:r>
        <w:rPr>
          <w:spacing w:val="40"/>
        </w:rPr>
        <w:t> </w:t>
      </w:r>
      <w:r>
        <w:rPr/>
        <w:t>The</w:t>
      </w:r>
      <w:r>
        <w:rPr>
          <w:spacing w:val="-7"/>
        </w:rPr>
        <w:t> </w:t>
      </w:r>
      <w:r>
        <w:rPr/>
        <w:t>overall</w:t>
      </w:r>
      <w:r>
        <w:rPr>
          <w:spacing w:val="-5"/>
        </w:rPr>
        <w:t> </w:t>
      </w:r>
      <w:r>
        <w:rPr/>
        <w:t>suspension</w:t>
      </w:r>
      <w:r>
        <w:rPr>
          <w:spacing w:val="-4"/>
        </w:rPr>
        <w:t> </w:t>
      </w:r>
      <w:r>
        <w:rPr/>
        <w:t>was</w:t>
      </w:r>
      <w:r>
        <w:rPr>
          <w:spacing w:val="-5"/>
        </w:rPr>
        <w:t> </w:t>
      </w:r>
      <w:r>
        <w:rPr/>
        <w:t>incubated</w:t>
      </w:r>
      <w:r>
        <w:rPr>
          <w:spacing w:val="-6"/>
        </w:rPr>
        <w:t> </w:t>
      </w:r>
      <w:r>
        <w:rPr/>
        <w:t>at</w:t>
      </w:r>
      <w:r>
        <w:rPr>
          <w:spacing w:val="-5"/>
        </w:rPr>
        <w:t> </w:t>
      </w:r>
      <w:r>
        <w:rPr/>
        <w:t>65</w:t>
      </w:r>
      <w:r>
        <w:rPr>
          <w:spacing w:val="-6"/>
        </w:rPr>
        <w:t> </w:t>
      </w:r>
      <w:r>
        <w:rPr/>
        <w:t>ºC</w:t>
      </w:r>
      <w:r>
        <w:rPr>
          <w:spacing w:val="-5"/>
        </w:rPr>
        <w:t> </w:t>
      </w:r>
      <w:r>
        <w:rPr/>
        <w:t>for</w:t>
      </w:r>
      <w:r>
        <w:rPr>
          <w:spacing w:val="-7"/>
        </w:rPr>
        <w:t> </w:t>
      </w:r>
      <w:r>
        <w:rPr/>
        <w:t>10</w:t>
      </w:r>
      <w:r>
        <w:rPr>
          <w:spacing w:val="-6"/>
        </w:rPr>
        <w:t> </w:t>
      </w:r>
      <w:r>
        <w:rPr/>
        <w:t>minutes</w:t>
      </w:r>
      <w:r>
        <w:rPr>
          <w:spacing w:val="-6"/>
        </w:rPr>
        <w:t> </w:t>
      </w:r>
      <w:r>
        <w:rPr/>
        <w:t>and</w:t>
      </w:r>
      <w:r>
        <w:rPr>
          <w:spacing w:val="-6"/>
        </w:rPr>
        <w:t> </w:t>
      </w:r>
      <w:r>
        <w:rPr/>
        <w:t>then</w:t>
      </w:r>
      <w:r>
        <w:rPr>
          <w:spacing w:val="-6"/>
        </w:rPr>
        <w:t> </w:t>
      </w:r>
      <w:r>
        <w:rPr/>
        <w:t>it was left on ice for 15 minutes. After 15 minutes of incubation, the same volume of a mixture containing</w:t>
      </w:r>
      <w:r>
        <w:rPr>
          <w:spacing w:val="-3"/>
        </w:rPr>
        <w:t> </w:t>
      </w:r>
      <w:r>
        <w:rPr/>
        <w:t>chloroform</w:t>
      </w:r>
      <w:r>
        <w:rPr>
          <w:spacing w:val="-2"/>
        </w:rPr>
        <w:t> </w:t>
      </w:r>
      <w:r>
        <w:rPr/>
        <w:t>and</w:t>
      </w:r>
      <w:r>
        <w:rPr>
          <w:spacing w:val="-3"/>
        </w:rPr>
        <w:t> </w:t>
      </w:r>
      <w:r>
        <w:rPr/>
        <w:t>isoamyl</w:t>
      </w:r>
      <w:r>
        <w:rPr>
          <w:spacing w:val="-3"/>
        </w:rPr>
        <w:t> </w:t>
      </w:r>
      <w:r>
        <w:rPr/>
        <w:t>alcohol</w:t>
      </w:r>
      <w:r>
        <w:rPr>
          <w:spacing w:val="-3"/>
        </w:rPr>
        <w:t> </w:t>
      </w:r>
      <w:r>
        <w:rPr/>
        <w:t>in</w:t>
      </w:r>
      <w:r>
        <w:rPr>
          <w:spacing w:val="-3"/>
        </w:rPr>
        <w:t> </w:t>
      </w:r>
      <w:r>
        <w:rPr/>
        <w:t>the</w:t>
      </w:r>
      <w:r>
        <w:rPr>
          <w:spacing w:val="-2"/>
        </w:rPr>
        <w:t> </w:t>
      </w:r>
      <w:r>
        <w:rPr/>
        <w:t>ratio</w:t>
      </w:r>
      <w:r>
        <w:rPr>
          <w:spacing w:val="-3"/>
        </w:rPr>
        <w:t> </w:t>
      </w:r>
      <w:r>
        <w:rPr/>
        <w:t>24:1</w:t>
      </w:r>
      <w:r>
        <w:rPr>
          <w:spacing w:val="-3"/>
        </w:rPr>
        <w:t> </w:t>
      </w:r>
      <w:r>
        <w:rPr/>
        <w:t>was</w:t>
      </w:r>
      <w:r>
        <w:rPr>
          <w:spacing w:val="-3"/>
        </w:rPr>
        <w:t> </w:t>
      </w:r>
      <w:r>
        <w:rPr/>
        <w:t>added</w:t>
      </w:r>
      <w:r>
        <w:rPr>
          <w:spacing w:val="-1"/>
        </w:rPr>
        <w:t> </w:t>
      </w:r>
      <w:r>
        <w:rPr/>
        <w:t>and</w:t>
      </w:r>
      <w:r>
        <w:rPr>
          <w:spacing w:val="-3"/>
        </w:rPr>
        <w:t> </w:t>
      </w:r>
      <w:r>
        <w:rPr/>
        <w:t>incubated</w:t>
      </w:r>
      <w:r>
        <w:rPr>
          <w:spacing w:val="-3"/>
        </w:rPr>
        <w:t> </w:t>
      </w:r>
      <w:r>
        <w:rPr/>
        <w:t>on</w:t>
      </w:r>
      <w:r>
        <w:rPr>
          <w:spacing w:val="-3"/>
        </w:rPr>
        <w:t> </w:t>
      </w:r>
      <w:r>
        <w:rPr/>
        <w:t>ice</w:t>
      </w:r>
      <w:r>
        <w:rPr>
          <w:spacing w:val="-3"/>
        </w:rPr>
        <w:t> </w:t>
      </w:r>
      <w:r>
        <w:rPr/>
        <w:t>for</w:t>
      </w:r>
      <w:r>
        <w:rPr>
          <w:spacing w:val="-4"/>
        </w:rPr>
        <w:t> </w:t>
      </w:r>
      <w:r>
        <w:rPr/>
        <w:t>5 minutes. It was centrifuged at 7200 rpm for 20 minutes. The aqueous phase was then transferred to a</w:t>
      </w:r>
      <w:r>
        <w:rPr>
          <w:spacing w:val="-1"/>
        </w:rPr>
        <w:t> </w:t>
      </w:r>
      <w:r>
        <w:rPr/>
        <w:t>new</w:t>
      </w:r>
      <w:r>
        <w:rPr>
          <w:spacing w:val="-1"/>
        </w:rPr>
        <w:t> </w:t>
      </w:r>
      <w:r>
        <w:rPr/>
        <w:t>tube and isopropanol in the</w:t>
      </w:r>
      <w:r>
        <w:rPr>
          <w:spacing w:val="-1"/>
        </w:rPr>
        <w:t> </w:t>
      </w:r>
      <w:r>
        <w:rPr/>
        <w:t>ratio 1: 0.6 was added and precipitation of DNA occurred at –20</w:t>
      </w:r>
      <w:r>
        <w:rPr>
          <w:spacing w:val="-14"/>
        </w:rPr>
        <w:t> </w:t>
      </w:r>
      <w:r>
        <w:rPr/>
        <w:t>ºC</w:t>
      </w:r>
      <w:r>
        <w:rPr>
          <w:spacing w:val="-12"/>
        </w:rPr>
        <w:t> </w:t>
      </w:r>
      <w:r>
        <w:rPr/>
        <w:t>for</w:t>
      </w:r>
      <w:r>
        <w:rPr>
          <w:spacing w:val="-14"/>
        </w:rPr>
        <w:t> </w:t>
      </w:r>
      <w:r>
        <w:rPr/>
        <w:t>16</w:t>
      </w:r>
      <w:r>
        <w:rPr>
          <w:spacing w:val="-14"/>
        </w:rPr>
        <w:t> </w:t>
      </w:r>
      <w:r>
        <w:rPr/>
        <w:t>hours.</w:t>
      </w:r>
      <w:r>
        <w:rPr>
          <w:spacing w:val="-13"/>
        </w:rPr>
        <w:t> </w:t>
      </w:r>
      <w:r>
        <w:rPr/>
        <w:t>Collection</w:t>
      </w:r>
      <w:r>
        <w:rPr>
          <w:spacing w:val="-12"/>
        </w:rPr>
        <w:t> </w:t>
      </w:r>
      <w:r>
        <w:rPr/>
        <w:t>of</w:t>
      </w:r>
      <w:r>
        <w:rPr>
          <w:spacing w:val="-13"/>
        </w:rPr>
        <w:t> </w:t>
      </w:r>
      <w:r>
        <w:rPr/>
        <w:t>the</w:t>
      </w:r>
      <w:r>
        <w:rPr>
          <w:spacing w:val="-13"/>
        </w:rPr>
        <w:t> </w:t>
      </w:r>
      <w:r>
        <w:rPr/>
        <w:t>DNA</w:t>
      </w:r>
      <w:r>
        <w:rPr>
          <w:spacing w:val="-13"/>
        </w:rPr>
        <w:t> </w:t>
      </w:r>
      <w:r>
        <w:rPr/>
        <w:t>was</w:t>
      </w:r>
      <w:r>
        <w:rPr>
          <w:spacing w:val="-12"/>
        </w:rPr>
        <w:t> </w:t>
      </w:r>
      <w:r>
        <w:rPr/>
        <w:t>done</w:t>
      </w:r>
      <w:r>
        <w:rPr>
          <w:spacing w:val="-13"/>
        </w:rPr>
        <w:t> </w:t>
      </w:r>
      <w:r>
        <w:rPr/>
        <w:t>by</w:t>
      </w:r>
      <w:r>
        <w:rPr>
          <w:spacing w:val="-15"/>
        </w:rPr>
        <w:t> </w:t>
      </w:r>
      <w:r>
        <w:rPr/>
        <w:t>centrifuging</w:t>
      </w:r>
      <w:r>
        <w:rPr>
          <w:spacing w:val="-14"/>
        </w:rPr>
        <w:t> </w:t>
      </w:r>
      <w:r>
        <w:rPr/>
        <w:t>at</w:t>
      </w:r>
      <w:r>
        <w:rPr>
          <w:spacing w:val="-12"/>
        </w:rPr>
        <w:t> </w:t>
      </w:r>
      <w:r>
        <w:rPr/>
        <w:t>13000</w:t>
      </w:r>
      <w:r>
        <w:rPr>
          <w:spacing w:val="-12"/>
        </w:rPr>
        <w:t> </w:t>
      </w:r>
      <w:r>
        <w:rPr/>
        <w:t>rpm</w:t>
      </w:r>
      <w:r>
        <w:rPr>
          <w:spacing w:val="-12"/>
        </w:rPr>
        <w:t> </w:t>
      </w:r>
      <w:r>
        <w:rPr/>
        <w:t>for</w:t>
      </w:r>
      <w:r>
        <w:rPr>
          <w:spacing w:val="-14"/>
        </w:rPr>
        <w:t> </w:t>
      </w:r>
      <w:r>
        <w:rPr/>
        <w:t>10</w:t>
      </w:r>
      <w:r>
        <w:rPr>
          <w:spacing w:val="-12"/>
        </w:rPr>
        <w:t> </w:t>
      </w:r>
      <w:r>
        <w:rPr/>
        <w:t>minutes. It was washed with 500 μL of 70 % ethanol and air-dried at room temperature for about 3 hours and lastly it was dissolved in 50 μL of TE buffer.</w:t>
      </w:r>
    </w:p>
    <w:p>
      <w:pPr>
        <w:pStyle w:val="ListParagraph"/>
        <w:numPr>
          <w:ilvl w:val="3"/>
          <w:numId w:val="4"/>
        </w:numPr>
        <w:tabs>
          <w:tab w:pos="841" w:val="left" w:leader="none"/>
        </w:tabs>
        <w:spacing w:line="480" w:lineRule="auto" w:before="1" w:after="0"/>
        <w:ind w:left="120" w:right="118" w:firstLine="0"/>
        <w:jc w:val="both"/>
        <w:rPr>
          <w:sz w:val="24"/>
        </w:rPr>
      </w:pPr>
      <w:r>
        <w:rPr>
          <w:b/>
          <w:sz w:val="24"/>
        </w:rPr>
        <w:t>Polymerase chain reaction</w:t>
      </w:r>
      <w:r>
        <w:rPr>
          <w:sz w:val="24"/>
        </w:rPr>
        <w:t>: The preparation cocktail used in polymerase chain reaction </w:t>
      </w:r>
      <w:r>
        <w:rPr>
          <w:position w:val="2"/>
          <w:sz w:val="24"/>
        </w:rPr>
        <w:t>is made up of 10 µL 5x GoTaq colourless reaction, 3 µL of 25 mM MgCl</w:t>
      </w:r>
      <w:r>
        <w:rPr>
          <w:sz w:val="16"/>
        </w:rPr>
        <w:t>2</w:t>
      </w:r>
      <w:r>
        <w:rPr>
          <w:position w:val="2"/>
          <w:sz w:val="24"/>
        </w:rPr>
        <w:t>, 1 µL of 10 mM of </w:t>
      </w:r>
      <w:r>
        <w:rPr>
          <w:sz w:val="24"/>
        </w:rPr>
        <w:t>dNTPs</w:t>
      </w:r>
      <w:r>
        <w:rPr>
          <w:spacing w:val="-3"/>
          <w:sz w:val="24"/>
        </w:rPr>
        <w:t> </w:t>
      </w:r>
      <w:r>
        <w:rPr>
          <w:sz w:val="24"/>
        </w:rPr>
        <w:t>mix,</w:t>
      </w:r>
      <w:r>
        <w:rPr>
          <w:spacing w:val="-4"/>
          <w:sz w:val="24"/>
        </w:rPr>
        <w:t> </w:t>
      </w:r>
      <w:r>
        <w:rPr>
          <w:sz w:val="24"/>
        </w:rPr>
        <w:t>1</w:t>
      </w:r>
      <w:r>
        <w:rPr>
          <w:spacing w:val="-4"/>
          <w:sz w:val="24"/>
        </w:rPr>
        <w:t> </w:t>
      </w:r>
      <w:r>
        <w:rPr>
          <w:sz w:val="24"/>
        </w:rPr>
        <w:t>µL</w:t>
      </w:r>
      <w:r>
        <w:rPr>
          <w:spacing w:val="-9"/>
          <w:sz w:val="24"/>
        </w:rPr>
        <w:t> </w:t>
      </w:r>
      <w:r>
        <w:rPr>
          <w:sz w:val="24"/>
        </w:rPr>
        <w:t>of</w:t>
      </w:r>
      <w:r>
        <w:rPr>
          <w:spacing w:val="-2"/>
          <w:sz w:val="24"/>
        </w:rPr>
        <w:t> </w:t>
      </w:r>
      <w:r>
        <w:rPr>
          <w:sz w:val="24"/>
        </w:rPr>
        <w:t>10</w:t>
      </w:r>
      <w:r>
        <w:rPr>
          <w:spacing w:val="-4"/>
          <w:sz w:val="24"/>
        </w:rPr>
        <w:t> </w:t>
      </w:r>
      <w:r>
        <w:rPr>
          <w:sz w:val="24"/>
        </w:rPr>
        <w:t>pmol</w:t>
      </w:r>
      <w:r>
        <w:rPr>
          <w:spacing w:val="-3"/>
          <w:sz w:val="24"/>
        </w:rPr>
        <w:t> </w:t>
      </w:r>
      <w:r>
        <w:rPr>
          <w:sz w:val="24"/>
        </w:rPr>
        <w:t>each</w:t>
      </w:r>
      <w:r>
        <w:rPr>
          <w:spacing w:val="-2"/>
          <w:sz w:val="24"/>
        </w:rPr>
        <w:t> </w:t>
      </w:r>
      <w:r>
        <w:rPr>
          <w:sz w:val="24"/>
        </w:rPr>
        <w:t>27F</w:t>
      </w:r>
      <w:r>
        <w:rPr>
          <w:spacing w:val="-3"/>
          <w:sz w:val="24"/>
        </w:rPr>
        <w:t> </w:t>
      </w:r>
      <w:r>
        <w:rPr>
          <w:sz w:val="24"/>
        </w:rPr>
        <w:t>5’-</w:t>
      </w:r>
      <w:r>
        <w:rPr>
          <w:spacing w:val="-2"/>
          <w:sz w:val="24"/>
        </w:rPr>
        <w:t> </w:t>
      </w:r>
      <w:r>
        <w:rPr>
          <w:sz w:val="24"/>
        </w:rPr>
        <w:t>AGA</w:t>
      </w:r>
      <w:r>
        <w:rPr>
          <w:spacing w:val="-4"/>
          <w:sz w:val="24"/>
        </w:rPr>
        <w:t> </w:t>
      </w:r>
      <w:r>
        <w:rPr>
          <w:sz w:val="24"/>
        </w:rPr>
        <w:t>GTT</w:t>
      </w:r>
      <w:r>
        <w:rPr>
          <w:spacing w:val="-4"/>
          <w:sz w:val="24"/>
        </w:rPr>
        <w:t> </w:t>
      </w:r>
      <w:r>
        <w:rPr>
          <w:sz w:val="24"/>
        </w:rPr>
        <w:t>TGA</w:t>
      </w:r>
      <w:r>
        <w:rPr>
          <w:spacing w:val="-2"/>
          <w:sz w:val="24"/>
        </w:rPr>
        <w:t> </w:t>
      </w:r>
      <w:r>
        <w:rPr>
          <w:sz w:val="24"/>
        </w:rPr>
        <w:t>TCM</w:t>
      </w:r>
      <w:r>
        <w:rPr>
          <w:spacing w:val="-3"/>
          <w:sz w:val="24"/>
        </w:rPr>
        <w:t> </w:t>
      </w:r>
      <w:r>
        <w:rPr>
          <w:sz w:val="24"/>
        </w:rPr>
        <w:t>TGG</w:t>
      </w:r>
      <w:r>
        <w:rPr>
          <w:spacing w:val="-2"/>
          <w:sz w:val="24"/>
        </w:rPr>
        <w:t> </w:t>
      </w:r>
      <w:r>
        <w:rPr>
          <w:sz w:val="24"/>
        </w:rPr>
        <w:t>CTC</w:t>
      </w:r>
      <w:r>
        <w:rPr>
          <w:spacing w:val="-3"/>
          <w:sz w:val="24"/>
        </w:rPr>
        <w:t> </w:t>
      </w:r>
      <w:r>
        <w:rPr>
          <w:sz w:val="24"/>
        </w:rPr>
        <w:t>AG-3’</w:t>
      </w:r>
      <w:r>
        <w:rPr>
          <w:spacing w:val="-3"/>
          <w:sz w:val="24"/>
        </w:rPr>
        <w:t> </w:t>
      </w:r>
      <w:r>
        <w:rPr>
          <w:sz w:val="24"/>
        </w:rPr>
        <w:t>and</w:t>
      </w:r>
      <w:r>
        <w:rPr>
          <w:spacing w:val="-2"/>
          <w:sz w:val="24"/>
        </w:rPr>
        <w:t> </w:t>
      </w:r>
      <w:r>
        <w:rPr>
          <w:sz w:val="24"/>
        </w:rPr>
        <w:t>-</w:t>
      </w:r>
      <w:r>
        <w:rPr>
          <w:spacing w:val="-6"/>
          <w:sz w:val="24"/>
        </w:rPr>
        <w:t> </w:t>
      </w:r>
      <w:r>
        <w:rPr>
          <w:sz w:val="24"/>
        </w:rPr>
        <w:t>1525R, 5′-AAGGAGGTGATCCAGCC-3′</w:t>
      </w:r>
      <w:r>
        <w:rPr>
          <w:spacing w:val="39"/>
          <w:sz w:val="24"/>
        </w:rPr>
        <w:t> </w:t>
      </w:r>
      <w:r>
        <w:rPr>
          <w:sz w:val="24"/>
        </w:rPr>
        <w:t>primers</w:t>
      </w:r>
      <w:r>
        <w:rPr>
          <w:spacing w:val="44"/>
          <w:sz w:val="24"/>
        </w:rPr>
        <w:t> </w:t>
      </w:r>
      <w:r>
        <w:rPr>
          <w:sz w:val="24"/>
        </w:rPr>
        <w:t>and</w:t>
      </w:r>
      <w:r>
        <w:rPr>
          <w:spacing w:val="46"/>
          <w:sz w:val="24"/>
        </w:rPr>
        <w:t> </w:t>
      </w:r>
      <w:r>
        <w:rPr>
          <w:sz w:val="24"/>
        </w:rPr>
        <w:t>0.3</w:t>
      </w:r>
      <w:r>
        <w:rPr>
          <w:spacing w:val="44"/>
          <w:sz w:val="24"/>
        </w:rPr>
        <w:t> </w:t>
      </w:r>
      <w:r>
        <w:rPr>
          <w:sz w:val="24"/>
        </w:rPr>
        <w:t>units</w:t>
      </w:r>
      <w:r>
        <w:rPr>
          <w:spacing w:val="44"/>
          <w:sz w:val="24"/>
        </w:rPr>
        <w:t> </w:t>
      </w:r>
      <w:r>
        <w:rPr>
          <w:sz w:val="24"/>
        </w:rPr>
        <w:t>of</w:t>
      </w:r>
      <w:r>
        <w:rPr>
          <w:spacing w:val="43"/>
          <w:sz w:val="24"/>
        </w:rPr>
        <w:t> </w:t>
      </w:r>
      <w:r>
        <w:rPr>
          <w:sz w:val="24"/>
        </w:rPr>
        <w:t>Taq</w:t>
      </w:r>
      <w:r>
        <w:rPr>
          <w:spacing w:val="44"/>
          <w:sz w:val="24"/>
        </w:rPr>
        <w:t> </w:t>
      </w:r>
      <w:r>
        <w:rPr>
          <w:sz w:val="24"/>
        </w:rPr>
        <w:t>DNA</w:t>
      </w:r>
      <w:r>
        <w:rPr>
          <w:spacing w:val="43"/>
          <w:sz w:val="24"/>
        </w:rPr>
        <w:t> </w:t>
      </w:r>
      <w:r>
        <w:rPr>
          <w:sz w:val="24"/>
        </w:rPr>
        <w:t>polymerase</w:t>
      </w:r>
      <w:r>
        <w:rPr>
          <w:spacing w:val="44"/>
          <w:sz w:val="24"/>
        </w:rPr>
        <w:t> </w:t>
      </w:r>
      <w:r>
        <w:rPr>
          <w:spacing w:val="-2"/>
          <w:sz w:val="24"/>
        </w:rPr>
        <w:t>(Promega,</w:t>
      </w:r>
    </w:p>
    <w:p>
      <w:pPr>
        <w:spacing w:after="0" w:line="480" w:lineRule="auto"/>
        <w:jc w:val="both"/>
        <w:rPr>
          <w:sz w:val="24"/>
        </w:rPr>
        <w:sectPr>
          <w:pgSz w:w="12240" w:h="15840"/>
          <w:pgMar w:header="0" w:footer="1015" w:top="1360" w:bottom="1200" w:left="1320" w:right="1320"/>
        </w:sectPr>
      </w:pPr>
    </w:p>
    <w:p>
      <w:pPr>
        <w:pStyle w:val="BodyText"/>
        <w:spacing w:line="480" w:lineRule="auto" w:before="72"/>
        <w:ind w:left="120" w:right="114"/>
        <w:jc w:val="both"/>
      </w:pPr>
      <w:r>
        <w:rPr/>
        <w:t>USA), which consist of 42 µL</w:t>
      </w:r>
      <w:r>
        <w:rPr>
          <w:spacing w:val="-4"/>
        </w:rPr>
        <w:t> </w:t>
      </w:r>
      <w:r>
        <w:rPr/>
        <w:t>with sterile distilled water</w:t>
      </w:r>
      <w:r>
        <w:rPr>
          <w:spacing w:val="-1"/>
        </w:rPr>
        <w:t> </w:t>
      </w:r>
      <w:r>
        <w:rPr/>
        <w:t>8μL</w:t>
      </w:r>
      <w:r>
        <w:rPr>
          <w:spacing w:val="-2"/>
        </w:rPr>
        <w:t> </w:t>
      </w:r>
      <w:r>
        <w:rPr/>
        <w:t>DNA template. A Gene Amp 9700 PCR</w:t>
      </w:r>
      <w:r>
        <w:rPr>
          <w:spacing w:val="-2"/>
        </w:rPr>
        <w:t> </w:t>
      </w:r>
      <w:r>
        <w:rPr/>
        <w:t>System</w:t>
      </w:r>
      <w:r>
        <w:rPr>
          <w:spacing w:val="-2"/>
        </w:rPr>
        <w:t> </w:t>
      </w:r>
      <w:r>
        <w:rPr/>
        <w:t>Thermal cycler</w:t>
      </w:r>
      <w:r>
        <w:rPr>
          <w:spacing w:val="-2"/>
        </w:rPr>
        <w:t> </w:t>
      </w:r>
      <w:r>
        <w:rPr/>
        <w:t>(Applied Biosystem</w:t>
      </w:r>
      <w:r>
        <w:rPr>
          <w:spacing w:val="40"/>
        </w:rPr>
        <w:t> </w:t>
      </w:r>
      <w:r>
        <w:rPr/>
        <w:t>Inc., USA)</w:t>
      </w:r>
      <w:r>
        <w:rPr>
          <w:spacing w:val="-3"/>
        </w:rPr>
        <w:t> </w:t>
      </w:r>
      <w:r>
        <w:rPr/>
        <w:t>was</w:t>
      </w:r>
      <w:r>
        <w:rPr>
          <w:spacing w:val="-2"/>
        </w:rPr>
        <w:t> </w:t>
      </w:r>
      <w:r>
        <w:rPr/>
        <w:t>used</w:t>
      </w:r>
      <w:r>
        <w:rPr>
          <w:spacing w:val="-1"/>
        </w:rPr>
        <w:t> </w:t>
      </w:r>
      <w:r>
        <w:rPr/>
        <w:t>to carry</w:t>
      </w:r>
      <w:r>
        <w:rPr>
          <w:spacing w:val="-5"/>
        </w:rPr>
        <w:t> </w:t>
      </w:r>
      <w:r>
        <w:rPr/>
        <w:t>out</w:t>
      </w:r>
      <w:r>
        <w:rPr>
          <w:spacing w:val="-2"/>
        </w:rPr>
        <w:t> </w:t>
      </w:r>
      <w:r>
        <w:rPr/>
        <w:t>the</w:t>
      </w:r>
      <w:r>
        <w:rPr>
          <w:spacing w:val="-3"/>
        </w:rPr>
        <w:t> </w:t>
      </w:r>
      <w:r>
        <w:rPr/>
        <w:t>PCR</w:t>
      </w:r>
      <w:r>
        <w:rPr>
          <w:spacing w:val="-2"/>
        </w:rPr>
        <w:t> </w:t>
      </w:r>
      <w:r>
        <w:rPr/>
        <w:t>with a</w:t>
      </w:r>
      <w:r>
        <w:rPr>
          <w:spacing w:val="40"/>
        </w:rPr>
        <w:t> </w:t>
      </w:r>
      <w:r>
        <w:rPr/>
        <w:t>PCR profile, which consists of an initial denaturation at a temperature of 94°C for 5 minutes; followed</w:t>
      </w:r>
      <w:r>
        <w:rPr>
          <w:spacing w:val="-5"/>
        </w:rPr>
        <w:t> </w:t>
      </w:r>
      <w:r>
        <w:rPr/>
        <w:t>by</w:t>
      </w:r>
      <w:r>
        <w:rPr>
          <w:spacing w:val="-10"/>
        </w:rPr>
        <w:t> </w:t>
      </w:r>
      <w:r>
        <w:rPr/>
        <w:t>a</w:t>
      </w:r>
      <w:r>
        <w:rPr>
          <w:spacing w:val="-6"/>
        </w:rPr>
        <w:t> </w:t>
      </w:r>
      <w:r>
        <w:rPr/>
        <w:t>30</w:t>
      </w:r>
      <w:r>
        <w:rPr>
          <w:spacing w:val="-5"/>
        </w:rPr>
        <w:t> </w:t>
      </w:r>
      <w:r>
        <w:rPr/>
        <w:t>cycles</w:t>
      </w:r>
      <w:r>
        <w:rPr>
          <w:spacing w:val="-5"/>
        </w:rPr>
        <w:t> </w:t>
      </w:r>
      <w:r>
        <w:rPr/>
        <w:t>that</w:t>
      </w:r>
      <w:r>
        <w:rPr>
          <w:spacing w:val="-5"/>
        </w:rPr>
        <w:t> </w:t>
      </w:r>
      <w:r>
        <w:rPr/>
        <w:t>consists</w:t>
      </w:r>
      <w:r>
        <w:rPr>
          <w:spacing w:val="-5"/>
        </w:rPr>
        <w:t> </w:t>
      </w:r>
      <w:r>
        <w:rPr/>
        <w:t>of</w:t>
      </w:r>
      <w:r>
        <w:rPr>
          <w:spacing w:val="-6"/>
        </w:rPr>
        <w:t> </w:t>
      </w:r>
      <w:r>
        <w:rPr/>
        <w:t>94°C</w:t>
      </w:r>
      <w:r>
        <w:rPr>
          <w:spacing w:val="-4"/>
        </w:rPr>
        <w:t> </w:t>
      </w:r>
      <w:r>
        <w:rPr/>
        <w:t>for</w:t>
      </w:r>
      <w:r>
        <w:rPr>
          <w:spacing w:val="-6"/>
        </w:rPr>
        <w:t> </w:t>
      </w:r>
      <w:r>
        <w:rPr/>
        <w:t>30</w:t>
      </w:r>
      <w:r>
        <w:rPr>
          <w:spacing w:val="-5"/>
        </w:rPr>
        <w:t> </w:t>
      </w:r>
      <w:r>
        <w:rPr/>
        <w:t>seconds,</w:t>
      </w:r>
      <w:r>
        <w:rPr>
          <w:spacing w:val="-5"/>
        </w:rPr>
        <w:t> </w:t>
      </w:r>
      <w:r>
        <w:rPr/>
        <w:t>50°C</w:t>
      </w:r>
      <w:r>
        <w:rPr>
          <w:spacing w:val="-4"/>
        </w:rPr>
        <w:t> </w:t>
      </w:r>
      <w:r>
        <w:rPr/>
        <w:t>for</w:t>
      </w:r>
      <w:r>
        <w:rPr>
          <w:spacing w:val="-6"/>
        </w:rPr>
        <w:t> </w:t>
      </w:r>
      <w:r>
        <w:rPr/>
        <w:t>60seconds</w:t>
      </w:r>
      <w:r>
        <w:rPr>
          <w:spacing w:val="-5"/>
        </w:rPr>
        <w:t> </w:t>
      </w:r>
      <w:r>
        <w:rPr/>
        <w:t>and</w:t>
      </w:r>
      <w:r>
        <w:rPr>
          <w:spacing w:val="-5"/>
        </w:rPr>
        <w:t> </w:t>
      </w:r>
      <w:r>
        <w:rPr/>
        <w:t>72°C</w:t>
      </w:r>
      <w:r>
        <w:rPr>
          <w:spacing w:val="-4"/>
        </w:rPr>
        <w:t> </w:t>
      </w:r>
      <w:r>
        <w:rPr/>
        <w:t>for</w:t>
      </w:r>
      <w:r>
        <w:rPr>
          <w:spacing w:val="-6"/>
        </w:rPr>
        <w:t> </w:t>
      </w:r>
      <w:r>
        <w:rPr/>
        <w:t>90 seconds ;</w:t>
      </w:r>
      <w:r>
        <w:rPr>
          <w:spacing w:val="40"/>
        </w:rPr>
        <w:t> </w:t>
      </w:r>
      <w:r>
        <w:rPr/>
        <w:t>and a final termination at 72°C</w:t>
      </w:r>
      <w:r>
        <w:rPr>
          <w:spacing w:val="-1"/>
        </w:rPr>
        <w:t> </w:t>
      </w:r>
      <w:r>
        <w:rPr/>
        <w:t>for 10</w:t>
      </w:r>
      <w:r>
        <w:rPr>
          <w:spacing w:val="-1"/>
        </w:rPr>
        <w:t> </w:t>
      </w:r>
      <w:r>
        <w:rPr/>
        <w:t>minutess. It was then chilled at 4°C.</w:t>
      </w:r>
      <w:r>
        <w:rPr>
          <w:spacing w:val="-1"/>
        </w:rPr>
        <w:t> </w:t>
      </w:r>
      <w:r>
        <w:rPr/>
        <w:t>(Wawrik </w:t>
      </w:r>
      <w:r>
        <w:rPr>
          <w:i/>
        </w:rPr>
        <w:t>et al., </w:t>
      </w:r>
      <w:r>
        <w:rPr/>
        <w:t>2005; Frank </w:t>
      </w:r>
      <w:r>
        <w:rPr>
          <w:i/>
        </w:rPr>
        <w:t>et al., </w:t>
      </w:r>
      <w:r>
        <w:rPr/>
        <w:t>2008)</w:t>
      </w:r>
    </w:p>
    <w:p>
      <w:pPr>
        <w:pStyle w:val="BodyText"/>
        <w:spacing w:line="480" w:lineRule="auto"/>
        <w:ind w:left="120" w:right="118"/>
        <w:jc w:val="both"/>
      </w:pPr>
      <w:r>
        <w:rPr/>
        <w:t>The</w:t>
      </w:r>
      <w:r>
        <w:rPr>
          <w:spacing w:val="-8"/>
        </w:rPr>
        <w:t> </w:t>
      </w:r>
      <w:r>
        <w:rPr/>
        <w:t>amplification</w:t>
      </w:r>
      <w:r>
        <w:rPr>
          <w:spacing w:val="-7"/>
        </w:rPr>
        <w:t> </w:t>
      </w:r>
      <w:r>
        <w:rPr/>
        <w:t>was</w:t>
      </w:r>
      <w:r>
        <w:rPr>
          <w:spacing w:val="-7"/>
        </w:rPr>
        <w:t> </w:t>
      </w:r>
      <w:r>
        <w:rPr/>
        <w:t>confirmed</w:t>
      </w:r>
      <w:r>
        <w:rPr>
          <w:spacing w:val="-8"/>
        </w:rPr>
        <w:t> </w:t>
      </w:r>
      <w:r>
        <w:rPr/>
        <w:t>by</w:t>
      </w:r>
      <w:r>
        <w:rPr>
          <w:spacing w:val="-9"/>
        </w:rPr>
        <w:t> </w:t>
      </w:r>
      <w:r>
        <w:rPr/>
        <w:t>checking</w:t>
      </w:r>
      <w:r>
        <w:rPr>
          <w:spacing w:val="-9"/>
        </w:rPr>
        <w:t> </w:t>
      </w:r>
      <w:r>
        <w:rPr/>
        <w:t>the</w:t>
      </w:r>
      <w:r>
        <w:rPr>
          <w:spacing w:val="-8"/>
        </w:rPr>
        <w:t> </w:t>
      </w:r>
      <w:r>
        <w:rPr/>
        <w:t>integrity</w:t>
      </w:r>
      <w:r>
        <w:rPr>
          <w:spacing w:val="-11"/>
        </w:rPr>
        <w:t> </w:t>
      </w:r>
      <w:r>
        <w:rPr/>
        <w:t>of</w:t>
      </w:r>
      <w:r>
        <w:rPr>
          <w:spacing w:val="-8"/>
        </w:rPr>
        <w:t> </w:t>
      </w:r>
      <w:r>
        <w:rPr/>
        <w:t>about</w:t>
      </w:r>
      <w:r>
        <w:rPr>
          <w:spacing w:val="-7"/>
        </w:rPr>
        <w:t> </w:t>
      </w:r>
      <w:r>
        <w:rPr/>
        <w:t>1.5</w:t>
      </w:r>
      <w:r>
        <w:rPr>
          <w:spacing w:val="-5"/>
        </w:rPr>
        <w:t> </w:t>
      </w:r>
      <w:r>
        <w:rPr/>
        <w:t>Mb</w:t>
      </w:r>
      <w:r>
        <w:rPr>
          <w:spacing w:val="-5"/>
        </w:rPr>
        <w:t> </w:t>
      </w:r>
      <w:r>
        <w:rPr/>
        <w:t>amplified</w:t>
      </w:r>
      <w:r>
        <w:rPr>
          <w:spacing w:val="-7"/>
        </w:rPr>
        <w:t> </w:t>
      </w:r>
      <w:r>
        <w:rPr/>
        <w:t>fragment</w:t>
      </w:r>
      <w:r>
        <w:rPr>
          <w:spacing w:val="-7"/>
        </w:rPr>
        <w:t> </w:t>
      </w:r>
      <w:r>
        <w:rPr/>
        <w:t>of gene on 1 % agarose gel containing 1XTAE buffer. Microwave was used to boil the suspension for 5 minutes, cooled to 60°C and thereafter, it was stained with 3µL of 0.5 g/mL ethidium bromide. Invisible UV light was absorbed by this ethidium bromide and energy is transmitted as visible orange light. The molten agarose was poured into a tray</w:t>
      </w:r>
      <w:r>
        <w:rPr>
          <w:spacing w:val="-4"/>
        </w:rPr>
        <w:t> </w:t>
      </w:r>
      <w:r>
        <w:rPr/>
        <w:t>by</w:t>
      </w:r>
      <w:r>
        <w:rPr>
          <w:spacing w:val="-4"/>
        </w:rPr>
        <w:t> </w:t>
      </w:r>
      <w:r>
        <w:rPr/>
        <w:t>inserting a comb into the slots of the casting tray and the gel was allowed to undergo solidification for 20 minutes to form the wells. In order to barely submerge the gel, the 1XTAE buffer was poured into the gel tank. After 100 bp DNA ladder was loaded into well 1, 2 µL of 10X blue gel loading dye was added to 4µL PCR product and loaded into the wells. The 10X blue gel loading dye is known to give sample colour</w:t>
      </w:r>
      <w:r>
        <w:rPr>
          <w:spacing w:val="-2"/>
        </w:rPr>
        <w:t> </w:t>
      </w:r>
      <w:r>
        <w:rPr/>
        <w:t>and</w:t>
      </w:r>
      <w:r>
        <w:rPr>
          <w:spacing w:val="-2"/>
        </w:rPr>
        <w:t> </w:t>
      </w:r>
      <w:r>
        <w:rPr/>
        <w:t>density,</w:t>
      </w:r>
      <w:r>
        <w:rPr>
          <w:spacing w:val="-2"/>
        </w:rPr>
        <w:t> </w:t>
      </w:r>
      <w:r>
        <w:rPr/>
        <w:t>making</w:t>
      </w:r>
      <w:r>
        <w:rPr>
          <w:spacing w:val="-4"/>
        </w:rPr>
        <w:t> </w:t>
      </w:r>
      <w:r>
        <w:rPr/>
        <w:t>it</w:t>
      </w:r>
      <w:r>
        <w:rPr>
          <w:spacing w:val="-2"/>
        </w:rPr>
        <w:t> </w:t>
      </w:r>
      <w:r>
        <w:rPr/>
        <w:t>easily</w:t>
      </w:r>
      <w:r>
        <w:rPr>
          <w:spacing w:val="-7"/>
        </w:rPr>
        <w:t> </w:t>
      </w:r>
      <w:r>
        <w:rPr/>
        <w:t>loaded</w:t>
      </w:r>
      <w:r>
        <w:rPr>
          <w:spacing w:val="-2"/>
        </w:rPr>
        <w:t> </w:t>
      </w:r>
      <w:r>
        <w:rPr/>
        <w:t>into</w:t>
      </w:r>
      <w:r>
        <w:rPr>
          <w:spacing w:val="-2"/>
        </w:rPr>
        <w:t> </w:t>
      </w:r>
      <w:r>
        <w:rPr/>
        <w:t>the</w:t>
      </w:r>
      <w:r>
        <w:rPr>
          <w:spacing w:val="-3"/>
        </w:rPr>
        <w:t> </w:t>
      </w:r>
      <w:r>
        <w:rPr/>
        <w:t>wells</w:t>
      </w:r>
      <w:r>
        <w:rPr>
          <w:spacing w:val="-2"/>
        </w:rPr>
        <w:t> </w:t>
      </w:r>
      <w:r>
        <w:rPr/>
        <w:t>and at</w:t>
      </w:r>
      <w:r>
        <w:rPr>
          <w:spacing w:val="-2"/>
        </w:rPr>
        <w:t> </w:t>
      </w:r>
      <w:r>
        <w:rPr/>
        <w:t>the</w:t>
      </w:r>
      <w:r>
        <w:rPr>
          <w:spacing w:val="-3"/>
        </w:rPr>
        <w:t> </w:t>
      </w:r>
      <w:r>
        <w:rPr/>
        <w:t>same</w:t>
      </w:r>
      <w:r>
        <w:rPr>
          <w:spacing w:val="-2"/>
        </w:rPr>
        <w:t> </w:t>
      </w:r>
      <w:r>
        <w:rPr/>
        <w:t>time</w:t>
      </w:r>
      <w:r>
        <w:rPr>
          <w:spacing w:val="-2"/>
        </w:rPr>
        <w:t> </w:t>
      </w:r>
      <w:r>
        <w:rPr/>
        <w:t>the</w:t>
      </w:r>
      <w:r>
        <w:rPr>
          <w:spacing w:val="-3"/>
        </w:rPr>
        <w:t> </w:t>
      </w:r>
      <w:r>
        <w:rPr/>
        <w:t>progress</w:t>
      </w:r>
      <w:r>
        <w:rPr>
          <w:spacing w:val="-2"/>
        </w:rPr>
        <w:t> </w:t>
      </w:r>
      <w:r>
        <w:rPr/>
        <w:t>of</w:t>
      </w:r>
      <w:r>
        <w:rPr>
          <w:spacing w:val="-2"/>
        </w:rPr>
        <w:t> </w:t>
      </w:r>
      <w:r>
        <w:rPr/>
        <w:t>the gel can be monitored. The gel undergoes electrophoresis at 120 V for 45 minutes and ultraviolet transillumination was used to visualize it and photographed. The size of the PCR product was obtained by comparing with the mobility of a 100 bp molecular weight ladder that was ran alongside experimental sample in the gel.</w:t>
      </w:r>
    </w:p>
    <w:p>
      <w:pPr>
        <w:pStyle w:val="Heading2"/>
        <w:numPr>
          <w:ilvl w:val="3"/>
          <w:numId w:val="4"/>
        </w:numPr>
        <w:tabs>
          <w:tab w:pos="841" w:val="left" w:leader="none"/>
        </w:tabs>
        <w:spacing w:line="240" w:lineRule="auto" w:before="7" w:after="0"/>
        <w:ind w:left="840" w:right="0" w:hanging="721"/>
        <w:jc w:val="both"/>
      </w:pPr>
      <w:r>
        <w:rPr/>
        <w:t>Purification</w:t>
      </w:r>
      <w:r>
        <w:rPr>
          <w:spacing w:val="-5"/>
        </w:rPr>
        <w:t> </w:t>
      </w:r>
      <w:r>
        <w:rPr/>
        <w:t>of</w:t>
      </w:r>
      <w:r>
        <w:rPr>
          <w:spacing w:val="-4"/>
        </w:rPr>
        <w:t> </w:t>
      </w:r>
      <w:r>
        <w:rPr/>
        <w:t>amplified</w:t>
      </w:r>
      <w:r>
        <w:rPr>
          <w:spacing w:val="-5"/>
        </w:rPr>
        <w:t> </w:t>
      </w:r>
      <w:r>
        <w:rPr/>
        <w:t>product</w:t>
      </w:r>
      <w:r>
        <w:rPr>
          <w:spacing w:val="-5"/>
        </w:rPr>
        <w:t> </w:t>
      </w:r>
      <w:r>
        <w:rPr/>
        <w:t>for</w:t>
      </w:r>
      <w:r>
        <w:rPr>
          <w:spacing w:val="-6"/>
        </w:rPr>
        <w:t> </w:t>
      </w:r>
      <w:r>
        <w:rPr>
          <w:spacing w:val="-2"/>
        </w:rPr>
        <w:t>sequencing</w:t>
      </w:r>
    </w:p>
    <w:p>
      <w:pPr>
        <w:pStyle w:val="BodyText"/>
        <w:spacing w:before="7"/>
        <w:rPr>
          <w:b/>
          <w:sz w:val="23"/>
        </w:rPr>
      </w:pPr>
    </w:p>
    <w:p>
      <w:pPr>
        <w:pStyle w:val="BodyText"/>
        <w:spacing w:line="480" w:lineRule="auto"/>
        <w:ind w:left="120" w:right="118"/>
        <w:jc w:val="both"/>
      </w:pPr>
      <w:r>
        <w:rPr/>
        <w:t>Following</w:t>
      </w:r>
      <w:r>
        <w:rPr>
          <w:spacing w:val="-2"/>
        </w:rPr>
        <w:t> </w:t>
      </w:r>
      <w:r>
        <w:rPr/>
        <w:t>gel</w:t>
      </w:r>
      <w:r>
        <w:rPr>
          <w:spacing w:val="-4"/>
        </w:rPr>
        <w:t> </w:t>
      </w:r>
      <w:r>
        <w:rPr/>
        <w:t>integrity</w:t>
      </w:r>
      <w:r>
        <w:rPr>
          <w:spacing w:val="-7"/>
        </w:rPr>
        <w:t> </w:t>
      </w:r>
      <w:r>
        <w:rPr/>
        <w:t>check,</w:t>
      </w:r>
      <w:r>
        <w:rPr>
          <w:spacing w:val="-2"/>
        </w:rPr>
        <w:t> </w:t>
      </w:r>
      <w:r>
        <w:rPr/>
        <w:t>reagents</w:t>
      </w:r>
      <w:r>
        <w:rPr>
          <w:spacing w:val="-4"/>
        </w:rPr>
        <w:t> </w:t>
      </w:r>
      <w:r>
        <w:rPr/>
        <w:t>used</w:t>
      </w:r>
      <w:r>
        <w:rPr>
          <w:spacing w:val="-3"/>
        </w:rPr>
        <w:t> </w:t>
      </w:r>
      <w:r>
        <w:rPr/>
        <w:t>during</w:t>
      </w:r>
      <w:r>
        <w:rPr>
          <w:spacing w:val="-7"/>
        </w:rPr>
        <w:t> </w:t>
      </w:r>
      <w:r>
        <w:rPr/>
        <w:t>PCR</w:t>
      </w:r>
      <w:r>
        <w:rPr>
          <w:spacing w:val="-4"/>
        </w:rPr>
        <w:t> </w:t>
      </w:r>
      <w:r>
        <w:rPr/>
        <w:t>was</w:t>
      </w:r>
      <w:r>
        <w:rPr>
          <w:spacing w:val="-5"/>
        </w:rPr>
        <w:t> </w:t>
      </w:r>
      <w:r>
        <w:rPr/>
        <w:t>removed</w:t>
      </w:r>
      <w:r>
        <w:rPr>
          <w:spacing w:val="-5"/>
        </w:rPr>
        <w:t> </w:t>
      </w:r>
      <w:r>
        <w:rPr/>
        <w:t>using</w:t>
      </w:r>
      <w:r>
        <w:rPr>
          <w:spacing w:val="-5"/>
        </w:rPr>
        <w:t> </w:t>
      </w:r>
      <w:r>
        <w:rPr/>
        <w:t>ethanol</w:t>
      </w:r>
      <w:r>
        <w:rPr>
          <w:spacing w:val="-5"/>
        </w:rPr>
        <w:t> </w:t>
      </w:r>
      <w:r>
        <w:rPr/>
        <w:t>to</w:t>
      </w:r>
      <w:r>
        <w:rPr>
          <w:spacing w:val="-2"/>
        </w:rPr>
        <w:t> </w:t>
      </w:r>
      <w:r>
        <w:rPr/>
        <w:t>purify</w:t>
      </w:r>
      <w:r>
        <w:rPr>
          <w:spacing w:val="-10"/>
        </w:rPr>
        <w:t> </w:t>
      </w:r>
      <w:r>
        <w:rPr/>
        <w:t>the amplified</w:t>
      </w:r>
      <w:r>
        <w:rPr>
          <w:spacing w:val="-7"/>
        </w:rPr>
        <w:t> </w:t>
      </w:r>
      <w:r>
        <w:rPr/>
        <w:t>fragment.</w:t>
      </w:r>
      <w:r>
        <w:rPr>
          <w:spacing w:val="-4"/>
        </w:rPr>
        <w:t> </w:t>
      </w:r>
      <w:r>
        <w:rPr/>
        <w:t>In</w:t>
      </w:r>
      <w:r>
        <w:rPr>
          <w:spacing w:val="-4"/>
        </w:rPr>
        <w:t> </w:t>
      </w:r>
      <w:r>
        <w:rPr/>
        <w:t>Brief,</w:t>
      </w:r>
      <w:r>
        <w:rPr>
          <w:spacing w:val="-7"/>
        </w:rPr>
        <w:t> </w:t>
      </w:r>
      <w:r>
        <w:rPr/>
        <w:t>7.6</w:t>
      </w:r>
      <w:r>
        <w:rPr>
          <w:spacing w:val="-6"/>
        </w:rPr>
        <w:t> </w:t>
      </w:r>
      <w:r>
        <w:rPr/>
        <w:t>µL</w:t>
      </w:r>
      <w:r>
        <w:rPr>
          <w:spacing w:val="-11"/>
        </w:rPr>
        <w:t> </w:t>
      </w:r>
      <w:r>
        <w:rPr/>
        <w:t>of</w:t>
      </w:r>
      <w:r>
        <w:rPr>
          <w:spacing w:val="-7"/>
        </w:rPr>
        <w:t> </w:t>
      </w:r>
      <w:r>
        <w:rPr/>
        <w:t>3M</w:t>
      </w:r>
      <w:r>
        <w:rPr>
          <w:spacing w:val="-7"/>
        </w:rPr>
        <w:t> </w:t>
      </w:r>
      <w:r>
        <w:rPr/>
        <w:t>sodium</w:t>
      </w:r>
      <w:r>
        <w:rPr>
          <w:spacing w:val="-6"/>
        </w:rPr>
        <w:t> </w:t>
      </w:r>
      <w:r>
        <w:rPr/>
        <w:t>acetate</w:t>
      </w:r>
      <w:r>
        <w:rPr>
          <w:spacing w:val="-5"/>
        </w:rPr>
        <w:t> </w:t>
      </w:r>
      <w:r>
        <w:rPr/>
        <w:t>and</w:t>
      </w:r>
      <w:r>
        <w:rPr>
          <w:spacing w:val="-6"/>
        </w:rPr>
        <w:t> </w:t>
      </w:r>
      <w:r>
        <w:rPr/>
        <w:t>240</w:t>
      </w:r>
      <w:r>
        <w:rPr>
          <w:spacing w:val="-7"/>
        </w:rPr>
        <w:t> </w:t>
      </w:r>
      <w:r>
        <w:rPr/>
        <w:t>µL</w:t>
      </w:r>
      <w:r>
        <w:rPr>
          <w:spacing w:val="-11"/>
        </w:rPr>
        <w:t> </w:t>
      </w:r>
      <w:r>
        <w:rPr/>
        <w:t>of</w:t>
      </w:r>
      <w:r>
        <w:rPr>
          <w:spacing w:val="-7"/>
        </w:rPr>
        <w:t> </w:t>
      </w:r>
      <w:r>
        <w:rPr/>
        <w:t>95</w:t>
      </w:r>
      <w:r>
        <w:rPr>
          <w:spacing w:val="-2"/>
        </w:rPr>
        <w:t> </w:t>
      </w:r>
      <w:r>
        <w:rPr/>
        <w:t>%</w:t>
      </w:r>
      <w:r>
        <w:rPr>
          <w:spacing w:val="-7"/>
        </w:rPr>
        <w:t> </w:t>
      </w:r>
      <w:r>
        <w:rPr/>
        <w:t>ethanol</w:t>
      </w:r>
      <w:r>
        <w:rPr>
          <w:spacing w:val="-6"/>
        </w:rPr>
        <w:t> </w:t>
      </w:r>
      <w:r>
        <w:rPr/>
        <w:t>was</w:t>
      </w:r>
      <w:r>
        <w:rPr>
          <w:spacing w:val="-6"/>
        </w:rPr>
        <w:t> </w:t>
      </w:r>
      <w:r>
        <w:rPr>
          <w:spacing w:val="-2"/>
        </w:rPr>
        <w:t>added</w:t>
      </w:r>
    </w:p>
    <w:p>
      <w:pPr>
        <w:spacing w:after="0" w:line="480" w:lineRule="auto"/>
        <w:jc w:val="both"/>
        <w:sectPr>
          <w:pgSz w:w="12240" w:h="15840"/>
          <w:pgMar w:header="0" w:footer="1015" w:top="1360" w:bottom="1200" w:left="1320" w:right="1320"/>
        </w:sectPr>
      </w:pPr>
    </w:p>
    <w:p>
      <w:pPr>
        <w:pStyle w:val="BodyText"/>
        <w:spacing w:line="480" w:lineRule="auto" w:before="72"/>
        <w:ind w:left="120" w:right="114"/>
        <w:jc w:val="both"/>
      </w:pPr>
      <w:r>
        <w:rPr/>
        <w:t>to about 40 µL PCR amplified product in a new sterile 1.5 µl eppendorf tube, mixed thoroughly by vortexing and kept at -20°C for about 30 minutes. It was then centrifuged at 1300 rpm for 10 minutes and 4°C. The supernatant was discarded and the pellet were washed by</w:t>
      </w:r>
      <w:r>
        <w:rPr>
          <w:spacing w:val="-3"/>
        </w:rPr>
        <w:t> </w:t>
      </w:r>
      <w:r>
        <w:rPr/>
        <w:t>adding 150 µl of 70 % ethanol, mixed and centrifuged at 7500 rpm for 15 minutes at 4°C to remove all the supernatant. The tube was inverted on tissue paper and left in a fume hood to let dry at room temperature for 10 to 15 minutes. It is then resuspended with 20 µL of sterile distilled water and stored</w:t>
      </w:r>
      <w:r>
        <w:rPr>
          <w:spacing w:val="-8"/>
        </w:rPr>
        <w:t> </w:t>
      </w:r>
      <w:r>
        <w:rPr/>
        <w:t>at</w:t>
      </w:r>
      <w:r>
        <w:rPr>
          <w:spacing w:val="-8"/>
        </w:rPr>
        <w:t> </w:t>
      </w:r>
      <w:r>
        <w:rPr/>
        <w:t>-20</w:t>
      </w:r>
      <w:r>
        <w:rPr>
          <w:vertAlign w:val="superscript"/>
        </w:rPr>
        <w:t>o</w:t>
      </w:r>
      <w:r>
        <w:rPr>
          <w:vertAlign w:val="baseline"/>
        </w:rPr>
        <w:t>C</w:t>
      </w:r>
      <w:r>
        <w:rPr>
          <w:spacing w:val="-7"/>
          <w:vertAlign w:val="baseline"/>
        </w:rPr>
        <w:t> </w:t>
      </w:r>
      <w:r>
        <w:rPr>
          <w:vertAlign w:val="baseline"/>
        </w:rPr>
        <w:t>before</w:t>
      </w:r>
      <w:r>
        <w:rPr>
          <w:spacing w:val="-8"/>
          <w:vertAlign w:val="baseline"/>
        </w:rPr>
        <w:t> </w:t>
      </w:r>
      <w:r>
        <w:rPr>
          <w:vertAlign w:val="baseline"/>
        </w:rPr>
        <w:t>sequencing.</w:t>
      </w:r>
      <w:r>
        <w:rPr>
          <w:spacing w:val="-7"/>
          <w:vertAlign w:val="baseline"/>
        </w:rPr>
        <w:t> </w:t>
      </w:r>
      <w:r>
        <w:rPr>
          <w:vertAlign w:val="baseline"/>
        </w:rPr>
        <w:t>The</w:t>
      </w:r>
      <w:r>
        <w:rPr>
          <w:spacing w:val="-8"/>
          <w:vertAlign w:val="baseline"/>
        </w:rPr>
        <w:t> </w:t>
      </w:r>
      <w:r>
        <w:rPr>
          <w:vertAlign w:val="baseline"/>
        </w:rPr>
        <w:t>purified</w:t>
      </w:r>
      <w:r>
        <w:rPr>
          <w:spacing w:val="-7"/>
          <w:vertAlign w:val="baseline"/>
        </w:rPr>
        <w:t> </w:t>
      </w:r>
      <w:r>
        <w:rPr>
          <w:vertAlign w:val="baseline"/>
        </w:rPr>
        <w:t>product</w:t>
      </w:r>
      <w:r>
        <w:rPr>
          <w:spacing w:val="-7"/>
          <w:vertAlign w:val="baseline"/>
        </w:rPr>
        <w:t> </w:t>
      </w:r>
      <w:r>
        <w:rPr>
          <w:vertAlign w:val="baseline"/>
        </w:rPr>
        <w:t>was</w:t>
      </w:r>
      <w:r>
        <w:rPr>
          <w:spacing w:val="-7"/>
          <w:vertAlign w:val="baseline"/>
        </w:rPr>
        <w:t> </w:t>
      </w:r>
      <w:r>
        <w:rPr>
          <w:vertAlign w:val="baseline"/>
        </w:rPr>
        <w:t>confirmed</w:t>
      </w:r>
      <w:r>
        <w:rPr>
          <w:spacing w:val="-7"/>
          <w:vertAlign w:val="baseline"/>
        </w:rPr>
        <w:t> </w:t>
      </w:r>
      <w:r>
        <w:rPr>
          <w:vertAlign w:val="baseline"/>
        </w:rPr>
        <w:t>on</w:t>
      </w:r>
      <w:r>
        <w:rPr>
          <w:spacing w:val="-5"/>
          <w:vertAlign w:val="baseline"/>
        </w:rPr>
        <w:t> </w:t>
      </w:r>
      <w:r>
        <w:rPr>
          <w:vertAlign w:val="baseline"/>
        </w:rPr>
        <w:t>a</w:t>
      </w:r>
      <w:r>
        <w:rPr>
          <w:spacing w:val="-8"/>
          <w:vertAlign w:val="baseline"/>
        </w:rPr>
        <w:t> </w:t>
      </w:r>
      <w:r>
        <w:rPr>
          <w:vertAlign w:val="baseline"/>
        </w:rPr>
        <w:t>1.5</w:t>
      </w:r>
      <w:r>
        <w:rPr>
          <w:spacing w:val="-5"/>
          <w:vertAlign w:val="baseline"/>
        </w:rPr>
        <w:t> </w:t>
      </w:r>
      <w:r>
        <w:rPr>
          <w:vertAlign w:val="baseline"/>
        </w:rPr>
        <w:t>%</w:t>
      </w:r>
      <w:r>
        <w:rPr>
          <w:spacing w:val="-8"/>
          <w:vertAlign w:val="baseline"/>
        </w:rPr>
        <w:t> </w:t>
      </w:r>
      <w:r>
        <w:rPr>
          <w:vertAlign w:val="baseline"/>
        </w:rPr>
        <w:t>agarose</w:t>
      </w:r>
      <w:r>
        <w:rPr>
          <w:spacing w:val="-6"/>
          <w:vertAlign w:val="baseline"/>
        </w:rPr>
        <w:t> </w:t>
      </w:r>
      <w:r>
        <w:rPr>
          <w:vertAlign w:val="baseline"/>
        </w:rPr>
        <w:t>gel</w:t>
      </w:r>
      <w:r>
        <w:rPr>
          <w:spacing w:val="-7"/>
          <w:vertAlign w:val="baseline"/>
        </w:rPr>
        <w:t> </w:t>
      </w:r>
      <w:r>
        <w:rPr>
          <w:vertAlign w:val="baseline"/>
        </w:rPr>
        <w:t>ran on a voltage of 110V for 1hour and quantified using</w:t>
      </w:r>
      <w:r>
        <w:rPr>
          <w:spacing w:val="40"/>
          <w:vertAlign w:val="baseline"/>
        </w:rPr>
        <w:t> </w:t>
      </w:r>
      <w:r>
        <w:rPr>
          <w:vertAlign w:val="baseline"/>
        </w:rPr>
        <w:t>an anodrop of model 2000 from thermo </w:t>
      </w:r>
      <w:r>
        <w:rPr>
          <w:spacing w:val="-2"/>
          <w:vertAlign w:val="baseline"/>
        </w:rPr>
        <w:t>scientific.</w:t>
      </w:r>
    </w:p>
    <w:p>
      <w:pPr>
        <w:pStyle w:val="ListParagraph"/>
        <w:numPr>
          <w:ilvl w:val="3"/>
          <w:numId w:val="4"/>
        </w:numPr>
        <w:tabs>
          <w:tab w:pos="841" w:val="left" w:leader="none"/>
        </w:tabs>
        <w:spacing w:line="480" w:lineRule="auto" w:before="1" w:after="0"/>
        <w:ind w:left="120" w:right="115" w:firstLine="0"/>
        <w:jc w:val="both"/>
        <w:rPr>
          <w:sz w:val="24"/>
        </w:rPr>
      </w:pPr>
      <w:r>
        <w:rPr>
          <w:b/>
          <w:sz w:val="24"/>
        </w:rPr>
        <w:t>Sequencing</w:t>
      </w:r>
      <w:r>
        <w:rPr>
          <w:sz w:val="24"/>
        </w:rPr>
        <w:t>: sequencing was carried out on the amplified fragments by using a Genetic Analyzer 3130xl sequencer from Applied Biosystems following the using manufacturers’ procedure</w:t>
      </w:r>
      <w:r>
        <w:rPr>
          <w:spacing w:val="-11"/>
          <w:sz w:val="24"/>
        </w:rPr>
        <w:t> </w:t>
      </w:r>
      <w:r>
        <w:rPr>
          <w:sz w:val="24"/>
        </w:rPr>
        <w:t>and</w:t>
      </w:r>
      <w:r>
        <w:rPr>
          <w:spacing w:val="-5"/>
          <w:sz w:val="24"/>
        </w:rPr>
        <w:t> </w:t>
      </w:r>
      <w:r>
        <w:rPr>
          <w:sz w:val="24"/>
        </w:rPr>
        <w:t>BigDye</w:t>
      </w:r>
      <w:r>
        <w:rPr>
          <w:spacing w:val="-11"/>
          <w:sz w:val="24"/>
        </w:rPr>
        <w:t> </w:t>
      </w:r>
      <w:r>
        <w:rPr>
          <w:sz w:val="24"/>
        </w:rPr>
        <w:t>terminator</w:t>
      </w:r>
      <w:r>
        <w:rPr>
          <w:spacing w:val="-10"/>
          <w:sz w:val="24"/>
        </w:rPr>
        <w:t> </w:t>
      </w:r>
      <w:r>
        <w:rPr>
          <w:sz w:val="24"/>
        </w:rPr>
        <w:t>version</w:t>
      </w:r>
      <w:r>
        <w:rPr>
          <w:spacing w:val="-10"/>
          <w:sz w:val="24"/>
        </w:rPr>
        <w:t> </w:t>
      </w:r>
      <w:r>
        <w:rPr>
          <w:sz w:val="24"/>
        </w:rPr>
        <w:t>3.1</w:t>
      </w:r>
      <w:r>
        <w:rPr>
          <w:spacing w:val="-8"/>
          <w:sz w:val="24"/>
        </w:rPr>
        <w:t> </w:t>
      </w:r>
      <w:r>
        <w:rPr>
          <w:sz w:val="24"/>
        </w:rPr>
        <w:t>cycle</w:t>
      </w:r>
      <w:r>
        <w:rPr>
          <w:spacing w:val="-11"/>
          <w:sz w:val="24"/>
        </w:rPr>
        <w:t> </w:t>
      </w:r>
      <w:r>
        <w:rPr>
          <w:sz w:val="24"/>
        </w:rPr>
        <w:t>sequencing</w:t>
      </w:r>
      <w:r>
        <w:rPr>
          <w:spacing w:val="-12"/>
          <w:sz w:val="24"/>
        </w:rPr>
        <w:t> </w:t>
      </w:r>
      <w:r>
        <w:rPr>
          <w:sz w:val="24"/>
        </w:rPr>
        <w:t>kit</w:t>
      </w:r>
      <w:r>
        <w:rPr>
          <w:spacing w:val="-9"/>
          <w:sz w:val="24"/>
        </w:rPr>
        <w:t> </w:t>
      </w:r>
      <w:r>
        <w:rPr>
          <w:sz w:val="24"/>
        </w:rPr>
        <w:t>was</w:t>
      </w:r>
      <w:r>
        <w:rPr>
          <w:spacing w:val="-7"/>
          <w:sz w:val="24"/>
        </w:rPr>
        <w:t> </w:t>
      </w:r>
      <w:r>
        <w:rPr>
          <w:sz w:val="24"/>
        </w:rPr>
        <w:t>used.</w:t>
      </w:r>
      <w:r>
        <w:rPr>
          <w:spacing w:val="-10"/>
          <w:sz w:val="24"/>
        </w:rPr>
        <w:t> </w:t>
      </w:r>
      <w:r>
        <w:rPr>
          <w:sz w:val="24"/>
        </w:rPr>
        <w:t>Genetic</w:t>
      </w:r>
      <w:r>
        <w:rPr>
          <w:spacing w:val="-8"/>
          <w:sz w:val="24"/>
        </w:rPr>
        <w:t> </w:t>
      </w:r>
      <w:r>
        <w:rPr>
          <w:sz w:val="24"/>
        </w:rPr>
        <w:t>analysis</w:t>
      </w:r>
      <w:r>
        <w:rPr>
          <w:spacing w:val="-9"/>
          <w:sz w:val="24"/>
        </w:rPr>
        <w:t> </w:t>
      </w:r>
      <w:r>
        <w:rPr>
          <w:sz w:val="24"/>
        </w:rPr>
        <w:t>was done using Bio- Edit software and MEGA 6.</w:t>
      </w:r>
    </w:p>
    <w:p>
      <w:pPr>
        <w:pStyle w:val="BodyText"/>
        <w:rPr>
          <w:sz w:val="26"/>
        </w:rPr>
      </w:pPr>
    </w:p>
    <w:p>
      <w:pPr>
        <w:pStyle w:val="Heading2"/>
        <w:numPr>
          <w:ilvl w:val="1"/>
          <w:numId w:val="4"/>
        </w:numPr>
        <w:tabs>
          <w:tab w:pos="841" w:val="left" w:leader="none"/>
        </w:tabs>
        <w:spacing w:line="240" w:lineRule="auto" w:before="186" w:after="0"/>
        <w:ind w:left="840" w:right="0" w:hanging="721"/>
        <w:jc w:val="both"/>
      </w:pPr>
      <w:r>
        <w:rPr/>
        <w:t>Confirmation</w:t>
      </w:r>
      <w:r>
        <w:rPr>
          <w:spacing w:val="-6"/>
        </w:rPr>
        <w:t> </w:t>
      </w:r>
      <w:r>
        <w:rPr/>
        <w:t>of</w:t>
      </w:r>
      <w:r>
        <w:rPr>
          <w:spacing w:val="-5"/>
        </w:rPr>
        <w:t> </w:t>
      </w:r>
      <w:r>
        <w:rPr/>
        <w:t>biosurfactant</w:t>
      </w:r>
      <w:r>
        <w:rPr>
          <w:spacing w:val="-5"/>
        </w:rPr>
        <w:t> </w:t>
      </w:r>
      <w:r>
        <w:rPr/>
        <w:t>production</w:t>
      </w:r>
      <w:r>
        <w:rPr>
          <w:spacing w:val="-6"/>
        </w:rPr>
        <w:t> </w:t>
      </w:r>
      <w:r>
        <w:rPr/>
        <w:t>potential</w:t>
      </w:r>
      <w:r>
        <w:rPr>
          <w:spacing w:val="-5"/>
        </w:rPr>
        <w:t> </w:t>
      </w:r>
      <w:r>
        <w:rPr/>
        <w:t>of</w:t>
      </w:r>
      <w:r>
        <w:rPr>
          <w:spacing w:val="-5"/>
        </w:rPr>
        <w:t> </w:t>
      </w:r>
      <w:r>
        <w:rPr/>
        <w:t>the</w:t>
      </w:r>
      <w:r>
        <w:rPr>
          <w:spacing w:val="-7"/>
        </w:rPr>
        <w:t> </w:t>
      </w:r>
      <w:r>
        <w:rPr>
          <w:spacing w:val="-2"/>
        </w:rPr>
        <w:t>bacterium</w:t>
      </w:r>
    </w:p>
    <w:p>
      <w:pPr>
        <w:pStyle w:val="BodyText"/>
        <w:spacing w:before="7"/>
        <w:rPr>
          <w:b/>
          <w:sz w:val="23"/>
        </w:rPr>
      </w:pPr>
    </w:p>
    <w:p>
      <w:pPr>
        <w:pStyle w:val="BodyText"/>
        <w:ind w:left="120"/>
        <w:jc w:val="both"/>
      </w:pPr>
      <w:r>
        <w:rPr/>
        <w:t>Thе</w:t>
      </w:r>
      <w:r>
        <w:rPr>
          <w:spacing w:val="-5"/>
        </w:rPr>
        <w:t> </w:t>
      </w:r>
      <w:r>
        <w:rPr/>
        <w:t>following</w:t>
      </w:r>
      <w:r>
        <w:rPr>
          <w:spacing w:val="-3"/>
        </w:rPr>
        <w:t> </w:t>
      </w:r>
      <w:r>
        <w:rPr/>
        <w:t>methods were</w:t>
      </w:r>
      <w:r>
        <w:rPr>
          <w:spacing w:val="-3"/>
        </w:rPr>
        <w:t> </w:t>
      </w:r>
      <w:r>
        <w:rPr/>
        <w:t>used to screen the</w:t>
      </w:r>
      <w:r>
        <w:rPr>
          <w:spacing w:val="-1"/>
        </w:rPr>
        <w:t> </w:t>
      </w:r>
      <w:r>
        <w:rPr/>
        <w:t>іsоlаtе</w:t>
      </w:r>
      <w:r>
        <w:rPr>
          <w:spacing w:val="-1"/>
        </w:rPr>
        <w:t> </w:t>
      </w:r>
      <w:r>
        <w:rPr/>
        <w:t>fоr</w:t>
      </w:r>
      <w:r>
        <w:rPr>
          <w:spacing w:val="-2"/>
        </w:rPr>
        <w:t> </w:t>
      </w:r>
      <w:r>
        <w:rPr/>
        <w:t>its</w:t>
      </w:r>
      <w:r>
        <w:rPr>
          <w:spacing w:val="-2"/>
        </w:rPr>
        <w:t> </w:t>
      </w:r>
      <w:r>
        <w:rPr/>
        <w:t>аbіlіty</w:t>
      </w:r>
      <w:r>
        <w:rPr>
          <w:spacing w:val="-5"/>
        </w:rPr>
        <w:t> </w:t>
      </w:r>
      <w:r>
        <w:rPr/>
        <w:t>tо prоducе</w:t>
      </w:r>
      <w:r>
        <w:rPr>
          <w:spacing w:val="-1"/>
        </w:rPr>
        <w:t> </w:t>
      </w:r>
      <w:r>
        <w:rPr>
          <w:spacing w:val="-2"/>
        </w:rPr>
        <w:t>bіоsurfаctаnt.</w:t>
      </w:r>
    </w:p>
    <w:p>
      <w:pPr>
        <w:pStyle w:val="BodyText"/>
      </w:pPr>
    </w:p>
    <w:p>
      <w:pPr>
        <w:pStyle w:val="ListParagraph"/>
        <w:numPr>
          <w:ilvl w:val="2"/>
          <w:numId w:val="4"/>
        </w:numPr>
        <w:tabs>
          <w:tab w:pos="841" w:val="left" w:leader="none"/>
        </w:tabs>
        <w:spacing w:line="480" w:lineRule="auto" w:before="0" w:after="0"/>
        <w:ind w:left="120" w:right="116" w:firstLine="0"/>
        <w:jc w:val="both"/>
        <w:rPr>
          <w:sz w:val="24"/>
        </w:rPr>
      </w:pPr>
      <w:r>
        <w:rPr>
          <w:b/>
          <w:sz w:val="24"/>
        </w:rPr>
        <w:t>Oil displacement</w:t>
      </w:r>
      <w:r>
        <w:rPr>
          <w:b/>
          <w:sz w:val="24"/>
        </w:rPr>
        <w:t> test</w:t>
      </w:r>
      <w:r>
        <w:rPr>
          <w:sz w:val="24"/>
        </w:rPr>
        <w:t>: This was carried out to determine the surface activity of a biosurfactant. To perform this, 50 mL of distilled water was poured in a petri plate and 20 μL of crude</w:t>
      </w:r>
      <w:r>
        <w:rPr>
          <w:spacing w:val="-7"/>
          <w:sz w:val="24"/>
        </w:rPr>
        <w:t> </w:t>
      </w:r>
      <w:r>
        <w:rPr>
          <w:sz w:val="24"/>
        </w:rPr>
        <w:t>oil</w:t>
      </w:r>
      <w:r>
        <w:rPr>
          <w:spacing w:val="-4"/>
          <w:sz w:val="24"/>
        </w:rPr>
        <w:t> </w:t>
      </w:r>
      <w:r>
        <w:rPr>
          <w:sz w:val="24"/>
        </w:rPr>
        <w:t>was</w:t>
      </w:r>
      <w:r>
        <w:rPr>
          <w:spacing w:val="-2"/>
          <w:sz w:val="24"/>
        </w:rPr>
        <w:t> </w:t>
      </w:r>
      <w:r>
        <w:rPr>
          <w:sz w:val="24"/>
        </w:rPr>
        <w:t>added</w:t>
      </w:r>
      <w:r>
        <w:rPr>
          <w:spacing w:val="-5"/>
          <w:sz w:val="24"/>
        </w:rPr>
        <w:t> </w:t>
      </w:r>
      <w:r>
        <w:rPr>
          <w:sz w:val="24"/>
        </w:rPr>
        <w:t>making</w:t>
      </w:r>
      <w:r>
        <w:rPr>
          <w:spacing w:val="-7"/>
          <w:sz w:val="24"/>
        </w:rPr>
        <w:t> </w:t>
      </w:r>
      <w:r>
        <w:rPr>
          <w:sz w:val="24"/>
        </w:rPr>
        <w:t>a</w:t>
      </w:r>
      <w:r>
        <w:rPr>
          <w:spacing w:val="-4"/>
          <w:sz w:val="24"/>
        </w:rPr>
        <w:t> </w:t>
      </w:r>
      <w:r>
        <w:rPr>
          <w:sz w:val="24"/>
        </w:rPr>
        <w:t>thin</w:t>
      </w:r>
      <w:r>
        <w:rPr>
          <w:spacing w:val="-5"/>
          <w:sz w:val="24"/>
        </w:rPr>
        <w:t> </w:t>
      </w:r>
      <w:r>
        <w:rPr>
          <w:sz w:val="24"/>
        </w:rPr>
        <w:t>layer</w:t>
      </w:r>
      <w:r>
        <w:rPr>
          <w:spacing w:val="-6"/>
          <w:sz w:val="24"/>
        </w:rPr>
        <w:t> </w:t>
      </w:r>
      <w:r>
        <w:rPr>
          <w:sz w:val="24"/>
        </w:rPr>
        <w:t>of</w:t>
      </w:r>
      <w:r>
        <w:rPr>
          <w:spacing w:val="-6"/>
          <w:sz w:val="24"/>
        </w:rPr>
        <w:t> </w:t>
      </w:r>
      <w:r>
        <w:rPr>
          <w:sz w:val="24"/>
        </w:rPr>
        <w:t>oil</w:t>
      </w:r>
      <w:r>
        <w:rPr>
          <w:spacing w:val="-4"/>
          <w:sz w:val="24"/>
        </w:rPr>
        <w:t> </w:t>
      </w:r>
      <w:r>
        <w:rPr>
          <w:sz w:val="24"/>
        </w:rPr>
        <w:t>that</w:t>
      </w:r>
      <w:r>
        <w:rPr>
          <w:spacing w:val="-2"/>
          <w:sz w:val="24"/>
        </w:rPr>
        <w:t> </w:t>
      </w:r>
      <w:r>
        <w:rPr>
          <w:sz w:val="24"/>
        </w:rPr>
        <w:t>covers</w:t>
      </w:r>
      <w:r>
        <w:rPr>
          <w:spacing w:val="-5"/>
          <w:sz w:val="24"/>
        </w:rPr>
        <w:t> </w:t>
      </w:r>
      <w:r>
        <w:rPr>
          <w:sz w:val="24"/>
        </w:rPr>
        <w:t>the</w:t>
      </w:r>
      <w:r>
        <w:rPr>
          <w:spacing w:val="-2"/>
          <w:sz w:val="24"/>
        </w:rPr>
        <w:t> </w:t>
      </w:r>
      <w:r>
        <w:rPr>
          <w:sz w:val="24"/>
        </w:rPr>
        <w:t>entire</w:t>
      </w:r>
      <w:r>
        <w:rPr>
          <w:spacing w:val="-7"/>
          <w:sz w:val="24"/>
        </w:rPr>
        <w:t> </w:t>
      </w:r>
      <w:r>
        <w:rPr>
          <w:sz w:val="24"/>
        </w:rPr>
        <w:t>surface</w:t>
      </w:r>
      <w:r>
        <w:rPr>
          <w:spacing w:val="-3"/>
          <w:sz w:val="24"/>
        </w:rPr>
        <w:t> </w:t>
      </w:r>
      <w:r>
        <w:rPr>
          <w:sz w:val="24"/>
        </w:rPr>
        <w:t>of</w:t>
      </w:r>
      <w:r>
        <w:rPr>
          <w:spacing w:val="-6"/>
          <w:sz w:val="24"/>
        </w:rPr>
        <w:t> </w:t>
      </w:r>
      <w:r>
        <w:rPr>
          <w:sz w:val="24"/>
        </w:rPr>
        <w:t>the</w:t>
      </w:r>
      <w:r>
        <w:rPr>
          <w:spacing w:val="-5"/>
          <w:sz w:val="24"/>
        </w:rPr>
        <w:t> </w:t>
      </w:r>
      <w:r>
        <w:rPr>
          <w:sz w:val="24"/>
        </w:rPr>
        <w:t>water.</w:t>
      </w:r>
      <w:r>
        <w:rPr>
          <w:spacing w:val="-6"/>
          <w:sz w:val="24"/>
        </w:rPr>
        <w:t> </w:t>
      </w:r>
      <w:r>
        <w:rPr>
          <w:sz w:val="24"/>
        </w:rPr>
        <w:t>Then,</w:t>
      </w:r>
      <w:r>
        <w:rPr>
          <w:spacing w:val="-5"/>
          <w:sz w:val="24"/>
        </w:rPr>
        <w:t> </w:t>
      </w:r>
      <w:r>
        <w:rPr>
          <w:sz w:val="24"/>
        </w:rPr>
        <w:t>10 μL of the crude biosurfactant was dispensed on the surface of the oil layer, and a clear zone was observed. The mean diameter of the clear zones on oil surface was visualized under visible light and</w:t>
      </w:r>
      <w:r>
        <w:rPr>
          <w:spacing w:val="-6"/>
          <w:sz w:val="24"/>
        </w:rPr>
        <w:t> </w:t>
      </w:r>
      <w:r>
        <w:rPr>
          <w:sz w:val="24"/>
        </w:rPr>
        <w:t>measured</w:t>
      </w:r>
      <w:r>
        <w:rPr>
          <w:spacing w:val="-3"/>
          <w:sz w:val="24"/>
        </w:rPr>
        <w:t> </w:t>
      </w:r>
      <w:r>
        <w:rPr>
          <w:sz w:val="24"/>
        </w:rPr>
        <w:t>(and</w:t>
      </w:r>
      <w:r>
        <w:rPr>
          <w:spacing w:val="-6"/>
          <w:sz w:val="24"/>
        </w:rPr>
        <w:t> </w:t>
      </w:r>
      <w:r>
        <w:rPr>
          <w:sz w:val="24"/>
        </w:rPr>
        <w:t>related</w:t>
      </w:r>
      <w:r>
        <w:rPr>
          <w:spacing w:val="-6"/>
          <w:sz w:val="24"/>
        </w:rPr>
        <w:t> </w:t>
      </w:r>
      <w:r>
        <w:rPr>
          <w:sz w:val="24"/>
        </w:rPr>
        <w:t>to</w:t>
      </w:r>
      <w:r>
        <w:rPr>
          <w:spacing w:val="-5"/>
          <w:sz w:val="24"/>
        </w:rPr>
        <w:t> </w:t>
      </w:r>
      <w:r>
        <w:rPr>
          <w:sz w:val="24"/>
        </w:rPr>
        <w:t>the</w:t>
      </w:r>
      <w:r>
        <w:rPr>
          <w:spacing w:val="-6"/>
          <w:sz w:val="24"/>
        </w:rPr>
        <w:t> </w:t>
      </w:r>
      <w:r>
        <w:rPr>
          <w:sz w:val="24"/>
        </w:rPr>
        <w:t>concentration</w:t>
      </w:r>
      <w:r>
        <w:rPr>
          <w:spacing w:val="-6"/>
          <w:sz w:val="24"/>
        </w:rPr>
        <w:t> </w:t>
      </w:r>
      <w:r>
        <w:rPr>
          <w:sz w:val="24"/>
        </w:rPr>
        <w:t>of</w:t>
      </w:r>
      <w:r>
        <w:rPr>
          <w:spacing w:val="-3"/>
          <w:sz w:val="24"/>
        </w:rPr>
        <w:t> </w:t>
      </w:r>
      <w:r>
        <w:rPr>
          <w:sz w:val="24"/>
        </w:rPr>
        <w:t>biosurfactant)</w:t>
      </w:r>
      <w:r>
        <w:rPr>
          <w:spacing w:val="-4"/>
          <w:sz w:val="24"/>
        </w:rPr>
        <w:t> </w:t>
      </w:r>
      <w:r>
        <w:rPr>
          <w:sz w:val="24"/>
        </w:rPr>
        <w:t>after</w:t>
      </w:r>
      <w:r>
        <w:rPr>
          <w:spacing w:val="-7"/>
          <w:sz w:val="24"/>
        </w:rPr>
        <w:t> </w:t>
      </w:r>
      <w:r>
        <w:rPr>
          <w:sz w:val="24"/>
        </w:rPr>
        <w:t>30</w:t>
      </w:r>
      <w:r>
        <w:rPr>
          <w:spacing w:val="-4"/>
          <w:sz w:val="24"/>
        </w:rPr>
        <w:t> </w:t>
      </w:r>
      <w:r>
        <w:rPr>
          <w:sz w:val="24"/>
        </w:rPr>
        <w:t>seconds</w:t>
      </w:r>
      <w:r>
        <w:rPr>
          <w:spacing w:val="-6"/>
          <w:sz w:val="24"/>
        </w:rPr>
        <w:t> </w:t>
      </w:r>
      <w:r>
        <w:rPr>
          <w:sz w:val="24"/>
        </w:rPr>
        <w:t>by</w:t>
      </w:r>
      <w:r>
        <w:rPr>
          <w:spacing w:val="-8"/>
          <w:sz w:val="24"/>
        </w:rPr>
        <w:t> </w:t>
      </w:r>
      <w:r>
        <w:rPr>
          <w:sz w:val="24"/>
        </w:rPr>
        <w:t>comparing</w:t>
      </w:r>
      <w:r>
        <w:rPr>
          <w:spacing w:val="-8"/>
          <w:sz w:val="24"/>
        </w:rPr>
        <w:t> </w:t>
      </w:r>
      <w:r>
        <w:rPr>
          <w:sz w:val="24"/>
        </w:rPr>
        <w:t>to 10 μL of distiled water as negative control (Ibrahim </w:t>
      </w:r>
      <w:r>
        <w:rPr>
          <w:i/>
          <w:sz w:val="24"/>
        </w:rPr>
        <w:t>et al</w:t>
      </w:r>
      <w:r>
        <w:rPr>
          <w:sz w:val="24"/>
        </w:rPr>
        <w:t>., 2013; Gargouri </w:t>
      </w:r>
      <w:r>
        <w:rPr>
          <w:i/>
          <w:sz w:val="24"/>
        </w:rPr>
        <w:t>et al</w:t>
      </w:r>
      <w:r>
        <w:rPr>
          <w:sz w:val="24"/>
        </w:rPr>
        <w:t>., 2017).</w:t>
      </w:r>
    </w:p>
    <w:p>
      <w:pPr>
        <w:spacing w:after="0" w:line="480" w:lineRule="auto"/>
        <w:jc w:val="both"/>
        <w:rPr>
          <w:sz w:val="24"/>
        </w:rPr>
        <w:sectPr>
          <w:pgSz w:w="12240" w:h="15840"/>
          <w:pgMar w:header="0" w:footer="1015" w:top="1360" w:bottom="1200" w:left="1320" w:right="1320"/>
        </w:sectPr>
      </w:pPr>
    </w:p>
    <w:p>
      <w:pPr>
        <w:pStyle w:val="ListParagraph"/>
        <w:numPr>
          <w:ilvl w:val="2"/>
          <w:numId w:val="4"/>
        </w:numPr>
        <w:tabs>
          <w:tab w:pos="841" w:val="left" w:leader="none"/>
        </w:tabs>
        <w:spacing w:line="480" w:lineRule="auto" w:before="72" w:after="0"/>
        <w:ind w:left="120" w:right="118" w:firstLine="0"/>
        <w:jc w:val="both"/>
        <w:rPr>
          <w:sz w:val="24"/>
        </w:rPr>
      </w:pPr>
      <w:r>
        <w:rPr>
          <w:b/>
          <w:sz w:val="24"/>
        </w:rPr>
        <w:t>Drоp cоllаpsе assay</w:t>
      </w:r>
      <w:r>
        <w:rPr>
          <w:sz w:val="24"/>
        </w:rPr>
        <w:t>: A 24 hours old broth culture was centrifuged usіng ІЕC FL 40R Cеntrіfugе, USА at 6000 rpm for 30 minutes and</w:t>
      </w:r>
      <w:r>
        <w:rPr>
          <w:spacing w:val="-1"/>
          <w:sz w:val="24"/>
        </w:rPr>
        <w:t> </w:t>
      </w:r>
      <w:r>
        <w:rPr>
          <w:sz w:val="24"/>
        </w:rPr>
        <w:t>2 µL</w:t>
      </w:r>
      <w:r>
        <w:rPr>
          <w:spacing w:val="-4"/>
          <w:sz w:val="24"/>
        </w:rPr>
        <w:t> </w:t>
      </w:r>
      <w:r>
        <w:rPr>
          <w:sz w:val="24"/>
        </w:rPr>
        <w:t>оf thе cеll frее supеrnаtаnt was dispensed оn а solid surface cоаtеd with oil and thе shаpе оf thе oil drоp wаs observed аftеr 60 seconds. A positive</w:t>
      </w:r>
      <w:r>
        <w:rPr>
          <w:spacing w:val="-9"/>
          <w:sz w:val="24"/>
        </w:rPr>
        <w:t> </w:t>
      </w:r>
      <w:r>
        <w:rPr>
          <w:sz w:val="24"/>
        </w:rPr>
        <w:t>result</w:t>
      </w:r>
      <w:r>
        <w:rPr>
          <w:spacing w:val="-7"/>
          <w:sz w:val="24"/>
        </w:rPr>
        <w:t> </w:t>
      </w:r>
      <w:r>
        <w:rPr>
          <w:sz w:val="24"/>
        </w:rPr>
        <w:t>cоllаpsе</w:t>
      </w:r>
      <w:r>
        <w:rPr>
          <w:spacing w:val="-9"/>
          <w:sz w:val="24"/>
        </w:rPr>
        <w:t> </w:t>
      </w:r>
      <w:r>
        <w:rPr>
          <w:sz w:val="24"/>
        </w:rPr>
        <w:t>thе</w:t>
      </w:r>
      <w:r>
        <w:rPr>
          <w:spacing w:val="-9"/>
          <w:sz w:val="24"/>
        </w:rPr>
        <w:t> </w:t>
      </w:r>
      <w:r>
        <w:rPr>
          <w:sz w:val="24"/>
        </w:rPr>
        <w:t>оіl</w:t>
      </w:r>
      <w:r>
        <w:rPr>
          <w:spacing w:val="-8"/>
          <w:sz w:val="24"/>
        </w:rPr>
        <w:t> </w:t>
      </w:r>
      <w:r>
        <w:rPr>
          <w:sz w:val="24"/>
        </w:rPr>
        <w:t>drоp</w:t>
      </w:r>
      <w:r>
        <w:rPr>
          <w:spacing w:val="-9"/>
          <w:sz w:val="24"/>
        </w:rPr>
        <w:t> </w:t>
      </w:r>
      <w:r>
        <w:rPr>
          <w:sz w:val="24"/>
        </w:rPr>
        <w:t>іndіcаting</w:t>
      </w:r>
      <w:r>
        <w:rPr>
          <w:spacing w:val="-11"/>
          <w:sz w:val="24"/>
        </w:rPr>
        <w:t> </w:t>
      </w:r>
      <w:r>
        <w:rPr>
          <w:sz w:val="24"/>
        </w:rPr>
        <w:t>thе</w:t>
      </w:r>
      <w:r>
        <w:rPr>
          <w:spacing w:val="-9"/>
          <w:sz w:val="24"/>
        </w:rPr>
        <w:t> </w:t>
      </w:r>
      <w:r>
        <w:rPr>
          <w:sz w:val="24"/>
        </w:rPr>
        <w:t>prеsеncе</w:t>
      </w:r>
      <w:r>
        <w:rPr>
          <w:spacing w:val="-9"/>
          <w:sz w:val="24"/>
        </w:rPr>
        <w:t> </w:t>
      </w:r>
      <w:r>
        <w:rPr>
          <w:sz w:val="24"/>
        </w:rPr>
        <w:t>оf</w:t>
      </w:r>
      <w:r>
        <w:rPr>
          <w:spacing w:val="-9"/>
          <w:sz w:val="24"/>
        </w:rPr>
        <w:t> </w:t>
      </w:r>
      <w:r>
        <w:rPr>
          <w:sz w:val="24"/>
        </w:rPr>
        <w:t>bіоsurfаctаnt</w:t>
      </w:r>
      <w:r>
        <w:rPr>
          <w:spacing w:val="-8"/>
          <w:sz w:val="24"/>
        </w:rPr>
        <w:t> </w:t>
      </w:r>
      <w:r>
        <w:rPr>
          <w:sz w:val="24"/>
        </w:rPr>
        <w:t>while</w:t>
      </w:r>
      <w:r>
        <w:rPr>
          <w:spacing w:val="-9"/>
          <w:sz w:val="24"/>
        </w:rPr>
        <w:t> </w:t>
      </w:r>
      <w:r>
        <w:rPr>
          <w:sz w:val="24"/>
        </w:rPr>
        <w:t>a</w:t>
      </w:r>
      <w:r>
        <w:rPr>
          <w:spacing w:val="-9"/>
          <w:sz w:val="24"/>
        </w:rPr>
        <w:t> </w:t>
      </w:r>
      <w:r>
        <w:rPr>
          <w:sz w:val="24"/>
        </w:rPr>
        <w:t>negative</w:t>
      </w:r>
      <w:r>
        <w:rPr>
          <w:spacing w:val="-9"/>
          <w:sz w:val="24"/>
        </w:rPr>
        <w:t> </w:t>
      </w:r>
      <w:r>
        <w:rPr>
          <w:sz w:val="24"/>
        </w:rPr>
        <w:t>result gave a round that appeared in form of аіr bubblе (Jаіn </w:t>
      </w:r>
      <w:r>
        <w:rPr>
          <w:i/>
          <w:sz w:val="24"/>
        </w:rPr>
        <w:t>еt аl., </w:t>
      </w:r>
      <w:r>
        <w:rPr>
          <w:sz w:val="24"/>
        </w:rPr>
        <w:t>1991).</w:t>
      </w:r>
    </w:p>
    <w:p>
      <w:pPr>
        <w:pStyle w:val="ListParagraph"/>
        <w:numPr>
          <w:ilvl w:val="2"/>
          <w:numId w:val="4"/>
        </w:numPr>
        <w:tabs>
          <w:tab w:pos="841" w:val="left" w:leader="none"/>
        </w:tabs>
        <w:spacing w:line="477" w:lineRule="auto" w:before="0" w:after="0"/>
        <w:ind w:left="120" w:right="119" w:firstLine="0"/>
        <w:jc w:val="both"/>
        <w:rPr>
          <w:sz w:val="24"/>
        </w:rPr>
      </w:pPr>
      <w:r>
        <w:rPr>
          <w:b/>
          <w:position w:val="1"/>
          <w:sz w:val="24"/>
        </w:rPr>
        <w:t>Emulsification index (E</w:t>
      </w:r>
      <w:r>
        <w:rPr>
          <w:b/>
          <w:sz w:val="16"/>
        </w:rPr>
        <w:t>24</w:t>
      </w:r>
      <w:r>
        <w:rPr>
          <w:b/>
          <w:position w:val="1"/>
          <w:sz w:val="24"/>
        </w:rPr>
        <w:t>): </w:t>
      </w:r>
      <w:r>
        <w:rPr>
          <w:position w:val="1"/>
          <w:sz w:val="24"/>
        </w:rPr>
        <w:t>Emulsification index was done by adopting the method of </w:t>
      </w:r>
      <w:r>
        <w:rPr>
          <w:sz w:val="24"/>
        </w:rPr>
        <w:t>Cooper</w:t>
      </w:r>
      <w:r>
        <w:rPr>
          <w:spacing w:val="-15"/>
          <w:sz w:val="24"/>
        </w:rPr>
        <w:t> </w:t>
      </w:r>
      <w:r>
        <w:rPr>
          <w:sz w:val="24"/>
        </w:rPr>
        <w:t>and</w:t>
      </w:r>
      <w:r>
        <w:rPr>
          <w:spacing w:val="-14"/>
          <w:sz w:val="24"/>
        </w:rPr>
        <w:t> </w:t>
      </w:r>
      <w:r>
        <w:rPr>
          <w:sz w:val="24"/>
        </w:rPr>
        <w:t>Goldenberg,</w:t>
      </w:r>
      <w:r>
        <w:rPr>
          <w:spacing w:val="-14"/>
          <w:sz w:val="24"/>
        </w:rPr>
        <w:t> </w:t>
      </w:r>
      <w:r>
        <w:rPr>
          <w:sz w:val="24"/>
        </w:rPr>
        <w:t>(1987).</w:t>
      </w:r>
      <w:r>
        <w:rPr>
          <w:spacing w:val="-15"/>
          <w:sz w:val="24"/>
        </w:rPr>
        <w:t> </w:t>
      </w:r>
      <w:r>
        <w:rPr>
          <w:sz w:val="24"/>
        </w:rPr>
        <w:t>Briefly,</w:t>
      </w:r>
      <w:r>
        <w:rPr>
          <w:spacing w:val="-14"/>
          <w:sz w:val="24"/>
        </w:rPr>
        <w:t> </w:t>
      </w:r>
      <w:r>
        <w:rPr>
          <w:sz w:val="24"/>
        </w:rPr>
        <w:t>the</w:t>
      </w:r>
      <w:r>
        <w:rPr>
          <w:spacing w:val="-15"/>
          <w:sz w:val="24"/>
        </w:rPr>
        <w:t> </w:t>
      </w:r>
      <w:r>
        <w:rPr>
          <w:sz w:val="24"/>
        </w:rPr>
        <w:t>same</w:t>
      </w:r>
      <w:r>
        <w:rPr>
          <w:spacing w:val="-12"/>
          <w:sz w:val="24"/>
        </w:rPr>
        <w:t> </w:t>
      </w:r>
      <w:r>
        <w:rPr>
          <w:sz w:val="24"/>
        </w:rPr>
        <w:t>volume</w:t>
      </w:r>
      <w:r>
        <w:rPr>
          <w:spacing w:val="-15"/>
          <w:sz w:val="24"/>
        </w:rPr>
        <w:t> </w:t>
      </w:r>
      <w:r>
        <w:rPr>
          <w:sz w:val="24"/>
        </w:rPr>
        <w:t>of</w:t>
      </w:r>
      <w:r>
        <w:rPr>
          <w:spacing w:val="-15"/>
          <w:sz w:val="24"/>
        </w:rPr>
        <w:t> </w:t>
      </w:r>
      <w:r>
        <w:rPr>
          <w:sz w:val="24"/>
        </w:rPr>
        <w:t>crude</w:t>
      </w:r>
      <w:r>
        <w:rPr>
          <w:spacing w:val="-15"/>
          <w:sz w:val="24"/>
        </w:rPr>
        <w:t> </w:t>
      </w:r>
      <w:r>
        <w:rPr>
          <w:sz w:val="24"/>
        </w:rPr>
        <w:t>oil</w:t>
      </w:r>
      <w:r>
        <w:rPr>
          <w:spacing w:val="-13"/>
          <w:sz w:val="24"/>
        </w:rPr>
        <w:t> </w:t>
      </w:r>
      <w:r>
        <w:rPr>
          <w:sz w:val="24"/>
        </w:rPr>
        <w:t>and</w:t>
      </w:r>
      <w:r>
        <w:rPr>
          <w:spacing w:val="-14"/>
          <w:sz w:val="24"/>
        </w:rPr>
        <w:t> </w:t>
      </w:r>
      <w:r>
        <w:rPr>
          <w:sz w:val="24"/>
        </w:rPr>
        <w:t>culture</w:t>
      </w:r>
      <w:r>
        <w:rPr>
          <w:spacing w:val="-15"/>
          <w:sz w:val="24"/>
        </w:rPr>
        <w:t> </w:t>
      </w:r>
      <w:r>
        <w:rPr>
          <w:sz w:val="24"/>
        </w:rPr>
        <w:t>supernatant</w:t>
      </w:r>
      <w:r>
        <w:rPr>
          <w:spacing w:val="-14"/>
          <w:sz w:val="24"/>
        </w:rPr>
        <w:t> </w:t>
      </w:r>
      <w:r>
        <w:rPr>
          <w:sz w:val="24"/>
        </w:rPr>
        <w:t>was dispensed</w:t>
      </w:r>
      <w:r>
        <w:rPr>
          <w:spacing w:val="-7"/>
          <w:sz w:val="24"/>
        </w:rPr>
        <w:t> </w:t>
      </w:r>
      <w:r>
        <w:rPr>
          <w:sz w:val="24"/>
        </w:rPr>
        <w:t>in</w:t>
      </w:r>
      <w:r>
        <w:rPr>
          <w:spacing w:val="-7"/>
          <w:sz w:val="24"/>
        </w:rPr>
        <w:t> </w:t>
      </w:r>
      <w:r>
        <w:rPr>
          <w:sz w:val="24"/>
        </w:rPr>
        <w:t>a</w:t>
      </w:r>
      <w:r>
        <w:rPr>
          <w:spacing w:val="-8"/>
          <w:sz w:val="24"/>
        </w:rPr>
        <w:t> </w:t>
      </w:r>
      <w:r>
        <w:rPr>
          <w:sz w:val="24"/>
        </w:rPr>
        <w:t>test</w:t>
      </w:r>
      <w:r>
        <w:rPr>
          <w:spacing w:val="-7"/>
          <w:sz w:val="24"/>
        </w:rPr>
        <w:t> </w:t>
      </w:r>
      <w:r>
        <w:rPr>
          <w:sz w:val="24"/>
        </w:rPr>
        <w:t>tube,</w:t>
      </w:r>
      <w:r>
        <w:rPr>
          <w:spacing w:val="-8"/>
          <w:sz w:val="24"/>
        </w:rPr>
        <w:t> </w:t>
      </w:r>
      <w:r>
        <w:rPr>
          <w:sz w:val="24"/>
        </w:rPr>
        <w:t>thoroughly</w:t>
      </w:r>
      <w:r>
        <w:rPr>
          <w:spacing w:val="-12"/>
          <w:sz w:val="24"/>
        </w:rPr>
        <w:t> </w:t>
      </w:r>
      <w:r>
        <w:rPr>
          <w:sz w:val="24"/>
        </w:rPr>
        <w:t>mixed</w:t>
      </w:r>
      <w:r>
        <w:rPr>
          <w:spacing w:val="-7"/>
          <w:sz w:val="24"/>
        </w:rPr>
        <w:t> </w:t>
      </w:r>
      <w:r>
        <w:rPr>
          <w:sz w:val="24"/>
        </w:rPr>
        <w:t>and</w:t>
      </w:r>
      <w:r>
        <w:rPr>
          <w:spacing w:val="-7"/>
          <w:sz w:val="24"/>
        </w:rPr>
        <w:t> </w:t>
      </w:r>
      <w:r>
        <w:rPr>
          <w:sz w:val="24"/>
        </w:rPr>
        <w:t>vortexed</w:t>
      </w:r>
      <w:r>
        <w:rPr>
          <w:spacing w:val="-7"/>
          <w:sz w:val="24"/>
        </w:rPr>
        <w:t> </w:t>
      </w:r>
      <w:r>
        <w:rPr>
          <w:sz w:val="24"/>
        </w:rPr>
        <w:t>at</w:t>
      </w:r>
      <w:r>
        <w:rPr>
          <w:spacing w:val="-7"/>
          <w:sz w:val="24"/>
        </w:rPr>
        <w:t> </w:t>
      </w:r>
      <w:r>
        <w:rPr>
          <w:sz w:val="24"/>
        </w:rPr>
        <w:t>high</w:t>
      </w:r>
      <w:r>
        <w:rPr>
          <w:spacing w:val="-7"/>
          <w:sz w:val="24"/>
        </w:rPr>
        <w:t> </w:t>
      </w:r>
      <w:r>
        <w:rPr>
          <w:sz w:val="24"/>
        </w:rPr>
        <w:t>speed</w:t>
      </w:r>
      <w:r>
        <w:rPr>
          <w:spacing w:val="-7"/>
          <w:sz w:val="24"/>
        </w:rPr>
        <w:t> </w:t>
      </w:r>
      <w:r>
        <w:rPr>
          <w:sz w:val="24"/>
        </w:rPr>
        <w:t>for</w:t>
      </w:r>
      <w:r>
        <w:rPr>
          <w:spacing w:val="-7"/>
          <w:sz w:val="24"/>
        </w:rPr>
        <w:t> </w:t>
      </w:r>
      <w:r>
        <w:rPr>
          <w:sz w:val="24"/>
        </w:rPr>
        <w:t>5</w:t>
      </w:r>
      <w:r>
        <w:rPr>
          <w:spacing w:val="-5"/>
          <w:sz w:val="24"/>
        </w:rPr>
        <w:t> </w:t>
      </w:r>
      <w:r>
        <w:rPr>
          <w:sz w:val="24"/>
        </w:rPr>
        <w:t>minutes</w:t>
      </w:r>
      <w:r>
        <w:rPr>
          <w:spacing w:val="-8"/>
          <w:sz w:val="24"/>
        </w:rPr>
        <w:t> </w:t>
      </w:r>
      <w:r>
        <w:rPr>
          <w:sz w:val="24"/>
        </w:rPr>
        <w:t>and</w:t>
      </w:r>
      <w:r>
        <w:rPr>
          <w:spacing w:val="-7"/>
          <w:sz w:val="24"/>
        </w:rPr>
        <w:t> </w:t>
      </w:r>
      <w:r>
        <w:rPr>
          <w:sz w:val="24"/>
        </w:rPr>
        <w:t>incubated </w:t>
      </w:r>
      <w:r>
        <w:rPr>
          <w:position w:val="2"/>
          <w:sz w:val="24"/>
        </w:rPr>
        <w:t>at</w:t>
      </w:r>
      <w:r>
        <w:rPr>
          <w:spacing w:val="-1"/>
          <w:position w:val="2"/>
          <w:sz w:val="24"/>
        </w:rPr>
        <w:t> </w:t>
      </w:r>
      <w:r>
        <w:rPr>
          <w:position w:val="2"/>
          <w:sz w:val="24"/>
        </w:rPr>
        <w:t>25</w:t>
      </w:r>
      <w:r>
        <w:rPr>
          <w:position w:val="2"/>
          <w:sz w:val="24"/>
          <w:vertAlign w:val="superscript"/>
        </w:rPr>
        <w:t>o</w:t>
      </w:r>
      <w:r>
        <w:rPr>
          <w:position w:val="2"/>
          <w:sz w:val="24"/>
          <w:vertAlign w:val="baseline"/>
        </w:rPr>
        <w:t>C for</w:t>
      </w:r>
      <w:r>
        <w:rPr>
          <w:spacing w:val="-2"/>
          <w:position w:val="2"/>
          <w:sz w:val="24"/>
          <w:vertAlign w:val="baseline"/>
        </w:rPr>
        <w:t> </w:t>
      </w:r>
      <w:r>
        <w:rPr>
          <w:position w:val="2"/>
          <w:sz w:val="24"/>
          <w:vertAlign w:val="baseline"/>
        </w:rPr>
        <w:t>24 hours.</w:t>
      </w:r>
      <w:r>
        <w:rPr>
          <w:spacing w:val="-1"/>
          <w:position w:val="2"/>
          <w:sz w:val="24"/>
          <w:vertAlign w:val="baseline"/>
        </w:rPr>
        <w:t> </w:t>
      </w:r>
      <w:r>
        <w:rPr>
          <w:position w:val="2"/>
          <w:sz w:val="24"/>
          <w:vertAlign w:val="baseline"/>
        </w:rPr>
        <w:t>The emulsification index value</w:t>
      </w:r>
      <w:r>
        <w:rPr>
          <w:spacing w:val="-1"/>
          <w:position w:val="2"/>
          <w:sz w:val="24"/>
          <w:vertAlign w:val="baseline"/>
        </w:rPr>
        <w:t> </w:t>
      </w:r>
      <w:r>
        <w:rPr>
          <w:position w:val="2"/>
          <w:sz w:val="24"/>
          <w:vertAlign w:val="baseline"/>
        </w:rPr>
        <w:t>(E</w:t>
      </w:r>
      <w:r>
        <w:rPr>
          <w:sz w:val="16"/>
          <w:vertAlign w:val="baseline"/>
        </w:rPr>
        <w:t>24</w:t>
      </w:r>
      <w:r>
        <w:rPr>
          <w:position w:val="2"/>
          <w:sz w:val="24"/>
          <w:vertAlign w:val="baseline"/>
        </w:rPr>
        <w:t>)</w:t>
      </w:r>
      <w:r>
        <w:rPr>
          <w:spacing w:val="-2"/>
          <w:position w:val="2"/>
          <w:sz w:val="24"/>
          <w:vertAlign w:val="baseline"/>
        </w:rPr>
        <w:t> </w:t>
      </w:r>
      <w:r>
        <w:rPr>
          <w:position w:val="2"/>
          <w:sz w:val="24"/>
          <w:vertAlign w:val="baseline"/>
        </w:rPr>
        <w:t>was obtained by</w:t>
      </w:r>
      <w:r>
        <w:rPr>
          <w:spacing w:val="-3"/>
          <w:position w:val="2"/>
          <w:sz w:val="24"/>
          <w:vertAlign w:val="baseline"/>
        </w:rPr>
        <w:t> </w:t>
      </w:r>
      <w:r>
        <w:rPr>
          <w:position w:val="2"/>
          <w:sz w:val="24"/>
          <w:vertAlign w:val="baseline"/>
        </w:rPr>
        <w:t>dividing</w:t>
      </w:r>
      <w:r>
        <w:rPr>
          <w:spacing w:val="-2"/>
          <w:position w:val="2"/>
          <w:sz w:val="24"/>
          <w:vertAlign w:val="baseline"/>
        </w:rPr>
        <w:t> </w:t>
      </w:r>
      <w:r>
        <w:rPr>
          <w:position w:val="2"/>
          <w:sz w:val="24"/>
          <w:vertAlign w:val="baseline"/>
        </w:rPr>
        <w:t>the</w:t>
      </w:r>
      <w:r>
        <w:rPr>
          <w:spacing w:val="-1"/>
          <w:position w:val="2"/>
          <w:sz w:val="24"/>
          <w:vertAlign w:val="baseline"/>
        </w:rPr>
        <w:t> </w:t>
      </w:r>
      <w:r>
        <w:rPr>
          <w:position w:val="2"/>
          <w:sz w:val="24"/>
          <w:vertAlign w:val="baseline"/>
        </w:rPr>
        <w:t>height of </w:t>
      </w:r>
      <w:r>
        <w:rPr>
          <w:sz w:val="24"/>
          <w:vertAlign w:val="baseline"/>
        </w:rPr>
        <w:t>emulsified layer (mm) by total height of the liquid column.</w:t>
      </w:r>
    </w:p>
    <w:p>
      <w:pPr>
        <w:pStyle w:val="Heading2"/>
        <w:numPr>
          <w:ilvl w:val="1"/>
          <w:numId w:val="4"/>
        </w:numPr>
        <w:tabs>
          <w:tab w:pos="841" w:val="left" w:leader="none"/>
        </w:tabs>
        <w:spacing w:line="240" w:lineRule="auto" w:before="199" w:after="0"/>
        <w:ind w:left="840" w:right="0" w:hanging="721"/>
        <w:jc w:val="both"/>
      </w:pPr>
      <w:r>
        <w:rPr/>
        <w:t>Biosurfactant</w:t>
      </w:r>
      <w:r>
        <w:rPr>
          <w:spacing w:val="-8"/>
        </w:rPr>
        <w:t> </w:t>
      </w:r>
      <w:r>
        <w:rPr/>
        <w:t>Production,</w:t>
      </w:r>
      <w:r>
        <w:rPr>
          <w:spacing w:val="-6"/>
        </w:rPr>
        <w:t> </w:t>
      </w:r>
      <w:r>
        <w:rPr/>
        <w:t>Extraction</w:t>
      </w:r>
      <w:r>
        <w:rPr>
          <w:spacing w:val="-7"/>
        </w:rPr>
        <w:t> </w:t>
      </w:r>
      <w:r>
        <w:rPr/>
        <w:t>and</w:t>
      </w:r>
      <w:r>
        <w:rPr>
          <w:spacing w:val="-4"/>
        </w:rPr>
        <w:t> </w:t>
      </w:r>
      <w:r>
        <w:rPr>
          <w:spacing w:val="-2"/>
        </w:rPr>
        <w:t>Characterization</w:t>
      </w:r>
    </w:p>
    <w:p>
      <w:pPr>
        <w:pStyle w:val="BodyText"/>
        <w:spacing w:before="6"/>
        <w:rPr>
          <w:b/>
          <w:sz w:val="23"/>
        </w:rPr>
      </w:pPr>
    </w:p>
    <w:p>
      <w:pPr>
        <w:pStyle w:val="ListParagraph"/>
        <w:numPr>
          <w:ilvl w:val="2"/>
          <w:numId w:val="4"/>
        </w:numPr>
        <w:tabs>
          <w:tab w:pos="841" w:val="left" w:leader="none"/>
        </w:tabs>
        <w:spacing w:line="480" w:lineRule="auto" w:before="1" w:after="0"/>
        <w:ind w:left="120" w:right="116" w:firstLine="0"/>
        <w:jc w:val="both"/>
        <w:rPr>
          <w:sz w:val="24"/>
        </w:rPr>
      </w:pPr>
      <w:r>
        <w:rPr>
          <w:b/>
          <w:sz w:val="24"/>
        </w:rPr>
        <w:t>Biosurfactant production: </w:t>
      </w:r>
      <w:r>
        <w:rPr>
          <w:sz w:val="24"/>
        </w:rPr>
        <w:t>Biosurfactant was produced according to Jоcоbuccі </w:t>
      </w:r>
      <w:r>
        <w:rPr>
          <w:i/>
          <w:sz w:val="24"/>
        </w:rPr>
        <w:t>еt </w:t>
      </w:r>
      <w:r>
        <w:rPr>
          <w:sz w:val="24"/>
        </w:rPr>
        <w:t>а</w:t>
      </w:r>
      <w:r>
        <w:rPr>
          <w:i/>
          <w:sz w:val="24"/>
        </w:rPr>
        <w:t>l. </w:t>
      </w:r>
      <w:r>
        <w:rPr>
          <w:sz w:val="24"/>
        </w:rPr>
        <w:t>(2001) with slight modifications. Thе іsоlаtе was іnоculаtеd іntо а sterile nutrіеnt broth аnd іncubаtеd аt 37</w:t>
      </w:r>
      <w:r>
        <w:rPr>
          <w:sz w:val="24"/>
          <w:vertAlign w:val="superscript"/>
        </w:rPr>
        <w:t>0</w:t>
      </w:r>
      <w:r>
        <w:rPr>
          <w:sz w:val="24"/>
          <w:vertAlign w:val="baseline"/>
        </w:rPr>
        <w:t>C fоr 12 hоurs. The fermentation for the production of biosurfactant was carried out in 1 L of Minieral Salt Medium (MSM), 10 mL of the inoculum and 1 % crude oil as source of carbon. The culture medium was incubated for 10 days at 37</w:t>
      </w:r>
      <w:r>
        <w:rPr>
          <w:sz w:val="24"/>
          <w:vertAlign w:val="superscript"/>
        </w:rPr>
        <w:t>o</w:t>
      </w:r>
      <w:r>
        <w:rPr>
          <w:sz w:val="24"/>
          <w:vertAlign w:val="baseline"/>
        </w:rPr>
        <w:t>C.</w:t>
      </w:r>
    </w:p>
    <w:p>
      <w:pPr>
        <w:pStyle w:val="BodyText"/>
        <w:rPr>
          <w:sz w:val="28"/>
        </w:rPr>
      </w:pPr>
    </w:p>
    <w:p>
      <w:pPr>
        <w:pStyle w:val="ListParagraph"/>
        <w:numPr>
          <w:ilvl w:val="2"/>
          <w:numId w:val="4"/>
        </w:numPr>
        <w:tabs>
          <w:tab w:pos="841" w:val="left" w:leader="none"/>
        </w:tabs>
        <w:spacing w:line="480" w:lineRule="auto" w:before="230" w:after="0"/>
        <w:ind w:left="120" w:right="113" w:firstLine="0"/>
        <w:jc w:val="both"/>
        <w:rPr>
          <w:sz w:val="24"/>
        </w:rPr>
      </w:pPr>
      <w:r>
        <w:rPr>
          <w:b/>
          <w:sz w:val="24"/>
        </w:rPr>
        <w:t>Extraction of biosurfactant: </w:t>
      </w:r>
      <w:r>
        <w:rPr>
          <w:sz w:val="24"/>
        </w:rPr>
        <w:t>Biosurfactant extraction was done following the method adopted by Еlеmbа </w:t>
      </w:r>
      <w:r>
        <w:rPr>
          <w:i/>
          <w:sz w:val="24"/>
        </w:rPr>
        <w:t>et al. </w:t>
      </w:r>
      <w:r>
        <w:rPr>
          <w:sz w:val="24"/>
        </w:rPr>
        <w:t>(2015). The 10 days old culture was centrifuged at 6,000 rpm for 30 minutes. Thе pH of the culture supеrnаtаnt obtained after centrifugation was adjusted to 11 by adding 6 M NаОH dropwise. This trеаtеd supеrnаtаnt was еxtrаcted for biosurfаctаnt using acetone by adding 30 mL of acetone to 100 mL оf trеаtеd supеrnаtаnt. Thе combination was left to</w:t>
      </w:r>
      <w:r>
        <w:rPr>
          <w:spacing w:val="1"/>
          <w:sz w:val="24"/>
        </w:rPr>
        <w:t> </w:t>
      </w:r>
      <w:r>
        <w:rPr>
          <w:sz w:val="24"/>
        </w:rPr>
        <w:t>stand</w:t>
      </w:r>
      <w:r>
        <w:rPr>
          <w:spacing w:val="2"/>
          <w:sz w:val="24"/>
        </w:rPr>
        <w:t> </w:t>
      </w:r>
      <w:r>
        <w:rPr>
          <w:sz w:val="24"/>
        </w:rPr>
        <w:t>for</w:t>
      </w:r>
      <w:r>
        <w:rPr>
          <w:spacing w:val="2"/>
          <w:sz w:val="24"/>
        </w:rPr>
        <w:t> </w:t>
      </w:r>
      <w:r>
        <w:rPr>
          <w:sz w:val="24"/>
        </w:rPr>
        <w:t>30</w:t>
      </w:r>
      <w:r>
        <w:rPr>
          <w:spacing w:val="4"/>
          <w:sz w:val="24"/>
        </w:rPr>
        <w:t> </w:t>
      </w:r>
      <w:r>
        <w:rPr>
          <w:sz w:val="24"/>
        </w:rPr>
        <w:t>sеcоnds</w:t>
      </w:r>
      <w:r>
        <w:rPr>
          <w:spacing w:val="2"/>
          <w:sz w:val="24"/>
        </w:rPr>
        <w:t> </w:t>
      </w:r>
      <w:r>
        <w:rPr>
          <w:sz w:val="24"/>
        </w:rPr>
        <w:t>and</w:t>
      </w:r>
      <w:r>
        <w:rPr>
          <w:spacing w:val="3"/>
          <w:sz w:val="24"/>
        </w:rPr>
        <w:t> </w:t>
      </w:r>
      <w:r>
        <w:rPr>
          <w:sz w:val="24"/>
        </w:rPr>
        <w:t>was</w:t>
      </w:r>
      <w:r>
        <w:rPr>
          <w:spacing w:val="2"/>
          <w:sz w:val="24"/>
        </w:rPr>
        <w:t> </w:t>
      </w:r>
      <w:r>
        <w:rPr>
          <w:sz w:val="24"/>
        </w:rPr>
        <w:t>shаkеn</w:t>
      </w:r>
      <w:r>
        <w:rPr>
          <w:spacing w:val="2"/>
          <w:sz w:val="24"/>
        </w:rPr>
        <w:t> </w:t>
      </w:r>
      <w:r>
        <w:rPr>
          <w:sz w:val="24"/>
        </w:rPr>
        <w:t>thoroughly.</w:t>
      </w:r>
      <w:r>
        <w:rPr>
          <w:spacing w:val="9"/>
          <w:sz w:val="24"/>
        </w:rPr>
        <w:t> </w:t>
      </w:r>
      <w:r>
        <w:rPr>
          <w:sz w:val="24"/>
        </w:rPr>
        <w:t>It</w:t>
      </w:r>
      <w:r>
        <w:rPr>
          <w:spacing w:val="6"/>
          <w:sz w:val="24"/>
        </w:rPr>
        <w:t> </w:t>
      </w:r>
      <w:r>
        <w:rPr>
          <w:sz w:val="24"/>
        </w:rPr>
        <w:t>was</w:t>
      </w:r>
      <w:r>
        <w:rPr>
          <w:spacing w:val="11"/>
          <w:sz w:val="24"/>
        </w:rPr>
        <w:t> </w:t>
      </w:r>
      <w:r>
        <w:rPr>
          <w:sz w:val="24"/>
        </w:rPr>
        <w:t>then</w:t>
      </w:r>
      <w:r>
        <w:rPr>
          <w:spacing w:val="2"/>
          <w:sz w:val="24"/>
        </w:rPr>
        <w:t> </w:t>
      </w:r>
      <w:r>
        <w:rPr>
          <w:sz w:val="24"/>
        </w:rPr>
        <w:t>kept</w:t>
      </w:r>
      <w:r>
        <w:rPr>
          <w:spacing w:val="5"/>
          <w:sz w:val="24"/>
        </w:rPr>
        <w:t> </w:t>
      </w:r>
      <w:r>
        <w:rPr>
          <w:sz w:val="24"/>
        </w:rPr>
        <w:t>in</w:t>
      </w:r>
      <w:r>
        <w:rPr>
          <w:spacing w:val="4"/>
          <w:sz w:val="24"/>
        </w:rPr>
        <w:t> </w:t>
      </w:r>
      <w:r>
        <w:rPr>
          <w:sz w:val="24"/>
        </w:rPr>
        <w:t>the</w:t>
      </w:r>
      <w:r>
        <w:rPr>
          <w:spacing w:val="4"/>
          <w:sz w:val="24"/>
        </w:rPr>
        <w:t> </w:t>
      </w:r>
      <w:r>
        <w:rPr>
          <w:sz w:val="24"/>
        </w:rPr>
        <w:t>rеfrіgеrаtоr</w:t>
      </w:r>
      <w:r>
        <w:rPr>
          <w:spacing w:val="2"/>
          <w:sz w:val="24"/>
        </w:rPr>
        <w:t> </w:t>
      </w:r>
      <w:r>
        <w:rPr>
          <w:spacing w:val="-2"/>
          <w:sz w:val="24"/>
        </w:rPr>
        <w:t>overnight</w:t>
      </w:r>
    </w:p>
    <w:p>
      <w:pPr>
        <w:spacing w:after="0" w:line="480" w:lineRule="auto"/>
        <w:jc w:val="both"/>
        <w:rPr>
          <w:sz w:val="24"/>
        </w:rPr>
        <w:sectPr>
          <w:pgSz w:w="12240" w:h="15840"/>
          <w:pgMar w:header="0" w:footer="1015" w:top="1360" w:bottom="1200" w:left="1320" w:right="1320"/>
        </w:sectPr>
      </w:pPr>
    </w:p>
    <w:p>
      <w:pPr>
        <w:pStyle w:val="BodyText"/>
        <w:spacing w:line="480" w:lineRule="auto" w:before="72"/>
        <w:ind w:left="120" w:right="113"/>
        <w:jc w:val="both"/>
      </w:pPr>
      <w:r>
        <w:rPr/>
        <w:t>for</w:t>
      </w:r>
      <w:r>
        <w:rPr>
          <w:spacing w:val="-14"/>
        </w:rPr>
        <w:t> </w:t>
      </w:r>
      <w:r>
        <w:rPr/>
        <w:t>separation</w:t>
      </w:r>
      <w:r>
        <w:rPr>
          <w:spacing w:val="-12"/>
        </w:rPr>
        <w:t> </w:t>
      </w:r>
      <w:r>
        <w:rPr/>
        <w:t>into</w:t>
      </w:r>
      <w:r>
        <w:rPr>
          <w:spacing w:val="-12"/>
        </w:rPr>
        <w:t> </w:t>
      </w:r>
      <w:r>
        <w:rPr/>
        <w:t>two</w:t>
      </w:r>
      <w:r>
        <w:rPr>
          <w:spacing w:val="-12"/>
        </w:rPr>
        <w:t> </w:t>
      </w:r>
      <w:r>
        <w:rPr/>
        <w:t>phаsеs.</w:t>
      </w:r>
      <w:r>
        <w:rPr>
          <w:spacing w:val="-12"/>
        </w:rPr>
        <w:t> </w:t>
      </w:r>
      <w:r>
        <w:rPr/>
        <w:t>Thе</w:t>
      </w:r>
      <w:r>
        <w:rPr>
          <w:spacing w:val="-13"/>
        </w:rPr>
        <w:t> </w:t>
      </w:r>
      <w:r>
        <w:rPr/>
        <w:t>uppеr</w:t>
      </w:r>
      <w:r>
        <w:rPr>
          <w:spacing w:val="-13"/>
        </w:rPr>
        <w:t> </w:t>
      </w:r>
      <w:r>
        <w:rPr/>
        <w:t>lаyеr</w:t>
      </w:r>
      <w:r>
        <w:rPr>
          <w:spacing w:val="-13"/>
        </w:rPr>
        <w:t> </w:t>
      </w:r>
      <w:r>
        <w:rPr/>
        <w:t>cоntаіns</w:t>
      </w:r>
      <w:r>
        <w:rPr>
          <w:spacing w:val="-12"/>
        </w:rPr>
        <w:t> </w:t>
      </w:r>
      <w:r>
        <w:rPr/>
        <w:t>thе</w:t>
      </w:r>
      <w:r>
        <w:rPr>
          <w:spacing w:val="-12"/>
        </w:rPr>
        <w:t> </w:t>
      </w:r>
      <w:r>
        <w:rPr/>
        <w:t>rеаgеnt</w:t>
      </w:r>
      <w:r>
        <w:rPr>
          <w:spacing w:val="-12"/>
        </w:rPr>
        <w:t> </w:t>
      </w:r>
      <w:r>
        <w:rPr/>
        <w:t>and</w:t>
      </w:r>
      <w:r>
        <w:rPr>
          <w:spacing w:val="-12"/>
        </w:rPr>
        <w:t> </w:t>
      </w:r>
      <w:r>
        <w:rPr/>
        <w:t>was</w:t>
      </w:r>
      <w:r>
        <w:rPr>
          <w:spacing w:val="-10"/>
        </w:rPr>
        <w:t> </w:t>
      </w:r>
      <w:r>
        <w:rPr/>
        <w:t>decanted</w:t>
      </w:r>
      <w:r>
        <w:rPr>
          <w:spacing w:val="-10"/>
        </w:rPr>
        <w:t> </w:t>
      </w:r>
      <w:r>
        <w:rPr/>
        <w:t>gently</w:t>
      </w:r>
      <w:r>
        <w:rPr>
          <w:spacing w:val="-14"/>
        </w:rPr>
        <w:t> </w:t>
      </w:r>
      <w:r>
        <w:rPr/>
        <w:t>while thе lоwеr lаyеr, which cоntаіns thе bіоsurfаctаnt was cоncеntrаtеd in а hоt аіr оvеn аt 70ºC. А whіtіsh rеsіduе</w:t>
      </w:r>
      <w:r>
        <w:rPr>
          <w:spacing w:val="-1"/>
        </w:rPr>
        <w:t> </w:t>
      </w:r>
      <w:r>
        <w:rPr/>
        <w:t>was obtainеd аs thе</w:t>
      </w:r>
      <w:r>
        <w:rPr>
          <w:spacing w:val="-1"/>
        </w:rPr>
        <w:t> </w:t>
      </w:r>
      <w:r>
        <w:rPr/>
        <w:t>bіоsurfаctаnt (Еlеmbа</w:t>
      </w:r>
      <w:r>
        <w:rPr>
          <w:spacing w:val="-1"/>
        </w:rPr>
        <w:t> </w:t>
      </w:r>
      <w:r>
        <w:rPr>
          <w:i/>
        </w:rPr>
        <w:t>et al., </w:t>
      </w:r>
      <w:r>
        <w:rPr/>
        <w:t>2015). Finally, the</w:t>
      </w:r>
      <w:r>
        <w:rPr>
          <w:spacing w:val="-1"/>
        </w:rPr>
        <w:t> </w:t>
      </w:r>
      <w:r>
        <w:rPr/>
        <w:t>biosurfactant obtained after drying at 70ºC was weighed until the weight remained constant. The yield of biosurfactant was expressed in g/L.</w:t>
      </w:r>
    </w:p>
    <w:p>
      <w:pPr>
        <w:pStyle w:val="Heading2"/>
        <w:numPr>
          <w:ilvl w:val="2"/>
          <w:numId w:val="4"/>
        </w:numPr>
        <w:tabs>
          <w:tab w:pos="841" w:val="left" w:leader="none"/>
        </w:tabs>
        <w:spacing w:line="240" w:lineRule="auto" w:before="204" w:after="0"/>
        <w:ind w:left="840" w:right="0" w:hanging="721"/>
        <w:jc w:val="both"/>
      </w:pPr>
      <w:r>
        <w:rPr/>
        <w:t>Characterization</w:t>
      </w:r>
      <w:r>
        <w:rPr>
          <w:spacing w:val="-8"/>
        </w:rPr>
        <w:t> </w:t>
      </w:r>
      <w:r>
        <w:rPr/>
        <w:t>of</w:t>
      </w:r>
      <w:r>
        <w:rPr>
          <w:spacing w:val="-8"/>
        </w:rPr>
        <w:t> </w:t>
      </w:r>
      <w:r>
        <w:rPr>
          <w:spacing w:val="-2"/>
        </w:rPr>
        <w:t>biosurfactant</w:t>
      </w:r>
    </w:p>
    <w:p>
      <w:pPr>
        <w:pStyle w:val="BodyText"/>
        <w:spacing w:before="7"/>
        <w:rPr>
          <w:b/>
          <w:sz w:val="23"/>
        </w:rPr>
      </w:pPr>
    </w:p>
    <w:p>
      <w:pPr>
        <w:pStyle w:val="BodyText"/>
        <w:spacing w:line="482" w:lineRule="auto"/>
        <w:ind w:left="120" w:right="117"/>
        <w:jc w:val="both"/>
      </w:pPr>
      <w:r>
        <w:rPr/>
        <w:t>The produced biosurfactant was characterized using Raman spectroscopy to determine the functional groups groups such as – C-S, -S-S, - C-C, - O-O-, and – C-H present to determine the identity of the biosurfactant (San-Keskin </w:t>
      </w:r>
      <w:r>
        <w:rPr>
          <w:i/>
        </w:rPr>
        <w:t>et al</w:t>
      </w:r>
      <w:r>
        <w:rPr/>
        <w:t>., 2015).</w:t>
      </w:r>
    </w:p>
    <w:p>
      <w:pPr>
        <w:pStyle w:val="Heading2"/>
        <w:numPr>
          <w:ilvl w:val="1"/>
          <w:numId w:val="4"/>
        </w:numPr>
        <w:tabs>
          <w:tab w:pos="841" w:val="left" w:leader="none"/>
        </w:tabs>
        <w:spacing w:line="240" w:lineRule="auto" w:before="196" w:after="0"/>
        <w:ind w:left="840" w:right="0" w:hanging="721"/>
        <w:jc w:val="both"/>
      </w:pPr>
      <w:r>
        <w:rPr/>
        <w:t>Production</w:t>
      </w:r>
      <w:r>
        <w:rPr>
          <w:spacing w:val="-5"/>
        </w:rPr>
        <w:t> </w:t>
      </w:r>
      <w:r>
        <w:rPr/>
        <w:t>and</w:t>
      </w:r>
      <w:r>
        <w:rPr>
          <w:spacing w:val="-5"/>
        </w:rPr>
        <w:t> </w:t>
      </w:r>
      <w:r>
        <w:rPr/>
        <w:t>Characterization</w:t>
      </w:r>
      <w:r>
        <w:rPr>
          <w:spacing w:val="-5"/>
        </w:rPr>
        <w:t> </w:t>
      </w:r>
      <w:r>
        <w:rPr/>
        <w:t>of</w:t>
      </w:r>
      <w:r>
        <w:rPr>
          <w:spacing w:val="-4"/>
        </w:rPr>
        <w:t> </w:t>
      </w:r>
      <w:r>
        <w:rPr/>
        <w:t>Iron</w:t>
      </w:r>
      <w:r>
        <w:rPr>
          <w:spacing w:val="-5"/>
        </w:rPr>
        <w:t> </w:t>
      </w:r>
      <w:r>
        <w:rPr/>
        <w:t>oxide</w:t>
      </w:r>
      <w:r>
        <w:rPr>
          <w:spacing w:val="-8"/>
        </w:rPr>
        <w:t> </w:t>
      </w:r>
      <w:r>
        <w:rPr>
          <w:spacing w:val="-2"/>
        </w:rPr>
        <w:t>Nanoparticles</w:t>
      </w:r>
    </w:p>
    <w:p>
      <w:pPr>
        <w:pStyle w:val="BodyText"/>
        <w:spacing w:before="7"/>
        <w:rPr>
          <w:b/>
          <w:sz w:val="23"/>
        </w:rPr>
      </w:pPr>
    </w:p>
    <w:p>
      <w:pPr>
        <w:pStyle w:val="BodyText"/>
        <w:spacing w:line="482" w:lineRule="auto"/>
        <w:ind w:left="120" w:right="118"/>
        <w:jc w:val="both"/>
      </w:pPr>
      <w:r>
        <w:rPr/>
        <w:t>Iron</w:t>
      </w:r>
      <w:r>
        <w:rPr>
          <w:spacing w:val="-3"/>
        </w:rPr>
        <w:t> </w:t>
      </w:r>
      <w:r>
        <w:rPr/>
        <w:t>oxide</w:t>
      </w:r>
      <w:r>
        <w:rPr>
          <w:spacing w:val="-3"/>
        </w:rPr>
        <w:t> </w:t>
      </w:r>
      <w:r>
        <w:rPr/>
        <w:t>nanoparticle</w:t>
      </w:r>
      <w:r>
        <w:rPr>
          <w:spacing w:val="-2"/>
        </w:rPr>
        <w:t> </w:t>
      </w:r>
      <w:r>
        <w:rPr/>
        <w:t>was</w:t>
      </w:r>
      <w:r>
        <w:rPr>
          <w:spacing w:val="-2"/>
        </w:rPr>
        <w:t> </w:t>
      </w:r>
      <w:r>
        <w:rPr/>
        <w:t>used</w:t>
      </w:r>
      <w:r>
        <w:rPr>
          <w:spacing w:val="-2"/>
        </w:rPr>
        <w:t> </w:t>
      </w:r>
      <w:r>
        <w:rPr/>
        <w:t>for</w:t>
      </w:r>
      <w:r>
        <w:rPr>
          <w:spacing w:val="-2"/>
        </w:rPr>
        <w:t> </w:t>
      </w:r>
      <w:r>
        <w:rPr/>
        <w:t>this</w:t>
      </w:r>
      <w:r>
        <w:rPr>
          <w:spacing w:val="-2"/>
        </w:rPr>
        <w:t> </w:t>
      </w:r>
      <w:r>
        <w:rPr/>
        <w:t>research</w:t>
      </w:r>
      <w:r>
        <w:rPr>
          <w:spacing w:val="-2"/>
        </w:rPr>
        <w:t> </w:t>
      </w:r>
      <w:r>
        <w:rPr/>
        <w:t>because</w:t>
      </w:r>
      <w:r>
        <w:rPr>
          <w:spacing w:val="-3"/>
        </w:rPr>
        <w:t> </w:t>
      </w:r>
      <w:r>
        <w:rPr/>
        <w:t>of</w:t>
      </w:r>
      <w:r>
        <w:rPr>
          <w:spacing w:val="-2"/>
        </w:rPr>
        <w:t> </w:t>
      </w:r>
      <w:r>
        <w:rPr/>
        <w:t>its</w:t>
      </w:r>
      <w:r>
        <w:rPr>
          <w:spacing w:val="-2"/>
        </w:rPr>
        <w:t> </w:t>
      </w:r>
      <w:r>
        <w:rPr/>
        <w:t>low</w:t>
      </w:r>
      <w:r>
        <w:rPr>
          <w:spacing w:val="-2"/>
        </w:rPr>
        <w:t> </w:t>
      </w:r>
      <w:r>
        <w:rPr/>
        <w:t>toxicitiy</w:t>
      </w:r>
      <w:r>
        <w:rPr>
          <w:spacing w:val="-10"/>
        </w:rPr>
        <w:t> </w:t>
      </w:r>
      <w:r>
        <w:rPr/>
        <w:t>in</w:t>
      </w:r>
      <w:r>
        <w:rPr>
          <w:spacing w:val="-2"/>
        </w:rPr>
        <w:t> </w:t>
      </w:r>
      <w:r>
        <w:rPr/>
        <w:t>the</w:t>
      </w:r>
      <w:r>
        <w:rPr>
          <w:spacing w:val="-1"/>
        </w:rPr>
        <w:t> </w:t>
      </w:r>
      <w:r>
        <w:rPr/>
        <w:t>environment. In addition, iron oxide nanoparticle enhances microbial growth, immobilizes remediating agents and induces production of remediating microbial enzymes (Kumari and Singh, 2016).</w:t>
      </w:r>
    </w:p>
    <w:p>
      <w:pPr>
        <w:pStyle w:val="Heading2"/>
        <w:numPr>
          <w:ilvl w:val="2"/>
          <w:numId w:val="4"/>
        </w:numPr>
        <w:tabs>
          <w:tab w:pos="841" w:val="left" w:leader="none"/>
        </w:tabs>
        <w:spacing w:line="240" w:lineRule="auto" w:before="199" w:after="0"/>
        <w:ind w:left="840" w:right="0" w:hanging="721"/>
        <w:jc w:val="both"/>
      </w:pPr>
      <w:r>
        <w:rPr/>
        <w:t>Production</w:t>
      </w:r>
      <w:r>
        <w:rPr>
          <w:spacing w:val="-4"/>
        </w:rPr>
        <w:t> </w:t>
      </w:r>
      <w:r>
        <w:rPr/>
        <w:t>of</w:t>
      </w:r>
      <w:r>
        <w:rPr>
          <w:spacing w:val="-2"/>
        </w:rPr>
        <w:t> </w:t>
      </w:r>
      <w:r>
        <w:rPr/>
        <w:t>iron</w:t>
      </w:r>
      <w:r>
        <w:rPr>
          <w:spacing w:val="-3"/>
        </w:rPr>
        <w:t> </w:t>
      </w:r>
      <w:r>
        <w:rPr/>
        <w:t>oxide</w:t>
      </w:r>
      <w:r>
        <w:rPr>
          <w:spacing w:val="-4"/>
        </w:rPr>
        <w:t> </w:t>
      </w:r>
      <w:r>
        <w:rPr>
          <w:spacing w:val="-2"/>
        </w:rPr>
        <w:t>nanoparticles:</w:t>
      </w:r>
    </w:p>
    <w:p>
      <w:pPr>
        <w:pStyle w:val="BodyText"/>
        <w:spacing w:before="6"/>
        <w:rPr>
          <w:b/>
          <w:sz w:val="23"/>
        </w:rPr>
      </w:pPr>
    </w:p>
    <w:p>
      <w:pPr>
        <w:pStyle w:val="BodyText"/>
        <w:spacing w:line="480" w:lineRule="auto" w:before="1"/>
        <w:ind w:left="120" w:right="114"/>
        <w:jc w:val="both"/>
      </w:pPr>
      <w:r>
        <w:rPr/>
        <w:t>Synthesis of iron oxide nanoparticles using Corn silk of </w:t>
      </w:r>
      <w:r>
        <w:rPr>
          <w:i/>
        </w:rPr>
        <w:t>Zea mays </w:t>
      </w:r>
      <w:r>
        <w:rPr/>
        <w:t>L. was done according to the method</w:t>
      </w:r>
      <w:r>
        <w:rPr>
          <w:spacing w:val="-10"/>
        </w:rPr>
        <w:t> </w:t>
      </w:r>
      <w:r>
        <w:rPr/>
        <w:t>of</w:t>
      </w:r>
      <w:r>
        <w:rPr>
          <w:spacing w:val="-10"/>
        </w:rPr>
        <w:t> </w:t>
      </w:r>
      <w:r>
        <w:rPr/>
        <w:t>Hajinasiri</w:t>
      </w:r>
      <w:r>
        <w:rPr>
          <w:spacing w:val="-9"/>
        </w:rPr>
        <w:t> </w:t>
      </w:r>
      <w:r>
        <w:rPr>
          <w:i/>
        </w:rPr>
        <w:t>et</w:t>
      </w:r>
      <w:r>
        <w:rPr>
          <w:i/>
          <w:spacing w:val="-9"/>
        </w:rPr>
        <w:t> </w:t>
      </w:r>
      <w:r>
        <w:rPr>
          <w:i/>
        </w:rPr>
        <w:t>al.</w:t>
      </w:r>
      <w:r>
        <w:rPr>
          <w:i/>
          <w:spacing w:val="-9"/>
        </w:rPr>
        <w:t> </w:t>
      </w:r>
      <w:r>
        <w:rPr/>
        <w:t>(2016).</w:t>
      </w:r>
      <w:r>
        <w:rPr>
          <w:spacing w:val="-10"/>
        </w:rPr>
        <w:t> </w:t>
      </w:r>
      <w:r>
        <w:rPr/>
        <w:t>A</w:t>
      </w:r>
      <w:r>
        <w:rPr>
          <w:spacing w:val="-10"/>
        </w:rPr>
        <w:t> </w:t>
      </w:r>
      <w:r>
        <w:rPr/>
        <w:t>30</w:t>
      </w:r>
      <w:r>
        <w:rPr>
          <w:spacing w:val="-10"/>
        </w:rPr>
        <w:t> </w:t>
      </w:r>
      <w:r>
        <w:rPr/>
        <w:t>g</w:t>
      </w:r>
      <w:r>
        <w:rPr>
          <w:spacing w:val="-12"/>
        </w:rPr>
        <w:t> </w:t>
      </w:r>
      <w:r>
        <w:rPr/>
        <w:t>of</w:t>
      </w:r>
      <w:r>
        <w:rPr>
          <w:spacing w:val="-10"/>
        </w:rPr>
        <w:t> </w:t>
      </w:r>
      <w:r>
        <w:rPr/>
        <w:t>the</w:t>
      </w:r>
      <w:r>
        <w:rPr>
          <w:spacing w:val="-10"/>
        </w:rPr>
        <w:t> </w:t>
      </w:r>
      <w:r>
        <w:rPr/>
        <w:t>dried</w:t>
      </w:r>
      <w:r>
        <w:rPr>
          <w:spacing w:val="-10"/>
        </w:rPr>
        <w:t> </w:t>
      </w:r>
      <w:r>
        <w:rPr/>
        <w:t>corn</w:t>
      </w:r>
      <w:r>
        <w:rPr>
          <w:spacing w:val="-10"/>
        </w:rPr>
        <w:t> </w:t>
      </w:r>
      <w:r>
        <w:rPr/>
        <w:t>silk</w:t>
      </w:r>
      <w:r>
        <w:rPr>
          <w:spacing w:val="-10"/>
        </w:rPr>
        <w:t> </w:t>
      </w:r>
      <w:r>
        <w:rPr/>
        <w:t>was</w:t>
      </w:r>
      <w:r>
        <w:rPr>
          <w:spacing w:val="-9"/>
        </w:rPr>
        <w:t> </w:t>
      </w:r>
      <w:r>
        <w:rPr/>
        <w:t>suspended</w:t>
      </w:r>
      <w:r>
        <w:rPr>
          <w:spacing w:val="-10"/>
        </w:rPr>
        <w:t> </w:t>
      </w:r>
      <w:r>
        <w:rPr/>
        <w:t>in</w:t>
      </w:r>
      <w:r>
        <w:rPr>
          <w:spacing w:val="-9"/>
        </w:rPr>
        <w:t> </w:t>
      </w:r>
      <w:r>
        <w:rPr/>
        <w:t>500</w:t>
      </w:r>
      <w:r>
        <w:rPr>
          <w:spacing w:val="-10"/>
        </w:rPr>
        <w:t> </w:t>
      </w:r>
      <w:r>
        <w:rPr/>
        <w:t>mL</w:t>
      </w:r>
      <w:r>
        <w:rPr>
          <w:spacing w:val="-14"/>
        </w:rPr>
        <w:t> </w:t>
      </w:r>
      <w:r>
        <w:rPr/>
        <w:t>of</w:t>
      </w:r>
      <w:r>
        <w:rPr>
          <w:spacing w:val="-10"/>
        </w:rPr>
        <w:t> </w:t>
      </w:r>
      <w:r>
        <w:rPr/>
        <w:t>sterile distilled</w:t>
      </w:r>
      <w:r>
        <w:rPr>
          <w:spacing w:val="-5"/>
        </w:rPr>
        <w:t> </w:t>
      </w:r>
      <w:r>
        <w:rPr/>
        <w:t>water</w:t>
      </w:r>
      <w:r>
        <w:rPr>
          <w:spacing w:val="-4"/>
        </w:rPr>
        <w:t> </w:t>
      </w:r>
      <w:r>
        <w:rPr/>
        <w:t>and</w:t>
      </w:r>
      <w:r>
        <w:rPr>
          <w:spacing w:val="-5"/>
        </w:rPr>
        <w:t> </w:t>
      </w:r>
      <w:r>
        <w:rPr/>
        <w:t>heated</w:t>
      </w:r>
      <w:r>
        <w:rPr>
          <w:spacing w:val="-3"/>
        </w:rPr>
        <w:t> </w:t>
      </w:r>
      <w:r>
        <w:rPr/>
        <w:t>for</w:t>
      </w:r>
      <w:r>
        <w:rPr>
          <w:spacing w:val="-4"/>
        </w:rPr>
        <w:t> </w:t>
      </w:r>
      <w:r>
        <w:rPr/>
        <w:t>30</w:t>
      </w:r>
      <w:r>
        <w:rPr>
          <w:spacing w:val="-5"/>
        </w:rPr>
        <w:t> </w:t>
      </w:r>
      <w:r>
        <w:rPr/>
        <w:t>minutes</w:t>
      </w:r>
      <w:r>
        <w:rPr>
          <w:spacing w:val="-5"/>
        </w:rPr>
        <w:t> </w:t>
      </w:r>
      <w:r>
        <w:rPr/>
        <w:t>at</w:t>
      </w:r>
      <w:r>
        <w:rPr>
          <w:spacing w:val="-2"/>
        </w:rPr>
        <w:t> </w:t>
      </w:r>
      <w:r>
        <w:rPr/>
        <w:t>80°C.</w:t>
      </w:r>
      <w:r>
        <w:rPr>
          <w:spacing w:val="-2"/>
        </w:rPr>
        <w:t> </w:t>
      </w:r>
      <w:r>
        <w:rPr/>
        <w:t>The</w:t>
      </w:r>
      <w:r>
        <w:rPr>
          <w:spacing w:val="-6"/>
        </w:rPr>
        <w:t> </w:t>
      </w:r>
      <w:r>
        <w:rPr/>
        <w:t>extract</w:t>
      </w:r>
      <w:r>
        <w:rPr>
          <w:spacing w:val="-2"/>
        </w:rPr>
        <w:t> </w:t>
      </w:r>
      <w:r>
        <w:rPr/>
        <w:t>was</w:t>
      </w:r>
      <w:r>
        <w:rPr>
          <w:spacing w:val="-3"/>
        </w:rPr>
        <w:t> </w:t>
      </w:r>
      <w:r>
        <w:rPr/>
        <w:t>filtered</w:t>
      </w:r>
      <w:r>
        <w:rPr>
          <w:spacing w:val="-3"/>
        </w:rPr>
        <w:t> </w:t>
      </w:r>
      <w:r>
        <w:rPr/>
        <w:t>using</w:t>
      </w:r>
      <w:r>
        <w:rPr>
          <w:spacing w:val="-7"/>
        </w:rPr>
        <w:t> </w:t>
      </w:r>
      <w:r>
        <w:rPr/>
        <w:t>Whatman’s</w:t>
      </w:r>
      <w:r>
        <w:rPr>
          <w:spacing w:val="-3"/>
        </w:rPr>
        <w:t> </w:t>
      </w:r>
      <w:r>
        <w:rPr/>
        <w:t>No.1 filter</w:t>
      </w:r>
      <w:r>
        <w:rPr>
          <w:spacing w:val="-4"/>
        </w:rPr>
        <w:t> </w:t>
      </w:r>
      <w:r>
        <w:rPr/>
        <w:t>paper.</w:t>
      </w:r>
      <w:r>
        <w:rPr>
          <w:spacing w:val="-3"/>
        </w:rPr>
        <w:t> </w:t>
      </w:r>
      <w:r>
        <w:rPr/>
        <w:t>The</w:t>
      </w:r>
      <w:r>
        <w:rPr>
          <w:spacing w:val="-4"/>
        </w:rPr>
        <w:t> </w:t>
      </w:r>
      <w:r>
        <w:rPr/>
        <w:t>filtrate</w:t>
      </w:r>
      <w:r>
        <w:rPr>
          <w:spacing w:val="-3"/>
        </w:rPr>
        <w:t> </w:t>
      </w:r>
      <w:r>
        <w:rPr/>
        <w:t>was</w:t>
      </w:r>
      <w:r>
        <w:rPr>
          <w:spacing w:val="-3"/>
        </w:rPr>
        <w:t> </w:t>
      </w:r>
      <w:r>
        <w:rPr/>
        <w:t>collected</w:t>
      </w:r>
      <w:r>
        <w:rPr>
          <w:spacing w:val="-3"/>
        </w:rPr>
        <w:t> </w:t>
      </w:r>
      <w:r>
        <w:rPr/>
        <w:t>in</w:t>
      </w:r>
      <w:r>
        <w:rPr>
          <w:spacing w:val="-3"/>
        </w:rPr>
        <w:t> </w:t>
      </w:r>
      <w:r>
        <w:rPr/>
        <w:t>a</w:t>
      </w:r>
      <w:r>
        <w:rPr>
          <w:spacing w:val="-4"/>
        </w:rPr>
        <w:t> </w:t>
      </w:r>
      <w:r>
        <w:rPr/>
        <w:t>clean</w:t>
      </w:r>
      <w:r>
        <w:rPr>
          <w:spacing w:val="-3"/>
        </w:rPr>
        <w:t> </w:t>
      </w:r>
      <w:r>
        <w:rPr/>
        <w:t>and</w:t>
      </w:r>
      <w:r>
        <w:rPr>
          <w:spacing w:val="-3"/>
        </w:rPr>
        <w:t> </w:t>
      </w:r>
      <w:r>
        <w:rPr/>
        <w:t>dried</w:t>
      </w:r>
      <w:r>
        <w:rPr>
          <w:spacing w:val="-3"/>
        </w:rPr>
        <w:t> </w:t>
      </w:r>
      <w:r>
        <w:rPr/>
        <w:t>conical</w:t>
      </w:r>
      <w:r>
        <w:rPr>
          <w:spacing w:val="-1"/>
        </w:rPr>
        <w:t> </w:t>
      </w:r>
      <w:r>
        <w:rPr/>
        <w:t>flask</w:t>
      </w:r>
      <w:r>
        <w:rPr>
          <w:spacing w:val="-3"/>
        </w:rPr>
        <w:t> </w:t>
      </w:r>
      <w:r>
        <w:rPr/>
        <w:t>and</w:t>
      </w:r>
      <w:r>
        <w:rPr>
          <w:spacing w:val="-3"/>
        </w:rPr>
        <w:t> </w:t>
      </w:r>
      <w:r>
        <w:rPr/>
        <w:t>stored.</w:t>
      </w:r>
      <w:r>
        <w:rPr>
          <w:spacing w:val="-4"/>
        </w:rPr>
        <w:t> </w:t>
      </w:r>
      <w:r>
        <w:rPr/>
        <w:t>Corn</w:t>
      </w:r>
      <w:r>
        <w:rPr>
          <w:spacing w:val="-4"/>
        </w:rPr>
        <w:t> </w:t>
      </w:r>
      <w:r>
        <w:rPr/>
        <w:t>Silk</w:t>
      </w:r>
      <w:r>
        <w:rPr>
          <w:spacing w:val="-3"/>
        </w:rPr>
        <w:t> </w:t>
      </w:r>
      <w:r>
        <w:rPr/>
        <w:t>iron </w:t>
      </w:r>
      <w:r>
        <w:rPr>
          <w:position w:val="2"/>
        </w:rPr>
        <w:t>oxide NPs was synthesized by adding the extract to 0.10 M FeSO</w:t>
      </w:r>
      <w:r>
        <w:rPr>
          <w:sz w:val="16"/>
        </w:rPr>
        <w:t>4</w:t>
      </w:r>
      <w:r>
        <w:rPr>
          <w:spacing w:val="33"/>
          <w:sz w:val="16"/>
        </w:rPr>
        <w:t> </w:t>
      </w:r>
      <w:r>
        <w:rPr>
          <w:position w:val="2"/>
        </w:rPr>
        <w:t>at a volume ratio of 2:1 in a </w:t>
      </w:r>
      <w:r>
        <w:rPr/>
        <w:t>sterile conical flask with constant stiring at room temperature. Then, 0.6 M NaOH solution was added</w:t>
      </w:r>
      <w:r>
        <w:rPr>
          <w:spacing w:val="-6"/>
        </w:rPr>
        <w:t> </w:t>
      </w:r>
      <w:r>
        <w:rPr/>
        <w:t>to</w:t>
      </w:r>
      <w:r>
        <w:rPr>
          <w:spacing w:val="-5"/>
        </w:rPr>
        <w:t> </w:t>
      </w:r>
      <w:r>
        <w:rPr/>
        <w:t>the</w:t>
      </w:r>
      <w:r>
        <w:rPr>
          <w:spacing w:val="-5"/>
        </w:rPr>
        <w:t> </w:t>
      </w:r>
      <w:r>
        <w:rPr/>
        <w:t>above</w:t>
      </w:r>
      <w:r>
        <w:rPr>
          <w:spacing w:val="-6"/>
        </w:rPr>
        <w:t> </w:t>
      </w:r>
      <w:r>
        <w:rPr/>
        <w:t>mixture</w:t>
      </w:r>
      <w:r>
        <w:rPr>
          <w:spacing w:val="-8"/>
        </w:rPr>
        <w:t> </w:t>
      </w:r>
      <w:r>
        <w:rPr/>
        <w:t>to</w:t>
      </w:r>
      <w:r>
        <w:rPr>
          <w:spacing w:val="-5"/>
        </w:rPr>
        <w:t> </w:t>
      </w:r>
      <w:r>
        <w:rPr/>
        <w:t>raise</w:t>
      </w:r>
      <w:r>
        <w:rPr>
          <w:spacing w:val="-6"/>
        </w:rPr>
        <w:t> </w:t>
      </w:r>
      <w:r>
        <w:rPr/>
        <w:t>the</w:t>
      </w:r>
      <w:r>
        <w:rPr>
          <w:spacing w:val="-5"/>
        </w:rPr>
        <w:t> </w:t>
      </w:r>
      <w:r>
        <w:rPr/>
        <w:t>pH</w:t>
      </w:r>
      <w:r>
        <w:rPr>
          <w:spacing w:val="-6"/>
        </w:rPr>
        <w:t> </w:t>
      </w:r>
      <w:r>
        <w:rPr/>
        <w:t>to</w:t>
      </w:r>
      <w:r>
        <w:rPr>
          <w:spacing w:val="-6"/>
        </w:rPr>
        <w:t> </w:t>
      </w:r>
      <w:r>
        <w:rPr/>
        <w:t>8</w:t>
      </w:r>
      <w:r>
        <w:rPr>
          <w:spacing w:val="-3"/>
        </w:rPr>
        <w:t> </w:t>
      </w:r>
      <w:r>
        <w:rPr/>
        <w:t>and</w:t>
      </w:r>
      <w:r>
        <w:rPr>
          <w:spacing w:val="-5"/>
        </w:rPr>
        <w:t> </w:t>
      </w:r>
      <w:r>
        <w:rPr/>
        <w:t>the</w:t>
      </w:r>
      <w:r>
        <w:rPr>
          <w:spacing w:val="-7"/>
        </w:rPr>
        <w:t> </w:t>
      </w:r>
      <w:r>
        <w:rPr/>
        <w:t>solution</w:t>
      </w:r>
      <w:r>
        <w:rPr>
          <w:spacing w:val="-5"/>
        </w:rPr>
        <w:t> </w:t>
      </w:r>
      <w:r>
        <w:rPr/>
        <w:t>was</w:t>
      </w:r>
      <w:r>
        <w:rPr>
          <w:spacing w:val="-6"/>
        </w:rPr>
        <w:t> </w:t>
      </w:r>
      <w:r>
        <w:rPr/>
        <w:t>heated</w:t>
      </w:r>
      <w:r>
        <w:rPr>
          <w:spacing w:val="-4"/>
        </w:rPr>
        <w:t> </w:t>
      </w:r>
      <w:r>
        <w:rPr/>
        <w:t>at</w:t>
      </w:r>
      <w:r>
        <w:rPr>
          <w:spacing w:val="-6"/>
        </w:rPr>
        <w:t> </w:t>
      </w:r>
      <w:r>
        <w:rPr/>
        <w:t>60-65°C</w:t>
      </w:r>
      <w:r>
        <w:rPr>
          <w:spacing w:val="-5"/>
        </w:rPr>
        <w:t> </w:t>
      </w:r>
      <w:r>
        <w:rPr/>
        <w:t>for</w:t>
      </w:r>
      <w:r>
        <w:rPr>
          <w:spacing w:val="-6"/>
        </w:rPr>
        <w:t> </w:t>
      </w:r>
      <w:r>
        <w:rPr/>
        <w:t>4</w:t>
      </w:r>
      <w:r>
        <w:rPr>
          <w:spacing w:val="-6"/>
        </w:rPr>
        <w:t> </w:t>
      </w:r>
      <w:r>
        <w:rPr>
          <w:spacing w:val="-2"/>
        </w:rPr>
        <w:t>hours</w:t>
      </w:r>
    </w:p>
    <w:p>
      <w:pPr>
        <w:spacing w:after="0" w:line="480" w:lineRule="auto"/>
        <w:jc w:val="both"/>
        <w:sectPr>
          <w:pgSz w:w="12240" w:h="15840"/>
          <w:pgMar w:header="0" w:footer="1015" w:top="1360" w:bottom="1200" w:left="1320" w:right="1320"/>
        </w:sectPr>
      </w:pPr>
    </w:p>
    <w:p>
      <w:pPr>
        <w:pStyle w:val="BodyText"/>
        <w:spacing w:line="482" w:lineRule="auto" w:before="72"/>
        <w:ind w:left="120" w:right="117"/>
        <w:jc w:val="both"/>
      </w:pPr>
      <w:r>
        <w:rPr/>
        <w:t>and cooled. The resulting solution was centrifuged at 4000 rpm for about 5 minutes and the sediment was dried at 50°C in an oven and kept in a universal bottle.</w:t>
      </w:r>
    </w:p>
    <w:p>
      <w:pPr>
        <w:pStyle w:val="Heading2"/>
        <w:numPr>
          <w:ilvl w:val="2"/>
          <w:numId w:val="4"/>
        </w:numPr>
        <w:tabs>
          <w:tab w:pos="841" w:val="left" w:leader="none"/>
        </w:tabs>
        <w:spacing w:line="240" w:lineRule="auto" w:before="194" w:after="0"/>
        <w:ind w:left="840" w:right="0" w:hanging="721"/>
        <w:jc w:val="both"/>
        <w:rPr>
          <w:b w:val="0"/>
        </w:rPr>
      </w:pPr>
      <w:r>
        <w:rPr/>
        <w:t>Characterization</w:t>
      </w:r>
      <w:r>
        <w:rPr>
          <w:spacing w:val="-4"/>
        </w:rPr>
        <w:t> </w:t>
      </w:r>
      <w:r>
        <w:rPr/>
        <w:t>of</w:t>
      </w:r>
      <w:r>
        <w:rPr>
          <w:spacing w:val="-3"/>
        </w:rPr>
        <w:t> </w:t>
      </w:r>
      <w:r>
        <w:rPr/>
        <w:t>iron</w:t>
      </w:r>
      <w:r>
        <w:rPr>
          <w:spacing w:val="-3"/>
        </w:rPr>
        <w:t> </w:t>
      </w:r>
      <w:r>
        <w:rPr/>
        <w:t>oxide</w:t>
      </w:r>
      <w:r>
        <w:rPr>
          <w:spacing w:val="-5"/>
        </w:rPr>
        <w:t> </w:t>
      </w:r>
      <w:r>
        <w:rPr>
          <w:spacing w:val="-2"/>
        </w:rPr>
        <w:t>nanoparticles</w:t>
      </w:r>
      <w:r>
        <w:rPr>
          <w:b w:val="0"/>
          <w:spacing w:val="-2"/>
        </w:rPr>
        <w:t>.</w:t>
      </w:r>
    </w:p>
    <w:p>
      <w:pPr>
        <w:pStyle w:val="BodyText"/>
      </w:pPr>
    </w:p>
    <w:p>
      <w:pPr>
        <w:pStyle w:val="BodyText"/>
        <w:spacing w:line="480" w:lineRule="auto"/>
        <w:ind w:left="120" w:right="112"/>
        <w:jc w:val="both"/>
      </w:pPr>
      <w:r>
        <w:rPr/>
        <w:t>Characterization</w:t>
      </w:r>
      <w:r>
        <w:rPr>
          <w:spacing w:val="-5"/>
        </w:rPr>
        <w:t> </w:t>
      </w:r>
      <w:r>
        <w:rPr/>
        <w:t>of</w:t>
      </w:r>
      <w:r>
        <w:rPr>
          <w:spacing w:val="-6"/>
        </w:rPr>
        <w:t> </w:t>
      </w:r>
      <w:r>
        <w:rPr/>
        <w:t>iron</w:t>
      </w:r>
      <w:r>
        <w:rPr>
          <w:spacing w:val="-2"/>
        </w:rPr>
        <w:t> </w:t>
      </w:r>
      <w:r>
        <w:rPr/>
        <w:t>oxide</w:t>
      </w:r>
      <w:r>
        <w:rPr>
          <w:spacing w:val="-5"/>
        </w:rPr>
        <w:t> </w:t>
      </w:r>
      <w:r>
        <w:rPr/>
        <w:t>nanoparticles</w:t>
      </w:r>
      <w:r>
        <w:rPr>
          <w:spacing w:val="-5"/>
        </w:rPr>
        <w:t> </w:t>
      </w:r>
      <w:r>
        <w:rPr/>
        <w:t>was</w:t>
      </w:r>
      <w:r>
        <w:rPr>
          <w:spacing w:val="-2"/>
        </w:rPr>
        <w:t> </w:t>
      </w:r>
      <w:r>
        <w:rPr/>
        <w:t>done</w:t>
      </w:r>
      <w:r>
        <w:rPr>
          <w:spacing w:val="-6"/>
        </w:rPr>
        <w:t> </w:t>
      </w:r>
      <w:r>
        <w:rPr/>
        <w:t>using</w:t>
      </w:r>
      <w:r>
        <w:rPr>
          <w:spacing w:val="-7"/>
        </w:rPr>
        <w:t> </w:t>
      </w:r>
      <w:r>
        <w:rPr/>
        <w:t>UV</w:t>
      </w:r>
      <w:r>
        <w:rPr>
          <w:spacing w:val="-4"/>
        </w:rPr>
        <w:t> </w:t>
      </w:r>
      <w:r>
        <w:rPr/>
        <w:t>spectroscopy</w:t>
      </w:r>
      <w:r>
        <w:rPr>
          <w:spacing w:val="-7"/>
        </w:rPr>
        <w:t> </w:t>
      </w:r>
      <w:r>
        <w:rPr/>
        <w:t>and</w:t>
      </w:r>
      <w:r>
        <w:rPr>
          <w:spacing w:val="-5"/>
        </w:rPr>
        <w:t> </w:t>
      </w:r>
      <w:r>
        <w:rPr/>
        <w:t>nanosized. UV spectroscopy was carried out using UV-1800 Series at wavelength range of 200 to 800 nm</w:t>
      </w:r>
      <w:r>
        <w:rPr>
          <w:rFonts w:ascii="Arial MT" w:hAnsi="Arial MT"/>
          <w:sz w:val="17"/>
        </w:rPr>
        <w:t>. </w:t>
      </w:r>
      <w:r>
        <w:rPr/>
        <w:t>The nanosize</w:t>
      </w:r>
      <w:r>
        <w:rPr>
          <w:spacing w:val="-8"/>
        </w:rPr>
        <w:t> </w:t>
      </w:r>
      <w:r>
        <w:rPr/>
        <w:t>was</w:t>
      </w:r>
      <w:r>
        <w:rPr>
          <w:spacing w:val="-7"/>
        </w:rPr>
        <w:t> </w:t>
      </w:r>
      <w:r>
        <w:rPr/>
        <w:t>carried</w:t>
      </w:r>
      <w:r>
        <w:rPr>
          <w:spacing w:val="-7"/>
        </w:rPr>
        <w:t> </w:t>
      </w:r>
      <w:r>
        <w:rPr/>
        <w:t>out</w:t>
      </w:r>
      <w:r>
        <w:rPr>
          <w:spacing w:val="-4"/>
        </w:rPr>
        <w:t> </w:t>
      </w:r>
      <w:r>
        <w:rPr/>
        <w:t>to</w:t>
      </w:r>
      <w:r>
        <w:rPr>
          <w:spacing w:val="-7"/>
        </w:rPr>
        <w:t> </w:t>
      </w:r>
      <w:r>
        <w:rPr/>
        <w:t>determine</w:t>
      </w:r>
      <w:r>
        <w:rPr>
          <w:spacing w:val="-8"/>
        </w:rPr>
        <w:t> </w:t>
      </w:r>
      <w:r>
        <w:rPr/>
        <w:t>the</w:t>
      </w:r>
      <w:r>
        <w:rPr>
          <w:spacing w:val="-6"/>
        </w:rPr>
        <w:t> </w:t>
      </w:r>
      <w:r>
        <w:rPr/>
        <w:t>size</w:t>
      </w:r>
      <w:r>
        <w:rPr>
          <w:spacing w:val="-8"/>
        </w:rPr>
        <w:t> </w:t>
      </w:r>
      <w:r>
        <w:rPr/>
        <w:t>distribution</w:t>
      </w:r>
      <w:r>
        <w:rPr>
          <w:spacing w:val="-7"/>
        </w:rPr>
        <w:t> </w:t>
      </w:r>
      <w:r>
        <w:rPr/>
        <w:t>by</w:t>
      </w:r>
      <w:r>
        <w:rPr>
          <w:spacing w:val="-11"/>
        </w:rPr>
        <w:t> </w:t>
      </w:r>
      <w:r>
        <w:rPr/>
        <w:t>volume</w:t>
      </w:r>
      <w:r>
        <w:rPr>
          <w:spacing w:val="-6"/>
        </w:rPr>
        <w:t> </w:t>
      </w:r>
      <w:r>
        <w:rPr/>
        <w:t>at</w:t>
      </w:r>
      <w:r>
        <w:rPr>
          <w:spacing w:val="-7"/>
        </w:rPr>
        <w:t> </w:t>
      </w:r>
      <w:r>
        <w:rPr/>
        <w:t>a</w:t>
      </w:r>
      <w:r>
        <w:rPr>
          <w:spacing w:val="-6"/>
        </w:rPr>
        <w:t> </w:t>
      </w:r>
      <w:r>
        <w:rPr/>
        <w:t>temperature</w:t>
      </w:r>
      <w:r>
        <w:rPr>
          <w:spacing w:val="-6"/>
        </w:rPr>
        <w:t> </w:t>
      </w:r>
      <w:r>
        <w:rPr/>
        <w:t>of</w:t>
      </w:r>
      <w:r>
        <w:rPr>
          <w:spacing w:val="-8"/>
        </w:rPr>
        <w:t> </w:t>
      </w:r>
      <w:r>
        <w:rPr/>
        <w:t>25°C</w:t>
      </w:r>
      <w:r>
        <w:rPr>
          <w:spacing w:val="-7"/>
        </w:rPr>
        <w:t> </w:t>
      </w:r>
      <w:r>
        <w:rPr/>
        <w:t>for 70 seconds using methanol as the dispersant.</w:t>
      </w:r>
    </w:p>
    <w:p>
      <w:pPr>
        <w:pStyle w:val="Heading2"/>
        <w:numPr>
          <w:ilvl w:val="1"/>
          <w:numId w:val="4"/>
        </w:numPr>
        <w:tabs>
          <w:tab w:pos="841" w:val="left" w:leader="none"/>
        </w:tabs>
        <w:spacing w:line="240" w:lineRule="auto" w:before="5" w:after="0"/>
        <w:ind w:left="840" w:right="0" w:hanging="721"/>
        <w:jc w:val="both"/>
      </w:pPr>
      <w:r>
        <w:rPr/>
        <w:t>Production</w:t>
      </w:r>
      <w:r>
        <w:rPr>
          <w:spacing w:val="-7"/>
        </w:rPr>
        <w:t> </w:t>
      </w:r>
      <w:r>
        <w:rPr/>
        <w:t>and</w:t>
      </w:r>
      <w:r>
        <w:rPr>
          <w:spacing w:val="-6"/>
        </w:rPr>
        <w:t> </w:t>
      </w:r>
      <w:r>
        <w:rPr/>
        <w:t>Characterization</w:t>
      </w:r>
      <w:r>
        <w:rPr>
          <w:spacing w:val="-6"/>
        </w:rPr>
        <w:t> </w:t>
      </w:r>
      <w:r>
        <w:rPr/>
        <w:t>of</w:t>
      </w:r>
      <w:r>
        <w:rPr>
          <w:spacing w:val="-5"/>
        </w:rPr>
        <w:t> </w:t>
      </w:r>
      <w:r>
        <w:rPr>
          <w:spacing w:val="-2"/>
        </w:rPr>
        <w:t>Biochars</w:t>
      </w:r>
    </w:p>
    <w:p>
      <w:pPr>
        <w:pStyle w:val="BodyText"/>
        <w:spacing w:before="7"/>
        <w:rPr>
          <w:b/>
          <w:sz w:val="23"/>
        </w:rPr>
      </w:pPr>
    </w:p>
    <w:p>
      <w:pPr>
        <w:pStyle w:val="BodyText"/>
        <w:spacing w:line="480" w:lineRule="auto"/>
        <w:ind w:left="120" w:right="116"/>
        <w:jc w:val="both"/>
      </w:pPr>
      <w:r>
        <w:rPr/>
        <w:t>A previous study by Olubukola (2019) has reported that biochar obtained from plantain trunk enhances microbial growth more than biochar obtained from other agricultural waste or animal residues.</w:t>
      </w:r>
      <w:r>
        <w:rPr>
          <w:spacing w:val="40"/>
        </w:rPr>
        <w:t> </w:t>
      </w:r>
      <w:r>
        <w:rPr/>
        <w:t>Biochar was produced from residues of plantain trunk. The Plantain trunks were collected from Bosso area of Niger State and washed thoroughly in clean water to remove dirts and</w:t>
      </w:r>
      <w:r>
        <w:rPr>
          <w:spacing w:val="-14"/>
        </w:rPr>
        <w:t> </w:t>
      </w:r>
      <w:r>
        <w:rPr/>
        <w:t>other</w:t>
      </w:r>
      <w:r>
        <w:rPr>
          <w:spacing w:val="-11"/>
        </w:rPr>
        <w:t> </w:t>
      </w:r>
      <w:r>
        <w:rPr/>
        <w:t>residues,</w:t>
      </w:r>
      <w:r>
        <w:rPr>
          <w:spacing w:val="-10"/>
        </w:rPr>
        <w:t> </w:t>
      </w:r>
      <w:r>
        <w:rPr/>
        <w:t>cut</w:t>
      </w:r>
      <w:r>
        <w:rPr>
          <w:spacing w:val="-12"/>
        </w:rPr>
        <w:t> </w:t>
      </w:r>
      <w:r>
        <w:rPr/>
        <w:t>into</w:t>
      </w:r>
      <w:r>
        <w:rPr>
          <w:spacing w:val="-12"/>
        </w:rPr>
        <w:t> </w:t>
      </w:r>
      <w:r>
        <w:rPr/>
        <w:t>small</w:t>
      </w:r>
      <w:r>
        <w:rPr>
          <w:spacing w:val="-11"/>
        </w:rPr>
        <w:t> </w:t>
      </w:r>
      <w:r>
        <w:rPr/>
        <w:t>sizes</w:t>
      </w:r>
      <w:r>
        <w:rPr>
          <w:spacing w:val="-12"/>
        </w:rPr>
        <w:t> </w:t>
      </w:r>
      <w:r>
        <w:rPr/>
        <w:t>and</w:t>
      </w:r>
      <w:r>
        <w:rPr>
          <w:spacing w:val="-12"/>
        </w:rPr>
        <w:t> </w:t>
      </w:r>
      <w:r>
        <w:rPr/>
        <w:t>dried</w:t>
      </w:r>
      <w:r>
        <w:rPr>
          <w:spacing w:val="-12"/>
        </w:rPr>
        <w:t> </w:t>
      </w:r>
      <w:r>
        <w:rPr/>
        <w:t>under</w:t>
      </w:r>
      <w:r>
        <w:rPr>
          <w:spacing w:val="-13"/>
        </w:rPr>
        <w:t> </w:t>
      </w:r>
      <w:r>
        <w:rPr/>
        <w:t>the</w:t>
      </w:r>
      <w:r>
        <w:rPr>
          <w:spacing w:val="-13"/>
        </w:rPr>
        <w:t> </w:t>
      </w:r>
      <w:r>
        <w:rPr/>
        <w:t>sun</w:t>
      </w:r>
      <w:r>
        <w:rPr>
          <w:spacing w:val="-7"/>
        </w:rPr>
        <w:t> </w:t>
      </w:r>
      <w:r>
        <w:rPr/>
        <w:t>until</w:t>
      </w:r>
      <w:r>
        <w:rPr>
          <w:spacing w:val="-12"/>
        </w:rPr>
        <w:t> </w:t>
      </w:r>
      <w:r>
        <w:rPr/>
        <w:t>completely</w:t>
      </w:r>
      <w:r>
        <w:rPr>
          <w:spacing w:val="-15"/>
        </w:rPr>
        <w:t> </w:t>
      </w:r>
      <w:r>
        <w:rPr/>
        <w:t>dried.</w:t>
      </w:r>
      <w:r>
        <w:rPr>
          <w:spacing w:val="-10"/>
        </w:rPr>
        <w:t> </w:t>
      </w:r>
      <w:r>
        <w:rPr/>
        <w:t>Biochar</w:t>
      </w:r>
      <w:r>
        <w:rPr>
          <w:spacing w:val="-13"/>
        </w:rPr>
        <w:t> </w:t>
      </w:r>
      <w:r>
        <w:rPr/>
        <w:t>was obtained by the pyrolysis of the sun dried plantain trunk samples in a muffle furnace having an oven on top and release volatile gas within at 550°C in the absence of air and thereafter, the charcoals</w:t>
      </w:r>
      <w:r>
        <w:rPr>
          <w:spacing w:val="-2"/>
        </w:rPr>
        <w:t> </w:t>
      </w:r>
      <w:r>
        <w:rPr/>
        <w:t>were</w:t>
      </w:r>
      <w:r>
        <w:rPr>
          <w:spacing w:val="-5"/>
        </w:rPr>
        <w:t> </w:t>
      </w:r>
      <w:r>
        <w:rPr/>
        <w:t>removed</w:t>
      </w:r>
      <w:r>
        <w:rPr>
          <w:spacing w:val="-2"/>
        </w:rPr>
        <w:t> </w:t>
      </w:r>
      <w:r>
        <w:rPr/>
        <w:t>from</w:t>
      </w:r>
      <w:r>
        <w:rPr>
          <w:spacing w:val="40"/>
        </w:rPr>
        <w:t> </w:t>
      </w:r>
      <w:r>
        <w:rPr/>
        <w:t>the</w:t>
      </w:r>
      <w:r>
        <w:rPr>
          <w:spacing w:val="-4"/>
        </w:rPr>
        <w:t> </w:t>
      </w:r>
      <w:r>
        <w:rPr/>
        <w:t>crucible,</w:t>
      </w:r>
      <w:r>
        <w:rPr>
          <w:spacing w:val="-3"/>
        </w:rPr>
        <w:t> </w:t>
      </w:r>
      <w:r>
        <w:rPr/>
        <w:t>sieved,</w:t>
      </w:r>
      <w:r>
        <w:rPr>
          <w:spacing w:val="-3"/>
        </w:rPr>
        <w:t> </w:t>
      </w:r>
      <w:r>
        <w:rPr/>
        <w:t>and</w:t>
      </w:r>
      <w:r>
        <w:rPr>
          <w:spacing w:val="-3"/>
        </w:rPr>
        <w:t> </w:t>
      </w:r>
      <w:r>
        <w:rPr/>
        <w:t>stored</w:t>
      </w:r>
      <w:r>
        <w:rPr>
          <w:spacing w:val="-3"/>
        </w:rPr>
        <w:t> </w:t>
      </w:r>
      <w:r>
        <w:rPr/>
        <w:t>in</w:t>
      </w:r>
      <w:r>
        <w:rPr>
          <w:spacing w:val="-3"/>
        </w:rPr>
        <w:t> </w:t>
      </w:r>
      <w:r>
        <w:rPr/>
        <w:t>a</w:t>
      </w:r>
      <w:r>
        <w:rPr>
          <w:spacing w:val="-2"/>
        </w:rPr>
        <w:t> </w:t>
      </w:r>
      <w:r>
        <w:rPr/>
        <w:t>container.</w:t>
      </w:r>
      <w:r>
        <w:rPr>
          <w:spacing w:val="-3"/>
        </w:rPr>
        <w:t> </w:t>
      </w:r>
      <w:r>
        <w:rPr/>
        <w:t>The</w:t>
      </w:r>
      <w:r>
        <w:rPr>
          <w:spacing w:val="-2"/>
        </w:rPr>
        <w:t> </w:t>
      </w:r>
      <w:r>
        <w:rPr/>
        <w:t>BET</w:t>
      </w:r>
      <w:r>
        <w:rPr>
          <w:spacing w:val="-3"/>
        </w:rPr>
        <w:t> </w:t>
      </w:r>
      <w:r>
        <w:rPr/>
        <w:t>(Brunauer Emmett</w:t>
      </w:r>
      <w:r>
        <w:rPr>
          <w:spacing w:val="-15"/>
        </w:rPr>
        <w:t> </w:t>
      </w:r>
      <w:r>
        <w:rPr/>
        <w:t>Teller)</w:t>
      </w:r>
      <w:r>
        <w:rPr>
          <w:spacing w:val="-15"/>
        </w:rPr>
        <w:t> </w:t>
      </w:r>
      <w:r>
        <w:rPr/>
        <w:t>analysis</w:t>
      </w:r>
      <w:r>
        <w:rPr>
          <w:spacing w:val="-15"/>
        </w:rPr>
        <w:t> </w:t>
      </w:r>
      <w:r>
        <w:rPr/>
        <w:t>was</w:t>
      </w:r>
      <w:r>
        <w:rPr>
          <w:spacing w:val="-15"/>
        </w:rPr>
        <w:t> </w:t>
      </w:r>
      <w:r>
        <w:rPr/>
        <w:t>carried</w:t>
      </w:r>
      <w:r>
        <w:rPr>
          <w:spacing w:val="-15"/>
        </w:rPr>
        <w:t> </w:t>
      </w:r>
      <w:r>
        <w:rPr/>
        <w:t>out</w:t>
      </w:r>
      <w:r>
        <w:rPr>
          <w:spacing w:val="-15"/>
        </w:rPr>
        <w:t> </w:t>
      </w:r>
      <w:r>
        <w:rPr/>
        <w:t>using</w:t>
      </w:r>
      <w:r>
        <w:rPr>
          <w:spacing w:val="-15"/>
        </w:rPr>
        <w:t> </w:t>
      </w:r>
      <w:r>
        <w:rPr/>
        <w:t>a</w:t>
      </w:r>
      <w:r>
        <w:rPr>
          <w:spacing w:val="-15"/>
        </w:rPr>
        <w:t> </w:t>
      </w:r>
      <w:r>
        <w:rPr/>
        <w:t>Nova</w:t>
      </w:r>
      <w:r>
        <w:rPr>
          <w:spacing w:val="-15"/>
        </w:rPr>
        <w:t> </w:t>
      </w:r>
      <w:r>
        <w:rPr/>
        <w:t>Station</w:t>
      </w:r>
      <w:r>
        <w:rPr>
          <w:spacing w:val="-15"/>
        </w:rPr>
        <w:t> </w:t>
      </w:r>
      <w:r>
        <w:rPr/>
        <w:t>B</w:t>
      </w:r>
      <w:r>
        <w:rPr>
          <w:spacing w:val="-15"/>
        </w:rPr>
        <w:t> </w:t>
      </w:r>
      <w:r>
        <w:rPr/>
        <w:t>instrument</w:t>
      </w:r>
      <w:r>
        <w:rPr>
          <w:spacing w:val="-15"/>
        </w:rPr>
        <w:t> </w:t>
      </w:r>
      <w:r>
        <w:rPr/>
        <w:t>to</w:t>
      </w:r>
      <w:r>
        <w:rPr>
          <w:spacing w:val="-15"/>
        </w:rPr>
        <w:t> </w:t>
      </w:r>
      <w:r>
        <w:rPr/>
        <w:t>determine</w:t>
      </w:r>
      <w:r>
        <w:rPr>
          <w:spacing w:val="-15"/>
        </w:rPr>
        <w:t> </w:t>
      </w:r>
      <w:r>
        <w:rPr/>
        <w:t>its</w:t>
      </w:r>
      <w:r>
        <w:rPr>
          <w:spacing w:val="-15"/>
        </w:rPr>
        <w:t> </w:t>
      </w:r>
      <w:r>
        <w:rPr/>
        <w:t>average pore width, micropore volume and micropore surface area (Lu </w:t>
      </w:r>
      <w:r>
        <w:rPr>
          <w:i/>
        </w:rPr>
        <w:t>et al</w:t>
      </w:r>
      <w:r>
        <w:rPr/>
        <w:t>., 2014).</w:t>
      </w:r>
    </w:p>
    <w:p>
      <w:pPr>
        <w:pStyle w:val="Heading2"/>
        <w:numPr>
          <w:ilvl w:val="1"/>
          <w:numId w:val="4"/>
        </w:numPr>
        <w:tabs>
          <w:tab w:pos="841" w:val="left" w:leader="none"/>
        </w:tabs>
        <w:spacing w:line="480" w:lineRule="auto" w:before="205" w:after="0"/>
        <w:ind w:left="120" w:right="120" w:firstLine="0"/>
        <w:jc w:val="both"/>
      </w:pPr>
      <w:r>
        <w:rPr>
          <w:spacing w:val="-2"/>
        </w:rPr>
        <w:t>Remediation</w:t>
      </w:r>
      <w:r>
        <w:rPr>
          <w:spacing w:val="-6"/>
        </w:rPr>
        <w:t> </w:t>
      </w:r>
      <w:r>
        <w:rPr>
          <w:spacing w:val="-2"/>
        </w:rPr>
        <w:t>of</w:t>
      </w:r>
      <w:r>
        <w:rPr>
          <w:spacing w:val="-4"/>
        </w:rPr>
        <w:t> </w:t>
      </w:r>
      <w:r>
        <w:rPr>
          <w:spacing w:val="-2"/>
        </w:rPr>
        <w:t>Crude</w:t>
      </w:r>
      <w:r>
        <w:rPr>
          <w:spacing w:val="-7"/>
        </w:rPr>
        <w:t> </w:t>
      </w:r>
      <w:r>
        <w:rPr>
          <w:spacing w:val="-2"/>
        </w:rPr>
        <w:t>Oil</w:t>
      </w:r>
      <w:r>
        <w:rPr>
          <w:spacing w:val="-5"/>
        </w:rPr>
        <w:t> </w:t>
      </w:r>
      <w:r>
        <w:rPr>
          <w:spacing w:val="-2"/>
        </w:rPr>
        <w:t>Polluted</w:t>
      </w:r>
      <w:r>
        <w:rPr>
          <w:spacing w:val="-5"/>
        </w:rPr>
        <w:t> </w:t>
      </w:r>
      <w:r>
        <w:rPr>
          <w:spacing w:val="-2"/>
        </w:rPr>
        <w:t>Soil</w:t>
      </w:r>
      <w:r>
        <w:rPr>
          <w:spacing w:val="-5"/>
        </w:rPr>
        <w:t> </w:t>
      </w:r>
      <w:r>
        <w:rPr>
          <w:spacing w:val="-2"/>
        </w:rPr>
        <w:t>Using</w:t>
      </w:r>
      <w:r>
        <w:rPr>
          <w:spacing w:val="-8"/>
        </w:rPr>
        <w:t> </w:t>
      </w:r>
      <w:r>
        <w:rPr>
          <w:spacing w:val="-2"/>
        </w:rPr>
        <w:t>the</w:t>
      </w:r>
      <w:r>
        <w:rPr>
          <w:spacing w:val="-7"/>
        </w:rPr>
        <w:t> </w:t>
      </w:r>
      <w:r>
        <w:rPr>
          <w:spacing w:val="-2"/>
        </w:rPr>
        <w:t>Produced</w:t>
      </w:r>
      <w:r>
        <w:rPr>
          <w:spacing w:val="-5"/>
        </w:rPr>
        <w:t> </w:t>
      </w:r>
      <w:r>
        <w:rPr>
          <w:spacing w:val="-2"/>
        </w:rPr>
        <w:t>Biosurfactant,</w:t>
      </w:r>
      <w:r>
        <w:rPr>
          <w:spacing w:val="-6"/>
        </w:rPr>
        <w:t> </w:t>
      </w:r>
      <w:r>
        <w:rPr>
          <w:spacing w:val="-2"/>
        </w:rPr>
        <w:t>Iron</w:t>
      </w:r>
      <w:r>
        <w:rPr>
          <w:spacing w:val="-5"/>
        </w:rPr>
        <w:t> </w:t>
      </w:r>
      <w:r>
        <w:rPr>
          <w:spacing w:val="-2"/>
        </w:rPr>
        <w:t>Oxide </w:t>
      </w:r>
      <w:r>
        <w:rPr/>
        <w:t>Nanoparticles and Biochar</w:t>
      </w:r>
    </w:p>
    <w:p>
      <w:pPr>
        <w:pStyle w:val="BodyText"/>
        <w:spacing w:line="482" w:lineRule="auto"/>
        <w:ind w:left="120" w:right="115"/>
        <w:jc w:val="both"/>
      </w:pPr>
      <w:r>
        <w:rPr/>
        <w:t>Soil polluted with crude oil was remediated using the produced biosurfactant, iron oxide nanoparticles and biochar as stated in the sections below:</w:t>
      </w:r>
    </w:p>
    <w:p>
      <w:pPr>
        <w:spacing w:after="0" w:line="482" w:lineRule="auto"/>
        <w:jc w:val="both"/>
        <w:sectPr>
          <w:pgSz w:w="12240" w:h="15840"/>
          <w:pgMar w:header="0" w:footer="1015" w:top="1360" w:bottom="1200" w:left="1320" w:right="1320"/>
        </w:sectPr>
      </w:pPr>
    </w:p>
    <w:p>
      <w:pPr>
        <w:pStyle w:val="Heading2"/>
        <w:numPr>
          <w:ilvl w:val="2"/>
          <w:numId w:val="4"/>
        </w:numPr>
        <w:tabs>
          <w:tab w:pos="841" w:val="left" w:leader="none"/>
        </w:tabs>
        <w:spacing w:line="240" w:lineRule="auto" w:before="76" w:after="0"/>
        <w:ind w:left="840" w:right="0" w:hanging="721"/>
        <w:jc w:val="both"/>
      </w:pPr>
      <w:r>
        <w:rPr/>
        <w:t>Soil</w:t>
      </w:r>
      <w:r>
        <w:rPr>
          <w:spacing w:val="-4"/>
        </w:rPr>
        <w:t> </w:t>
      </w:r>
      <w:r>
        <w:rPr/>
        <w:t>preparation</w:t>
      </w:r>
      <w:r>
        <w:rPr>
          <w:spacing w:val="-4"/>
        </w:rPr>
        <w:t> </w:t>
      </w:r>
      <w:r>
        <w:rPr/>
        <w:t>and</w:t>
      </w:r>
      <w:r>
        <w:rPr>
          <w:spacing w:val="-5"/>
        </w:rPr>
        <w:t> </w:t>
      </w:r>
      <w:r>
        <w:rPr>
          <w:spacing w:val="-2"/>
        </w:rPr>
        <w:t>pollution</w:t>
      </w:r>
    </w:p>
    <w:p>
      <w:pPr>
        <w:pStyle w:val="BodyText"/>
        <w:spacing w:before="7"/>
        <w:rPr>
          <w:b/>
          <w:sz w:val="23"/>
        </w:rPr>
      </w:pPr>
    </w:p>
    <w:p>
      <w:pPr>
        <w:pStyle w:val="BodyText"/>
        <w:spacing w:line="480" w:lineRule="auto" w:before="1"/>
        <w:ind w:left="120" w:right="114"/>
        <w:jc w:val="both"/>
      </w:pPr>
      <w:r>
        <w:rPr/>
        <w:t>The soil sample was prepared according to the method of Jorfi</w:t>
      </w:r>
      <w:r>
        <w:rPr/>
        <w:t> </w:t>
      </w:r>
      <w:r>
        <w:rPr>
          <w:i/>
        </w:rPr>
        <w:t>et</w:t>
      </w:r>
      <w:r>
        <w:rPr>
          <w:i/>
        </w:rPr>
        <w:t> al.</w:t>
      </w:r>
      <w:r>
        <w:rPr>
          <w:i/>
        </w:rPr>
        <w:t> </w:t>
      </w:r>
      <w:r>
        <w:rPr/>
        <w:t>(2013)</w:t>
      </w:r>
      <w:r>
        <w:rPr/>
        <w:t> with</w:t>
      </w:r>
      <w:r>
        <w:rPr/>
        <w:t> little modifications.</w:t>
      </w:r>
      <w:r>
        <w:rPr>
          <w:spacing w:val="35"/>
        </w:rPr>
        <w:t> </w:t>
      </w:r>
      <w:r>
        <w:rPr/>
        <w:t>A</w:t>
      </w:r>
      <w:r>
        <w:rPr>
          <w:spacing w:val="-13"/>
        </w:rPr>
        <w:t> </w:t>
      </w:r>
      <w:r>
        <w:rPr/>
        <w:t>300</w:t>
      </w:r>
      <w:r>
        <w:rPr>
          <w:spacing w:val="-12"/>
        </w:rPr>
        <w:t> </w:t>
      </w:r>
      <w:r>
        <w:rPr/>
        <w:t>g</w:t>
      </w:r>
      <w:r>
        <w:rPr>
          <w:spacing w:val="-12"/>
        </w:rPr>
        <w:t> </w:t>
      </w:r>
      <w:r>
        <w:rPr/>
        <w:t>of</w:t>
      </w:r>
      <w:r>
        <w:rPr>
          <w:spacing w:val="-13"/>
        </w:rPr>
        <w:t> </w:t>
      </w:r>
      <w:r>
        <w:rPr/>
        <w:t>soil</w:t>
      </w:r>
      <w:r>
        <w:rPr>
          <w:spacing w:val="-11"/>
        </w:rPr>
        <w:t> </w:t>
      </w:r>
      <w:r>
        <w:rPr/>
        <w:t>sample</w:t>
      </w:r>
      <w:r>
        <w:rPr>
          <w:spacing w:val="-13"/>
        </w:rPr>
        <w:t> </w:t>
      </w:r>
      <w:r>
        <w:rPr/>
        <w:t>was</w:t>
      </w:r>
      <w:r>
        <w:rPr>
          <w:spacing w:val="-12"/>
        </w:rPr>
        <w:t> </w:t>
      </w:r>
      <w:r>
        <w:rPr/>
        <w:t>dried</w:t>
      </w:r>
      <w:r>
        <w:rPr>
          <w:spacing w:val="-9"/>
        </w:rPr>
        <w:t> </w:t>
      </w:r>
      <w:r>
        <w:rPr/>
        <w:t>at</w:t>
      </w:r>
      <w:r>
        <w:rPr>
          <w:spacing w:val="-9"/>
        </w:rPr>
        <w:t> </w:t>
      </w:r>
      <w:r>
        <w:rPr/>
        <w:t>room</w:t>
      </w:r>
      <w:r>
        <w:rPr>
          <w:spacing w:val="-12"/>
        </w:rPr>
        <w:t> </w:t>
      </w:r>
      <w:r>
        <w:rPr/>
        <w:t>temperature</w:t>
      </w:r>
      <w:r>
        <w:rPr>
          <w:spacing w:val="-12"/>
        </w:rPr>
        <w:t> </w:t>
      </w:r>
      <w:r>
        <w:rPr/>
        <w:t>and</w:t>
      </w:r>
      <w:r>
        <w:rPr>
          <w:spacing w:val="-12"/>
        </w:rPr>
        <w:t> </w:t>
      </w:r>
      <w:r>
        <w:rPr/>
        <w:t>homogenized</w:t>
      </w:r>
      <w:r>
        <w:rPr>
          <w:spacing w:val="-12"/>
        </w:rPr>
        <w:t> </w:t>
      </w:r>
      <w:r>
        <w:rPr/>
        <w:t>by</w:t>
      </w:r>
      <w:r>
        <w:rPr>
          <w:spacing w:val="-15"/>
        </w:rPr>
        <w:t> </w:t>
      </w:r>
      <w:r>
        <w:rPr/>
        <w:t>passing through a 2-mm sieve. A series of 20 g homogenized soil sample was placed in 50 mL clean container. Crude oil (10 % w/w) was added and 5 mL of distilled water was added, mixed thoroughly and left for 10 days.</w:t>
      </w:r>
    </w:p>
    <w:p>
      <w:pPr>
        <w:pStyle w:val="Heading2"/>
        <w:numPr>
          <w:ilvl w:val="2"/>
          <w:numId w:val="4"/>
        </w:numPr>
        <w:tabs>
          <w:tab w:pos="841" w:val="left" w:leader="none"/>
        </w:tabs>
        <w:spacing w:line="240" w:lineRule="auto" w:before="204" w:after="0"/>
        <w:ind w:left="840" w:right="0" w:hanging="721"/>
        <w:jc w:val="both"/>
      </w:pPr>
      <w:r>
        <w:rPr/>
        <w:t>Microbial</w:t>
      </w:r>
      <w:r>
        <w:rPr>
          <w:spacing w:val="-5"/>
        </w:rPr>
        <w:t> </w:t>
      </w:r>
      <w:r>
        <w:rPr/>
        <w:t>counts</w:t>
      </w:r>
      <w:r>
        <w:rPr>
          <w:spacing w:val="-5"/>
        </w:rPr>
        <w:t> </w:t>
      </w:r>
      <w:r>
        <w:rPr/>
        <w:t>of</w:t>
      </w:r>
      <w:r>
        <w:rPr>
          <w:spacing w:val="-5"/>
        </w:rPr>
        <w:t> </w:t>
      </w:r>
      <w:r>
        <w:rPr/>
        <w:t>the</w:t>
      </w:r>
      <w:r>
        <w:rPr>
          <w:spacing w:val="-5"/>
        </w:rPr>
        <w:t> </w:t>
      </w:r>
      <w:r>
        <w:rPr/>
        <w:t>polluted</w:t>
      </w:r>
      <w:r>
        <w:rPr>
          <w:spacing w:val="-5"/>
        </w:rPr>
        <w:t> </w:t>
      </w:r>
      <w:r>
        <w:rPr>
          <w:spacing w:val="-4"/>
        </w:rPr>
        <w:t>soil</w:t>
      </w:r>
    </w:p>
    <w:p>
      <w:pPr>
        <w:pStyle w:val="BodyText"/>
        <w:spacing w:before="7"/>
        <w:rPr>
          <w:b/>
          <w:sz w:val="23"/>
        </w:rPr>
      </w:pPr>
    </w:p>
    <w:p>
      <w:pPr>
        <w:pStyle w:val="BodyText"/>
        <w:spacing w:line="480" w:lineRule="auto"/>
        <w:ind w:left="120" w:right="114"/>
        <w:jc w:val="both"/>
      </w:pPr>
      <w:r>
        <w:rPr/>
        <w:t>Bacteria and fungi were enumerated before and after biodegradation process using spread plate method.</w:t>
      </w:r>
      <w:r>
        <w:rPr>
          <w:spacing w:val="40"/>
        </w:rPr>
        <w:t> </w:t>
      </w:r>
      <w:r>
        <w:rPr/>
        <w:t>Nutrient</w:t>
      </w:r>
      <w:r>
        <w:rPr>
          <w:spacing w:val="-8"/>
        </w:rPr>
        <w:t> </w:t>
      </w:r>
      <w:r>
        <w:rPr/>
        <w:t>agar</w:t>
      </w:r>
      <w:r>
        <w:rPr>
          <w:spacing w:val="-9"/>
        </w:rPr>
        <w:t> </w:t>
      </w:r>
      <w:r>
        <w:rPr/>
        <w:t>(NA)</w:t>
      </w:r>
      <w:r>
        <w:rPr>
          <w:spacing w:val="-9"/>
        </w:rPr>
        <w:t> </w:t>
      </w:r>
      <w:r>
        <w:rPr/>
        <w:t>and</w:t>
      </w:r>
      <w:r>
        <w:rPr>
          <w:spacing w:val="-9"/>
        </w:rPr>
        <w:t> </w:t>
      </w:r>
      <w:r>
        <w:rPr/>
        <w:t>Sabouraud</w:t>
      </w:r>
      <w:r>
        <w:rPr>
          <w:spacing w:val="-8"/>
        </w:rPr>
        <w:t> </w:t>
      </w:r>
      <w:r>
        <w:rPr/>
        <w:t>dextrose</w:t>
      </w:r>
      <w:r>
        <w:rPr>
          <w:spacing w:val="-9"/>
        </w:rPr>
        <w:t> </w:t>
      </w:r>
      <w:r>
        <w:rPr/>
        <w:t>agar</w:t>
      </w:r>
      <w:r>
        <w:rPr>
          <w:spacing w:val="-9"/>
        </w:rPr>
        <w:t> </w:t>
      </w:r>
      <w:r>
        <w:rPr/>
        <w:t>(SDA)</w:t>
      </w:r>
      <w:r>
        <w:rPr>
          <w:spacing w:val="-10"/>
        </w:rPr>
        <w:t> </w:t>
      </w:r>
      <w:r>
        <w:rPr/>
        <w:t>plates</w:t>
      </w:r>
      <w:r>
        <w:rPr>
          <w:spacing w:val="-7"/>
        </w:rPr>
        <w:t> </w:t>
      </w:r>
      <w:r>
        <w:rPr/>
        <w:t>were</w:t>
      </w:r>
      <w:r>
        <w:rPr>
          <w:spacing w:val="-10"/>
        </w:rPr>
        <w:t> </w:t>
      </w:r>
      <w:r>
        <w:rPr/>
        <w:t>inoculated</w:t>
      </w:r>
      <w:r>
        <w:rPr>
          <w:spacing w:val="-9"/>
        </w:rPr>
        <w:t> </w:t>
      </w:r>
      <w:r>
        <w:rPr/>
        <w:t>by</w:t>
      </w:r>
      <w:r>
        <w:rPr>
          <w:spacing w:val="-13"/>
        </w:rPr>
        <w:t> </w:t>
      </w:r>
      <w:r>
        <w:rPr/>
        <w:t>taking 0.1mL</w:t>
      </w:r>
      <w:r>
        <w:rPr>
          <w:spacing w:val="-7"/>
        </w:rPr>
        <w:t> </w:t>
      </w:r>
      <w:r>
        <w:rPr/>
        <w:t>of</w:t>
      </w:r>
      <w:r>
        <w:rPr>
          <w:spacing w:val="-1"/>
        </w:rPr>
        <w:t> </w:t>
      </w:r>
      <w:r>
        <w:rPr/>
        <w:t>serially</w:t>
      </w:r>
      <w:r>
        <w:rPr>
          <w:spacing w:val="-7"/>
        </w:rPr>
        <w:t> </w:t>
      </w:r>
      <w:r>
        <w:rPr/>
        <w:t>diluted 1</w:t>
      </w:r>
      <w:r>
        <w:rPr>
          <w:spacing w:val="-2"/>
        </w:rPr>
        <w:t> </w:t>
      </w:r>
      <w:r>
        <w:rPr/>
        <w:t>g</w:t>
      </w:r>
      <w:r>
        <w:rPr>
          <w:spacing w:val="-5"/>
        </w:rPr>
        <w:t> </w:t>
      </w:r>
      <w:r>
        <w:rPr/>
        <w:t>soil sample unto the</w:t>
      </w:r>
      <w:r>
        <w:rPr>
          <w:spacing w:val="-1"/>
        </w:rPr>
        <w:t> </w:t>
      </w:r>
      <w:r>
        <w:rPr/>
        <w:t>surfaces</w:t>
      </w:r>
      <w:r>
        <w:rPr>
          <w:spacing w:val="-1"/>
        </w:rPr>
        <w:t> </w:t>
      </w:r>
      <w:r>
        <w:rPr/>
        <w:t>of</w:t>
      </w:r>
      <w:r>
        <w:rPr>
          <w:spacing w:val="-1"/>
        </w:rPr>
        <w:t> </w:t>
      </w:r>
      <w:r>
        <w:rPr/>
        <w:t>the</w:t>
      </w:r>
      <w:r>
        <w:rPr>
          <w:spacing w:val="-2"/>
        </w:rPr>
        <w:t> </w:t>
      </w:r>
      <w:r>
        <w:rPr/>
        <w:t>plates and evenly</w:t>
      </w:r>
      <w:r>
        <w:rPr>
          <w:spacing w:val="-6"/>
        </w:rPr>
        <w:t> </w:t>
      </w:r>
      <w:r>
        <w:rPr/>
        <w:t>spread</w:t>
      </w:r>
      <w:r>
        <w:rPr>
          <w:spacing w:val="-1"/>
        </w:rPr>
        <w:t> </w:t>
      </w:r>
      <w:r>
        <w:rPr/>
        <w:t>using</w:t>
      </w:r>
      <w:r>
        <w:rPr>
          <w:spacing w:val="-4"/>
        </w:rPr>
        <w:t> </w:t>
      </w:r>
      <w:r>
        <w:rPr/>
        <w:t>a sterile</w:t>
      </w:r>
      <w:r>
        <w:rPr>
          <w:spacing w:val="-7"/>
        </w:rPr>
        <w:t> </w:t>
      </w:r>
      <w:r>
        <w:rPr/>
        <w:t>swab</w:t>
      </w:r>
      <w:r>
        <w:rPr>
          <w:spacing w:val="-6"/>
        </w:rPr>
        <w:t> </w:t>
      </w:r>
      <w:r>
        <w:rPr/>
        <w:t>sticks.</w:t>
      </w:r>
      <w:r>
        <w:rPr>
          <w:spacing w:val="-6"/>
        </w:rPr>
        <w:t> </w:t>
      </w:r>
      <w:r>
        <w:rPr/>
        <w:t>The</w:t>
      </w:r>
      <w:r>
        <w:rPr>
          <w:spacing w:val="-6"/>
        </w:rPr>
        <w:t> </w:t>
      </w:r>
      <w:r>
        <w:rPr/>
        <w:t>NA</w:t>
      </w:r>
      <w:r>
        <w:rPr>
          <w:spacing w:val="-7"/>
        </w:rPr>
        <w:t> </w:t>
      </w:r>
      <w:r>
        <w:rPr/>
        <w:t>plates</w:t>
      </w:r>
      <w:r>
        <w:rPr>
          <w:spacing w:val="-6"/>
        </w:rPr>
        <w:t> </w:t>
      </w:r>
      <w:r>
        <w:rPr/>
        <w:t>were</w:t>
      </w:r>
      <w:r>
        <w:rPr>
          <w:spacing w:val="-8"/>
        </w:rPr>
        <w:t> </w:t>
      </w:r>
      <w:r>
        <w:rPr/>
        <w:t>incubated</w:t>
      </w:r>
      <w:r>
        <w:rPr>
          <w:spacing w:val="-5"/>
        </w:rPr>
        <w:t> </w:t>
      </w:r>
      <w:r>
        <w:rPr/>
        <w:t>at</w:t>
      </w:r>
      <w:r>
        <w:rPr>
          <w:spacing w:val="-7"/>
        </w:rPr>
        <w:t> </w:t>
      </w:r>
      <w:r>
        <w:rPr/>
        <w:t>37°C</w:t>
      </w:r>
      <w:r>
        <w:rPr>
          <w:spacing w:val="-7"/>
        </w:rPr>
        <w:t> </w:t>
      </w:r>
      <w:r>
        <w:rPr/>
        <w:t>fоr</w:t>
      </w:r>
      <w:r>
        <w:rPr>
          <w:spacing w:val="-9"/>
        </w:rPr>
        <w:t> </w:t>
      </w:r>
      <w:r>
        <w:rPr/>
        <w:t>24</w:t>
      </w:r>
      <w:r>
        <w:rPr>
          <w:spacing w:val="-7"/>
        </w:rPr>
        <w:t> </w:t>
      </w:r>
      <w:r>
        <w:rPr/>
        <w:t>hоurs</w:t>
      </w:r>
      <w:r>
        <w:rPr>
          <w:spacing w:val="-8"/>
        </w:rPr>
        <w:t> </w:t>
      </w:r>
      <w:r>
        <w:rPr/>
        <w:t>while</w:t>
      </w:r>
      <w:r>
        <w:rPr>
          <w:spacing w:val="-8"/>
        </w:rPr>
        <w:t> </w:t>
      </w:r>
      <w:r>
        <w:rPr/>
        <w:t>the</w:t>
      </w:r>
      <w:r>
        <w:rPr>
          <w:spacing w:val="-8"/>
        </w:rPr>
        <w:t> </w:t>
      </w:r>
      <w:r>
        <w:rPr/>
        <w:t>SDA</w:t>
      </w:r>
      <w:r>
        <w:rPr>
          <w:spacing w:val="-8"/>
        </w:rPr>
        <w:t> </w:t>
      </w:r>
      <w:r>
        <w:rPr/>
        <w:t>plates</w:t>
      </w:r>
      <w:r>
        <w:rPr>
          <w:spacing w:val="-7"/>
        </w:rPr>
        <w:t> </w:t>
      </w:r>
      <w:r>
        <w:rPr/>
        <w:t>were incubated at 28°C ±2 for 72 hours. The colonies that developed were counted and expressed as colony forming units per gram (CFUg</w:t>
      </w:r>
      <w:r>
        <w:rPr>
          <w:vertAlign w:val="superscript"/>
        </w:rPr>
        <w:t>-1</w:t>
      </w:r>
      <w:r>
        <w:rPr>
          <w:vertAlign w:val="baseline"/>
        </w:rPr>
        <w:t>) of the sample.</w:t>
      </w:r>
    </w:p>
    <w:p>
      <w:pPr>
        <w:pStyle w:val="Heading2"/>
        <w:numPr>
          <w:ilvl w:val="2"/>
          <w:numId w:val="4"/>
        </w:numPr>
        <w:tabs>
          <w:tab w:pos="841" w:val="left" w:leader="none"/>
        </w:tabs>
        <w:spacing w:line="240" w:lineRule="auto" w:before="205" w:after="0"/>
        <w:ind w:left="840" w:right="0" w:hanging="721"/>
        <w:jc w:val="both"/>
      </w:pPr>
      <w:r>
        <w:rPr/>
        <w:t>Preparation</w:t>
      </w:r>
      <w:r>
        <w:rPr>
          <w:spacing w:val="-7"/>
        </w:rPr>
        <w:t> </w:t>
      </w:r>
      <w:r>
        <w:rPr/>
        <w:t>of</w:t>
      </w:r>
      <w:r>
        <w:rPr>
          <w:spacing w:val="-6"/>
        </w:rPr>
        <w:t> </w:t>
      </w:r>
      <w:r>
        <w:rPr/>
        <w:t>biosurfactants,</w:t>
      </w:r>
      <w:r>
        <w:rPr>
          <w:spacing w:val="-7"/>
        </w:rPr>
        <w:t> </w:t>
      </w:r>
      <w:r>
        <w:rPr/>
        <w:t>nanoparticles</w:t>
      </w:r>
      <w:r>
        <w:rPr>
          <w:spacing w:val="-6"/>
        </w:rPr>
        <w:t> </w:t>
      </w:r>
      <w:r>
        <w:rPr/>
        <w:t>and</w:t>
      </w:r>
      <w:r>
        <w:rPr>
          <w:spacing w:val="-6"/>
        </w:rPr>
        <w:t> </w:t>
      </w:r>
      <w:r>
        <w:rPr/>
        <w:t>biochar</w:t>
      </w:r>
      <w:r>
        <w:rPr>
          <w:spacing w:val="-8"/>
        </w:rPr>
        <w:t> </w:t>
      </w:r>
      <w:r>
        <w:rPr>
          <w:spacing w:val="-2"/>
        </w:rPr>
        <w:t>treatments</w:t>
      </w:r>
    </w:p>
    <w:p>
      <w:pPr>
        <w:pStyle w:val="BodyText"/>
        <w:spacing w:before="6"/>
        <w:rPr>
          <w:b/>
          <w:sz w:val="23"/>
        </w:rPr>
      </w:pPr>
    </w:p>
    <w:p>
      <w:pPr>
        <w:pStyle w:val="BodyText"/>
        <w:spacing w:line="480" w:lineRule="auto" w:before="1"/>
        <w:ind w:left="120" w:right="115"/>
        <w:jc w:val="both"/>
      </w:pPr>
      <w:r>
        <w:rPr/>
        <w:t>Biosurfactant, nanoparticles, biochar and biosurfactant/nanopaticles/biochar composites of different</w:t>
      </w:r>
      <w:r>
        <w:rPr>
          <w:spacing w:val="-1"/>
        </w:rPr>
        <w:t> </w:t>
      </w:r>
      <w:r>
        <w:rPr/>
        <w:t>proportions</w:t>
      </w:r>
      <w:r>
        <w:rPr>
          <w:spacing w:val="-1"/>
        </w:rPr>
        <w:t> </w:t>
      </w:r>
      <w:r>
        <w:rPr/>
        <w:t>(1:1:1,</w:t>
      </w:r>
      <w:r>
        <w:rPr>
          <w:spacing w:val="-1"/>
        </w:rPr>
        <w:t> </w:t>
      </w:r>
      <w:r>
        <w:rPr/>
        <w:t>1:1:2,</w:t>
      </w:r>
      <w:r>
        <w:rPr>
          <w:spacing w:val="-1"/>
        </w:rPr>
        <w:t> </w:t>
      </w:r>
      <w:r>
        <w:rPr/>
        <w:t>2:1:1</w:t>
      </w:r>
      <w:r>
        <w:rPr>
          <w:spacing w:val="-1"/>
        </w:rPr>
        <w:t> </w:t>
      </w:r>
      <w:r>
        <w:rPr/>
        <w:t>and</w:t>
      </w:r>
      <w:r>
        <w:rPr>
          <w:spacing w:val="-1"/>
        </w:rPr>
        <w:t> </w:t>
      </w:r>
      <w:r>
        <w:rPr/>
        <w:t>1:2:1)</w:t>
      </w:r>
      <w:r>
        <w:rPr>
          <w:spacing w:val="-2"/>
        </w:rPr>
        <w:t> </w:t>
      </w:r>
      <w:r>
        <w:rPr/>
        <w:t>were</w:t>
      </w:r>
      <w:r>
        <w:rPr>
          <w:spacing w:val="-4"/>
        </w:rPr>
        <w:t> </w:t>
      </w:r>
      <w:r>
        <w:rPr/>
        <w:t>prepared</w:t>
      </w:r>
      <w:r>
        <w:rPr>
          <w:spacing w:val="-2"/>
        </w:rPr>
        <w:t> </w:t>
      </w:r>
      <w:r>
        <w:rPr/>
        <w:t>and</w:t>
      </w:r>
      <w:r>
        <w:rPr>
          <w:spacing w:val="-2"/>
        </w:rPr>
        <w:t> </w:t>
      </w:r>
      <w:r>
        <w:rPr/>
        <w:t>used for</w:t>
      </w:r>
      <w:r>
        <w:rPr>
          <w:spacing w:val="-3"/>
        </w:rPr>
        <w:t> </w:t>
      </w:r>
      <w:r>
        <w:rPr/>
        <w:t>bioremediation</w:t>
      </w:r>
      <w:r>
        <w:rPr>
          <w:spacing w:val="-1"/>
        </w:rPr>
        <w:t> </w:t>
      </w:r>
      <w:r>
        <w:rPr/>
        <w:t>of crude oil polluted soil according to the method of El-Sheshtawy and Ahmed (2017) with little </w:t>
      </w:r>
      <w:r>
        <w:rPr>
          <w:spacing w:val="-2"/>
        </w:rPr>
        <w:t>modifications.</w:t>
      </w:r>
    </w:p>
    <w:p>
      <w:pPr>
        <w:pStyle w:val="Heading2"/>
        <w:numPr>
          <w:ilvl w:val="2"/>
          <w:numId w:val="4"/>
        </w:numPr>
        <w:tabs>
          <w:tab w:pos="841" w:val="left" w:leader="none"/>
        </w:tabs>
        <w:spacing w:line="240" w:lineRule="auto" w:before="5" w:after="0"/>
        <w:ind w:left="840" w:right="0" w:hanging="721"/>
        <w:jc w:val="both"/>
      </w:pPr>
      <w:r>
        <w:rPr/>
        <w:t>Experimental</w:t>
      </w:r>
      <w:r>
        <w:rPr>
          <w:spacing w:val="-12"/>
        </w:rPr>
        <w:t> </w:t>
      </w:r>
      <w:r>
        <w:rPr>
          <w:spacing w:val="-2"/>
        </w:rPr>
        <w:t>design</w:t>
      </w:r>
    </w:p>
    <w:p>
      <w:pPr>
        <w:pStyle w:val="BodyText"/>
        <w:spacing w:before="7"/>
        <w:rPr>
          <w:b/>
          <w:sz w:val="23"/>
        </w:rPr>
      </w:pPr>
    </w:p>
    <w:p>
      <w:pPr>
        <w:pStyle w:val="BodyText"/>
        <w:spacing w:line="480" w:lineRule="auto"/>
        <w:ind w:left="120" w:right="118"/>
        <w:jc w:val="both"/>
      </w:pPr>
      <w:r>
        <w:rPr/>
        <w:t>The</w:t>
      </w:r>
      <w:r>
        <w:rPr>
          <w:spacing w:val="-5"/>
        </w:rPr>
        <w:t> </w:t>
      </w:r>
      <w:r>
        <w:rPr/>
        <w:t>crude</w:t>
      </w:r>
      <w:r>
        <w:rPr>
          <w:spacing w:val="-5"/>
        </w:rPr>
        <w:t> </w:t>
      </w:r>
      <w:r>
        <w:rPr/>
        <w:t>oil</w:t>
      </w:r>
      <w:r>
        <w:rPr>
          <w:spacing w:val="-3"/>
        </w:rPr>
        <w:t> </w:t>
      </w:r>
      <w:r>
        <w:rPr/>
        <w:t>polluted</w:t>
      </w:r>
      <w:r>
        <w:rPr>
          <w:spacing w:val="-3"/>
        </w:rPr>
        <w:t> </w:t>
      </w:r>
      <w:r>
        <w:rPr/>
        <w:t>soil</w:t>
      </w:r>
      <w:r>
        <w:rPr>
          <w:spacing w:val="-3"/>
        </w:rPr>
        <w:t> </w:t>
      </w:r>
      <w:r>
        <w:rPr/>
        <w:t>was</w:t>
      </w:r>
      <w:r>
        <w:rPr>
          <w:spacing w:val="-3"/>
        </w:rPr>
        <w:t> </w:t>
      </w:r>
      <w:r>
        <w:rPr/>
        <w:t>divided</w:t>
      </w:r>
      <w:r>
        <w:rPr>
          <w:spacing w:val="-3"/>
        </w:rPr>
        <w:t> </w:t>
      </w:r>
      <w:r>
        <w:rPr/>
        <w:t>into</w:t>
      </w:r>
      <w:r>
        <w:rPr>
          <w:spacing w:val="-3"/>
        </w:rPr>
        <w:t> </w:t>
      </w:r>
      <w:r>
        <w:rPr/>
        <w:t>15</w:t>
      </w:r>
      <w:r>
        <w:rPr>
          <w:spacing w:val="-3"/>
        </w:rPr>
        <w:t> </w:t>
      </w:r>
      <w:r>
        <w:rPr/>
        <w:t>treatment</w:t>
      </w:r>
      <w:r>
        <w:rPr>
          <w:spacing w:val="-3"/>
        </w:rPr>
        <w:t> </w:t>
      </w:r>
      <w:r>
        <w:rPr/>
        <w:t>sample</w:t>
      </w:r>
      <w:r>
        <w:rPr>
          <w:spacing w:val="-4"/>
        </w:rPr>
        <w:t> </w:t>
      </w:r>
      <w:r>
        <w:rPr/>
        <w:t>containers</w:t>
      </w:r>
      <w:r>
        <w:rPr>
          <w:spacing w:val="-2"/>
        </w:rPr>
        <w:t> </w:t>
      </w:r>
      <w:r>
        <w:rPr/>
        <w:t>each</w:t>
      </w:r>
      <w:r>
        <w:rPr>
          <w:spacing w:val="-3"/>
        </w:rPr>
        <w:t> </w:t>
      </w:r>
      <w:r>
        <w:rPr/>
        <w:t>with</w:t>
      </w:r>
      <w:r>
        <w:rPr>
          <w:spacing w:val="-3"/>
        </w:rPr>
        <w:t> </w:t>
      </w:r>
      <w:r>
        <w:rPr/>
        <w:t>20g</w:t>
      </w:r>
      <w:r>
        <w:rPr>
          <w:spacing w:val="-6"/>
        </w:rPr>
        <w:t> </w:t>
      </w:r>
      <w:r>
        <w:rPr/>
        <w:t>of</w:t>
      </w:r>
      <w:r>
        <w:rPr>
          <w:spacing w:val="-3"/>
        </w:rPr>
        <w:t> </w:t>
      </w:r>
      <w:r>
        <w:rPr/>
        <w:t>soil. Each</w:t>
      </w:r>
      <w:r>
        <w:rPr>
          <w:spacing w:val="-3"/>
        </w:rPr>
        <w:t> </w:t>
      </w:r>
      <w:r>
        <w:rPr/>
        <w:t>sample</w:t>
      </w:r>
      <w:r>
        <w:rPr>
          <w:spacing w:val="-2"/>
        </w:rPr>
        <w:t> </w:t>
      </w:r>
      <w:r>
        <w:rPr/>
        <w:t>container</w:t>
      </w:r>
      <w:r>
        <w:rPr>
          <w:spacing w:val="-3"/>
        </w:rPr>
        <w:t> </w:t>
      </w:r>
      <w:r>
        <w:rPr/>
        <w:t>was</w:t>
      </w:r>
      <w:r>
        <w:rPr>
          <w:spacing w:val="-3"/>
        </w:rPr>
        <w:t> </w:t>
      </w:r>
      <w:r>
        <w:rPr/>
        <w:t>treated</w:t>
      </w:r>
      <w:r>
        <w:rPr>
          <w:spacing w:val="-3"/>
        </w:rPr>
        <w:t> </w:t>
      </w:r>
      <w:r>
        <w:rPr/>
        <w:t>with</w:t>
      </w:r>
      <w:r>
        <w:rPr>
          <w:spacing w:val="-3"/>
        </w:rPr>
        <w:t> </w:t>
      </w:r>
      <w:r>
        <w:rPr/>
        <w:t>biosurfactant,</w:t>
      </w:r>
      <w:r>
        <w:rPr>
          <w:spacing w:val="-3"/>
        </w:rPr>
        <w:t> </w:t>
      </w:r>
      <w:r>
        <w:rPr/>
        <w:t>Fe</w:t>
      </w:r>
      <w:r>
        <w:rPr>
          <w:spacing w:val="-4"/>
        </w:rPr>
        <w:t> </w:t>
      </w:r>
      <w:r>
        <w:rPr/>
        <w:t>nanoparticles,</w:t>
      </w:r>
      <w:r>
        <w:rPr>
          <w:spacing w:val="-3"/>
        </w:rPr>
        <w:t> </w:t>
      </w:r>
      <w:r>
        <w:rPr/>
        <w:t>biochar</w:t>
      </w:r>
      <w:r>
        <w:rPr>
          <w:spacing w:val="-2"/>
        </w:rPr>
        <w:t> </w:t>
      </w:r>
      <w:r>
        <w:rPr/>
        <w:t>(100 mg</w:t>
      </w:r>
      <w:r>
        <w:rPr>
          <w:spacing w:val="-4"/>
        </w:rPr>
        <w:t> </w:t>
      </w:r>
      <w:r>
        <w:rPr/>
        <w:t>and</w:t>
      </w:r>
      <w:r>
        <w:rPr>
          <w:spacing w:val="-3"/>
        </w:rPr>
        <w:t> </w:t>
      </w:r>
      <w:r>
        <w:rPr/>
        <w:t>200 mg for each), the combinations at ratios; 1:1:1, 1:1:2, 2:1:1 and 1:2:1 at two different concentrations and one control sample without any treatment making a total of 15 treatments.</w:t>
      </w:r>
    </w:p>
    <w:p>
      <w:pPr>
        <w:spacing w:after="0" w:line="480" w:lineRule="auto"/>
        <w:jc w:val="both"/>
        <w:sectPr>
          <w:pgSz w:w="12240" w:h="15840"/>
          <w:pgMar w:header="0" w:footer="1015" w:top="1360" w:bottom="120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Heading2"/>
        <w:ind w:left="120" w:firstLine="0"/>
        <w:jc w:val="left"/>
      </w:pPr>
      <w:r>
        <w:rPr/>
        <w:t>Table</w:t>
      </w:r>
      <w:r>
        <w:rPr>
          <w:spacing w:val="-6"/>
        </w:rPr>
        <w:t> </w:t>
      </w:r>
      <w:r>
        <w:rPr/>
        <w:t>3.1:</w:t>
      </w:r>
      <w:r>
        <w:rPr>
          <w:spacing w:val="-8"/>
        </w:rPr>
        <w:t> </w:t>
      </w:r>
      <w:r>
        <w:rPr/>
        <w:t>Experimental</w:t>
      </w:r>
      <w:r>
        <w:rPr>
          <w:spacing w:val="-7"/>
        </w:rPr>
        <w:t> </w:t>
      </w:r>
      <w:r>
        <w:rPr/>
        <w:t>design</w:t>
      </w:r>
      <w:r>
        <w:rPr>
          <w:spacing w:val="-6"/>
        </w:rPr>
        <w:t> </w:t>
      </w:r>
      <w:r>
        <w:rPr/>
        <w:t>for</w:t>
      </w:r>
      <w:r>
        <w:rPr>
          <w:spacing w:val="-7"/>
        </w:rPr>
        <w:t> </w:t>
      </w:r>
      <w:r>
        <w:rPr/>
        <w:t>bioremediation</w:t>
      </w:r>
      <w:r>
        <w:rPr>
          <w:spacing w:val="-7"/>
        </w:rPr>
        <w:t> </w:t>
      </w:r>
      <w:r>
        <w:rPr/>
        <w:t>of</w:t>
      </w:r>
      <w:r>
        <w:rPr>
          <w:spacing w:val="-5"/>
        </w:rPr>
        <w:t> </w:t>
      </w:r>
      <w:r>
        <w:rPr/>
        <w:t>crude</w:t>
      </w:r>
      <w:r>
        <w:rPr>
          <w:spacing w:val="-7"/>
        </w:rPr>
        <w:t> </w:t>
      </w:r>
      <w:r>
        <w:rPr/>
        <w:t>oil</w:t>
      </w:r>
      <w:r>
        <w:rPr>
          <w:spacing w:val="-6"/>
        </w:rPr>
        <w:t> </w:t>
      </w:r>
      <w:r>
        <w:rPr/>
        <w:t>contaminated</w:t>
      </w:r>
      <w:r>
        <w:rPr>
          <w:spacing w:val="-6"/>
        </w:rPr>
        <w:t> </w:t>
      </w:r>
      <w:r>
        <w:rPr>
          <w:spacing w:val="-4"/>
        </w:rPr>
        <w:t>soil</w:t>
      </w:r>
    </w:p>
    <w:p>
      <w:pPr>
        <w:spacing w:after="0"/>
        <w:jc w:val="left"/>
        <w:sectPr>
          <w:pgSz w:w="12240" w:h="15840"/>
          <w:pgMar w:header="0" w:footer="1015" w:top="1820" w:bottom="1200" w:left="1320" w:right="13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2"/>
        </w:rPr>
      </w:pPr>
    </w:p>
    <w:p>
      <w:pPr>
        <w:pStyle w:val="ListParagraph"/>
        <w:numPr>
          <w:ilvl w:val="1"/>
          <w:numId w:val="4"/>
        </w:numPr>
        <w:tabs>
          <w:tab w:pos="8042" w:val="left" w:leader="none"/>
        </w:tabs>
        <w:spacing w:line="480" w:lineRule="auto" w:before="0" w:after="0"/>
        <w:ind w:left="120" w:right="118" w:firstLine="7445"/>
        <w:jc w:val="left"/>
        <w:rPr>
          <w:b/>
          <w:sz w:val="24"/>
        </w:rPr>
      </w:pPr>
      <w:r>
        <w:rPr/>
        <w:pict>
          <v:shape style="position:absolute;margin-left:71.664001pt;margin-top:-472.956879pt;width:362.95pt;height:493.95pt;mso-position-horizontal-relative:page;mso-position-vertical-relative:paragraph;z-index:15729664" type="#_x0000_t202" id="docshape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7"/>
                    <w:gridCol w:w="2720"/>
                    <w:gridCol w:w="3759"/>
                  </w:tblGrid>
                  <w:tr>
                    <w:trPr>
                      <w:trHeight w:val="613" w:hRule="atLeast"/>
                    </w:trPr>
                    <w:tc>
                      <w:tcPr>
                        <w:tcW w:w="777" w:type="dxa"/>
                        <w:tcBorders>
                          <w:top w:val="single" w:sz="8" w:space="0" w:color="000000"/>
                          <w:bottom w:val="single" w:sz="8" w:space="0" w:color="000000"/>
                        </w:tcBorders>
                      </w:tcPr>
                      <w:p>
                        <w:pPr>
                          <w:pStyle w:val="TableParagraph"/>
                          <w:spacing w:line="270" w:lineRule="exact" w:before="0"/>
                          <w:ind w:left="115"/>
                          <w:rPr>
                            <w:sz w:val="24"/>
                          </w:rPr>
                        </w:pPr>
                        <w:r>
                          <w:rPr>
                            <w:spacing w:val="-2"/>
                            <w:sz w:val="24"/>
                          </w:rPr>
                          <w:t>S/No.</w:t>
                        </w:r>
                      </w:p>
                    </w:tc>
                    <w:tc>
                      <w:tcPr>
                        <w:tcW w:w="2720" w:type="dxa"/>
                        <w:tcBorders>
                          <w:top w:val="single" w:sz="8" w:space="0" w:color="000000"/>
                          <w:bottom w:val="single" w:sz="8" w:space="0" w:color="000000"/>
                        </w:tcBorders>
                      </w:tcPr>
                      <w:p>
                        <w:pPr>
                          <w:pStyle w:val="TableParagraph"/>
                          <w:spacing w:line="270" w:lineRule="exact" w:before="0"/>
                          <w:rPr>
                            <w:sz w:val="24"/>
                          </w:rPr>
                        </w:pPr>
                        <w:r>
                          <w:rPr>
                            <w:spacing w:val="-2"/>
                            <w:sz w:val="24"/>
                          </w:rPr>
                          <w:t>Treatment</w:t>
                        </w:r>
                      </w:p>
                    </w:tc>
                    <w:tc>
                      <w:tcPr>
                        <w:tcW w:w="3759" w:type="dxa"/>
                        <w:tcBorders>
                          <w:top w:val="single" w:sz="8" w:space="0" w:color="000000"/>
                          <w:bottom w:val="single" w:sz="8" w:space="0" w:color="000000"/>
                        </w:tcBorders>
                      </w:tcPr>
                      <w:p>
                        <w:pPr>
                          <w:pStyle w:val="TableParagraph"/>
                          <w:spacing w:line="270" w:lineRule="exact" w:before="0"/>
                          <w:ind w:left="629"/>
                          <w:rPr>
                            <w:sz w:val="24"/>
                          </w:rPr>
                        </w:pPr>
                        <w:r>
                          <w:rPr>
                            <w:sz w:val="24"/>
                          </w:rPr>
                          <w:t>Concentration</w:t>
                        </w:r>
                        <w:r>
                          <w:rPr>
                            <w:spacing w:val="-6"/>
                            <w:sz w:val="24"/>
                          </w:rPr>
                          <w:t> </w:t>
                        </w:r>
                        <w:r>
                          <w:rPr>
                            <w:spacing w:val="-4"/>
                            <w:sz w:val="24"/>
                          </w:rPr>
                          <w:t>(mg)</w:t>
                        </w:r>
                      </w:p>
                    </w:tc>
                  </w:tr>
                  <w:tr>
                    <w:trPr>
                      <w:trHeight w:val="444" w:hRule="atLeast"/>
                    </w:trPr>
                    <w:tc>
                      <w:tcPr>
                        <w:tcW w:w="777" w:type="dxa"/>
                        <w:tcBorders>
                          <w:top w:val="single" w:sz="8" w:space="0" w:color="000000"/>
                        </w:tcBorders>
                      </w:tcPr>
                      <w:p>
                        <w:pPr>
                          <w:pStyle w:val="TableParagraph"/>
                          <w:spacing w:line="270" w:lineRule="exact" w:before="0"/>
                          <w:ind w:left="115"/>
                          <w:rPr>
                            <w:sz w:val="24"/>
                          </w:rPr>
                        </w:pPr>
                        <w:r>
                          <w:rPr>
                            <w:sz w:val="24"/>
                          </w:rPr>
                          <w:t>1</w:t>
                        </w:r>
                      </w:p>
                    </w:tc>
                    <w:tc>
                      <w:tcPr>
                        <w:tcW w:w="2720" w:type="dxa"/>
                        <w:tcBorders>
                          <w:top w:val="single" w:sz="8" w:space="0" w:color="000000"/>
                        </w:tcBorders>
                      </w:tcPr>
                      <w:p>
                        <w:pPr>
                          <w:pStyle w:val="TableParagraph"/>
                          <w:spacing w:line="270" w:lineRule="exact" w:before="0"/>
                          <w:rPr>
                            <w:sz w:val="24"/>
                          </w:rPr>
                        </w:pPr>
                        <w:r>
                          <w:rPr>
                            <w:sz w:val="24"/>
                          </w:rPr>
                          <w:t>Biosurfactant</w:t>
                        </w:r>
                        <w:r>
                          <w:rPr>
                            <w:spacing w:val="55"/>
                            <w:sz w:val="24"/>
                          </w:rPr>
                          <w:t> </w:t>
                        </w:r>
                        <w:r>
                          <w:rPr>
                            <w:spacing w:val="-4"/>
                            <w:sz w:val="24"/>
                          </w:rPr>
                          <w:t>(BSa)</w:t>
                        </w:r>
                      </w:p>
                    </w:tc>
                    <w:tc>
                      <w:tcPr>
                        <w:tcW w:w="3759" w:type="dxa"/>
                        <w:tcBorders>
                          <w:top w:val="single" w:sz="8" w:space="0" w:color="000000"/>
                        </w:tcBorders>
                      </w:tcPr>
                      <w:p>
                        <w:pPr>
                          <w:pStyle w:val="TableParagraph"/>
                          <w:spacing w:line="270" w:lineRule="exact" w:before="0"/>
                          <w:ind w:left="629"/>
                          <w:rPr>
                            <w:sz w:val="24"/>
                          </w:rPr>
                        </w:pPr>
                        <w:r>
                          <w:rPr>
                            <w:spacing w:val="-5"/>
                            <w:sz w:val="24"/>
                          </w:rPr>
                          <w:t>100</w:t>
                        </w:r>
                      </w:p>
                    </w:tc>
                  </w:tr>
                  <w:tr>
                    <w:trPr>
                      <w:trHeight w:val="614" w:hRule="atLeast"/>
                    </w:trPr>
                    <w:tc>
                      <w:tcPr>
                        <w:tcW w:w="777" w:type="dxa"/>
                      </w:tcPr>
                      <w:p>
                        <w:pPr>
                          <w:pStyle w:val="TableParagraph"/>
                          <w:spacing w:before="164"/>
                          <w:ind w:left="115"/>
                          <w:rPr>
                            <w:sz w:val="24"/>
                          </w:rPr>
                        </w:pPr>
                        <w:r>
                          <w:rPr>
                            <w:sz w:val="24"/>
                          </w:rPr>
                          <w:t>2</w:t>
                        </w:r>
                      </w:p>
                    </w:tc>
                    <w:tc>
                      <w:tcPr>
                        <w:tcW w:w="2720" w:type="dxa"/>
                      </w:tcPr>
                      <w:p>
                        <w:pPr>
                          <w:pStyle w:val="TableParagraph"/>
                          <w:spacing w:before="164"/>
                          <w:rPr>
                            <w:sz w:val="24"/>
                          </w:rPr>
                        </w:pPr>
                        <w:r>
                          <w:rPr>
                            <w:sz w:val="24"/>
                          </w:rPr>
                          <w:t>Biosurfactant</w:t>
                        </w:r>
                        <w:r>
                          <w:rPr>
                            <w:spacing w:val="55"/>
                            <w:sz w:val="24"/>
                          </w:rPr>
                          <w:t> </w:t>
                        </w:r>
                        <w:r>
                          <w:rPr>
                            <w:spacing w:val="-4"/>
                            <w:sz w:val="24"/>
                          </w:rPr>
                          <w:t>(BSb)</w:t>
                        </w:r>
                      </w:p>
                    </w:tc>
                    <w:tc>
                      <w:tcPr>
                        <w:tcW w:w="3759" w:type="dxa"/>
                      </w:tcPr>
                      <w:p>
                        <w:pPr>
                          <w:pStyle w:val="TableParagraph"/>
                          <w:spacing w:before="164"/>
                          <w:ind w:left="629"/>
                          <w:rPr>
                            <w:sz w:val="24"/>
                          </w:rPr>
                        </w:pPr>
                        <w:r>
                          <w:rPr>
                            <w:spacing w:val="-5"/>
                            <w:sz w:val="24"/>
                          </w:rPr>
                          <w:t>200</w:t>
                        </w:r>
                      </w:p>
                    </w:tc>
                  </w:tr>
                  <w:tr>
                    <w:trPr>
                      <w:trHeight w:val="614" w:hRule="atLeast"/>
                    </w:trPr>
                    <w:tc>
                      <w:tcPr>
                        <w:tcW w:w="777" w:type="dxa"/>
                      </w:tcPr>
                      <w:p>
                        <w:pPr>
                          <w:pStyle w:val="TableParagraph"/>
                          <w:spacing w:before="164"/>
                          <w:ind w:left="115"/>
                          <w:rPr>
                            <w:sz w:val="24"/>
                          </w:rPr>
                        </w:pPr>
                        <w:r>
                          <w:rPr>
                            <w:sz w:val="24"/>
                          </w:rPr>
                          <w:t>3</w:t>
                        </w:r>
                      </w:p>
                    </w:tc>
                    <w:tc>
                      <w:tcPr>
                        <w:tcW w:w="2720" w:type="dxa"/>
                      </w:tcPr>
                      <w:p>
                        <w:pPr>
                          <w:pStyle w:val="TableParagraph"/>
                          <w:spacing w:before="164"/>
                          <w:rPr>
                            <w:sz w:val="24"/>
                          </w:rPr>
                        </w:pPr>
                        <w:r>
                          <w:rPr>
                            <w:sz w:val="24"/>
                          </w:rPr>
                          <w:t>Nanoparticles</w:t>
                        </w:r>
                        <w:r>
                          <w:rPr>
                            <w:spacing w:val="-9"/>
                            <w:sz w:val="24"/>
                          </w:rPr>
                          <w:t> </w:t>
                        </w:r>
                        <w:r>
                          <w:rPr>
                            <w:spacing w:val="-4"/>
                            <w:sz w:val="24"/>
                          </w:rPr>
                          <w:t>(NPa)</w:t>
                        </w:r>
                      </w:p>
                    </w:tc>
                    <w:tc>
                      <w:tcPr>
                        <w:tcW w:w="3759" w:type="dxa"/>
                      </w:tcPr>
                      <w:p>
                        <w:pPr>
                          <w:pStyle w:val="TableParagraph"/>
                          <w:spacing w:before="164"/>
                          <w:ind w:left="629"/>
                          <w:rPr>
                            <w:sz w:val="24"/>
                          </w:rPr>
                        </w:pPr>
                        <w:r>
                          <w:rPr>
                            <w:spacing w:val="-5"/>
                            <w:sz w:val="24"/>
                          </w:rPr>
                          <w:t>100</w:t>
                        </w:r>
                      </w:p>
                    </w:tc>
                  </w:tr>
                  <w:tr>
                    <w:trPr>
                      <w:trHeight w:val="614" w:hRule="atLeast"/>
                    </w:trPr>
                    <w:tc>
                      <w:tcPr>
                        <w:tcW w:w="777" w:type="dxa"/>
                      </w:tcPr>
                      <w:p>
                        <w:pPr>
                          <w:pStyle w:val="TableParagraph"/>
                          <w:spacing w:before="164"/>
                          <w:ind w:left="115"/>
                          <w:rPr>
                            <w:sz w:val="24"/>
                          </w:rPr>
                        </w:pPr>
                        <w:r>
                          <w:rPr>
                            <w:sz w:val="24"/>
                          </w:rPr>
                          <w:t>4</w:t>
                        </w:r>
                      </w:p>
                    </w:tc>
                    <w:tc>
                      <w:tcPr>
                        <w:tcW w:w="2720" w:type="dxa"/>
                      </w:tcPr>
                      <w:p>
                        <w:pPr>
                          <w:pStyle w:val="TableParagraph"/>
                          <w:spacing w:before="164"/>
                          <w:rPr>
                            <w:sz w:val="24"/>
                          </w:rPr>
                        </w:pPr>
                        <w:r>
                          <w:rPr>
                            <w:sz w:val="24"/>
                          </w:rPr>
                          <w:t>Nanoparticles</w:t>
                        </w:r>
                        <w:r>
                          <w:rPr>
                            <w:spacing w:val="-9"/>
                            <w:sz w:val="24"/>
                          </w:rPr>
                          <w:t> </w:t>
                        </w:r>
                        <w:r>
                          <w:rPr>
                            <w:spacing w:val="-4"/>
                            <w:sz w:val="24"/>
                          </w:rPr>
                          <w:t>(NPb)</w:t>
                        </w:r>
                      </w:p>
                    </w:tc>
                    <w:tc>
                      <w:tcPr>
                        <w:tcW w:w="3759" w:type="dxa"/>
                      </w:tcPr>
                      <w:p>
                        <w:pPr>
                          <w:pStyle w:val="TableParagraph"/>
                          <w:spacing w:before="164"/>
                          <w:ind w:left="629"/>
                          <w:rPr>
                            <w:sz w:val="24"/>
                          </w:rPr>
                        </w:pPr>
                        <w:r>
                          <w:rPr>
                            <w:spacing w:val="-5"/>
                            <w:sz w:val="24"/>
                          </w:rPr>
                          <w:t>200</w:t>
                        </w:r>
                      </w:p>
                    </w:tc>
                  </w:tr>
                  <w:tr>
                    <w:trPr>
                      <w:trHeight w:val="613" w:hRule="atLeast"/>
                    </w:trPr>
                    <w:tc>
                      <w:tcPr>
                        <w:tcW w:w="777" w:type="dxa"/>
                      </w:tcPr>
                      <w:p>
                        <w:pPr>
                          <w:pStyle w:val="TableParagraph"/>
                          <w:spacing w:before="164"/>
                          <w:ind w:left="115"/>
                          <w:rPr>
                            <w:sz w:val="24"/>
                          </w:rPr>
                        </w:pPr>
                        <w:r>
                          <w:rPr>
                            <w:sz w:val="24"/>
                          </w:rPr>
                          <w:t>5</w:t>
                        </w:r>
                      </w:p>
                    </w:tc>
                    <w:tc>
                      <w:tcPr>
                        <w:tcW w:w="2720" w:type="dxa"/>
                      </w:tcPr>
                      <w:p>
                        <w:pPr>
                          <w:pStyle w:val="TableParagraph"/>
                          <w:spacing w:before="164"/>
                          <w:rPr>
                            <w:sz w:val="24"/>
                          </w:rPr>
                        </w:pPr>
                        <w:r>
                          <w:rPr>
                            <w:sz w:val="24"/>
                          </w:rPr>
                          <w:t>Biochar</w:t>
                        </w:r>
                        <w:r>
                          <w:rPr>
                            <w:spacing w:val="58"/>
                            <w:sz w:val="24"/>
                          </w:rPr>
                          <w:t> </w:t>
                        </w:r>
                        <w:r>
                          <w:rPr>
                            <w:spacing w:val="-2"/>
                            <w:sz w:val="24"/>
                          </w:rPr>
                          <w:t>(BCa)</w:t>
                        </w:r>
                      </w:p>
                    </w:tc>
                    <w:tc>
                      <w:tcPr>
                        <w:tcW w:w="3759" w:type="dxa"/>
                      </w:tcPr>
                      <w:p>
                        <w:pPr>
                          <w:pStyle w:val="TableParagraph"/>
                          <w:spacing w:before="164"/>
                          <w:ind w:left="629"/>
                          <w:rPr>
                            <w:sz w:val="24"/>
                          </w:rPr>
                        </w:pPr>
                        <w:r>
                          <w:rPr>
                            <w:spacing w:val="-5"/>
                            <w:sz w:val="24"/>
                          </w:rPr>
                          <w:t>100</w:t>
                        </w:r>
                      </w:p>
                    </w:tc>
                  </w:tr>
                  <w:tr>
                    <w:trPr>
                      <w:trHeight w:val="613" w:hRule="atLeast"/>
                    </w:trPr>
                    <w:tc>
                      <w:tcPr>
                        <w:tcW w:w="777" w:type="dxa"/>
                      </w:tcPr>
                      <w:p>
                        <w:pPr>
                          <w:pStyle w:val="TableParagraph"/>
                          <w:spacing w:before="163"/>
                          <w:ind w:left="115"/>
                          <w:rPr>
                            <w:sz w:val="24"/>
                          </w:rPr>
                        </w:pPr>
                        <w:r>
                          <w:rPr>
                            <w:sz w:val="24"/>
                          </w:rPr>
                          <w:t>6</w:t>
                        </w:r>
                      </w:p>
                    </w:tc>
                    <w:tc>
                      <w:tcPr>
                        <w:tcW w:w="2720" w:type="dxa"/>
                      </w:tcPr>
                      <w:p>
                        <w:pPr>
                          <w:pStyle w:val="TableParagraph"/>
                          <w:spacing w:before="163"/>
                          <w:rPr>
                            <w:sz w:val="24"/>
                          </w:rPr>
                        </w:pPr>
                        <w:r>
                          <w:rPr>
                            <w:sz w:val="24"/>
                          </w:rPr>
                          <w:t>Biochar</w:t>
                        </w:r>
                        <w:r>
                          <w:rPr>
                            <w:spacing w:val="56"/>
                            <w:sz w:val="24"/>
                          </w:rPr>
                          <w:t> </w:t>
                        </w:r>
                        <w:r>
                          <w:rPr>
                            <w:spacing w:val="-2"/>
                            <w:sz w:val="24"/>
                          </w:rPr>
                          <w:t>(BCb)</w:t>
                        </w:r>
                      </w:p>
                    </w:tc>
                    <w:tc>
                      <w:tcPr>
                        <w:tcW w:w="3759" w:type="dxa"/>
                      </w:tcPr>
                      <w:p>
                        <w:pPr>
                          <w:pStyle w:val="TableParagraph"/>
                          <w:spacing w:before="163"/>
                          <w:ind w:left="629"/>
                          <w:rPr>
                            <w:sz w:val="24"/>
                          </w:rPr>
                        </w:pPr>
                        <w:r>
                          <w:rPr>
                            <w:spacing w:val="-5"/>
                            <w:sz w:val="24"/>
                          </w:rPr>
                          <w:t>200</w:t>
                        </w:r>
                      </w:p>
                    </w:tc>
                  </w:tr>
                  <w:tr>
                    <w:trPr>
                      <w:trHeight w:val="614" w:hRule="atLeast"/>
                    </w:trPr>
                    <w:tc>
                      <w:tcPr>
                        <w:tcW w:w="777" w:type="dxa"/>
                      </w:tcPr>
                      <w:p>
                        <w:pPr>
                          <w:pStyle w:val="TableParagraph"/>
                          <w:spacing w:before="164"/>
                          <w:ind w:left="115"/>
                          <w:rPr>
                            <w:sz w:val="24"/>
                          </w:rPr>
                        </w:pPr>
                        <w:r>
                          <w:rPr>
                            <w:sz w:val="24"/>
                          </w:rPr>
                          <w:t>7</w:t>
                        </w:r>
                      </w:p>
                    </w:tc>
                    <w:tc>
                      <w:tcPr>
                        <w:tcW w:w="2720" w:type="dxa"/>
                      </w:tcPr>
                      <w:p>
                        <w:pPr>
                          <w:pStyle w:val="TableParagraph"/>
                          <w:spacing w:before="164"/>
                          <w:rPr>
                            <w:sz w:val="24"/>
                          </w:rPr>
                        </w:pPr>
                        <w:r>
                          <w:rPr>
                            <w:sz w:val="24"/>
                          </w:rPr>
                          <w:t>BS/NP/BC</w:t>
                        </w:r>
                        <w:r>
                          <w:rPr>
                            <w:spacing w:val="-10"/>
                            <w:sz w:val="24"/>
                          </w:rPr>
                          <w:t> </w:t>
                        </w:r>
                        <w:r>
                          <w:rPr>
                            <w:spacing w:val="-2"/>
                            <w:sz w:val="24"/>
                          </w:rPr>
                          <w:t>(1:1:1)a</w:t>
                        </w:r>
                      </w:p>
                    </w:tc>
                    <w:tc>
                      <w:tcPr>
                        <w:tcW w:w="3759" w:type="dxa"/>
                      </w:tcPr>
                      <w:p>
                        <w:pPr>
                          <w:pStyle w:val="TableParagraph"/>
                          <w:spacing w:before="164"/>
                          <w:ind w:left="629"/>
                          <w:rPr>
                            <w:sz w:val="24"/>
                          </w:rPr>
                        </w:pPr>
                        <w:r>
                          <w:rPr>
                            <w:spacing w:val="-5"/>
                            <w:sz w:val="24"/>
                          </w:rPr>
                          <w:t>100</w:t>
                        </w:r>
                      </w:p>
                    </w:tc>
                  </w:tr>
                  <w:tr>
                    <w:trPr>
                      <w:trHeight w:val="614" w:hRule="atLeast"/>
                    </w:trPr>
                    <w:tc>
                      <w:tcPr>
                        <w:tcW w:w="777" w:type="dxa"/>
                      </w:tcPr>
                      <w:p>
                        <w:pPr>
                          <w:pStyle w:val="TableParagraph"/>
                          <w:spacing w:before="164"/>
                          <w:ind w:left="115"/>
                          <w:rPr>
                            <w:sz w:val="24"/>
                          </w:rPr>
                        </w:pPr>
                        <w:r>
                          <w:rPr>
                            <w:sz w:val="24"/>
                          </w:rPr>
                          <w:t>8</w:t>
                        </w:r>
                      </w:p>
                    </w:tc>
                    <w:tc>
                      <w:tcPr>
                        <w:tcW w:w="2720" w:type="dxa"/>
                      </w:tcPr>
                      <w:p>
                        <w:pPr>
                          <w:pStyle w:val="TableParagraph"/>
                          <w:spacing w:before="164"/>
                          <w:rPr>
                            <w:sz w:val="24"/>
                          </w:rPr>
                        </w:pPr>
                        <w:r>
                          <w:rPr>
                            <w:sz w:val="24"/>
                          </w:rPr>
                          <w:t>BS/NP/BC</w:t>
                        </w:r>
                        <w:r>
                          <w:rPr>
                            <w:spacing w:val="-10"/>
                            <w:sz w:val="24"/>
                          </w:rPr>
                          <w:t> </w:t>
                        </w:r>
                        <w:r>
                          <w:rPr>
                            <w:spacing w:val="-2"/>
                            <w:sz w:val="24"/>
                          </w:rPr>
                          <w:t>(1:1:1)b</w:t>
                        </w:r>
                      </w:p>
                    </w:tc>
                    <w:tc>
                      <w:tcPr>
                        <w:tcW w:w="3759" w:type="dxa"/>
                      </w:tcPr>
                      <w:p>
                        <w:pPr>
                          <w:pStyle w:val="TableParagraph"/>
                          <w:spacing w:before="164"/>
                          <w:ind w:left="629"/>
                          <w:rPr>
                            <w:sz w:val="24"/>
                          </w:rPr>
                        </w:pPr>
                        <w:r>
                          <w:rPr>
                            <w:spacing w:val="-5"/>
                            <w:sz w:val="24"/>
                          </w:rPr>
                          <w:t>200</w:t>
                        </w:r>
                      </w:p>
                    </w:tc>
                  </w:tr>
                  <w:tr>
                    <w:trPr>
                      <w:trHeight w:val="614" w:hRule="atLeast"/>
                    </w:trPr>
                    <w:tc>
                      <w:tcPr>
                        <w:tcW w:w="777" w:type="dxa"/>
                      </w:tcPr>
                      <w:p>
                        <w:pPr>
                          <w:pStyle w:val="TableParagraph"/>
                          <w:spacing w:before="164"/>
                          <w:ind w:left="115"/>
                          <w:rPr>
                            <w:sz w:val="24"/>
                          </w:rPr>
                        </w:pPr>
                        <w:r>
                          <w:rPr>
                            <w:sz w:val="24"/>
                          </w:rPr>
                          <w:t>9</w:t>
                        </w:r>
                      </w:p>
                    </w:tc>
                    <w:tc>
                      <w:tcPr>
                        <w:tcW w:w="2720" w:type="dxa"/>
                      </w:tcPr>
                      <w:p>
                        <w:pPr>
                          <w:pStyle w:val="TableParagraph"/>
                          <w:spacing w:before="164"/>
                          <w:rPr>
                            <w:sz w:val="24"/>
                          </w:rPr>
                        </w:pPr>
                        <w:r>
                          <w:rPr>
                            <w:sz w:val="24"/>
                          </w:rPr>
                          <w:t>BS/NP/BC</w:t>
                        </w:r>
                        <w:r>
                          <w:rPr>
                            <w:spacing w:val="-10"/>
                            <w:sz w:val="24"/>
                          </w:rPr>
                          <w:t> </w:t>
                        </w:r>
                        <w:r>
                          <w:rPr>
                            <w:spacing w:val="-2"/>
                            <w:sz w:val="24"/>
                          </w:rPr>
                          <w:t>(1:1:2)a</w:t>
                        </w:r>
                      </w:p>
                    </w:tc>
                    <w:tc>
                      <w:tcPr>
                        <w:tcW w:w="3759" w:type="dxa"/>
                      </w:tcPr>
                      <w:p>
                        <w:pPr>
                          <w:pStyle w:val="TableParagraph"/>
                          <w:spacing w:before="164"/>
                          <w:ind w:left="629"/>
                          <w:rPr>
                            <w:sz w:val="24"/>
                          </w:rPr>
                        </w:pPr>
                        <w:r>
                          <w:rPr>
                            <w:spacing w:val="-5"/>
                            <w:sz w:val="24"/>
                          </w:rPr>
                          <w:t>100</w:t>
                        </w:r>
                      </w:p>
                    </w:tc>
                  </w:tr>
                  <w:tr>
                    <w:trPr>
                      <w:trHeight w:val="613" w:hRule="atLeast"/>
                    </w:trPr>
                    <w:tc>
                      <w:tcPr>
                        <w:tcW w:w="777" w:type="dxa"/>
                      </w:tcPr>
                      <w:p>
                        <w:pPr>
                          <w:pStyle w:val="TableParagraph"/>
                          <w:spacing w:before="164"/>
                          <w:ind w:left="115"/>
                          <w:rPr>
                            <w:sz w:val="24"/>
                          </w:rPr>
                        </w:pPr>
                        <w:r>
                          <w:rPr>
                            <w:spacing w:val="-5"/>
                            <w:sz w:val="24"/>
                          </w:rPr>
                          <w:t>10</w:t>
                        </w:r>
                      </w:p>
                    </w:tc>
                    <w:tc>
                      <w:tcPr>
                        <w:tcW w:w="2720" w:type="dxa"/>
                      </w:tcPr>
                      <w:p>
                        <w:pPr>
                          <w:pStyle w:val="TableParagraph"/>
                          <w:spacing w:before="164"/>
                          <w:rPr>
                            <w:sz w:val="24"/>
                          </w:rPr>
                        </w:pPr>
                        <w:r>
                          <w:rPr>
                            <w:sz w:val="24"/>
                          </w:rPr>
                          <w:t>BS/NP/BC</w:t>
                        </w:r>
                        <w:r>
                          <w:rPr>
                            <w:spacing w:val="-10"/>
                            <w:sz w:val="24"/>
                          </w:rPr>
                          <w:t> </w:t>
                        </w:r>
                        <w:r>
                          <w:rPr>
                            <w:spacing w:val="-2"/>
                            <w:sz w:val="24"/>
                          </w:rPr>
                          <w:t>(1:1:2)b</w:t>
                        </w:r>
                      </w:p>
                    </w:tc>
                    <w:tc>
                      <w:tcPr>
                        <w:tcW w:w="3759" w:type="dxa"/>
                      </w:tcPr>
                      <w:p>
                        <w:pPr>
                          <w:pStyle w:val="TableParagraph"/>
                          <w:spacing w:before="164"/>
                          <w:ind w:left="629"/>
                          <w:rPr>
                            <w:sz w:val="24"/>
                          </w:rPr>
                        </w:pPr>
                        <w:r>
                          <w:rPr>
                            <w:spacing w:val="-5"/>
                            <w:sz w:val="24"/>
                          </w:rPr>
                          <w:t>200</w:t>
                        </w:r>
                      </w:p>
                    </w:tc>
                  </w:tr>
                  <w:tr>
                    <w:trPr>
                      <w:trHeight w:val="613" w:hRule="atLeast"/>
                    </w:trPr>
                    <w:tc>
                      <w:tcPr>
                        <w:tcW w:w="777" w:type="dxa"/>
                      </w:tcPr>
                      <w:p>
                        <w:pPr>
                          <w:pStyle w:val="TableParagraph"/>
                          <w:spacing w:before="163"/>
                          <w:ind w:left="115"/>
                          <w:rPr>
                            <w:sz w:val="24"/>
                          </w:rPr>
                        </w:pPr>
                        <w:r>
                          <w:rPr>
                            <w:spacing w:val="-5"/>
                            <w:sz w:val="24"/>
                          </w:rPr>
                          <w:t>11</w:t>
                        </w:r>
                      </w:p>
                    </w:tc>
                    <w:tc>
                      <w:tcPr>
                        <w:tcW w:w="2720" w:type="dxa"/>
                      </w:tcPr>
                      <w:p>
                        <w:pPr>
                          <w:pStyle w:val="TableParagraph"/>
                          <w:spacing w:before="163"/>
                          <w:rPr>
                            <w:sz w:val="24"/>
                          </w:rPr>
                        </w:pPr>
                        <w:r>
                          <w:rPr>
                            <w:sz w:val="24"/>
                          </w:rPr>
                          <w:t>BS/NP/BC</w:t>
                        </w:r>
                        <w:r>
                          <w:rPr>
                            <w:spacing w:val="-10"/>
                            <w:sz w:val="24"/>
                          </w:rPr>
                          <w:t> </w:t>
                        </w:r>
                        <w:r>
                          <w:rPr>
                            <w:spacing w:val="-2"/>
                            <w:sz w:val="24"/>
                          </w:rPr>
                          <w:t>(2:1:1)a</w:t>
                        </w:r>
                      </w:p>
                    </w:tc>
                    <w:tc>
                      <w:tcPr>
                        <w:tcW w:w="3759" w:type="dxa"/>
                      </w:tcPr>
                      <w:p>
                        <w:pPr>
                          <w:pStyle w:val="TableParagraph"/>
                          <w:spacing w:before="163"/>
                          <w:ind w:left="629"/>
                          <w:rPr>
                            <w:sz w:val="24"/>
                          </w:rPr>
                        </w:pPr>
                        <w:r>
                          <w:rPr>
                            <w:spacing w:val="-5"/>
                            <w:sz w:val="24"/>
                          </w:rPr>
                          <w:t>100</w:t>
                        </w:r>
                      </w:p>
                    </w:tc>
                  </w:tr>
                  <w:tr>
                    <w:trPr>
                      <w:trHeight w:val="614" w:hRule="atLeast"/>
                    </w:trPr>
                    <w:tc>
                      <w:tcPr>
                        <w:tcW w:w="777" w:type="dxa"/>
                      </w:tcPr>
                      <w:p>
                        <w:pPr>
                          <w:pStyle w:val="TableParagraph"/>
                          <w:spacing w:before="164"/>
                          <w:ind w:left="115"/>
                          <w:rPr>
                            <w:sz w:val="24"/>
                          </w:rPr>
                        </w:pPr>
                        <w:r>
                          <w:rPr>
                            <w:spacing w:val="-5"/>
                            <w:sz w:val="24"/>
                          </w:rPr>
                          <w:t>12</w:t>
                        </w:r>
                      </w:p>
                    </w:tc>
                    <w:tc>
                      <w:tcPr>
                        <w:tcW w:w="2720" w:type="dxa"/>
                      </w:tcPr>
                      <w:p>
                        <w:pPr>
                          <w:pStyle w:val="TableParagraph"/>
                          <w:spacing w:before="164"/>
                          <w:rPr>
                            <w:sz w:val="24"/>
                          </w:rPr>
                        </w:pPr>
                        <w:r>
                          <w:rPr>
                            <w:sz w:val="24"/>
                          </w:rPr>
                          <w:t>BS/NP/BC</w:t>
                        </w:r>
                        <w:r>
                          <w:rPr>
                            <w:spacing w:val="-10"/>
                            <w:sz w:val="24"/>
                          </w:rPr>
                          <w:t> </w:t>
                        </w:r>
                        <w:r>
                          <w:rPr>
                            <w:spacing w:val="-2"/>
                            <w:sz w:val="24"/>
                          </w:rPr>
                          <w:t>(2:1:1)b</w:t>
                        </w:r>
                      </w:p>
                    </w:tc>
                    <w:tc>
                      <w:tcPr>
                        <w:tcW w:w="3759" w:type="dxa"/>
                      </w:tcPr>
                      <w:p>
                        <w:pPr>
                          <w:pStyle w:val="TableParagraph"/>
                          <w:spacing w:before="164"/>
                          <w:ind w:left="629"/>
                          <w:rPr>
                            <w:sz w:val="24"/>
                          </w:rPr>
                        </w:pPr>
                        <w:r>
                          <w:rPr>
                            <w:spacing w:val="-5"/>
                            <w:sz w:val="24"/>
                          </w:rPr>
                          <w:t>200</w:t>
                        </w:r>
                      </w:p>
                    </w:tc>
                  </w:tr>
                  <w:tr>
                    <w:trPr>
                      <w:trHeight w:val="614" w:hRule="atLeast"/>
                    </w:trPr>
                    <w:tc>
                      <w:tcPr>
                        <w:tcW w:w="777" w:type="dxa"/>
                      </w:tcPr>
                      <w:p>
                        <w:pPr>
                          <w:pStyle w:val="TableParagraph"/>
                          <w:spacing w:before="164"/>
                          <w:ind w:left="115"/>
                          <w:rPr>
                            <w:sz w:val="24"/>
                          </w:rPr>
                        </w:pPr>
                        <w:r>
                          <w:rPr>
                            <w:spacing w:val="-5"/>
                            <w:sz w:val="24"/>
                          </w:rPr>
                          <w:t>13</w:t>
                        </w:r>
                      </w:p>
                    </w:tc>
                    <w:tc>
                      <w:tcPr>
                        <w:tcW w:w="2720" w:type="dxa"/>
                      </w:tcPr>
                      <w:p>
                        <w:pPr>
                          <w:pStyle w:val="TableParagraph"/>
                          <w:spacing w:before="164"/>
                          <w:rPr>
                            <w:sz w:val="24"/>
                          </w:rPr>
                        </w:pPr>
                        <w:r>
                          <w:rPr>
                            <w:sz w:val="24"/>
                          </w:rPr>
                          <w:t>BS/NP/BC</w:t>
                        </w:r>
                        <w:r>
                          <w:rPr>
                            <w:spacing w:val="-10"/>
                            <w:sz w:val="24"/>
                          </w:rPr>
                          <w:t> </w:t>
                        </w:r>
                        <w:r>
                          <w:rPr>
                            <w:spacing w:val="-2"/>
                            <w:sz w:val="24"/>
                          </w:rPr>
                          <w:t>(1:2:1)a</w:t>
                        </w:r>
                      </w:p>
                    </w:tc>
                    <w:tc>
                      <w:tcPr>
                        <w:tcW w:w="3759" w:type="dxa"/>
                      </w:tcPr>
                      <w:p>
                        <w:pPr>
                          <w:pStyle w:val="TableParagraph"/>
                          <w:spacing w:before="164"/>
                          <w:ind w:left="629"/>
                          <w:rPr>
                            <w:sz w:val="24"/>
                          </w:rPr>
                        </w:pPr>
                        <w:r>
                          <w:rPr>
                            <w:spacing w:val="-5"/>
                            <w:sz w:val="24"/>
                          </w:rPr>
                          <w:t>100</w:t>
                        </w:r>
                      </w:p>
                    </w:tc>
                  </w:tr>
                  <w:tr>
                    <w:trPr>
                      <w:trHeight w:val="614" w:hRule="atLeast"/>
                    </w:trPr>
                    <w:tc>
                      <w:tcPr>
                        <w:tcW w:w="777" w:type="dxa"/>
                      </w:tcPr>
                      <w:p>
                        <w:pPr>
                          <w:pStyle w:val="TableParagraph"/>
                          <w:spacing w:before="164"/>
                          <w:ind w:left="115"/>
                          <w:rPr>
                            <w:sz w:val="24"/>
                          </w:rPr>
                        </w:pPr>
                        <w:r>
                          <w:rPr>
                            <w:spacing w:val="-5"/>
                            <w:sz w:val="24"/>
                          </w:rPr>
                          <w:t>14</w:t>
                        </w:r>
                      </w:p>
                    </w:tc>
                    <w:tc>
                      <w:tcPr>
                        <w:tcW w:w="2720" w:type="dxa"/>
                      </w:tcPr>
                      <w:p>
                        <w:pPr>
                          <w:pStyle w:val="TableParagraph"/>
                          <w:spacing w:before="164"/>
                          <w:rPr>
                            <w:sz w:val="24"/>
                          </w:rPr>
                        </w:pPr>
                        <w:r>
                          <w:rPr>
                            <w:sz w:val="24"/>
                          </w:rPr>
                          <w:t>BS/NP/BC</w:t>
                        </w:r>
                        <w:r>
                          <w:rPr>
                            <w:spacing w:val="-10"/>
                            <w:sz w:val="24"/>
                          </w:rPr>
                          <w:t> </w:t>
                        </w:r>
                        <w:r>
                          <w:rPr>
                            <w:spacing w:val="-2"/>
                            <w:sz w:val="24"/>
                          </w:rPr>
                          <w:t>(1:2:1)b</w:t>
                        </w:r>
                      </w:p>
                    </w:tc>
                    <w:tc>
                      <w:tcPr>
                        <w:tcW w:w="3759" w:type="dxa"/>
                      </w:tcPr>
                      <w:p>
                        <w:pPr>
                          <w:pStyle w:val="TableParagraph"/>
                          <w:spacing w:before="164"/>
                          <w:ind w:left="629"/>
                          <w:rPr>
                            <w:sz w:val="24"/>
                          </w:rPr>
                        </w:pPr>
                        <w:r>
                          <w:rPr>
                            <w:spacing w:val="-5"/>
                            <w:sz w:val="24"/>
                          </w:rPr>
                          <w:t>200</w:t>
                        </w:r>
                      </w:p>
                    </w:tc>
                  </w:tr>
                  <w:tr>
                    <w:trPr>
                      <w:trHeight w:val="784" w:hRule="atLeast"/>
                    </w:trPr>
                    <w:tc>
                      <w:tcPr>
                        <w:tcW w:w="777" w:type="dxa"/>
                        <w:tcBorders>
                          <w:bottom w:val="single" w:sz="8" w:space="0" w:color="000000"/>
                        </w:tcBorders>
                      </w:tcPr>
                      <w:p>
                        <w:pPr>
                          <w:pStyle w:val="TableParagraph"/>
                          <w:spacing w:before="164"/>
                          <w:ind w:left="115"/>
                          <w:rPr>
                            <w:sz w:val="24"/>
                          </w:rPr>
                        </w:pPr>
                        <w:r>
                          <w:rPr>
                            <w:spacing w:val="-5"/>
                            <w:sz w:val="24"/>
                          </w:rPr>
                          <w:t>15</w:t>
                        </w:r>
                      </w:p>
                    </w:tc>
                    <w:tc>
                      <w:tcPr>
                        <w:tcW w:w="2720" w:type="dxa"/>
                        <w:tcBorders>
                          <w:bottom w:val="single" w:sz="8" w:space="0" w:color="000000"/>
                        </w:tcBorders>
                      </w:tcPr>
                      <w:p>
                        <w:pPr>
                          <w:pStyle w:val="TableParagraph"/>
                          <w:spacing w:before="164"/>
                          <w:rPr>
                            <w:sz w:val="24"/>
                          </w:rPr>
                        </w:pPr>
                        <w:r>
                          <w:rPr>
                            <w:spacing w:val="-2"/>
                            <w:sz w:val="24"/>
                          </w:rPr>
                          <w:t>Control</w:t>
                        </w:r>
                      </w:p>
                    </w:tc>
                    <w:tc>
                      <w:tcPr>
                        <w:tcW w:w="3759" w:type="dxa"/>
                        <w:tcBorders>
                          <w:bottom w:val="single" w:sz="8" w:space="0" w:color="000000"/>
                        </w:tcBorders>
                      </w:tcPr>
                      <w:p>
                        <w:pPr>
                          <w:pStyle w:val="TableParagraph"/>
                          <w:spacing w:before="164"/>
                          <w:ind w:left="629"/>
                          <w:rPr>
                            <w:sz w:val="24"/>
                          </w:rPr>
                        </w:pPr>
                        <w:r>
                          <w:rPr>
                            <w:sz w:val="24"/>
                          </w:rPr>
                          <w:t>Untreated</w:t>
                        </w:r>
                        <w:r>
                          <w:rPr>
                            <w:spacing w:val="-9"/>
                            <w:sz w:val="24"/>
                          </w:rPr>
                          <w:t> </w:t>
                        </w:r>
                        <w:r>
                          <w:rPr>
                            <w:sz w:val="24"/>
                          </w:rPr>
                          <w:t>soil</w:t>
                        </w:r>
                        <w:r>
                          <w:rPr>
                            <w:spacing w:val="-9"/>
                            <w:sz w:val="24"/>
                          </w:rPr>
                          <w:t> </w:t>
                        </w:r>
                        <w:r>
                          <w:rPr>
                            <w:spacing w:val="-2"/>
                            <w:sz w:val="24"/>
                          </w:rPr>
                          <w:t>sample</w:t>
                        </w:r>
                      </w:p>
                    </w:tc>
                  </w:tr>
                </w:tbl>
                <w:p>
                  <w:pPr>
                    <w:pStyle w:val="BodyText"/>
                  </w:pPr>
                </w:p>
              </w:txbxContent>
            </v:textbox>
            <w10:wrap type="none"/>
          </v:shape>
        </w:pict>
      </w:r>
      <w:r>
        <w:rPr>
          <w:b/>
          <w:sz w:val="24"/>
        </w:rPr>
        <w:t>Treatment</w:t>
      </w:r>
      <w:r>
        <w:rPr>
          <w:b/>
          <w:spacing w:val="46"/>
          <w:sz w:val="24"/>
        </w:rPr>
        <w:t> </w:t>
      </w:r>
      <w:r>
        <w:rPr>
          <w:b/>
          <w:sz w:val="24"/>
        </w:rPr>
        <w:t>of</w:t>
      </w:r>
      <w:r>
        <w:rPr>
          <w:b/>
          <w:sz w:val="24"/>
        </w:rPr>
        <w:t> Contaminated Soil with Biosurfactant-Iron oxide Nanoparticles-Biochar Formulations</w:t>
      </w:r>
    </w:p>
    <w:p>
      <w:pPr>
        <w:pStyle w:val="BodyText"/>
        <w:spacing w:line="480" w:lineRule="auto"/>
        <w:ind w:left="120"/>
      </w:pPr>
      <w:r>
        <w:rPr/>
        <w:t>This</w:t>
      </w:r>
      <w:r>
        <w:rPr>
          <w:spacing w:val="32"/>
        </w:rPr>
        <w:t> </w:t>
      </w:r>
      <w:r>
        <w:rPr/>
        <w:t>was</w:t>
      </w:r>
      <w:r>
        <w:rPr>
          <w:spacing w:val="34"/>
        </w:rPr>
        <w:t> </w:t>
      </w:r>
      <w:r>
        <w:rPr/>
        <w:t>carried</w:t>
      </w:r>
      <w:r>
        <w:rPr>
          <w:spacing w:val="33"/>
        </w:rPr>
        <w:t> </w:t>
      </w:r>
      <w:r>
        <w:rPr/>
        <w:t>out</w:t>
      </w:r>
      <w:r>
        <w:rPr>
          <w:spacing w:val="36"/>
        </w:rPr>
        <w:t> </w:t>
      </w:r>
      <w:r>
        <w:rPr/>
        <w:t>according</w:t>
      </w:r>
      <w:r>
        <w:rPr>
          <w:spacing w:val="33"/>
        </w:rPr>
        <w:t> </w:t>
      </w:r>
      <w:r>
        <w:rPr/>
        <w:t>to</w:t>
      </w:r>
      <w:r>
        <w:rPr>
          <w:spacing w:val="34"/>
        </w:rPr>
        <w:t> </w:t>
      </w:r>
      <w:r>
        <w:rPr/>
        <w:t>the</w:t>
      </w:r>
      <w:r>
        <w:rPr>
          <w:spacing w:val="33"/>
        </w:rPr>
        <w:t> </w:t>
      </w:r>
      <w:r>
        <w:rPr/>
        <w:t>method</w:t>
      </w:r>
      <w:r>
        <w:rPr>
          <w:spacing w:val="33"/>
        </w:rPr>
        <w:t> </w:t>
      </w:r>
      <w:r>
        <w:rPr/>
        <w:t>of</w:t>
      </w:r>
      <w:r>
        <w:rPr>
          <w:spacing w:val="33"/>
        </w:rPr>
        <w:t> </w:t>
      </w:r>
      <w:r>
        <w:rPr/>
        <w:t>El-Sheshtawy</w:t>
      </w:r>
      <w:r>
        <w:rPr>
          <w:spacing w:val="28"/>
        </w:rPr>
        <w:t> </w:t>
      </w:r>
      <w:r>
        <w:rPr/>
        <w:t>and</w:t>
      </w:r>
      <w:r>
        <w:rPr>
          <w:spacing w:val="33"/>
        </w:rPr>
        <w:t> </w:t>
      </w:r>
      <w:r>
        <w:rPr/>
        <w:t>Ahmed</w:t>
      </w:r>
      <w:r>
        <w:rPr>
          <w:spacing w:val="33"/>
        </w:rPr>
        <w:t> </w:t>
      </w:r>
      <w:r>
        <w:rPr/>
        <w:t>(2017)</w:t>
      </w:r>
      <w:r>
        <w:rPr>
          <w:spacing w:val="33"/>
        </w:rPr>
        <w:t> </w:t>
      </w:r>
      <w:r>
        <w:rPr/>
        <w:t>with</w:t>
      </w:r>
      <w:r>
        <w:rPr>
          <w:spacing w:val="34"/>
        </w:rPr>
        <w:t> </w:t>
      </w:r>
      <w:r>
        <w:rPr/>
        <w:t>little modifications.</w:t>
      </w:r>
      <w:r>
        <w:rPr>
          <w:spacing w:val="37"/>
        </w:rPr>
        <w:t> </w:t>
      </w:r>
      <w:r>
        <w:rPr/>
        <w:t>The</w:t>
      </w:r>
      <w:r>
        <w:rPr>
          <w:spacing w:val="38"/>
        </w:rPr>
        <w:t> </w:t>
      </w:r>
      <w:r>
        <w:rPr/>
        <w:t>crude</w:t>
      </w:r>
      <w:r>
        <w:rPr>
          <w:spacing w:val="35"/>
        </w:rPr>
        <w:t> </w:t>
      </w:r>
      <w:r>
        <w:rPr/>
        <w:t>oil</w:t>
      </w:r>
      <w:r>
        <w:rPr>
          <w:spacing w:val="38"/>
        </w:rPr>
        <w:t> </w:t>
      </w:r>
      <w:r>
        <w:rPr/>
        <w:t>polluted</w:t>
      </w:r>
      <w:r>
        <w:rPr>
          <w:spacing w:val="37"/>
        </w:rPr>
        <w:t> </w:t>
      </w:r>
      <w:r>
        <w:rPr/>
        <w:t>soil</w:t>
      </w:r>
      <w:r>
        <w:rPr>
          <w:spacing w:val="37"/>
        </w:rPr>
        <w:t> </w:t>
      </w:r>
      <w:r>
        <w:rPr/>
        <w:t>containers</w:t>
      </w:r>
      <w:r>
        <w:rPr>
          <w:spacing w:val="37"/>
        </w:rPr>
        <w:t> </w:t>
      </w:r>
      <w:r>
        <w:rPr/>
        <w:t>were</w:t>
      </w:r>
      <w:r>
        <w:rPr>
          <w:spacing w:val="36"/>
        </w:rPr>
        <w:t> </w:t>
      </w:r>
      <w:r>
        <w:rPr/>
        <w:t>divided</w:t>
      </w:r>
      <w:r>
        <w:rPr>
          <w:spacing w:val="35"/>
        </w:rPr>
        <w:t> </w:t>
      </w:r>
      <w:r>
        <w:rPr/>
        <w:t>into</w:t>
      </w:r>
      <w:r>
        <w:rPr>
          <w:spacing w:val="37"/>
        </w:rPr>
        <w:t> </w:t>
      </w:r>
      <w:r>
        <w:rPr/>
        <w:t>15</w:t>
      </w:r>
      <w:r>
        <w:rPr>
          <w:spacing w:val="35"/>
        </w:rPr>
        <w:t> </w:t>
      </w:r>
      <w:r>
        <w:rPr/>
        <w:t>treatments</w:t>
      </w:r>
      <w:r>
        <w:rPr>
          <w:spacing w:val="38"/>
        </w:rPr>
        <w:t> </w:t>
      </w:r>
      <w:r>
        <w:rPr>
          <w:spacing w:val="-2"/>
        </w:rPr>
        <w:t>sample</w:t>
      </w:r>
    </w:p>
    <w:p>
      <w:pPr>
        <w:spacing w:after="0" w:line="480" w:lineRule="auto"/>
        <w:sectPr>
          <w:pgSz w:w="12240" w:h="15840"/>
          <w:pgMar w:header="0" w:footer="1015" w:top="1820" w:bottom="1200" w:left="1320" w:right="1320"/>
        </w:sectPr>
      </w:pPr>
    </w:p>
    <w:p>
      <w:pPr>
        <w:pStyle w:val="BodyText"/>
        <w:spacing w:line="480" w:lineRule="auto" w:before="72"/>
        <w:ind w:left="120" w:right="115"/>
        <w:jc w:val="both"/>
      </w:pPr>
      <w:r>
        <w:rPr/>
        <w:t>containers containing 20 g of polluted soil each. Each container was treated with iron oxide nanoparticles,</w:t>
      </w:r>
      <w:r>
        <w:rPr>
          <w:spacing w:val="-2"/>
        </w:rPr>
        <w:t> </w:t>
      </w:r>
      <w:r>
        <w:rPr/>
        <w:t>biosurfactant</w:t>
      </w:r>
      <w:r>
        <w:rPr>
          <w:spacing w:val="-1"/>
        </w:rPr>
        <w:t> </w:t>
      </w:r>
      <w:r>
        <w:rPr/>
        <w:t>and</w:t>
      </w:r>
      <w:r>
        <w:rPr>
          <w:spacing w:val="-1"/>
        </w:rPr>
        <w:t> </w:t>
      </w:r>
      <w:r>
        <w:rPr/>
        <w:t>biochar</w:t>
      </w:r>
      <w:r>
        <w:rPr>
          <w:spacing w:val="-2"/>
        </w:rPr>
        <w:t> </w:t>
      </w:r>
      <w:r>
        <w:rPr/>
        <w:t>of</w:t>
      </w:r>
      <w:r>
        <w:rPr>
          <w:spacing w:val="-2"/>
        </w:rPr>
        <w:t> </w:t>
      </w:r>
      <w:r>
        <w:rPr/>
        <w:t>100</w:t>
      </w:r>
      <w:r>
        <w:rPr>
          <w:spacing w:val="-1"/>
        </w:rPr>
        <w:t> </w:t>
      </w:r>
      <w:r>
        <w:rPr/>
        <w:t>mg</w:t>
      </w:r>
      <w:r>
        <w:rPr>
          <w:spacing w:val="-3"/>
        </w:rPr>
        <w:t> </w:t>
      </w:r>
      <w:r>
        <w:rPr/>
        <w:t>and</w:t>
      </w:r>
      <w:r>
        <w:rPr>
          <w:spacing w:val="-1"/>
        </w:rPr>
        <w:t> </w:t>
      </w:r>
      <w:r>
        <w:rPr/>
        <w:t>200</w:t>
      </w:r>
      <w:r>
        <w:rPr>
          <w:spacing w:val="-1"/>
        </w:rPr>
        <w:t> </w:t>
      </w:r>
      <w:r>
        <w:rPr/>
        <w:t>mg</w:t>
      </w:r>
      <w:r>
        <w:rPr>
          <w:spacing w:val="-3"/>
        </w:rPr>
        <w:t> </w:t>
      </w:r>
      <w:r>
        <w:rPr/>
        <w:t>for</w:t>
      </w:r>
      <w:r>
        <w:rPr>
          <w:spacing w:val="-2"/>
        </w:rPr>
        <w:t> </w:t>
      </w:r>
      <w:r>
        <w:rPr/>
        <w:t>each,</w:t>
      </w:r>
      <w:r>
        <w:rPr>
          <w:spacing w:val="-1"/>
        </w:rPr>
        <w:t> </w:t>
      </w:r>
      <w:r>
        <w:rPr/>
        <w:t>biosurfactant/iron</w:t>
      </w:r>
      <w:r>
        <w:rPr>
          <w:spacing w:val="-2"/>
        </w:rPr>
        <w:t> </w:t>
      </w:r>
      <w:r>
        <w:rPr/>
        <w:t>oxide nanoparticles//biochar of ratios; 1:1:1, 1:1:2 1:2:1 and 2:1:1 at 100 mg and 200 mg combination ratio and a control sample without any</w:t>
      </w:r>
      <w:r>
        <w:rPr>
          <w:spacing w:val="-5"/>
        </w:rPr>
        <w:t> </w:t>
      </w:r>
      <w:r>
        <w:rPr/>
        <w:t>treatment, which were left for 35 days. At an interval of 7 days, 5 mL of sterile distilled water was added and samples were taken for total microbial count.</w:t>
      </w:r>
    </w:p>
    <w:p>
      <w:pPr>
        <w:pStyle w:val="Heading2"/>
        <w:numPr>
          <w:ilvl w:val="1"/>
          <w:numId w:val="4"/>
        </w:numPr>
        <w:tabs>
          <w:tab w:pos="841" w:val="left" w:leader="none"/>
        </w:tabs>
        <w:spacing w:line="240" w:lineRule="auto" w:before="5" w:after="0"/>
        <w:ind w:left="840" w:right="0" w:hanging="721"/>
        <w:jc w:val="both"/>
      </w:pPr>
      <w:r>
        <w:rPr/>
        <w:t>Measurement</w:t>
      </w:r>
      <w:r>
        <w:rPr>
          <w:spacing w:val="-5"/>
        </w:rPr>
        <w:t> </w:t>
      </w:r>
      <w:r>
        <w:rPr/>
        <w:t>of</w:t>
      </w:r>
      <w:r>
        <w:rPr>
          <w:spacing w:val="-5"/>
        </w:rPr>
        <w:t> </w:t>
      </w:r>
      <w:r>
        <w:rPr/>
        <w:t>Percentage</w:t>
      </w:r>
      <w:r>
        <w:rPr>
          <w:spacing w:val="-6"/>
        </w:rPr>
        <w:t> </w:t>
      </w:r>
      <w:r>
        <w:rPr/>
        <w:t>of</w:t>
      </w:r>
      <w:r>
        <w:rPr>
          <w:spacing w:val="-3"/>
        </w:rPr>
        <w:t> </w:t>
      </w:r>
      <w:r>
        <w:rPr/>
        <w:t>Total</w:t>
      </w:r>
      <w:r>
        <w:rPr>
          <w:spacing w:val="-4"/>
        </w:rPr>
        <w:t> </w:t>
      </w:r>
      <w:r>
        <w:rPr/>
        <w:t>Crude</w:t>
      </w:r>
      <w:r>
        <w:rPr>
          <w:spacing w:val="-5"/>
        </w:rPr>
        <w:t> </w:t>
      </w:r>
      <w:r>
        <w:rPr/>
        <w:t>Oil</w:t>
      </w:r>
      <w:r>
        <w:rPr>
          <w:spacing w:val="-6"/>
        </w:rPr>
        <w:t> </w:t>
      </w:r>
      <w:r>
        <w:rPr>
          <w:spacing w:val="-2"/>
        </w:rPr>
        <w:t>Biodegradation.</w:t>
      </w:r>
    </w:p>
    <w:p>
      <w:pPr>
        <w:pStyle w:val="BodyText"/>
        <w:spacing w:before="7"/>
        <w:rPr>
          <w:b/>
          <w:sz w:val="23"/>
        </w:rPr>
      </w:pPr>
    </w:p>
    <w:p>
      <w:pPr>
        <w:pStyle w:val="BodyText"/>
        <w:spacing w:line="480" w:lineRule="auto"/>
        <w:ind w:left="120" w:right="113"/>
        <w:jc w:val="both"/>
      </w:pPr>
      <w:r>
        <w:rPr/>
        <w:t>Gravimetric analysis was used to determine the rate of biodegradation using the method of Chaprão</w:t>
      </w:r>
      <w:r>
        <w:rPr>
          <w:spacing w:val="-5"/>
        </w:rPr>
        <w:t> </w:t>
      </w:r>
      <w:r>
        <w:rPr>
          <w:i/>
        </w:rPr>
        <w:t>et</w:t>
      </w:r>
      <w:r>
        <w:rPr>
          <w:i/>
          <w:spacing w:val="-4"/>
        </w:rPr>
        <w:t> </w:t>
      </w:r>
      <w:r>
        <w:rPr>
          <w:i/>
        </w:rPr>
        <w:t>al.</w:t>
      </w:r>
      <w:r>
        <w:rPr>
          <w:i/>
          <w:spacing w:val="-4"/>
        </w:rPr>
        <w:t> </w:t>
      </w:r>
      <w:r>
        <w:rPr/>
        <w:t>(2015).</w:t>
      </w:r>
      <w:r>
        <w:rPr>
          <w:spacing w:val="-6"/>
        </w:rPr>
        <w:t> </w:t>
      </w:r>
      <w:r>
        <w:rPr/>
        <w:t>After</w:t>
      </w:r>
      <w:r>
        <w:rPr>
          <w:spacing w:val="-6"/>
        </w:rPr>
        <w:t> </w:t>
      </w:r>
      <w:r>
        <w:rPr/>
        <w:t>35</w:t>
      </w:r>
      <w:r>
        <w:rPr>
          <w:spacing w:val="-4"/>
        </w:rPr>
        <w:t> </w:t>
      </w:r>
      <w:r>
        <w:rPr/>
        <w:t>days,</w:t>
      </w:r>
      <w:r>
        <w:rPr>
          <w:spacing w:val="-5"/>
        </w:rPr>
        <w:t> </w:t>
      </w:r>
      <w:r>
        <w:rPr/>
        <w:t>the</w:t>
      </w:r>
      <w:r>
        <w:rPr>
          <w:spacing w:val="-6"/>
        </w:rPr>
        <w:t> </w:t>
      </w:r>
      <w:r>
        <w:rPr/>
        <w:t>samples</w:t>
      </w:r>
      <w:r>
        <w:rPr>
          <w:spacing w:val="-2"/>
        </w:rPr>
        <w:t> </w:t>
      </w:r>
      <w:r>
        <w:rPr/>
        <w:t>were</w:t>
      </w:r>
      <w:r>
        <w:rPr>
          <w:spacing w:val="-7"/>
        </w:rPr>
        <w:t> </w:t>
      </w:r>
      <w:r>
        <w:rPr/>
        <w:t>taken</w:t>
      </w:r>
      <w:r>
        <w:rPr>
          <w:spacing w:val="-5"/>
        </w:rPr>
        <w:t> </w:t>
      </w:r>
      <w:r>
        <w:rPr/>
        <w:t>to</w:t>
      </w:r>
      <w:r>
        <w:rPr>
          <w:spacing w:val="-4"/>
        </w:rPr>
        <w:t> </w:t>
      </w:r>
      <w:r>
        <w:rPr/>
        <w:t>determine</w:t>
      </w:r>
      <w:r>
        <w:rPr>
          <w:spacing w:val="-6"/>
        </w:rPr>
        <w:t> </w:t>
      </w:r>
      <w:r>
        <w:rPr/>
        <w:t>the</w:t>
      </w:r>
      <w:r>
        <w:rPr>
          <w:spacing w:val="-6"/>
        </w:rPr>
        <w:t> </w:t>
      </w:r>
      <w:r>
        <w:rPr/>
        <w:t>percentage</w:t>
      </w:r>
      <w:r>
        <w:rPr>
          <w:spacing w:val="-6"/>
        </w:rPr>
        <w:t> </w:t>
      </w:r>
      <w:r>
        <w:rPr/>
        <w:t>of</w:t>
      </w:r>
      <w:r>
        <w:rPr>
          <w:spacing w:val="-6"/>
        </w:rPr>
        <w:t> </w:t>
      </w:r>
      <w:r>
        <w:rPr/>
        <w:t>crude oil</w:t>
      </w:r>
      <w:r>
        <w:rPr>
          <w:spacing w:val="-10"/>
        </w:rPr>
        <w:t> </w:t>
      </w:r>
      <w:r>
        <w:rPr/>
        <w:t>degraded.</w:t>
      </w:r>
      <w:r>
        <w:rPr>
          <w:spacing w:val="-11"/>
        </w:rPr>
        <w:t> </w:t>
      </w:r>
      <w:r>
        <w:rPr/>
        <w:t>Mixture</w:t>
      </w:r>
      <w:r>
        <w:rPr>
          <w:spacing w:val="-12"/>
        </w:rPr>
        <w:t> </w:t>
      </w:r>
      <w:r>
        <w:rPr/>
        <w:t>of</w:t>
      </w:r>
      <w:r>
        <w:rPr>
          <w:spacing w:val="-11"/>
        </w:rPr>
        <w:t> </w:t>
      </w:r>
      <w:r>
        <w:rPr/>
        <w:t>diethyl</w:t>
      </w:r>
      <w:r>
        <w:rPr>
          <w:spacing w:val="-10"/>
        </w:rPr>
        <w:t> </w:t>
      </w:r>
      <w:r>
        <w:rPr/>
        <w:t>ether</w:t>
      </w:r>
      <w:r>
        <w:rPr>
          <w:spacing w:val="-9"/>
        </w:rPr>
        <w:t> </w:t>
      </w:r>
      <w:r>
        <w:rPr/>
        <w:t>and</w:t>
      </w:r>
      <w:r>
        <w:rPr>
          <w:spacing w:val="-11"/>
        </w:rPr>
        <w:t> </w:t>
      </w:r>
      <w:r>
        <w:rPr/>
        <w:t>n-hexane</w:t>
      </w:r>
      <w:r>
        <w:rPr>
          <w:spacing w:val="-12"/>
        </w:rPr>
        <w:t> </w:t>
      </w:r>
      <w:r>
        <w:rPr/>
        <w:t>in</w:t>
      </w:r>
      <w:r>
        <w:rPr>
          <w:spacing w:val="-10"/>
        </w:rPr>
        <w:t> </w:t>
      </w:r>
      <w:r>
        <w:rPr/>
        <w:t>the</w:t>
      </w:r>
      <w:r>
        <w:rPr>
          <w:spacing w:val="-11"/>
        </w:rPr>
        <w:t> </w:t>
      </w:r>
      <w:r>
        <w:rPr/>
        <w:t>ratio</w:t>
      </w:r>
      <w:r>
        <w:rPr>
          <w:spacing w:val="-11"/>
        </w:rPr>
        <w:t> </w:t>
      </w:r>
      <w:r>
        <w:rPr/>
        <w:t>1:1</w:t>
      </w:r>
      <w:r>
        <w:rPr>
          <w:spacing w:val="-9"/>
        </w:rPr>
        <w:t> </w:t>
      </w:r>
      <w:r>
        <w:rPr/>
        <w:t>was</w:t>
      </w:r>
      <w:r>
        <w:rPr>
          <w:spacing w:val="-9"/>
        </w:rPr>
        <w:t> </w:t>
      </w:r>
      <w:r>
        <w:rPr/>
        <w:t>used</w:t>
      </w:r>
      <w:r>
        <w:rPr>
          <w:spacing w:val="-10"/>
        </w:rPr>
        <w:t> </w:t>
      </w:r>
      <w:r>
        <w:rPr/>
        <w:t>to</w:t>
      </w:r>
      <w:r>
        <w:rPr>
          <w:spacing w:val="-9"/>
        </w:rPr>
        <w:t> </w:t>
      </w:r>
      <w:r>
        <w:rPr/>
        <w:t>extract</w:t>
      </w:r>
      <w:r>
        <w:rPr>
          <w:spacing w:val="-9"/>
        </w:rPr>
        <w:t> </w:t>
      </w:r>
      <w:r>
        <w:rPr/>
        <w:t>the</w:t>
      </w:r>
      <w:r>
        <w:rPr>
          <w:spacing w:val="-10"/>
        </w:rPr>
        <w:t> </w:t>
      </w:r>
      <w:r>
        <w:rPr/>
        <w:t>residual crude oil into a known weight beaker. Complete extraction was ensured by performing the extraction twice. After complete extraction, the solvent present with the extract was left at room temperature to completely evaporate and reweighed.</w:t>
      </w:r>
    </w:p>
    <w:p>
      <w:pPr>
        <w:pStyle w:val="BodyText"/>
        <w:spacing w:before="1"/>
        <w:ind w:left="120"/>
        <w:jc w:val="both"/>
      </w:pPr>
      <w:r>
        <w:rPr/>
        <w:t>The</w:t>
      </w:r>
      <w:r>
        <w:rPr>
          <w:spacing w:val="-4"/>
        </w:rPr>
        <w:t> </w:t>
      </w:r>
      <w:r>
        <w:rPr/>
        <w:t>percentage</w:t>
      </w:r>
      <w:r>
        <w:rPr>
          <w:spacing w:val="-2"/>
        </w:rPr>
        <w:t> </w:t>
      </w:r>
      <w:r>
        <w:rPr/>
        <w:t>of</w:t>
      </w:r>
      <w:r>
        <w:rPr>
          <w:spacing w:val="-2"/>
        </w:rPr>
        <w:t> </w:t>
      </w:r>
      <w:r>
        <w:rPr/>
        <w:t>degradation</w:t>
      </w:r>
      <w:r>
        <w:rPr>
          <w:spacing w:val="-1"/>
        </w:rPr>
        <w:t> </w:t>
      </w:r>
      <w:r>
        <w:rPr/>
        <w:t>was</w:t>
      </w:r>
      <w:r>
        <w:rPr>
          <w:spacing w:val="-1"/>
        </w:rPr>
        <w:t> </w:t>
      </w:r>
      <w:r>
        <w:rPr/>
        <w:t>calculated</w:t>
      </w:r>
      <w:r>
        <w:rPr>
          <w:spacing w:val="-2"/>
        </w:rPr>
        <w:t> </w:t>
      </w:r>
      <w:r>
        <w:rPr/>
        <w:t>as</w:t>
      </w:r>
      <w:r>
        <w:rPr>
          <w:spacing w:val="-1"/>
        </w:rPr>
        <w:t> </w:t>
      </w:r>
      <w:r>
        <w:rPr>
          <w:spacing w:val="-2"/>
        </w:rPr>
        <w:t>follows:</w:t>
      </w:r>
    </w:p>
    <w:p>
      <w:pPr>
        <w:pStyle w:val="BodyText"/>
        <w:spacing w:before="8"/>
        <w:rPr>
          <w:sz w:val="16"/>
        </w:rPr>
      </w:pPr>
    </w:p>
    <w:p>
      <w:pPr>
        <w:spacing w:after="0"/>
        <w:rPr>
          <w:sz w:val="16"/>
        </w:rPr>
        <w:sectPr>
          <w:pgSz w:w="12240" w:h="15840"/>
          <w:pgMar w:header="0" w:footer="1015" w:top="1360" w:bottom="1200" w:left="1320" w:right="1320"/>
        </w:sectPr>
      </w:pPr>
    </w:p>
    <w:p>
      <w:pPr>
        <w:pStyle w:val="BodyText"/>
        <w:spacing w:before="1"/>
        <w:rPr>
          <w:sz w:val="20"/>
        </w:rPr>
      </w:pPr>
    </w:p>
    <w:p>
      <w:pPr>
        <w:spacing w:before="0"/>
        <w:ind w:left="1987" w:right="0" w:firstLine="0"/>
        <w:jc w:val="left"/>
        <w:rPr>
          <w:rFonts w:ascii="Cambria Math" w:eastAsia="Cambria Math"/>
          <w:sz w:val="24"/>
        </w:rPr>
      </w:pPr>
      <w:r>
        <w:rPr>
          <w:rFonts w:ascii="Cambria Math" w:eastAsia="Cambria Math"/>
          <w:sz w:val="24"/>
        </w:rPr>
        <w:t>% 𝑜𝑓</w:t>
      </w:r>
      <w:r>
        <w:rPr>
          <w:rFonts w:ascii="Cambria Math" w:eastAsia="Cambria Math"/>
          <w:spacing w:val="7"/>
          <w:sz w:val="24"/>
        </w:rPr>
        <w:t> </w:t>
      </w:r>
      <w:r>
        <w:rPr>
          <w:rFonts w:ascii="Cambria Math" w:eastAsia="Cambria Math"/>
          <w:sz w:val="24"/>
        </w:rPr>
        <w:t>𝑐𝑟𝑢𝑑𝑒</w:t>
      </w:r>
      <w:r>
        <w:rPr>
          <w:rFonts w:ascii="Cambria Math" w:eastAsia="Cambria Math"/>
          <w:spacing w:val="6"/>
          <w:sz w:val="24"/>
        </w:rPr>
        <w:t> </w:t>
      </w:r>
      <w:r>
        <w:rPr>
          <w:rFonts w:ascii="Cambria Math" w:eastAsia="Cambria Math"/>
          <w:sz w:val="24"/>
        </w:rPr>
        <w:t>𝑜𝑖𝑙</w:t>
      </w:r>
      <w:r>
        <w:rPr>
          <w:rFonts w:ascii="Cambria Math" w:eastAsia="Cambria Math"/>
          <w:spacing w:val="8"/>
          <w:sz w:val="24"/>
        </w:rPr>
        <w:t> </w:t>
      </w:r>
      <w:r>
        <w:rPr>
          <w:rFonts w:ascii="Cambria Math" w:eastAsia="Cambria Math"/>
          <w:sz w:val="24"/>
        </w:rPr>
        <w:t>𝑑𝑒𝑔𝑟𝑎𝑑𝑎𝑡𝑖𝑜𝑛</w:t>
      </w:r>
      <w:r>
        <w:rPr>
          <w:rFonts w:ascii="Cambria Math" w:eastAsia="Cambria Math"/>
          <w:spacing w:val="4"/>
          <w:sz w:val="24"/>
        </w:rPr>
        <w:t> </w:t>
      </w:r>
      <w:r>
        <w:rPr>
          <w:rFonts w:ascii="Cambria Math" w:eastAsia="Cambria Math"/>
          <w:position w:val="1"/>
          <w:sz w:val="24"/>
        </w:rPr>
        <w:t>(</w:t>
      </w:r>
      <w:r>
        <w:rPr>
          <w:rFonts w:ascii="Cambria Math" w:eastAsia="Cambria Math"/>
          <w:sz w:val="24"/>
        </w:rPr>
        <w:t>%𝐷</w:t>
      </w:r>
      <w:r>
        <w:rPr>
          <w:rFonts w:ascii="Cambria Math" w:eastAsia="Cambria Math"/>
          <w:position w:val="1"/>
          <w:sz w:val="24"/>
        </w:rPr>
        <w:t>)</w:t>
      </w:r>
      <w:r>
        <w:rPr>
          <w:rFonts w:ascii="Cambria Math" w:eastAsia="Cambria Math"/>
          <w:spacing w:val="13"/>
          <w:position w:val="1"/>
          <w:sz w:val="24"/>
        </w:rPr>
        <w:t> </w:t>
      </w:r>
      <w:r>
        <w:rPr>
          <w:rFonts w:ascii="Cambria Math" w:eastAsia="Cambria Math"/>
          <w:spacing w:val="-10"/>
          <w:sz w:val="24"/>
        </w:rPr>
        <w:t>=</w:t>
      </w:r>
    </w:p>
    <w:p>
      <w:pPr>
        <w:spacing w:before="59"/>
        <w:ind w:left="107" w:right="82" w:firstLine="0"/>
        <w:jc w:val="center"/>
        <w:rPr>
          <w:rFonts w:ascii="Cambria Math" w:hAnsi="Cambria Math" w:eastAsia="Cambria Math"/>
          <w:sz w:val="24"/>
        </w:rPr>
      </w:pPr>
      <w:r>
        <w:rPr/>
        <w:br w:type="column"/>
      </w:r>
      <w:r>
        <w:rPr>
          <w:rFonts w:ascii="Cambria Math" w:hAnsi="Cambria Math" w:eastAsia="Cambria Math"/>
          <w:sz w:val="24"/>
        </w:rPr>
        <w:t>𝑂𝑖 − </w:t>
      </w:r>
      <w:r>
        <w:rPr>
          <w:rFonts w:ascii="Cambria Math" w:hAnsi="Cambria Math" w:eastAsia="Cambria Math"/>
          <w:spacing w:val="-96"/>
          <w:sz w:val="24"/>
        </w:rPr>
        <w:t>𝑂𝑟</w:t>
      </w:r>
    </w:p>
    <w:p>
      <w:pPr>
        <w:pStyle w:val="BodyText"/>
        <w:spacing w:before="5"/>
        <w:rPr>
          <w:rFonts w:ascii="Cambria Math"/>
          <w:sz w:val="4"/>
        </w:rPr>
      </w:pPr>
    </w:p>
    <w:p>
      <w:pPr>
        <w:pStyle w:val="BodyText"/>
        <w:spacing w:line="20" w:lineRule="exact"/>
        <w:ind w:left="25" w:right="-72"/>
        <w:rPr>
          <w:rFonts w:ascii="Cambria Math"/>
          <w:sz w:val="2"/>
        </w:rPr>
      </w:pPr>
      <w:r>
        <w:rPr>
          <w:rFonts w:ascii="Cambria Math"/>
          <w:sz w:val="2"/>
        </w:rPr>
        <w:pict>
          <v:group style="width:40.7pt;height:.85pt;mso-position-horizontal-relative:char;mso-position-vertical-relative:line" id="docshapegroup4" coordorigin="0,0" coordsize="814,17">
            <v:rect style="position:absolute;left:0;top:0;width:814;height:17" id="docshape5" filled="true" fillcolor="#000000" stroked="false">
              <v:fill type="solid"/>
            </v:rect>
          </v:group>
        </w:pict>
      </w:r>
      <w:r>
        <w:rPr>
          <w:rFonts w:ascii="Cambria Math"/>
          <w:sz w:val="2"/>
        </w:rPr>
      </w:r>
    </w:p>
    <w:p>
      <w:pPr>
        <w:spacing w:before="0"/>
        <w:ind w:left="103" w:right="82" w:firstLine="0"/>
        <w:jc w:val="center"/>
        <w:rPr>
          <w:rFonts w:ascii="Cambria Math" w:eastAsia="Cambria Math"/>
          <w:sz w:val="24"/>
        </w:rPr>
      </w:pPr>
      <w:r>
        <w:rPr>
          <w:rFonts w:ascii="Cambria Math" w:eastAsia="Cambria Math"/>
          <w:spacing w:val="-5"/>
          <w:sz w:val="24"/>
        </w:rPr>
        <w:t>𝑂𝑖</w:t>
      </w:r>
    </w:p>
    <w:p>
      <w:pPr>
        <w:spacing w:line="240" w:lineRule="auto" w:before="6"/>
        <w:rPr>
          <w:rFonts w:ascii="Cambria Math"/>
          <w:sz w:val="20"/>
        </w:rPr>
      </w:pPr>
      <w:r>
        <w:rPr/>
        <w:br w:type="column"/>
      </w:r>
      <w:r>
        <w:rPr>
          <w:rFonts w:ascii="Cambria Math"/>
          <w:sz w:val="20"/>
        </w:rPr>
      </w:r>
    </w:p>
    <w:p>
      <w:pPr>
        <w:pStyle w:val="BodyText"/>
        <w:ind w:left="15"/>
        <w:rPr>
          <w:rFonts w:ascii="Cambria Math" w:hAnsi="Cambria Math"/>
        </w:rPr>
      </w:pPr>
      <w:r>
        <w:rPr>
          <w:rFonts w:ascii="Cambria Math" w:hAnsi="Cambria Math"/>
        </w:rPr>
        <w:t>×</w:t>
      </w:r>
      <w:r>
        <w:rPr>
          <w:rFonts w:ascii="Cambria Math" w:hAnsi="Cambria Math"/>
          <w:spacing w:val="1"/>
        </w:rPr>
        <w:t> </w:t>
      </w:r>
      <w:r>
        <w:rPr>
          <w:rFonts w:ascii="Cambria Math" w:hAnsi="Cambria Math"/>
          <w:spacing w:val="-4"/>
        </w:rPr>
        <w:t>100%</w:t>
      </w:r>
    </w:p>
    <w:p>
      <w:pPr>
        <w:spacing w:after="0"/>
        <w:rPr>
          <w:rFonts w:ascii="Cambria Math" w:hAnsi="Cambria Math"/>
        </w:rPr>
        <w:sectPr>
          <w:type w:val="continuous"/>
          <w:pgSz w:w="12240" w:h="15840"/>
          <w:pgMar w:header="0" w:footer="1015" w:top="1640" w:bottom="1200" w:left="1320" w:right="1320"/>
          <w:cols w:num="3" w:equalWidth="0">
            <w:col w:w="5845" w:space="40"/>
            <w:col w:w="837" w:space="39"/>
            <w:col w:w="2839"/>
          </w:cols>
        </w:sectPr>
      </w:pPr>
    </w:p>
    <w:p>
      <w:pPr>
        <w:pStyle w:val="BodyText"/>
        <w:spacing w:before="4"/>
        <w:rPr>
          <w:rFonts w:ascii="Cambria Math"/>
          <w:sz w:val="10"/>
        </w:rPr>
      </w:pPr>
    </w:p>
    <w:p>
      <w:pPr>
        <w:pStyle w:val="BodyText"/>
        <w:spacing w:line="482" w:lineRule="auto" w:before="90"/>
        <w:ind w:left="120"/>
      </w:pPr>
      <w:r>
        <w:rPr/>
        <w:t>where</w:t>
      </w:r>
      <w:r>
        <w:rPr>
          <w:spacing w:val="-7"/>
        </w:rPr>
        <w:t> </w:t>
      </w:r>
      <w:r>
        <w:rPr/>
        <w:t>Oi</w:t>
      </w:r>
      <w:r>
        <w:rPr>
          <w:spacing w:val="-5"/>
        </w:rPr>
        <w:t> </w:t>
      </w:r>
      <w:r>
        <w:rPr/>
        <w:t>is</w:t>
      </w:r>
      <w:r>
        <w:rPr>
          <w:spacing w:val="-4"/>
        </w:rPr>
        <w:t> </w:t>
      </w:r>
      <w:r>
        <w:rPr/>
        <w:t>the</w:t>
      </w:r>
      <w:r>
        <w:rPr>
          <w:spacing w:val="-5"/>
        </w:rPr>
        <w:t> </w:t>
      </w:r>
      <w:r>
        <w:rPr/>
        <w:t>initial</w:t>
      </w:r>
      <w:r>
        <w:rPr>
          <w:spacing w:val="-7"/>
        </w:rPr>
        <w:t> </w:t>
      </w:r>
      <w:r>
        <w:rPr/>
        <w:t>amount</w:t>
      </w:r>
      <w:r>
        <w:rPr>
          <w:spacing w:val="-4"/>
        </w:rPr>
        <w:t> </w:t>
      </w:r>
      <w:r>
        <w:rPr/>
        <w:t>of</w:t>
      </w:r>
      <w:r>
        <w:rPr>
          <w:spacing w:val="-6"/>
        </w:rPr>
        <w:t> </w:t>
      </w:r>
      <w:r>
        <w:rPr/>
        <w:t>crude</w:t>
      </w:r>
      <w:r>
        <w:rPr>
          <w:spacing w:val="-7"/>
        </w:rPr>
        <w:t> </w:t>
      </w:r>
      <w:r>
        <w:rPr/>
        <w:t>oil</w:t>
      </w:r>
      <w:r>
        <w:rPr>
          <w:spacing w:val="-4"/>
        </w:rPr>
        <w:t> </w:t>
      </w:r>
      <w:r>
        <w:rPr/>
        <w:t>in</w:t>
      </w:r>
      <w:r>
        <w:rPr>
          <w:spacing w:val="-7"/>
        </w:rPr>
        <w:t> </w:t>
      </w:r>
      <w:r>
        <w:rPr/>
        <w:t>the</w:t>
      </w:r>
      <w:r>
        <w:rPr>
          <w:spacing w:val="-5"/>
        </w:rPr>
        <w:t> </w:t>
      </w:r>
      <w:r>
        <w:rPr/>
        <w:t>soil</w:t>
      </w:r>
      <w:r>
        <w:rPr>
          <w:spacing w:val="-4"/>
        </w:rPr>
        <w:t> </w:t>
      </w:r>
      <w:r>
        <w:rPr/>
        <w:t>(g)</w:t>
      </w:r>
      <w:r>
        <w:rPr>
          <w:spacing w:val="-6"/>
        </w:rPr>
        <w:t> </w:t>
      </w:r>
      <w:r>
        <w:rPr/>
        <w:t>and</w:t>
      </w:r>
      <w:r>
        <w:rPr>
          <w:spacing w:val="-5"/>
        </w:rPr>
        <w:t> </w:t>
      </w:r>
      <w:r>
        <w:rPr/>
        <w:t>Or</w:t>
      </w:r>
      <w:r>
        <w:rPr>
          <w:spacing w:val="-6"/>
        </w:rPr>
        <w:t> </w:t>
      </w:r>
      <w:r>
        <w:rPr/>
        <w:t>is</w:t>
      </w:r>
      <w:r>
        <w:rPr>
          <w:spacing w:val="-4"/>
        </w:rPr>
        <w:t> </w:t>
      </w:r>
      <w:r>
        <w:rPr/>
        <w:t>the</w:t>
      </w:r>
      <w:r>
        <w:rPr>
          <w:spacing w:val="-5"/>
        </w:rPr>
        <w:t> </w:t>
      </w:r>
      <w:r>
        <w:rPr/>
        <w:t>residual</w:t>
      </w:r>
      <w:r>
        <w:rPr>
          <w:spacing w:val="-5"/>
        </w:rPr>
        <w:t> </w:t>
      </w:r>
      <w:r>
        <w:rPr/>
        <w:t>amount</w:t>
      </w:r>
      <w:r>
        <w:rPr>
          <w:spacing w:val="-4"/>
        </w:rPr>
        <w:t> </w:t>
      </w:r>
      <w:r>
        <w:rPr/>
        <w:t>of</w:t>
      </w:r>
      <w:r>
        <w:rPr>
          <w:spacing w:val="-6"/>
        </w:rPr>
        <w:t> </w:t>
      </w:r>
      <w:r>
        <w:rPr/>
        <w:t>crude</w:t>
      </w:r>
      <w:r>
        <w:rPr>
          <w:spacing w:val="-7"/>
        </w:rPr>
        <w:t> </w:t>
      </w:r>
      <w:r>
        <w:rPr/>
        <w:t>oil in the soil (g).</w:t>
      </w:r>
    </w:p>
    <w:p>
      <w:pPr>
        <w:pStyle w:val="Heading2"/>
        <w:numPr>
          <w:ilvl w:val="1"/>
          <w:numId w:val="4"/>
        </w:numPr>
        <w:tabs>
          <w:tab w:pos="840" w:val="left" w:leader="none"/>
          <w:tab w:pos="841" w:val="left" w:leader="none"/>
        </w:tabs>
        <w:spacing w:line="240" w:lineRule="auto" w:before="201" w:after="0"/>
        <w:ind w:left="840" w:right="0" w:hanging="721"/>
        <w:jc w:val="left"/>
      </w:pPr>
      <w:r>
        <w:rPr/>
        <w:t>Data</w:t>
      </w:r>
      <w:r>
        <w:rPr>
          <w:spacing w:val="-6"/>
        </w:rPr>
        <w:t> </w:t>
      </w:r>
      <w:r>
        <w:rPr>
          <w:spacing w:val="-2"/>
        </w:rPr>
        <w:t>Analysis</w:t>
      </w:r>
    </w:p>
    <w:p>
      <w:pPr>
        <w:pStyle w:val="BodyText"/>
        <w:spacing w:before="7"/>
        <w:rPr>
          <w:b/>
          <w:sz w:val="23"/>
        </w:rPr>
      </w:pPr>
    </w:p>
    <w:p>
      <w:pPr>
        <w:pStyle w:val="BodyText"/>
        <w:spacing w:line="480" w:lineRule="auto"/>
        <w:ind w:left="120"/>
      </w:pPr>
      <w:r>
        <w:rPr/>
        <w:t>Statistical</w:t>
      </w:r>
      <w:r>
        <w:rPr>
          <w:spacing w:val="-8"/>
        </w:rPr>
        <w:t> </w:t>
      </w:r>
      <w:r>
        <w:rPr/>
        <w:t>analysis</w:t>
      </w:r>
      <w:r>
        <w:rPr>
          <w:spacing w:val="-5"/>
        </w:rPr>
        <w:t> </w:t>
      </w:r>
      <w:r>
        <w:rPr/>
        <w:t>of</w:t>
      </w:r>
      <w:r>
        <w:rPr>
          <w:spacing w:val="-9"/>
        </w:rPr>
        <w:t> </w:t>
      </w:r>
      <w:r>
        <w:rPr/>
        <w:t>variance</w:t>
      </w:r>
      <w:r>
        <w:rPr>
          <w:spacing w:val="-7"/>
        </w:rPr>
        <w:t> </w:t>
      </w:r>
      <w:r>
        <w:rPr/>
        <w:t>(ANOVA)</w:t>
      </w:r>
      <w:r>
        <w:rPr>
          <w:spacing w:val="-5"/>
        </w:rPr>
        <w:t> </w:t>
      </w:r>
      <w:r>
        <w:rPr/>
        <w:t>using</w:t>
      </w:r>
      <w:r>
        <w:rPr>
          <w:spacing w:val="-8"/>
        </w:rPr>
        <w:t> </w:t>
      </w:r>
      <w:r>
        <w:rPr/>
        <w:t>SPSS</w:t>
      </w:r>
      <w:r>
        <w:rPr>
          <w:spacing w:val="-8"/>
        </w:rPr>
        <w:t> </w:t>
      </w:r>
      <w:r>
        <w:rPr/>
        <w:t>version</w:t>
      </w:r>
      <w:r>
        <w:rPr>
          <w:spacing w:val="-8"/>
        </w:rPr>
        <w:t> </w:t>
      </w:r>
      <w:r>
        <w:rPr/>
        <w:t>23</w:t>
      </w:r>
      <w:r>
        <w:rPr>
          <w:spacing w:val="-7"/>
        </w:rPr>
        <w:t> </w:t>
      </w:r>
      <w:r>
        <w:rPr/>
        <w:t>was</w:t>
      </w:r>
      <w:r>
        <w:rPr>
          <w:spacing w:val="-6"/>
        </w:rPr>
        <w:t> </w:t>
      </w:r>
      <w:r>
        <w:rPr/>
        <w:t>performed</w:t>
      </w:r>
      <w:r>
        <w:rPr>
          <w:spacing w:val="-8"/>
        </w:rPr>
        <w:t> </w:t>
      </w:r>
      <w:r>
        <w:rPr/>
        <w:t>on</w:t>
      </w:r>
      <w:r>
        <w:rPr>
          <w:spacing w:val="-6"/>
        </w:rPr>
        <w:t> </w:t>
      </w:r>
      <w:r>
        <w:rPr/>
        <w:t>all</w:t>
      </w:r>
      <w:r>
        <w:rPr>
          <w:spacing w:val="-8"/>
        </w:rPr>
        <w:t> </w:t>
      </w:r>
      <w:r>
        <w:rPr/>
        <w:t>values</w:t>
      </w:r>
      <w:r>
        <w:rPr>
          <w:spacing w:val="-4"/>
        </w:rPr>
        <w:t> </w:t>
      </w:r>
      <w:r>
        <w:rPr/>
        <w:t>and tested for p &lt; 0.05 for significance.</w:t>
      </w:r>
    </w:p>
    <w:p>
      <w:pPr>
        <w:pStyle w:val="Heading1"/>
        <w:spacing w:before="5"/>
        <w:ind w:left="3308" w:right="3309"/>
      </w:pPr>
      <w:r>
        <w:rPr/>
        <w:t>CHAPTER</w:t>
      </w:r>
      <w:r>
        <w:rPr>
          <w:spacing w:val="-12"/>
        </w:rPr>
        <w:t> </w:t>
      </w:r>
      <w:r>
        <w:rPr>
          <w:spacing w:val="-4"/>
        </w:rPr>
        <w:t>FOUR</w:t>
      </w:r>
    </w:p>
    <w:p>
      <w:pPr>
        <w:spacing w:after="0"/>
        <w:sectPr>
          <w:type w:val="continuous"/>
          <w:pgSz w:w="12240" w:h="15840"/>
          <w:pgMar w:header="0" w:footer="1015" w:top="1640" w:bottom="1200" w:left="1320" w:right="1320"/>
        </w:sectPr>
      </w:pPr>
    </w:p>
    <w:p>
      <w:pPr>
        <w:pStyle w:val="ListParagraph"/>
        <w:numPr>
          <w:ilvl w:val="1"/>
          <w:numId w:val="5"/>
        </w:numPr>
        <w:tabs>
          <w:tab w:pos="1560" w:val="left" w:leader="none"/>
          <w:tab w:pos="1561" w:val="left" w:leader="none"/>
        </w:tabs>
        <w:spacing w:line="240" w:lineRule="auto" w:before="79" w:after="0"/>
        <w:ind w:left="1560" w:right="0" w:hanging="1441"/>
        <w:jc w:val="left"/>
        <w:rPr>
          <w:b/>
          <w:sz w:val="24"/>
        </w:rPr>
      </w:pPr>
      <w:r>
        <w:rPr>
          <w:b/>
          <w:sz w:val="24"/>
        </w:rPr>
        <w:t>RESULTS</w:t>
      </w:r>
      <w:r>
        <w:rPr>
          <w:b/>
          <w:spacing w:val="-9"/>
          <w:sz w:val="24"/>
        </w:rPr>
        <w:t> </w:t>
      </w:r>
      <w:r>
        <w:rPr>
          <w:b/>
          <w:sz w:val="24"/>
        </w:rPr>
        <w:t>AND</w:t>
      </w:r>
      <w:r>
        <w:rPr>
          <w:b/>
          <w:spacing w:val="-9"/>
          <w:sz w:val="24"/>
        </w:rPr>
        <w:t> </w:t>
      </w:r>
      <w:r>
        <w:rPr>
          <w:b/>
          <w:spacing w:val="-2"/>
          <w:sz w:val="24"/>
        </w:rPr>
        <w:t>DISCUSSION</w:t>
      </w:r>
    </w:p>
    <w:p>
      <w:pPr>
        <w:pStyle w:val="BodyText"/>
        <w:spacing w:before="9"/>
        <w:rPr>
          <w:b/>
          <w:sz w:val="23"/>
        </w:rPr>
      </w:pPr>
    </w:p>
    <w:p>
      <w:pPr>
        <w:pStyle w:val="Heading2"/>
        <w:numPr>
          <w:ilvl w:val="1"/>
          <w:numId w:val="5"/>
        </w:numPr>
        <w:tabs>
          <w:tab w:pos="840" w:val="left" w:leader="none"/>
          <w:tab w:pos="841" w:val="left" w:leader="none"/>
        </w:tabs>
        <w:spacing w:line="240" w:lineRule="auto" w:before="0" w:after="0"/>
        <w:ind w:left="840" w:right="0" w:hanging="721"/>
        <w:jc w:val="left"/>
      </w:pPr>
      <w:r>
        <w:rPr>
          <w:spacing w:val="-2"/>
        </w:rPr>
        <w:t>Results</w:t>
      </w:r>
    </w:p>
    <w:p>
      <w:pPr>
        <w:pStyle w:val="BodyText"/>
        <w:rPr>
          <w:b/>
        </w:rPr>
      </w:pPr>
    </w:p>
    <w:p>
      <w:pPr>
        <w:pStyle w:val="ListParagraph"/>
        <w:numPr>
          <w:ilvl w:val="2"/>
          <w:numId w:val="5"/>
        </w:numPr>
        <w:tabs>
          <w:tab w:pos="840" w:val="left" w:leader="none"/>
          <w:tab w:pos="841" w:val="left" w:leader="none"/>
        </w:tabs>
        <w:spacing w:line="240" w:lineRule="auto" w:before="0" w:after="0"/>
        <w:ind w:left="840" w:right="0" w:hanging="721"/>
        <w:jc w:val="left"/>
        <w:rPr>
          <w:b/>
          <w:sz w:val="24"/>
        </w:rPr>
      </w:pPr>
      <w:r>
        <w:rPr>
          <w:b/>
          <w:sz w:val="24"/>
        </w:rPr>
        <w:t>Identity</w:t>
      </w:r>
      <w:r>
        <w:rPr>
          <w:b/>
          <w:spacing w:val="-6"/>
          <w:sz w:val="24"/>
        </w:rPr>
        <w:t> </w:t>
      </w:r>
      <w:r>
        <w:rPr>
          <w:b/>
          <w:sz w:val="24"/>
        </w:rPr>
        <w:t>of</w:t>
      </w:r>
      <w:r>
        <w:rPr>
          <w:b/>
          <w:spacing w:val="-4"/>
          <w:sz w:val="24"/>
        </w:rPr>
        <w:t> </w:t>
      </w:r>
      <w:r>
        <w:rPr>
          <w:b/>
          <w:sz w:val="24"/>
        </w:rPr>
        <w:t>the</w:t>
      </w:r>
      <w:r>
        <w:rPr>
          <w:b/>
          <w:spacing w:val="-5"/>
          <w:sz w:val="24"/>
        </w:rPr>
        <w:t> </w:t>
      </w:r>
      <w:r>
        <w:rPr>
          <w:b/>
          <w:spacing w:val="-2"/>
          <w:sz w:val="24"/>
        </w:rPr>
        <w:t>Isolate</w:t>
      </w:r>
    </w:p>
    <w:p>
      <w:pPr>
        <w:pStyle w:val="BodyText"/>
        <w:spacing w:before="7"/>
        <w:rPr>
          <w:b/>
          <w:sz w:val="23"/>
        </w:rPr>
      </w:pPr>
    </w:p>
    <w:p>
      <w:pPr>
        <w:pStyle w:val="BodyText"/>
        <w:spacing w:line="480" w:lineRule="auto"/>
        <w:ind w:left="120"/>
      </w:pPr>
      <w:r>
        <w:rPr/>
        <w:t>The</w:t>
      </w:r>
      <w:r>
        <w:rPr>
          <w:spacing w:val="24"/>
        </w:rPr>
        <w:t> </w:t>
      </w:r>
      <w:r>
        <w:rPr/>
        <w:t>result</w:t>
      </w:r>
      <w:r>
        <w:rPr>
          <w:spacing w:val="26"/>
        </w:rPr>
        <w:t> </w:t>
      </w:r>
      <w:r>
        <w:rPr/>
        <w:t>of</w:t>
      </w:r>
      <w:r>
        <w:rPr>
          <w:spacing w:val="24"/>
        </w:rPr>
        <w:t> </w:t>
      </w:r>
      <w:r>
        <w:rPr/>
        <w:t>cultural</w:t>
      </w:r>
      <w:r>
        <w:rPr>
          <w:spacing w:val="26"/>
        </w:rPr>
        <w:t> </w:t>
      </w:r>
      <w:r>
        <w:rPr/>
        <w:t>and</w:t>
      </w:r>
      <w:r>
        <w:rPr>
          <w:spacing w:val="25"/>
        </w:rPr>
        <w:t> </w:t>
      </w:r>
      <w:r>
        <w:rPr/>
        <w:t>biochemical</w:t>
      </w:r>
      <w:r>
        <w:rPr>
          <w:spacing w:val="26"/>
        </w:rPr>
        <w:t> </w:t>
      </w:r>
      <w:r>
        <w:rPr/>
        <w:t>characterization</w:t>
      </w:r>
      <w:r>
        <w:rPr>
          <w:spacing w:val="25"/>
        </w:rPr>
        <w:t> </w:t>
      </w:r>
      <w:r>
        <w:rPr/>
        <w:t>of</w:t>
      </w:r>
      <w:r>
        <w:rPr>
          <w:spacing w:val="24"/>
        </w:rPr>
        <w:t> </w:t>
      </w:r>
      <w:r>
        <w:rPr/>
        <w:t>the</w:t>
      </w:r>
      <w:r>
        <w:rPr>
          <w:spacing w:val="30"/>
        </w:rPr>
        <w:t> </w:t>
      </w:r>
      <w:r>
        <w:rPr/>
        <w:t>isolate</w:t>
      </w:r>
      <w:r>
        <w:rPr>
          <w:spacing w:val="25"/>
        </w:rPr>
        <w:t> </w:t>
      </w:r>
      <w:r>
        <w:rPr/>
        <w:t>is</w:t>
      </w:r>
      <w:r>
        <w:rPr>
          <w:spacing w:val="23"/>
        </w:rPr>
        <w:t> </w:t>
      </w:r>
      <w:r>
        <w:rPr/>
        <w:t>shown</w:t>
      </w:r>
      <w:r>
        <w:rPr>
          <w:spacing w:val="24"/>
        </w:rPr>
        <w:t> </w:t>
      </w:r>
      <w:r>
        <w:rPr/>
        <w:t>in</w:t>
      </w:r>
      <w:r>
        <w:rPr>
          <w:spacing w:val="25"/>
        </w:rPr>
        <w:t> </w:t>
      </w:r>
      <w:r>
        <w:rPr/>
        <w:t>Table</w:t>
      </w:r>
      <w:r>
        <w:rPr>
          <w:spacing w:val="24"/>
        </w:rPr>
        <w:t> </w:t>
      </w:r>
      <w:r>
        <w:rPr/>
        <w:t>4.1.</w:t>
      </w:r>
      <w:r>
        <w:rPr>
          <w:spacing w:val="25"/>
        </w:rPr>
        <w:t> </w:t>
      </w:r>
      <w:r>
        <w:rPr/>
        <w:t>It shows that the organism is Gram negative rod and positive to catalase, citrate and oxidase tests.</w:t>
      </w:r>
    </w:p>
    <w:p>
      <w:pPr>
        <w:spacing w:before="207"/>
        <w:ind w:left="1346" w:right="0" w:firstLine="0"/>
        <w:jc w:val="left"/>
        <w:rPr>
          <w:b/>
          <w:sz w:val="24"/>
        </w:rPr>
      </w:pPr>
      <w:r>
        <w:rPr>
          <w:b/>
          <w:sz w:val="24"/>
        </w:rPr>
        <w:t>Table</w:t>
      </w:r>
      <w:r>
        <w:rPr>
          <w:b/>
          <w:spacing w:val="-4"/>
          <w:sz w:val="24"/>
        </w:rPr>
        <w:t> </w:t>
      </w:r>
      <w:r>
        <w:rPr>
          <w:b/>
          <w:sz w:val="24"/>
        </w:rPr>
        <w:t>4.1:</w:t>
      </w:r>
      <w:r>
        <w:rPr>
          <w:b/>
          <w:spacing w:val="76"/>
          <w:w w:val="150"/>
          <w:sz w:val="24"/>
        </w:rPr>
        <w:t> </w:t>
      </w:r>
      <w:r>
        <w:rPr>
          <w:b/>
          <w:sz w:val="24"/>
        </w:rPr>
        <w:t>Cultural</w:t>
      </w:r>
      <w:r>
        <w:rPr>
          <w:b/>
          <w:spacing w:val="-3"/>
          <w:sz w:val="24"/>
        </w:rPr>
        <w:t> </w:t>
      </w:r>
      <w:r>
        <w:rPr>
          <w:b/>
          <w:sz w:val="24"/>
        </w:rPr>
        <w:t>and</w:t>
      </w:r>
      <w:r>
        <w:rPr>
          <w:b/>
          <w:spacing w:val="-4"/>
          <w:sz w:val="24"/>
        </w:rPr>
        <w:t> </w:t>
      </w:r>
      <w:r>
        <w:rPr>
          <w:b/>
          <w:sz w:val="24"/>
        </w:rPr>
        <w:t>Biochemical</w:t>
      </w:r>
      <w:r>
        <w:rPr>
          <w:b/>
          <w:spacing w:val="-4"/>
          <w:sz w:val="24"/>
        </w:rPr>
        <w:t> </w:t>
      </w:r>
      <w:r>
        <w:rPr>
          <w:b/>
          <w:sz w:val="24"/>
        </w:rPr>
        <w:t>Characteristics</w:t>
      </w:r>
      <w:r>
        <w:rPr>
          <w:b/>
          <w:spacing w:val="-4"/>
          <w:sz w:val="24"/>
        </w:rPr>
        <w:t> </w:t>
      </w:r>
      <w:r>
        <w:rPr>
          <w:b/>
          <w:sz w:val="24"/>
        </w:rPr>
        <w:t>of</w:t>
      </w:r>
      <w:r>
        <w:rPr>
          <w:b/>
          <w:spacing w:val="-3"/>
          <w:sz w:val="24"/>
        </w:rPr>
        <w:t> </w:t>
      </w:r>
      <w:r>
        <w:rPr>
          <w:b/>
          <w:sz w:val="24"/>
        </w:rPr>
        <w:t>the</w:t>
      </w:r>
      <w:r>
        <w:rPr>
          <w:b/>
          <w:spacing w:val="-4"/>
          <w:sz w:val="24"/>
        </w:rPr>
        <w:t> </w:t>
      </w:r>
      <w:r>
        <w:rPr>
          <w:b/>
          <w:spacing w:val="-2"/>
          <w:sz w:val="24"/>
        </w:rPr>
        <w:t>Isolate.</w:t>
      </w:r>
    </w:p>
    <w:p>
      <w:pPr>
        <w:pStyle w:val="BodyText"/>
        <w:spacing w:after="1"/>
        <w:rPr>
          <w:b/>
        </w:rPr>
      </w:pPr>
    </w:p>
    <w:tbl>
      <w:tblPr>
        <w:tblW w:w="0" w:type="auto"/>
        <w:jc w:val="left"/>
        <w:tblInd w:w="2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7"/>
        <w:gridCol w:w="2037"/>
      </w:tblGrid>
      <w:tr>
        <w:trPr>
          <w:trHeight w:val="753" w:hRule="atLeast"/>
        </w:trPr>
        <w:tc>
          <w:tcPr>
            <w:tcW w:w="2427" w:type="dxa"/>
            <w:tcBorders>
              <w:top w:val="single" w:sz="8" w:space="0" w:color="000000"/>
              <w:bottom w:val="single" w:sz="8" w:space="0" w:color="000000"/>
            </w:tcBorders>
          </w:tcPr>
          <w:p>
            <w:pPr>
              <w:pStyle w:val="TableParagraph"/>
              <w:spacing w:line="273" w:lineRule="exact" w:before="0"/>
              <w:ind w:left="398" w:right="592"/>
              <w:jc w:val="center"/>
              <w:rPr>
                <w:sz w:val="24"/>
              </w:rPr>
            </w:pPr>
            <w:r>
              <w:rPr>
                <w:spacing w:val="-2"/>
                <w:sz w:val="24"/>
              </w:rPr>
              <w:t>Characteristics</w:t>
            </w:r>
          </w:p>
        </w:tc>
        <w:tc>
          <w:tcPr>
            <w:tcW w:w="2037" w:type="dxa"/>
            <w:tcBorders>
              <w:top w:val="single" w:sz="8" w:space="0" w:color="000000"/>
              <w:bottom w:val="single" w:sz="8" w:space="0" w:color="000000"/>
            </w:tcBorders>
          </w:tcPr>
          <w:p>
            <w:pPr>
              <w:pStyle w:val="TableParagraph"/>
              <w:spacing w:line="273" w:lineRule="exact" w:before="0"/>
              <w:ind w:left="587" w:right="783"/>
              <w:jc w:val="center"/>
              <w:rPr>
                <w:sz w:val="24"/>
              </w:rPr>
            </w:pPr>
            <w:r>
              <w:rPr>
                <w:spacing w:val="-2"/>
                <w:sz w:val="24"/>
              </w:rPr>
              <w:t>Isolate</w:t>
            </w:r>
          </w:p>
        </w:tc>
      </w:tr>
      <w:tr>
        <w:trPr>
          <w:trHeight w:val="513" w:hRule="atLeast"/>
        </w:trPr>
        <w:tc>
          <w:tcPr>
            <w:tcW w:w="2427" w:type="dxa"/>
            <w:tcBorders>
              <w:top w:val="single" w:sz="8" w:space="0" w:color="000000"/>
            </w:tcBorders>
          </w:tcPr>
          <w:p>
            <w:pPr>
              <w:pStyle w:val="TableParagraph"/>
              <w:spacing w:line="270" w:lineRule="exact" w:before="0"/>
              <w:ind w:left="398" w:right="591"/>
              <w:jc w:val="center"/>
              <w:rPr>
                <w:sz w:val="24"/>
              </w:rPr>
            </w:pPr>
            <w:r>
              <w:rPr>
                <w:sz w:val="24"/>
              </w:rPr>
              <w:t>Cell</w:t>
            </w:r>
            <w:r>
              <w:rPr>
                <w:spacing w:val="-1"/>
                <w:sz w:val="24"/>
              </w:rPr>
              <w:t> </w:t>
            </w:r>
            <w:r>
              <w:rPr>
                <w:spacing w:val="-2"/>
                <w:sz w:val="24"/>
              </w:rPr>
              <w:t>shape</w:t>
            </w:r>
          </w:p>
        </w:tc>
        <w:tc>
          <w:tcPr>
            <w:tcW w:w="2037" w:type="dxa"/>
            <w:tcBorders>
              <w:top w:val="single" w:sz="8" w:space="0" w:color="000000"/>
            </w:tcBorders>
          </w:tcPr>
          <w:p>
            <w:pPr>
              <w:pStyle w:val="TableParagraph"/>
              <w:spacing w:line="270" w:lineRule="exact" w:before="0"/>
              <w:ind w:left="587" w:right="781"/>
              <w:jc w:val="center"/>
              <w:rPr>
                <w:sz w:val="24"/>
              </w:rPr>
            </w:pPr>
            <w:r>
              <w:rPr>
                <w:spacing w:val="-5"/>
                <w:sz w:val="24"/>
              </w:rPr>
              <w:t>Rod</w:t>
            </w:r>
          </w:p>
        </w:tc>
      </w:tr>
      <w:tr>
        <w:trPr>
          <w:trHeight w:val="752" w:hRule="atLeast"/>
        </w:trPr>
        <w:tc>
          <w:tcPr>
            <w:tcW w:w="2427" w:type="dxa"/>
          </w:tcPr>
          <w:p>
            <w:pPr>
              <w:pStyle w:val="TableParagraph"/>
              <w:spacing w:before="233"/>
              <w:ind w:left="394" w:right="592"/>
              <w:jc w:val="center"/>
              <w:rPr>
                <w:sz w:val="24"/>
              </w:rPr>
            </w:pPr>
            <w:r>
              <w:rPr>
                <w:sz w:val="24"/>
              </w:rPr>
              <w:t>Gram</w:t>
            </w:r>
            <w:r>
              <w:rPr>
                <w:spacing w:val="-6"/>
                <w:sz w:val="24"/>
              </w:rPr>
              <w:t> </w:t>
            </w:r>
            <w:r>
              <w:rPr>
                <w:spacing w:val="-2"/>
                <w:sz w:val="24"/>
              </w:rPr>
              <w:t>reaction</w:t>
            </w:r>
          </w:p>
        </w:tc>
        <w:tc>
          <w:tcPr>
            <w:tcW w:w="2037" w:type="dxa"/>
          </w:tcPr>
          <w:p>
            <w:pPr>
              <w:pStyle w:val="TableParagraph"/>
              <w:spacing w:before="233"/>
              <w:ind w:left="0" w:right="192"/>
              <w:jc w:val="center"/>
              <w:rPr>
                <w:sz w:val="24"/>
              </w:rPr>
            </w:pPr>
            <w:r>
              <w:rPr>
                <w:w w:val="99"/>
                <w:sz w:val="24"/>
              </w:rPr>
              <w:t>-</w:t>
            </w:r>
          </w:p>
        </w:tc>
      </w:tr>
      <w:tr>
        <w:trPr>
          <w:trHeight w:val="751" w:hRule="atLeast"/>
        </w:trPr>
        <w:tc>
          <w:tcPr>
            <w:tcW w:w="2427" w:type="dxa"/>
          </w:tcPr>
          <w:p>
            <w:pPr>
              <w:pStyle w:val="TableParagraph"/>
              <w:spacing w:before="232"/>
              <w:ind w:left="394" w:right="592"/>
              <w:jc w:val="center"/>
              <w:rPr>
                <w:sz w:val="24"/>
              </w:rPr>
            </w:pPr>
            <w:r>
              <w:rPr>
                <w:sz w:val="24"/>
              </w:rPr>
              <w:t>Catalase</w:t>
            </w:r>
            <w:r>
              <w:rPr>
                <w:spacing w:val="-5"/>
                <w:sz w:val="24"/>
              </w:rPr>
              <w:t> </w:t>
            </w:r>
            <w:r>
              <w:rPr>
                <w:spacing w:val="-4"/>
                <w:sz w:val="24"/>
              </w:rPr>
              <w:t>test</w:t>
            </w:r>
          </w:p>
        </w:tc>
        <w:tc>
          <w:tcPr>
            <w:tcW w:w="2037" w:type="dxa"/>
          </w:tcPr>
          <w:p>
            <w:pPr>
              <w:pStyle w:val="TableParagraph"/>
              <w:spacing w:before="232"/>
              <w:ind w:left="0" w:right="190"/>
              <w:jc w:val="center"/>
              <w:rPr>
                <w:sz w:val="24"/>
              </w:rPr>
            </w:pPr>
            <w:r>
              <w:rPr>
                <w:sz w:val="24"/>
              </w:rPr>
              <w:t>+</w:t>
            </w:r>
          </w:p>
        </w:tc>
      </w:tr>
      <w:tr>
        <w:trPr>
          <w:trHeight w:val="751" w:hRule="atLeast"/>
        </w:trPr>
        <w:tc>
          <w:tcPr>
            <w:tcW w:w="2427" w:type="dxa"/>
          </w:tcPr>
          <w:p>
            <w:pPr>
              <w:pStyle w:val="TableParagraph"/>
              <w:spacing w:before="232"/>
              <w:ind w:left="398" w:right="591"/>
              <w:jc w:val="center"/>
              <w:rPr>
                <w:sz w:val="24"/>
              </w:rPr>
            </w:pPr>
            <w:r>
              <w:rPr>
                <w:sz w:val="24"/>
              </w:rPr>
              <w:t>Coagulase</w:t>
            </w:r>
            <w:r>
              <w:rPr>
                <w:spacing w:val="-4"/>
                <w:sz w:val="24"/>
              </w:rPr>
              <w:t> test</w:t>
            </w:r>
          </w:p>
        </w:tc>
        <w:tc>
          <w:tcPr>
            <w:tcW w:w="2037" w:type="dxa"/>
          </w:tcPr>
          <w:p>
            <w:pPr>
              <w:pStyle w:val="TableParagraph"/>
              <w:spacing w:before="232"/>
              <w:ind w:left="0" w:right="192"/>
              <w:jc w:val="center"/>
              <w:rPr>
                <w:sz w:val="24"/>
              </w:rPr>
            </w:pPr>
            <w:r>
              <w:rPr>
                <w:w w:val="99"/>
                <w:sz w:val="24"/>
              </w:rPr>
              <w:t>-</w:t>
            </w:r>
          </w:p>
        </w:tc>
      </w:tr>
      <w:tr>
        <w:trPr>
          <w:trHeight w:val="752" w:hRule="atLeast"/>
        </w:trPr>
        <w:tc>
          <w:tcPr>
            <w:tcW w:w="2427" w:type="dxa"/>
          </w:tcPr>
          <w:p>
            <w:pPr>
              <w:pStyle w:val="TableParagraph"/>
              <w:spacing w:before="232"/>
              <w:ind w:left="398" w:right="591"/>
              <w:jc w:val="center"/>
              <w:rPr>
                <w:sz w:val="24"/>
              </w:rPr>
            </w:pPr>
            <w:r>
              <w:rPr>
                <w:sz w:val="24"/>
              </w:rPr>
              <w:t>Citrate</w:t>
            </w:r>
            <w:r>
              <w:rPr>
                <w:spacing w:val="-2"/>
                <w:sz w:val="24"/>
              </w:rPr>
              <w:t> </w:t>
            </w:r>
            <w:r>
              <w:rPr>
                <w:spacing w:val="-4"/>
                <w:sz w:val="24"/>
              </w:rPr>
              <w:t>test</w:t>
            </w:r>
          </w:p>
        </w:tc>
        <w:tc>
          <w:tcPr>
            <w:tcW w:w="2037" w:type="dxa"/>
          </w:tcPr>
          <w:p>
            <w:pPr>
              <w:pStyle w:val="TableParagraph"/>
              <w:spacing w:before="232"/>
              <w:ind w:left="0" w:right="190"/>
              <w:jc w:val="center"/>
              <w:rPr>
                <w:sz w:val="24"/>
              </w:rPr>
            </w:pPr>
            <w:r>
              <w:rPr>
                <w:sz w:val="24"/>
              </w:rPr>
              <w:t>+</w:t>
            </w:r>
          </w:p>
        </w:tc>
      </w:tr>
      <w:tr>
        <w:trPr>
          <w:trHeight w:val="752" w:hRule="atLeast"/>
        </w:trPr>
        <w:tc>
          <w:tcPr>
            <w:tcW w:w="2427" w:type="dxa"/>
          </w:tcPr>
          <w:p>
            <w:pPr>
              <w:pStyle w:val="TableParagraph"/>
              <w:spacing w:before="233"/>
              <w:ind w:left="398" w:right="591"/>
              <w:jc w:val="center"/>
              <w:rPr>
                <w:sz w:val="24"/>
              </w:rPr>
            </w:pPr>
            <w:r>
              <w:rPr>
                <w:sz w:val="24"/>
              </w:rPr>
              <w:t>Oxidase</w:t>
            </w:r>
            <w:r>
              <w:rPr>
                <w:spacing w:val="-9"/>
                <w:sz w:val="24"/>
              </w:rPr>
              <w:t> </w:t>
            </w:r>
            <w:r>
              <w:rPr>
                <w:spacing w:val="-4"/>
                <w:sz w:val="24"/>
              </w:rPr>
              <w:t>test</w:t>
            </w:r>
          </w:p>
        </w:tc>
        <w:tc>
          <w:tcPr>
            <w:tcW w:w="2037" w:type="dxa"/>
          </w:tcPr>
          <w:p>
            <w:pPr>
              <w:pStyle w:val="TableParagraph"/>
              <w:spacing w:before="233"/>
              <w:ind w:left="0" w:right="190"/>
              <w:jc w:val="center"/>
              <w:rPr>
                <w:sz w:val="24"/>
              </w:rPr>
            </w:pPr>
            <w:r>
              <w:rPr>
                <w:sz w:val="24"/>
              </w:rPr>
              <w:t>+</w:t>
            </w:r>
          </w:p>
        </w:tc>
      </w:tr>
      <w:tr>
        <w:trPr>
          <w:trHeight w:val="508" w:hRule="atLeast"/>
        </w:trPr>
        <w:tc>
          <w:tcPr>
            <w:tcW w:w="2427" w:type="dxa"/>
          </w:tcPr>
          <w:p>
            <w:pPr>
              <w:pStyle w:val="TableParagraph"/>
              <w:spacing w:line="256" w:lineRule="exact" w:before="232"/>
              <w:ind w:left="396" w:right="592"/>
              <w:jc w:val="center"/>
              <w:rPr>
                <w:sz w:val="24"/>
              </w:rPr>
            </w:pPr>
            <w:r>
              <w:rPr>
                <w:spacing w:val="-2"/>
                <w:sz w:val="24"/>
              </w:rPr>
              <w:t>Indole</w:t>
            </w:r>
          </w:p>
        </w:tc>
        <w:tc>
          <w:tcPr>
            <w:tcW w:w="2037" w:type="dxa"/>
          </w:tcPr>
          <w:p>
            <w:pPr>
              <w:pStyle w:val="TableParagraph"/>
              <w:spacing w:line="256" w:lineRule="exact" w:before="232"/>
              <w:ind w:left="0" w:right="192"/>
              <w:jc w:val="center"/>
              <w:rPr>
                <w:sz w:val="24"/>
              </w:rPr>
            </w:pPr>
            <w:r>
              <w:rPr>
                <w:w w:val="99"/>
                <w:sz w:val="24"/>
              </w:rPr>
              <w:t>-</w:t>
            </w:r>
          </w:p>
        </w:tc>
      </w:tr>
    </w:tbl>
    <w:p>
      <w:pPr>
        <w:pStyle w:val="BodyText"/>
        <w:rPr>
          <w:b/>
          <w:sz w:val="20"/>
        </w:rPr>
      </w:pPr>
    </w:p>
    <w:p>
      <w:pPr>
        <w:pStyle w:val="BodyText"/>
        <w:spacing w:before="2"/>
        <w:rPr>
          <w:b/>
          <w:sz w:val="20"/>
        </w:rPr>
      </w:pPr>
      <w:r>
        <w:rPr/>
        <w:pict>
          <v:shape style="position:absolute;margin-left:171.500015pt;margin-top:12.831975pt;width:224pt;height:1pt;mso-position-horizontal-relative:page;mso-position-vertical-relative:paragraph;z-index:-15726592;mso-wrap-distance-left:0;mso-wrap-distance-right:0" id="docshape6" coordorigin="3430,257" coordsize="4480,20" path="m7909,257l5682,257,5677,257,5663,257,3430,257,3430,276,5663,276,5677,276,5682,276,7909,276,7909,257xe" filled="true" fillcolor="#000000" stroked="false">
            <v:path arrowok="t"/>
            <v:fill type="solid"/>
            <w10:wrap type="topAndBottom"/>
          </v:shape>
        </w:pict>
      </w:r>
    </w:p>
    <w:p>
      <w:pPr>
        <w:spacing w:before="0"/>
        <w:ind w:left="3309" w:right="3309" w:firstLine="0"/>
        <w:jc w:val="center"/>
        <w:rPr>
          <w:b/>
          <w:sz w:val="24"/>
        </w:rPr>
      </w:pPr>
      <w:r>
        <w:rPr>
          <w:b/>
          <w:sz w:val="24"/>
        </w:rPr>
        <w:t>Key:</w:t>
      </w:r>
      <w:r>
        <w:rPr>
          <w:b/>
          <w:spacing w:val="-1"/>
          <w:sz w:val="24"/>
        </w:rPr>
        <w:t> </w:t>
      </w:r>
      <w:r>
        <w:rPr>
          <w:b/>
          <w:sz w:val="24"/>
        </w:rPr>
        <w:t>-</w:t>
      </w:r>
      <w:r>
        <w:rPr>
          <w:b/>
          <w:spacing w:val="-3"/>
          <w:sz w:val="24"/>
        </w:rPr>
        <w:t> </w:t>
      </w:r>
      <w:r>
        <w:rPr>
          <w:b/>
          <w:sz w:val="24"/>
        </w:rPr>
        <w:t>(negative),</w:t>
      </w:r>
      <w:r>
        <w:rPr>
          <w:b/>
          <w:spacing w:val="-2"/>
          <w:sz w:val="24"/>
        </w:rPr>
        <w:t> </w:t>
      </w:r>
      <w:r>
        <w:rPr>
          <w:b/>
          <w:sz w:val="24"/>
        </w:rPr>
        <w:t>+</w:t>
      </w:r>
      <w:r>
        <w:rPr>
          <w:b/>
          <w:spacing w:val="-2"/>
          <w:sz w:val="24"/>
        </w:rPr>
        <w:t> (positive)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33"/>
        </w:rPr>
      </w:pPr>
    </w:p>
    <w:p>
      <w:pPr>
        <w:pStyle w:val="ListParagraph"/>
        <w:numPr>
          <w:ilvl w:val="2"/>
          <w:numId w:val="5"/>
        </w:numPr>
        <w:tabs>
          <w:tab w:pos="840" w:val="left" w:leader="none"/>
          <w:tab w:pos="841" w:val="left" w:leader="none"/>
        </w:tabs>
        <w:spacing w:line="240" w:lineRule="auto" w:before="0" w:after="0"/>
        <w:ind w:left="840" w:right="0" w:hanging="721"/>
        <w:jc w:val="left"/>
        <w:rPr>
          <w:b/>
          <w:sz w:val="24"/>
        </w:rPr>
      </w:pPr>
      <w:r>
        <w:rPr>
          <w:b/>
          <w:sz w:val="24"/>
        </w:rPr>
        <w:t>Molecular</w:t>
      </w:r>
      <w:r>
        <w:rPr>
          <w:b/>
          <w:spacing w:val="-5"/>
          <w:sz w:val="24"/>
        </w:rPr>
        <w:t> </w:t>
      </w:r>
      <w:r>
        <w:rPr>
          <w:b/>
          <w:sz w:val="24"/>
        </w:rPr>
        <w:t>characteristics</w:t>
      </w:r>
      <w:r>
        <w:rPr>
          <w:b/>
          <w:spacing w:val="-4"/>
          <w:sz w:val="24"/>
        </w:rPr>
        <w:t> </w:t>
      </w:r>
      <w:r>
        <w:rPr>
          <w:b/>
          <w:sz w:val="24"/>
        </w:rPr>
        <w:t>of</w:t>
      </w:r>
      <w:r>
        <w:rPr>
          <w:b/>
          <w:spacing w:val="-3"/>
          <w:sz w:val="24"/>
        </w:rPr>
        <w:t> </w:t>
      </w:r>
      <w:r>
        <w:rPr>
          <w:b/>
          <w:sz w:val="24"/>
        </w:rPr>
        <w:t>the</w:t>
      </w:r>
      <w:r>
        <w:rPr>
          <w:b/>
          <w:spacing w:val="-4"/>
          <w:sz w:val="24"/>
        </w:rPr>
        <w:t> </w:t>
      </w:r>
      <w:r>
        <w:rPr>
          <w:b/>
          <w:spacing w:val="-2"/>
          <w:sz w:val="24"/>
        </w:rPr>
        <w:t>isolate</w:t>
      </w:r>
    </w:p>
    <w:p>
      <w:pPr>
        <w:spacing w:after="0" w:line="240" w:lineRule="auto"/>
        <w:jc w:val="left"/>
        <w:rPr>
          <w:sz w:val="24"/>
        </w:rPr>
        <w:sectPr>
          <w:pgSz w:w="12240" w:h="15840"/>
          <w:pgMar w:header="0" w:footer="1015" w:top="1360" w:bottom="1200" w:left="1320" w:right="1320"/>
        </w:sectPr>
      </w:pPr>
    </w:p>
    <w:p>
      <w:pPr>
        <w:spacing w:line="480" w:lineRule="auto" w:before="72"/>
        <w:ind w:left="120" w:right="114" w:firstLine="0"/>
        <w:jc w:val="both"/>
        <w:rPr>
          <w:sz w:val="24"/>
        </w:rPr>
      </w:pPr>
      <w:r>
        <w:rPr/>
        <w:drawing>
          <wp:anchor distT="0" distB="0" distL="0" distR="0" allowOverlap="1" layoutInCell="1" locked="0" behindDoc="0" simplePos="0" relativeHeight="5">
            <wp:simplePos x="0" y="0"/>
            <wp:positionH relativeFrom="page">
              <wp:posOffset>1132291</wp:posOffset>
            </wp:positionH>
            <wp:positionV relativeFrom="paragraph">
              <wp:posOffset>2504479</wp:posOffset>
            </wp:positionV>
            <wp:extent cx="3435303" cy="2715768"/>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3435303" cy="2715768"/>
                    </a:xfrm>
                    <a:prstGeom prst="rect">
                      <a:avLst/>
                    </a:prstGeom>
                  </pic:spPr>
                </pic:pic>
              </a:graphicData>
            </a:graphic>
          </wp:anchor>
        </w:drawing>
      </w:r>
      <w:r>
        <w:rPr>
          <w:sz w:val="24"/>
        </w:rPr>
        <w:t>The molecular result revealed that the isolate has a size of 1500 bp (Plate I) and the sequence of the</w:t>
      </w:r>
      <w:r>
        <w:rPr>
          <w:spacing w:val="-2"/>
          <w:sz w:val="24"/>
        </w:rPr>
        <w:t> </w:t>
      </w:r>
      <w:r>
        <w:rPr>
          <w:sz w:val="24"/>
        </w:rPr>
        <w:t>16S</w:t>
      </w:r>
      <w:r>
        <w:rPr>
          <w:spacing w:val="-1"/>
          <w:sz w:val="24"/>
        </w:rPr>
        <w:t> </w:t>
      </w:r>
      <w:r>
        <w:rPr>
          <w:sz w:val="24"/>
        </w:rPr>
        <w:t>rRNA</w:t>
      </w:r>
      <w:r>
        <w:rPr>
          <w:spacing w:val="-2"/>
          <w:sz w:val="24"/>
        </w:rPr>
        <w:t> </w:t>
      </w:r>
      <w:r>
        <w:rPr>
          <w:sz w:val="24"/>
        </w:rPr>
        <w:t>revealed</w:t>
      </w:r>
      <w:r>
        <w:rPr>
          <w:spacing w:val="-2"/>
          <w:sz w:val="24"/>
        </w:rPr>
        <w:t> </w:t>
      </w:r>
      <w:r>
        <w:rPr>
          <w:sz w:val="24"/>
        </w:rPr>
        <w:t>its</w:t>
      </w:r>
      <w:r>
        <w:rPr>
          <w:spacing w:val="-1"/>
          <w:sz w:val="24"/>
        </w:rPr>
        <w:t> </w:t>
      </w:r>
      <w:r>
        <w:rPr>
          <w:sz w:val="24"/>
        </w:rPr>
        <w:t>identity</w:t>
      </w:r>
      <w:r>
        <w:rPr>
          <w:spacing w:val="-8"/>
          <w:sz w:val="24"/>
        </w:rPr>
        <w:t> </w:t>
      </w:r>
      <w:r>
        <w:rPr>
          <w:sz w:val="24"/>
        </w:rPr>
        <w:t>to</w:t>
      </w:r>
      <w:r>
        <w:rPr>
          <w:spacing w:val="-1"/>
          <w:sz w:val="24"/>
        </w:rPr>
        <w:t> </w:t>
      </w:r>
      <w:r>
        <w:rPr>
          <w:sz w:val="24"/>
        </w:rPr>
        <w:t>be </w:t>
      </w:r>
      <w:r>
        <w:rPr>
          <w:i/>
          <w:sz w:val="24"/>
        </w:rPr>
        <w:t>Alcaligenes</w:t>
      </w:r>
      <w:r>
        <w:rPr>
          <w:i/>
          <w:spacing w:val="-1"/>
          <w:sz w:val="24"/>
        </w:rPr>
        <w:t> </w:t>
      </w:r>
      <w:r>
        <w:rPr>
          <w:i/>
          <w:sz w:val="24"/>
        </w:rPr>
        <w:t>faecalis </w:t>
      </w:r>
      <w:r>
        <w:rPr>
          <w:sz w:val="24"/>
        </w:rPr>
        <w:t>strain</w:t>
      </w:r>
      <w:r>
        <w:rPr>
          <w:spacing w:val="-1"/>
          <w:sz w:val="24"/>
        </w:rPr>
        <w:t> </w:t>
      </w:r>
      <w:r>
        <w:rPr>
          <w:sz w:val="24"/>
        </w:rPr>
        <w:t>ADY25</w:t>
      </w:r>
      <w:r>
        <w:rPr>
          <w:spacing w:val="-2"/>
          <w:sz w:val="24"/>
        </w:rPr>
        <w:t> </w:t>
      </w:r>
      <w:r>
        <w:rPr>
          <w:sz w:val="24"/>
        </w:rPr>
        <w:t>with</w:t>
      </w:r>
      <w:r>
        <w:rPr>
          <w:spacing w:val="-1"/>
          <w:sz w:val="24"/>
        </w:rPr>
        <w:t> </w:t>
      </w:r>
      <w:r>
        <w:rPr>
          <w:sz w:val="24"/>
        </w:rPr>
        <w:t>99%</w:t>
      </w:r>
      <w:r>
        <w:rPr>
          <w:spacing w:val="-2"/>
          <w:sz w:val="24"/>
        </w:rPr>
        <w:t> </w:t>
      </w:r>
      <w:r>
        <w:rPr>
          <w:sz w:val="24"/>
        </w:rPr>
        <w:t>homology. The phylogenetic tree (Figure</w:t>
      </w:r>
      <w:r>
        <w:rPr>
          <w:spacing w:val="40"/>
          <w:sz w:val="24"/>
        </w:rPr>
        <w:t> </w:t>
      </w:r>
      <w:r>
        <w:rPr>
          <w:sz w:val="24"/>
        </w:rPr>
        <w:t>4.2) shows the most closely species associated with </w:t>
      </w:r>
      <w:r>
        <w:rPr>
          <w:i/>
          <w:sz w:val="24"/>
        </w:rPr>
        <w:t>Alcaligenes faecalis </w:t>
      </w:r>
      <w:r>
        <w:rPr>
          <w:sz w:val="24"/>
        </w:rPr>
        <w:t>strain ADY25 as </w:t>
      </w:r>
      <w:r>
        <w:rPr>
          <w:i/>
          <w:sz w:val="24"/>
        </w:rPr>
        <w:t>Achromobacter denitrificans </w:t>
      </w:r>
      <w:r>
        <w:rPr>
          <w:sz w:val="24"/>
        </w:rPr>
        <w:t>strain DSM 30026, </w:t>
      </w:r>
      <w:r>
        <w:rPr>
          <w:i/>
          <w:sz w:val="24"/>
        </w:rPr>
        <w:t>Burkholderia </w:t>
      </w:r>
      <w:r>
        <w:rPr>
          <w:sz w:val="24"/>
        </w:rPr>
        <w:t>sp., </w:t>
      </w:r>
      <w:r>
        <w:rPr>
          <w:i/>
          <w:sz w:val="24"/>
        </w:rPr>
        <w:t>Lactobacillus</w:t>
      </w:r>
      <w:r>
        <w:rPr>
          <w:i/>
          <w:spacing w:val="-5"/>
          <w:sz w:val="24"/>
        </w:rPr>
        <w:t> </w:t>
      </w:r>
      <w:r>
        <w:rPr>
          <w:i/>
          <w:sz w:val="24"/>
        </w:rPr>
        <w:t>fermentum</w:t>
      </w:r>
      <w:r>
        <w:rPr>
          <w:i/>
          <w:spacing w:val="-3"/>
          <w:sz w:val="24"/>
        </w:rPr>
        <w:t> </w:t>
      </w:r>
      <w:r>
        <w:rPr>
          <w:sz w:val="24"/>
        </w:rPr>
        <w:t>strain</w:t>
      </w:r>
      <w:r>
        <w:rPr>
          <w:spacing w:val="-3"/>
          <w:sz w:val="24"/>
        </w:rPr>
        <w:t> </w:t>
      </w:r>
      <w:r>
        <w:rPr>
          <w:sz w:val="24"/>
        </w:rPr>
        <w:t>LF,</w:t>
      </w:r>
      <w:r>
        <w:rPr>
          <w:spacing w:val="-2"/>
          <w:sz w:val="24"/>
        </w:rPr>
        <w:t> </w:t>
      </w:r>
      <w:r>
        <w:rPr>
          <w:i/>
          <w:sz w:val="24"/>
        </w:rPr>
        <w:t>Bacillus</w:t>
      </w:r>
      <w:r>
        <w:rPr>
          <w:i/>
          <w:spacing w:val="-5"/>
          <w:sz w:val="24"/>
        </w:rPr>
        <w:t> </w:t>
      </w:r>
      <w:r>
        <w:rPr>
          <w:i/>
          <w:sz w:val="24"/>
        </w:rPr>
        <w:t>thuringiensis</w:t>
      </w:r>
      <w:r>
        <w:rPr>
          <w:i/>
          <w:spacing w:val="-4"/>
          <w:sz w:val="24"/>
        </w:rPr>
        <w:t> </w:t>
      </w:r>
      <w:r>
        <w:rPr>
          <w:sz w:val="24"/>
        </w:rPr>
        <w:t>strain</w:t>
      </w:r>
      <w:r>
        <w:rPr>
          <w:spacing w:val="-3"/>
          <w:sz w:val="24"/>
        </w:rPr>
        <w:t> </w:t>
      </w:r>
      <w:r>
        <w:rPr>
          <w:sz w:val="24"/>
        </w:rPr>
        <w:t>IAM,</w:t>
      </w:r>
      <w:r>
        <w:rPr>
          <w:spacing w:val="-3"/>
          <w:sz w:val="24"/>
        </w:rPr>
        <w:t> </w:t>
      </w:r>
      <w:r>
        <w:rPr>
          <w:i/>
          <w:sz w:val="24"/>
        </w:rPr>
        <w:t>Rhodococcus</w:t>
      </w:r>
      <w:r>
        <w:rPr>
          <w:i/>
          <w:spacing w:val="-4"/>
          <w:sz w:val="24"/>
        </w:rPr>
        <w:t> </w:t>
      </w:r>
      <w:r>
        <w:rPr>
          <w:i/>
          <w:sz w:val="24"/>
        </w:rPr>
        <w:t>rhodochrous </w:t>
      </w:r>
      <w:r>
        <w:rPr>
          <w:sz w:val="24"/>
        </w:rPr>
        <w:t>strain 372, </w:t>
      </w:r>
      <w:r>
        <w:rPr>
          <w:i/>
          <w:sz w:val="24"/>
        </w:rPr>
        <w:t>Serretia marcescens,Azotobacter </w:t>
      </w:r>
      <w:r>
        <w:rPr>
          <w:sz w:val="24"/>
        </w:rPr>
        <w:t>sp. Strain cl26 and </w:t>
      </w:r>
      <w:r>
        <w:rPr>
          <w:i/>
          <w:sz w:val="24"/>
        </w:rPr>
        <w:t>Pseudomonas aeruginosa </w:t>
      </w:r>
      <w:r>
        <w:rPr>
          <w:sz w:val="24"/>
        </w:rPr>
        <w:t>strain DSM 50071.</w:t>
      </w:r>
    </w:p>
    <w:p>
      <w:pPr>
        <w:pStyle w:val="BodyText"/>
        <w:spacing w:before="7"/>
        <w:rPr>
          <w:sz w:val="23"/>
        </w:rPr>
      </w:pPr>
    </w:p>
    <w:p>
      <w:pPr>
        <w:pStyle w:val="Heading2"/>
        <w:spacing w:line="480" w:lineRule="auto"/>
        <w:ind w:left="120" w:right="119" w:firstLine="0"/>
      </w:pPr>
      <w:r>
        <w:rPr/>
        <w:t>Plate I: Gel electrophoresis micrograph of amplified product (Band size approximately 1500bp indicates positive amplification).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2"/>
        </w:rPr>
      </w:pPr>
    </w:p>
    <w:p>
      <w:pPr>
        <w:spacing w:before="0"/>
        <w:ind w:left="120" w:right="0" w:firstLine="0"/>
        <w:jc w:val="both"/>
        <w:rPr>
          <w:b/>
          <w:sz w:val="24"/>
        </w:rPr>
      </w:pPr>
      <w:r>
        <w:rPr>
          <w:b/>
          <w:sz w:val="24"/>
        </w:rPr>
        <w:t>Sequencing</w:t>
      </w:r>
      <w:r>
        <w:rPr>
          <w:b/>
          <w:spacing w:val="-4"/>
          <w:sz w:val="24"/>
        </w:rPr>
        <w:t> </w:t>
      </w:r>
      <w:r>
        <w:rPr>
          <w:b/>
          <w:sz w:val="24"/>
        </w:rPr>
        <w:t>results</w:t>
      </w:r>
      <w:r>
        <w:rPr>
          <w:b/>
          <w:spacing w:val="-4"/>
          <w:sz w:val="24"/>
        </w:rPr>
        <w:t> </w:t>
      </w:r>
      <w:r>
        <w:rPr>
          <w:b/>
          <w:sz w:val="24"/>
        </w:rPr>
        <w:t>of</w:t>
      </w:r>
      <w:r>
        <w:rPr>
          <w:b/>
          <w:spacing w:val="-2"/>
          <w:sz w:val="24"/>
        </w:rPr>
        <w:t> </w:t>
      </w:r>
      <w:r>
        <w:rPr>
          <w:b/>
          <w:sz w:val="24"/>
        </w:rPr>
        <w:t>the</w:t>
      </w:r>
      <w:r>
        <w:rPr>
          <w:b/>
          <w:spacing w:val="-5"/>
          <w:sz w:val="24"/>
        </w:rPr>
        <w:t> </w:t>
      </w:r>
      <w:r>
        <w:rPr>
          <w:b/>
          <w:sz w:val="24"/>
        </w:rPr>
        <w:t>ITS</w:t>
      </w:r>
      <w:r>
        <w:rPr>
          <w:b/>
          <w:spacing w:val="-3"/>
          <w:sz w:val="24"/>
        </w:rPr>
        <w:t> </w:t>
      </w:r>
      <w:r>
        <w:rPr>
          <w:b/>
          <w:sz w:val="24"/>
        </w:rPr>
        <w:t>region</w:t>
      </w:r>
      <w:r>
        <w:rPr>
          <w:b/>
          <w:spacing w:val="-3"/>
          <w:sz w:val="24"/>
        </w:rPr>
        <w:t> </w:t>
      </w:r>
      <w:r>
        <w:rPr>
          <w:b/>
          <w:sz w:val="24"/>
        </w:rPr>
        <w:t>of</w:t>
      </w:r>
      <w:r>
        <w:rPr>
          <w:b/>
          <w:spacing w:val="-3"/>
          <w:sz w:val="24"/>
        </w:rPr>
        <w:t> </w:t>
      </w:r>
      <w:r>
        <w:rPr>
          <w:b/>
          <w:sz w:val="24"/>
        </w:rPr>
        <w:t>the</w:t>
      </w:r>
      <w:r>
        <w:rPr>
          <w:b/>
          <w:spacing w:val="-3"/>
          <w:sz w:val="24"/>
        </w:rPr>
        <w:t> </w:t>
      </w:r>
      <w:r>
        <w:rPr>
          <w:b/>
          <w:sz w:val="24"/>
        </w:rPr>
        <w:t>isolate</w:t>
      </w:r>
      <w:r>
        <w:rPr>
          <w:b/>
          <w:spacing w:val="-6"/>
          <w:sz w:val="24"/>
        </w:rPr>
        <w:t> </w:t>
      </w:r>
      <w:r>
        <w:rPr>
          <w:b/>
          <w:spacing w:val="-5"/>
          <w:sz w:val="24"/>
        </w:rPr>
        <w:t>(D)</w:t>
      </w:r>
    </w:p>
    <w:p>
      <w:pPr>
        <w:spacing w:after="0"/>
        <w:jc w:val="both"/>
        <w:rPr>
          <w:sz w:val="24"/>
        </w:rPr>
        <w:sectPr>
          <w:pgSz w:w="12240" w:h="15840"/>
          <w:pgMar w:header="0" w:footer="1015" w:top="1360" w:bottom="1200" w:left="1320" w:right="1320"/>
        </w:sectPr>
      </w:pPr>
    </w:p>
    <w:p>
      <w:pPr>
        <w:pStyle w:val="BodyText"/>
        <w:spacing w:line="480" w:lineRule="auto" w:before="72"/>
        <w:ind w:left="120"/>
      </w:pPr>
      <w:r>
        <w:rPr/>
        <w:t>Sample is 99 % identical to </w:t>
      </w:r>
      <w:r>
        <w:rPr>
          <w:i/>
        </w:rPr>
        <w:t>Alcaligenes faecalis </w:t>
      </w:r>
      <w:r>
        <w:rPr/>
        <w:t>strain ADY25 </w:t>
      </w:r>
      <w:r>
        <w:rPr>
          <w:spacing w:val="-2"/>
        </w:rPr>
        <w:t>GGGGGACTCACTCCCTGCAGTCGACGGCAGCGCGAGAGAGCTTGCTCTCTTGGCGG CGAGTGGCGGACGGGTGAGTAATATATCGGAACGTGCCCAGTAGCGGGGGATAACT ACTAGAAAGAGTGGCTAATACCGCATACGCCCTACAGGGGAAAGGGGGGGATCGCA AGACCTCTCACTATTGGATCGGCCGATATCGGATTATCTAGTTGGTGGGGTAAAGGC TCACCAAGGCCACGATCCGTAGCTGGTTTGAGAGGACGACCAGCCACACTGGGACT GAGACACGGCCCACACTCCTACGGGAGGCAGCAGTGGGGAATTTTGGACAATGGGG GAAACCCTGATCCAGCCATCCCGCGTGTATGATGAAGGCCTTCGGGTTGTAAAGTAC TTTAGGCAGAGAAGAAAGTGTATCTCCTAATACGAGATACTGCTGACGGTATCTGCA GAATAAGCACCGGCTAACTACGTGCCAGCAGCCGCGGTAATACGTAGGGTGCAAGC GTTAATCGGAATTACTGGGCGTAAAGCGTGTGTAGGCGGTTCGGAAAGAAAGATGT GAAATCCCAGGGCTCAACCTTGGAACTGCATTTTTAACTGCCGAGCTAGAGTATGTC AGAGGGGGGTAGAATTCCACGTGTAGCAGTGAAATGCGTAGATATGTGGAGGAATA CCGATGGCGAANGCAGCCCCCTGGGATAATACTGACGCTCATACACGAAAGCGTGG GGAGCAAACAGGATTAGATACCCTGGTAGTCCACGCCCTACACGATGTCAACTAAC TTTTGGGGCCGTTAGGCCTTATTATCGCAACTAACGCGTGAATTTCACCGCCTGGGG AGTACGGTCGCAAGATTAAAACTCAAAGGAATTGACGGGGACCCGCNNAAGCGGTG GATGATGTGGATTAATTCGATGCAACGCGAAAAACCTTACCTACCCTTGACTGTCTG AAAATTCCAAAAAATTTGTCCGTGCTCCCAAGAAACCCGAAAAAAGGTGCTGCAGG CTGTCCTCACCTCGTGTCACGTAC</w:t>
      </w:r>
    </w:p>
    <w:p>
      <w:pPr>
        <w:spacing w:after="0" w:line="480" w:lineRule="auto"/>
        <w:sectPr>
          <w:pgSz w:w="12240" w:h="15840"/>
          <w:pgMar w:header="0" w:footer="1015" w:top="1360" w:bottom="1200" w:left="1320" w:right="1320"/>
        </w:sectPr>
      </w:pPr>
    </w:p>
    <w:p>
      <w:pPr>
        <w:spacing w:line="386" w:lineRule="auto" w:before="64"/>
        <w:ind w:left="4101" w:right="943" w:hanging="43"/>
        <w:jc w:val="left"/>
        <w:rPr>
          <w:rFonts w:ascii="Arial MT"/>
          <w:sz w:val="17"/>
        </w:rPr>
      </w:pPr>
      <w:r>
        <w:rPr/>
        <w:pict>
          <v:shape style="position:absolute;margin-left:79.086914pt;margin-top:8.536627pt;width:283.95pt;height:157.3pt;mso-position-horizontal-relative:page;mso-position-vertical-relative:paragraph;z-index:-17280512" id="docshape7" coordorigin="1582,171" coordsize="5679,3146" path="m4819,322l4819,171,5316,171m4819,335l4819,485,5358,485m3893,557l3893,328,4819,328m3893,570l3893,800,5351,800m3619,950l3619,564,3893,564m4801,1344l4801,1115,7196,1115m5745,1579l5745,1429,6941,1429m5745,1593l5745,1743,7257,1743m4801,1357l4801,1586,5745,1586m3619,964l3619,1350,4801,1350m2707,1501l2707,957,3619,957m2707,1514l2707,2058,3860,2058m2125,1933l2125,1507,2707,1507m2125,1946l2125,2372,2835,2372m1724,2307l1724,1940,2125,1940m1724,2320l1724,2687,1891,2687m1582,2729l1582,2313,1724,2313m1603,3152l1603,3001,7261,3001m1603,3165l1603,3316,1969,3316m1582,2742l1582,3159,1603,3159e" filled="false" stroked="true" strokeweight=".679936pt" strokecolor="#000000">
            <v:path arrowok="t"/>
            <v:stroke dashstyle="solid"/>
            <w10:wrap type="none"/>
          </v:shape>
        </w:pict>
      </w:r>
      <w:r>
        <w:rPr>
          <w:rFonts w:ascii="Arial MT"/>
          <w:spacing w:val="-2"/>
          <w:w w:val="110"/>
          <w:sz w:val="17"/>
        </w:rPr>
        <w:t>Pseudomonas</w:t>
      </w:r>
      <w:r>
        <w:rPr>
          <w:rFonts w:ascii="Arial MT"/>
          <w:spacing w:val="-3"/>
          <w:w w:val="110"/>
          <w:sz w:val="17"/>
        </w:rPr>
        <w:t> </w:t>
      </w:r>
      <w:r>
        <w:rPr>
          <w:rFonts w:ascii="Arial MT"/>
          <w:spacing w:val="-2"/>
          <w:w w:val="110"/>
          <w:sz w:val="17"/>
        </w:rPr>
        <w:t>aeruginosa</w:t>
      </w:r>
      <w:r>
        <w:rPr>
          <w:rFonts w:ascii="Arial MT"/>
          <w:spacing w:val="-11"/>
          <w:w w:val="110"/>
          <w:sz w:val="17"/>
        </w:rPr>
        <w:t> </w:t>
      </w:r>
      <w:r>
        <w:rPr>
          <w:rFonts w:ascii="Arial MT"/>
          <w:spacing w:val="-2"/>
          <w:w w:val="110"/>
          <w:sz w:val="17"/>
        </w:rPr>
        <w:t>strain</w:t>
      </w:r>
      <w:r>
        <w:rPr>
          <w:rFonts w:ascii="Arial MT"/>
          <w:spacing w:val="-11"/>
          <w:w w:val="110"/>
          <w:sz w:val="17"/>
        </w:rPr>
        <w:t> </w:t>
      </w:r>
      <w:r>
        <w:rPr>
          <w:rFonts w:ascii="Arial MT"/>
          <w:spacing w:val="-2"/>
          <w:w w:val="110"/>
          <w:sz w:val="17"/>
        </w:rPr>
        <w:t>DSM</w:t>
      </w:r>
      <w:r>
        <w:rPr>
          <w:rFonts w:ascii="Arial MT"/>
          <w:spacing w:val="-6"/>
          <w:w w:val="110"/>
          <w:sz w:val="17"/>
        </w:rPr>
        <w:t> </w:t>
      </w:r>
      <w:r>
        <w:rPr>
          <w:rFonts w:ascii="Arial MT"/>
          <w:spacing w:val="-2"/>
          <w:w w:val="110"/>
          <w:sz w:val="17"/>
        </w:rPr>
        <w:t>50071 </w:t>
      </w:r>
      <w:r>
        <w:rPr>
          <w:rFonts w:ascii="Arial MT"/>
          <w:w w:val="110"/>
          <w:sz w:val="17"/>
        </w:rPr>
        <w:t>Azotobacter sp. strain cl26</w:t>
      </w:r>
    </w:p>
    <w:p>
      <w:pPr>
        <w:spacing w:line="195" w:lineRule="exact" w:before="0"/>
        <w:ind w:left="4094" w:right="0" w:firstLine="0"/>
        <w:jc w:val="left"/>
        <w:rPr>
          <w:rFonts w:ascii="Arial MT"/>
          <w:sz w:val="17"/>
        </w:rPr>
      </w:pPr>
      <w:r>
        <w:rPr>
          <w:rFonts w:ascii="Arial MT"/>
          <w:spacing w:val="-2"/>
          <w:w w:val="110"/>
          <w:sz w:val="17"/>
        </w:rPr>
        <w:t>Serratia</w:t>
      </w:r>
      <w:r>
        <w:rPr>
          <w:rFonts w:ascii="Arial MT"/>
          <w:spacing w:val="-4"/>
          <w:w w:val="110"/>
          <w:sz w:val="17"/>
        </w:rPr>
        <w:t> </w:t>
      </w:r>
      <w:r>
        <w:rPr>
          <w:rFonts w:ascii="Arial MT"/>
          <w:spacing w:val="-2"/>
          <w:w w:val="110"/>
          <w:sz w:val="17"/>
        </w:rPr>
        <w:t>marcescens</w:t>
      </w:r>
    </w:p>
    <w:p>
      <w:pPr>
        <w:spacing w:after="0" w:line="195" w:lineRule="exact"/>
        <w:jc w:val="left"/>
        <w:rPr>
          <w:rFonts w:ascii="Arial MT"/>
          <w:sz w:val="17"/>
        </w:rPr>
        <w:sectPr>
          <w:pgSz w:w="12240" w:h="15840"/>
          <w:pgMar w:header="0" w:footer="1015" w:top="1560" w:bottom="1200" w:left="1320" w:right="1320"/>
        </w:sect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
        <w:rPr>
          <w:rFonts w:ascii="Arial MT"/>
          <w:sz w:val="20"/>
        </w:rPr>
      </w:pPr>
    </w:p>
    <w:p>
      <w:pPr>
        <w:spacing w:before="0"/>
        <w:ind w:left="2604" w:right="0" w:firstLine="0"/>
        <w:jc w:val="left"/>
        <w:rPr>
          <w:rFonts w:ascii="Arial MT"/>
          <w:sz w:val="17"/>
        </w:rPr>
      </w:pPr>
      <w:r>
        <w:rPr>
          <w:rFonts w:ascii="Arial MT"/>
          <w:w w:val="105"/>
          <w:sz w:val="17"/>
        </w:rPr>
        <w:t>Burkholderia</w:t>
      </w:r>
      <w:r>
        <w:rPr>
          <w:rFonts w:ascii="Arial MT"/>
          <w:spacing w:val="10"/>
          <w:w w:val="110"/>
          <w:sz w:val="17"/>
        </w:rPr>
        <w:t> </w:t>
      </w:r>
      <w:r>
        <w:rPr>
          <w:rFonts w:ascii="Arial MT"/>
          <w:spacing w:val="-5"/>
          <w:w w:val="110"/>
          <w:sz w:val="17"/>
        </w:rPr>
        <w:t>sp.</w:t>
      </w:r>
    </w:p>
    <w:p>
      <w:pPr>
        <w:spacing w:line="386" w:lineRule="auto" w:before="119"/>
        <w:ind w:left="634" w:right="0" w:firstLine="943"/>
        <w:jc w:val="left"/>
        <w:rPr>
          <w:rFonts w:ascii="Arial MT"/>
          <w:sz w:val="17"/>
        </w:rPr>
      </w:pPr>
      <w:r>
        <w:rPr>
          <w:rFonts w:ascii="Arial MT"/>
          <w:spacing w:val="-2"/>
          <w:w w:val="110"/>
          <w:sz w:val="17"/>
        </w:rPr>
        <w:t>Achromobacter</w:t>
      </w:r>
      <w:r>
        <w:rPr>
          <w:rFonts w:ascii="Arial MT"/>
          <w:spacing w:val="-8"/>
          <w:w w:val="110"/>
          <w:sz w:val="17"/>
        </w:rPr>
        <w:t> </w:t>
      </w:r>
      <w:r>
        <w:rPr>
          <w:rFonts w:ascii="Arial MT"/>
          <w:spacing w:val="-2"/>
          <w:w w:val="110"/>
          <w:sz w:val="17"/>
        </w:rPr>
        <w:t>denitrificans strain</w:t>
      </w:r>
      <w:r>
        <w:rPr>
          <w:rFonts w:ascii="Arial MT"/>
          <w:spacing w:val="-7"/>
          <w:w w:val="110"/>
          <w:sz w:val="17"/>
        </w:rPr>
        <w:t> </w:t>
      </w:r>
      <w:r>
        <w:rPr>
          <w:rFonts w:ascii="Arial MT"/>
          <w:spacing w:val="-2"/>
          <w:w w:val="110"/>
          <w:sz w:val="17"/>
        </w:rPr>
        <w:t>DSM 30026 </w:t>
      </w:r>
      <w:r>
        <w:rPr>
          <w:rFonts w:ascii="Arial MT"/>
          <w:w w:val="110"/>
          <w:sz w:val="17"/>
        </w:rPr>
        <w:t>Alcaligenes sp. strain</w:t>
      </w:r>
    </w:p>
    <w:p>
      <w:pPr>
        <w:pStyle w:val="BodyText"/>
        <w:rPr>
          <w:rFonts w:ascii="Arial MT"/>
          <w:sz w:val="18"/>
        </w:rPr>
      </w:pPr>
    </w:p>
    <w:p>
      <w:pPr>
        <w:spacing w:before="107"/>
        <w:ind w:left="712" w:right="0" w:firstLine="0"/>
        <w:jc w:val="left"/>
        <w:rPr>
          <w:rFonts w:ascii="Arial MT"/>
          <w:sz w:val="17"/>
        </w:rPr>
      </w:pPr>
      <w:r>
        <w:rPr>
          <w:rFonts w:ascii="Arial MT"/>
          <w:spacing w:val="-2"/>
          <w:w w:val="110"/>
          <w:sz w:val="17"/>
        </w:rPr>
        <w:t>Alcaligenes</w:t>
      </w:r>
      <w:r>
        <w:rPr>
          <w:rFonts w:ascii="Arial MT"/>
          <w:spacing w:val="7"/>
          <w:w w:val="110"/>
          <w:sz w:val="17"/>
        </w:rPr>
        <w:t> </w:t>
      </w:r>
      <w:r>
        <w:rPr>
          <w:rFonts w:ascii="Arial MT"/>
          <w:spacing w:val="-2"/>
          <w:w w:val="110"/>
          <w:sz w:val="17"/>
        </w:rPr>
        <w:t>faecalis</w:t>
      </w:r>
    </w:p>
    <w:p>
      <w:pPr>
        <w:spacing w:line="386" w:lineRule="auto" w:before="119"/>
        <w:ind w:left="253" w:right="25" w:firstLine="255"/>
        <w:jc w:val="left"/>
        <w:rPr>
          <w:rFonts w:ascii="Arial MT"/>
          <w:sz w:val="17"/>
        </w:rPr>
      </w:pPr>
      <w:r>
        <w:rPr/>
        <w:br w:type="column"/>
      </w:r>
      <w:r>
        <w:rPr>
          <w:rFonts w:ascii="Arial MT"/>
          <w:spacing w:val="-2"/>
          <w:w w:val="110"/>
          <w:sz w:val="17"/>
        </w:rPr>
        <w:t>Rhodococcus</w:t>
      </w:r>
      <w:r>
        <w:rPr>
          <w:rFonts w:ascii="Arial MT"/>
          <w:spacing w:val="-9"/>
          <w:w w:val="110"/>
          <w:sz w:val="17"/>
        </w:rPr>
        <w:t> </w:t>
      </w:r>
      <w:r>
        <w:rPr>
          <w:rFonts w:ascii="Arial MT"/>
          <w:spacing w:val="-2"/>
          <w:w w:val="110"/>
          <w:sz w:val="17"/>
        </w:rPr>
        <w:t>rhodochrous</w:t>
      </w:r>
      <w:r>
        <w:rPr>
          <w:rFonts w:ascii="Arial MT"/>
          <w:spacing w:val="-6"/>
          <w:w w:val="110"/>
          <w:sz w:val="17"/>
        </w:rPr>
        <w:t> </w:t>
      </w:r>
      <w:r>
        <w:rPr>
          <w:rFonts w:ascii="Arial MT"/>
          <w:spacing w:val="-2"/>
          <w:w w:val="110"/>
          <w:sz w:val="17"/>
        </w:rPr>
        <w:t>strain</w:t>
      </w:r>
      <w:r>
        <w:rPr>
          <w:rFonts w:ascii="Arial MT"/>
          <w:spacing w:val="-11"/>
          <w:w w:val="110"/>
          <w:sz w:val="17"/>
        </w:rPr>
        <w:t> </w:t>
      </w:r>
      <w:r>
        <w:rPr>
          <w:rFonts w:ascii="Arial MT"/>
          <w:spacing w:val="-2"/>
          <w:w w:val="110"/>
          <w:sz w:val="17"/>
        </w:rPr>
        <w:t>372 </w:t>
      </w:r>
      <w:r>
        <w:rPr>
          <w:rFonts w:ascii="Arial MT"/>
          <w:w w:val="110"/>
          <w:sz w:val="17"/>
        </w:rPr>
        <w:t>Bacillus thuringiensis strain IAM</w:t>
      </w:r>
    </w:p>
    <w:p>
      <w:pPr>
        <w:spacing w:line="195" w:lineRule="exact" w:before="0"/>
        <w:ind w:left="568" w:right="0" w:firstLine="0"/>
        <w:jc w:val="left"/>
        <w:rPr>
          <w:rFonts w:ascii="Arial MT"/>
          <w:sz w:val="17"/>
        </w:rPr>
      </w:pPr>
      <w:r>
        <w:rPr>
          <w:rFonts w:ascii="Arial MT"/>
          <w:spacing w:val="-2"/>
          <w:w w:val="110"/>
          <w:sz w:val="17"/>
        </w:rPr>
        <w:t>Lactobacillus</w:t>
      </w:r>
      <w:r>
        <w:rPr>
          <w:rFonts w:ascii="Arial MT"/>
          <w:spacing w:val="5"/>
          <w:w w:val="110"/>
          <w:sz w:val="17"/>
        </w:rPr>
        <w:t> </w:t>
      </w:r>
      <w:r>
        <w:rPr>
          <w:rFonts w:ascii="Arial MT"/>
          <w:spacing w:val="-2"/>
          <w:w w:val="110"/>
          <w:sz w:val="17"/>
        </w:rPr>
        <w:t>fermentum</w:t>
      </w:r>
      <w:r>
        <w:rPr>
          <w:rFonts w:ascii="Arial MT"/>
          <w:spacing w:val="3"/>
          <w:w w:val="110"/>
          <w:sz w:val="17"/>
        </w:rPr>
        <w:t> </w:t>
      </w:r>
      <w:r>
        <w:rPr>
          <w:rFonts w:ascii="Arial MT"/>
          <w:spacing w:val="-2"/>
          <w:w w:val="110"/>
          <w:sz w:val="17"/>
        </w:rPr>
        <w:t>strain</w:t>
      </w:r>
      <w:r>
        <w:rPr>
          <w:rFonts w:ascii="Arial MT"/>
          <w:spacing w:val="-4"/>
          <w:w w:val="110"/>
          <w:sz w:val="17"/>
        </w:rPr>
        <w:t> </w:t>
      </w:r>
      <w:r>
        <w:rPr>
          <w:rFonts w:ascii="Arial MT"/>
          <w:spacing w:val="-5"/>
          <w:w w:val="110"/>
          <w:sz w:val="17"/>
        </w:rPr>
        <w:t>LF</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
        <w:rPr>
          <w:rFonts w:ascii="Arial MT"/>
          <w:sz w:val="20"/>
        </w:rPr>
      </w:pPr>
    </w:p>
    <w:p>
      <w:pPr>
        <w:spacing w:before="0"/>
        <w:ind w:left="572" w:right="0" w:firstLine="0"/>
        <w:jc w:val="left"/>
        <w:rPr>
          <w:rFonts w:ascii="Arial MT"/>
          <w:sz w:val="17"/>
        </w:rPr>
      </w:pPr>
      <w:r>
        <w:rPr>
          <w:rFonts w:ascii="Arial MT"/>
          <w:spacing w:val="-2"/>
          <w:w w:val="110"/>
          <w:sz w:val="17"/>
        </w:rPr>
        <w:t>Sample</w:t>
      </w:r>
    </w:p>
    <w:p>
      <w:pPr>
        <w:spacing w:after="0"/>
        <w:jc w:val="left"/>
        <w:rPr>
          <w:rFonts w:ascii="Arial MT"/>
          <w:sz w:val="17"/>
        </w:rPr>
        <w:sectPr>
          <w:type w:val="continuous"/>
          <w:pgSz w:w="12240" w:h="15840"/>
          <w:pgMar w:header="0" w:footer="1015" w:top="1640" w:bottom="1200" w:left="1320" w:right="1320"/>
          <w:cols w:num="2" w:equalWidth="0">
            <w:col w:w="5392" w:space="40"/>
            <w:col w:w="4168"/>
          </w:cols>
        </w:sectPr>
      </w:pPr>
    </w:p>
    <w:p>
      <w:pPr>
        <w:pStyle w:val="BodyText"/>
        <w:spacing w:before="6"/>
        <w:rPr>
          <w:rFonts w:ascii="Arial MT"/>
          <w:sz w:val="25"/>
        </w:rPr>
      </w:pPr>
    </w:p>
    <w:p>
      <w:pPr>
        <w:pStyle w:val="BodyText"/>
        <w:ind w:left="963"/>
        <w:rPr>
          <w:rFonts w:ascii="Arial MT"/>
          <w:sz w:val="20"/>
        </w:rPr>
      </w:pPr>
      <w:r>
        <w:rPr>
          <w:rFonts w:ascii="Arial MT"/>
          <w:sz w:val="20"/>
        </w:rPr>
        <w:pict>
          <v:group style="width:46.15pt;height:13.9pt;mso-position-horizontal-relative:char;mso-position-vertical-relative:line" id="docshapegroup8" coordorigin="0,0" coordsize="923,278">
            <v:shape style="position:absolute;left:7;top:0;width:909;height:105" id="docshape9" coordorigin="7,0" coordsize="909,105" path="m7,53l916,53m7,0l7,105m916,0l916,105e" filled="false" stroked="true" strokeweight=".679936pt" strokecolor="#000000">
              <v:path arrowok="t"/>
              <v:stroke dashstyle="solid"/>
            </v:shape>
            <v:shape style="position:absolute;left:312;top:111;width:373;height:167" type="#_x0000_t75" id="docshape10" stroked="false">
              <v:imagedata r:id="rId12" o:title=""/>
            </v:shape>
          </v:group>
        </w:pict>
      </w:r>
      <w:r>
        <w:rPr>
          <w:rFonts w:ascii="Arial MT"/>
          <w:sz w:val="20"/>
        </w:rPr>
      </w:r>
    </w:p>
    <w:p>
      <w:pPr>
        <w:pStyle w:val="BodyText"/>
        <w:spacing w:before="9"/>
        <w:rPr>
          <w:rFonts w:ascii="Arial MT"/>
          <w:sz w:val="16"/>
        </w:rPr>
      </w:pPr>
    </w:p>
    <w:p>
      <w:pPr>
        <w:pStyle w:val="BodyText"/>
        <w:spacing w:before="90"/>
        <w:ind w:left="120"/>
        <w:jc w:val="both"/>
      </w:pPr>
      <w:r>
        <w:rPr/>
        <w:t>Figure</w:t>
      </w:r>
      <w:r>
        <w:rPr>
          <w:spacing w:val="52"/>
          <w:w w:val="150"/>
        </w:rPr>
        <w:t> </w:t>
      </w:r>
      <w:r>
        <w:rPr/>
        <w:t>4.2:</w:t>
      </w:r>
      <w:r>
        <w:rPr>
          <w:spacing w:val="55"/>
          <w:w w:val="150"/>
        </w:rPr>
        <w:t> </w:t>
      </w:r>
      <w:r>
        <w:rPr/>
        <w:t>Phylogenetic</w:t>
      </w:r>
      <w:r>
        <w:rPr>
          <w:spacing w:val="53"/>
          <w:w w:val="150"/>
        </w:rPr>
        <w:t> </w:t>
      </w:r>
      <w:r>
        <w:rPr/>
        <w:t>tree</w:t>
      </w:r>
      <w:r>
        <w:rPr>
          <w:spacing w:val="54"/>
          <w:w w:val="150"/>
        </w:rPr>
        <w:t> </w:t>
      </w:r>
      <w:r>
        <w:rPr/>
        <w:t>diagram</w:t>
      </w:r>
      <w:r>
        <w:rPr>
          <w:spacing w:val="55"/>
          <w:w w:val="150"/>
        </w:rPr>
        <w:t> </w:t>
      </w:r>
      <w:r>
        <w:rPr/>
        <w:t>showing</w:t>
      </w:r>
      <w:r>
        <w:rPr>
          <w:spacing w:val="51"/>
          <w:w w:val="150"/>
        </w:rPr>
        <w:t> </w:t>
      </w:r>
      <w:r>
        <w:rPr/>
        <w:t>the</w:t>
      </w:r>
      <w:r>
        <w:rPr>
          <w:spacing w:val="54"/>
          <w:w w:val="150"/>
        </w:rPr>
        <w:t> </w:t>
      </w:r>
      <w:r>
        <w:rPr/>
        <w:t>most</w:t>
      </w:r>
      <w:r>
        <w:rPr>
          <w:spacing w:val="55"/>
          <w:w w:val="150"/>
        </w:rPr>
        <w:t> </w:t>
      </w:r>
      <w:r>
        <w:rPr/>
        <w:t>closely</w:t>
      </w:r>
      <w:r>
        <w:rPr>
          <w:spacing w:val="50"/>
          <w:w w:val="150"/>
        </w:rPr>
        <w:t> </w:t>
      </w:r>
      <w:r>
        <w:rPr/>
        <w:t>species</w:t>
      </w:r>
      <w:r>
        <w:rPr>
          <w:spacing w:val="54"/>
          <w:w w:val="150"/>
        </w:rPr>
        <w:t> </w:t>
      </w:r>
      <w:r>
        <w:rPr/>
        <w:t>associated</w:t>
      </w:r>
      <w:r>
        <w:rPr>
          <w:spacing w:val="53"/>
          <w:w w:val="150"/>
        </w:rPr>
        <w:t> </w:t>
      </w:r>
      <w:r>
        <w:rPr>
          <w:spacing w:val="-4"/>
        </w:rPr>
        <w:t>with</w:t>
      </w:r>
    </w:p>
    <w:p>
      <w:pPr>
        <w:pStyle w:val="BodyText"/>
      </w:pPr>
    </w:p>
    <w:p>
      <w:pPr>
        <w:spacing w:before="0"/>
        <w:ind w:left="120" w:right="0" w:firstLine="0"/>
        <w:jc w:val="both"/>
        <w:rPr>
          <w:sz w:val="24"/>
        </w:rPr>
      </w:pPr>
      <w:r>
        <w:rPr>
          <w:i/>
          <w:sz w:val="24"/>
        </w:rPr>
        <w:t>Alcaligenes</w:t>
      </w:r>
      <w:r>
        <w:rPr>
          <w:i/>
          <w:spacing w:val="-4"/>
          <w:sz w:val="24"/>
        </w:rPr>
        <w:t> </w:t>
      </w:r>
      <w:r>
        <w:rPr>
          <w:i/>
          <w:sz w:val="24"/>
        </w:rPr>
        <w:t>faecalis</w:t>
      </w:r>
      <w:r>
        <w:rPr>
          <w:i/>
          <w:spacing w:val="-3"/>
          <w:sz w:val="24"/>
        </w:rPr>
        <w:t> </w:t>
      </w:r>
      <w:r>
        <w:rPr>
          <w:sz w:val="24"/>
        </w:rPr>
        <w:t>strain</w:t>
      </w:r>
      <w:r>
        <w:rPr>
          <w:spacing w:val="-3"/>
          <w:sz w:val="24"/>
        </w:rPr>
        <w:t> </w:t>
      </w:r>
      <w:r>
        <w:rPr>
          <w:spacing w:val="-2"/>
          <w:sz w:val="24"/>
        </w:rPr>
        <w:t>ADY25</w:t>
      </w:r>
    </w:p>
    <w:p>
      <w:pPr>
        <w:pStyle w:val="BodyText"/>
        <w:rPr>
          <w:sz w:val="26"/>
        </w:rPr>
      </w:pPr>
    </w:p>
    <w:p>
      <w:pPr>
        <w:pStyle w:val="Heading2"/>
        <w:numPr>
          <w:ilvl w:val="2"/>
          <w:numId w:val="5"/>
        </w:numPr>
        <w:tabs>
          <w:tab w:pos="661" w:val="left" w:leader="none"/>
        </w:tabs>
        <w:spacing w:line="240" w:lineRule="auto" w:before="184" w:after="0"/>
        <w:ind w:left="660" w:right="0" w:hanging="541"/>
        <w:jc w:val="both"/>
      </w:pPr>
      <w:r>
        <w:rPr/>
        <w:t>Confirmation</w:t>
      </w:r>
      <w:r>
        <w:rPr>
          <w:spacing w:val="-8"/>
        </w:rPr>
        <w:t> </w:t>
      </w:r>
      <w:r>
        <w:rPr/>
        <w:t>of</w:t>
      </w:r>
      <w:r>
        <w:rPr>
          <w:spacing w:val="-7"/>
        </w:rPr>
        <w:t> </w:t>
      </w:r>
      <w:r>
        <w:rPr/>
        <w:t>bacterium</w:t>
      </w:r>
      <w:r>
        <w:rPr>
          <w:spacing w:val="-11"/>
        </w:rPr>
        <w:t> </w:t>
      </w:r>
      <w:r>
        <w:rPr/>
        <w:t>with</w:t>
      </w:r>
      <w:r>
        <w:rPr>
          <w:spacing w:val="-8"/>
        </w:rPr>
        <w:t> </w:t>
      </w:r>
      <w:r>
        <w:rPr/>
        <w:t>biosurfactant</w:t>
      </w:r>
      <w:r>
        <w:rPr>
          <w:spacing w:val="-8"/>
        </w:rPr>
        <w:t> </w:t>
      </w:r>
      <w:r>
        <w:rPr/>
        <w:t>production</w:t>
      </w:r>
      <w:r>
        <w:rPr>
          <w:spacing w:val="-6"/>
        </w:rPr>
        <w:t> </w:t>
      </w:r>
      <w:r>
        <w:rPr>
          <w:spacing w:val="-2"/>
        </w:rPr>
        <w:t>potential</w:t>
      </w:r>
    </w:p>
    <w:p>
      <w:pPr>
        <w:pStyle w:val="BodyText"/>
        <w:spacing w:before="6"/>
        <w:rPr>
          <w:b/>
          <w:sz w:val="23"/>
        </w:rPr>
      </w:pPr>
    </w:p>
    <w:p>
      <w:pPr>
        <w:pStyle w:val="BodyText"/>
        <w:spacing w:line="480" w:lineRule="auto" w:before="1"/>
        <w:ind w:left="120" w:right="115"/>
        <w:jc w:val="both"/>
      </w:pPr>
      <w:r>
        <w:rPr/>
        <w:t>The</w:t>
      </w:r>
      <w:r>
        <w:rPr>
          <w:spacing w:val="-6"/>
        </w:rPr>
        <w:t> </w:t>
      </w:r>
      <w:r>
        <w:rPr/>
        <w:t>bacterium</w:t>
      </w:r>
      <w:r>
        <w:rPr>
          <w:spacing w:val="-4"/>
        </w:rPr>
        <w:t> </w:t>
      </w:r>
      <w:r>
        <w:rPr/>
        <w:t>was</w:t>
      </w:r>
      <w:r>
        <w:rPr>
          <w:spacing w:val="-2"/>
        </w:rPr>
        <w:t> </w:t>
      </w:r>
      <w:r>
        <w:rPr/>
        <w:t>positive</w:t>
      </w:r>
      <w:r>
        <w:rPr>
          <w:spacing w:val="-6"/>
        </w:rPr>
        <w:t> </w:t>
      </w:r>
      <w:r>
        <w:rPr/>
        <w:t>to</w:t>
      </w:r>
      <w:r>
        <w:rPr>
          <w:spacing w:val="-4"/>
        </w:rPr>
        <w:t> </w:t>
      </w:r>
      <w:r>
        <w:rPr/>
        <w:t>oil</w:t>
      </w:r>
      <w:r>
        <w:rPr>
          <w:spacing w:val="-2"/>
        </w:rPr>
        <w:t> </w:t>
      </w:r>
      <w:r>
        <w:rPr/>
        <w:t>displacement</w:t>
      </w:r>
      <w:r>
        <w:rPr>
          <w:spacing w:val="-2"/>
        </w:rPr>
        <w:t> </w:t>
      </w:r>
      <w:r>
        <w:rPr/>
        <w:t>and</w:t>
      </w:r>
      <w:r>
        <w:rPr>
          <w:spacing w:val="-5"/>
        </w:rPr>
        <w:t> </w:t>
      </w:r>
      <w:r>
        <w:rPr/>
        <w:t>drop</w:t>
      </w:r>
      <w:r>
        <w:rPr>
          <w:spacing w:val="-6"/>
        </w:rPr>
        <w:t> </w:t>
      </w:r>
      <w:r>
        <w:rPr/>
        <w:t>collapse</w:t>
      </w:r>
      <w:r>
        <w:rPr>
          <w:spacing w:val="-3"/>
        </w:rPr>
        <w:t> </w:t>
      </w:r>
      <w:r>
        <w:rPr/>
        <w:t>tests</w:t>
      </w:r>
      <w:r>
        <w:rPr>
          <w:spacing w:val="-4"/>
        </w:rPr>
        <w:t> </w:t>
      </w:r>
      <w:r>
        <w:rPr/>
        <w:t>as</w:t>
      </w:r>
      <w:r>
        <w:rPr>
          <w:spacing w:val="-5"/>
        </w:rPr>
        <w:t> </w:t>
      </w:r>
      <w:r>
        <w:rPr/>
        <w:t>shown</w:t>
      </w:r>
      <w:r>
        <w:rPr>
          <w:spacing w:val="-6"/>
        </w:rPr>
        <w:t> </w:t>
      </w:r>
      <w:r>
        <w:rPr/>
        <w:t>in</w:t>
      </w:r>
      <w:r>
        <w:rPr>
          <w:spacing w:val="-5"/>
        </w:rPr>
        <w:t> </w:t>
      </w:r>
      <w:r>
        <w:rPr/>
        <w:t>plates</w:t>
      </w:r>
      <w:r>
        <w:rPr>
          <w:spacing w:val="-2"/>
        </w:rPr>
        <w:t> </w:t>
      </w:r>
      <w:r>
        <w:rPr/>
        <w:t>II</w:t>
      </w:r>
      <w:r>
        <w:rPr>
          <w:spacing w:val="-6"/>
        </w:rPr>
        <w:t> </w:t>
      </w:r>
      <w:r>
        <w:rPr/>
        <w:t>b</w:t>
      </w:r>
      <w:r>
        <w:rPr>
          <w:spacing w:val="-5"/>
        </w:rPr>
        <w:t> </w:t>
      </w:r>
      <w:r>
        <w:rPr/>
        <w:t>and III b respectively. when the entire surface of a Petri dish containing 50 mL of distilled water was covered</w:t>
      </w:r>
      <w:r>
        <w:rPr>
          <w:spacing w:val="-1"/>
        </w:rPr>
        <w:t> </w:t>
      </w:r>
      <w:r>
        <w:rPr/>
        <w:t>with</w:t>
      </w:r>
      <w:r>
        <w:rPr>
          <w:spacing w:val="-2"/>
        </w:rPr>
        <w:t> </w:t>
      </w:r>
      <w:r>
        <w:rPr/>
        <w:t>a</w:t>
      </w:r>
      <w:r>
        <w:rPr>
          <w:spacing w:val="-2"/>
        </w:rPr>
        <w:t> </w:t>
      </w:r>
      <w:r>
        <w:rPr/>
        <w:t>thin</w:t>
      </w:r>
      <w:r>
        <w:rPr>
          <w:spacing w:val="-2"/>
        </w:rPr>
        <w:t> </w:t>
      </w:r>
      <w:r>
        <w:rPr/>
        <w:t>layer</w:t>
      </w:r>
      <w:r>
        <w:rPr>
          <w:spacing w:val="-2"/>
        </w:rPr>
        <w:t> </w:t>
      </w:r>
      <w:r>
        <w:rPr/>
        <w:t>of</w:t>
      </w:r>
      <w:r>
        <w:rPr>
          <w:spacing w:val="-4"/>
        </w:rPr>
        <w:t> </w:t>
      </w:r>
      <w:r>
        <w:rPr/>
        <w:t>crude</w:t>
      </w:r>
      <w:r>
        <w:rPr>
          <w:spacing w:val="-4"/>
        </w:rPr>
        <w:t> </w:t>
      </w:r>
      <w:r>
        <w:rPr/>
        <w:t>oil</w:t>
      </w:r>
      <w:r>
        <w:rPr>
          <w:spacing w:val="-1"/>
        </w:rPr>
        <w:t> </w:t>
      </w:r>
      <w:r>
        <w:rPr/>
        <w:t>and</w:t>
      </w:r>
      <w:r>
        <w:rPr>
          <w:spacing w:val="-2"/>
        </w:rPr>
        <w:t> </w:t>
      </w:r>
      <w:r>
        <w:rPr/>
        <w:t>10</w:t>
      </w:r>
      <w:r>
        <w:rPr>
          <w:spacing w:val="-2"/>
        </w:rPr>
        <w:t> </w:t>
      </w:r>
      <w:r>
        <w:rPr/>
        <w:t>μL</w:t>
      </w:r>
      <w:r>
        <w:rPr>
          <w:spacing w:val="-7"/>
        </w:rPr>
        <w:t> </w:t>
      </w:r>
      <w:r>
        <w:rPr/>
        <w:t>of</w:t>
      </w:r>
      <w:r>
        <w:rPr>
          <w:spacing w:val="-2"/>
        </w:rPr>
        <w:t> </w:t>
      </w:r>
      <w:r>
        <w:rPr/>
        <w:t>the</w:t>
      </w:r>
      <w:r>
        <w:rPr>
          <w:spacing w:val="-2"/>
        </w:rPr>
        <w:t> </w:t>
      </w:r>
      <w:r>
        <w:rPr/>
        <w:t>crude</w:t>
      </w:r>
      <w:r>
        <w:rPr>
          <w:spacing w:val="-4"/>
        </w:rPr>
        <w:t> </w:t>
      </w:r>
      <w:r>
        <w:rPr/>
        <w:t>biosurfactant</w:t>
      </w:r>
      <w:r>
        <w:rPr>
          <w:spacing w:val="-1"/>
        </w:rPr>
        <w:t> </w:t>
      </w:r>
      <w:r>
        <w:rPr/>
        <w:t>was</w:t>
      </w:r>
      <w:r>
        <w:rPr>
          <w:spacing w:val="-3"/>
        </w:rPr>
        <w:t> </w:t>
      </w:r>
      <w:r>
        <w:rPr/>
        <w:t>deposited</w:t>
      </w:r>
      <w:r>
        <w:rPr>
          <w:spacing w:val="-2"/>
        </w:rPr>
        <w:t> </w:t>
      </w:r>
      <w:r>
        <w:rPr/>
        <w:t>onto</w:t>
      </w:r>
      <w:r>
        <w:rPr>
          <w:spacing w:val="-2"/>
        </w:rPr>
        <w:t> </w:t>
      </w:r>
      <w:r>
        <w:rPr/>
        <w:t>the surface</w:t>
      </w:r>
      <w:r>
        <w:rPr>
          <w:spacing w:val="-4"/>
        </w:rPr>
        <w:t> </w:t>
      </w:r>
      <w:r>
        <w:rPr/>
        <w:t>of</w:t>
      </w:r>
      <w:r>
        <w:rPr>
          <w:spacing w:val="-3"/>
        </w:rPr>
        <w:t> </w:t>
      </w:r>
      <w:r>
        <w:rPr/>
        <w:t>the</w:t>
      </w:r>
      <w:r>
        <w:rPr>
          <w:spacing w:val="-5"/>
        </w:rPr>
        <w:t> </w:t>
      </w:r>
      <w:r>
        <w:rPr/>
        <w:t>oil</w:t>
      </w:r>
      <w:r>
        <w:rPr>
          <w:spacing w:val="-3"/>
        </w:rPr>
        <w:t> </w:t>
      </w:r>
      <w:r>
        <w:rPr/>
        <w:t>layer,</w:t>
      </w:r>
      <w:r>
        <w:rPr>
          <w:spacing w:val="-2"/>
        </w:rPr>
        <w:t> </w:t>
      </w:r>
      <w:r>
        <w:rPr/>
        <w:t>a</w:t>
      </w:r>
      <w:r>
        <w:rPr>
          <w:spacing w:val="-2"/>
        </w:rPr>
        <w:t> </w:t>
      </w:r>
      <w:r>
        <w:rPr/>
        <w:t>clear</w:t>
      </w:r>
      <w:r>
        <w:rPr>
          <w:spacing w:val="-3"/>
        </w:rPr>
        <w:t> </w:t>
      </w:r>
      <w:r>
        <w:rPr/>
        <w:t>zones</w:t>
      </w:r>
      <w:r>
        <w:rPr>
          <w:spacing w:val="-3"/>
        </w:rPr>
        <w:t> </w:t>
      </w:r>
      <w:r>
        <w:rPr/>
        <w:t>on</w:t>
      </w:r>
      <w:r>
        <w:rPr>
          <w:spacing w:val="-3"/>
        </w:rPr>
        <w:t> </w:t>
      </w:r>
      <w:r>
        <w:rPr/>
        <w:t>oil</w:t>
      </w:r>
      <w:r>
        <w:rPr>
          <w:spacing w:val="-3"/>
        </w:rPr>
        <w:t> </w:t>
      </w:r>
      <w:r>
        <w:rPr/>
        <w:t>surface</w:t>
      </w:r>
      <w:r>
        <w:rPr>
          <w:spacing w:val="-2"/>
        </w:rPr>
        <w:t> </w:t>
      </w:r>
      <w:r>
        <w:rPr/>
        <w:t>was observed</w:t>
      </w:r>
      <w:r>
        <w:rPr>
          <w:spacing w:val="-1"/>
        </w:rPr>
        <w:t> </w:t>
      </w:r>
      <w:r>
        <w:rPr/>
        <w:t>after</w:t>
      </w:r>
      <w:r>
        <w:rPr>
          <w:spacing w:val="-3"/>
        </w:rPr>
        <w:t> </w:t>
      </w:r>
      <w:r>
        <w:rPr/>
        <w:t>30</w:t>
      </w:r>
      <w:r>
        <w:rPr>
          <w:spacing w:val="-4"/>
        </w:rPr>
        <w:t> </w:t>
      </w:r>
      <w:r>
        <w:rPr/>
        <w:t>seconds,</w:t>
      </w:r>
      <w:r>
        <w:rPr>
          <w:spacing w:val="-3"/>
        </w:rPr>
        <w:t> </w:t>
      </w:r>
      <w:r>
        <w:rPr/>
        <w:t>which</w:t>
      </w:r>
      <w:r>
        <w:rPr>
          <w:spacing w:val="-3"/>
        </w:rPr>
        <w:t> </w:t>
      </w:r>
      <w:r>
        <w:rPr/>
        <w:t>showed a positive result (Plate II b) as compared to when 10 μL of distiled water was deposited on the surface</w:t>
      </w:r>
      <w:r>
        <w:rPr>
          <w:spacing w:val="-7"/>
        </w:rPr>
        <w:t> </w:t>
      </w:r>
      <w:r>
        <w:rPr/>
        <w:t>of</w:t>
      </w:r>
      <w:r>
        <w:rPr>
          <w:spacing w:val="-5"/>
        </w:rPr>
        <w:t> </w:t>
      </w:r>
      <w:r>
        <w:rPr/>
        <w:t>the</w:t>
      </w:r>
      <w:r>
        <w:rPr>
          <w:spacing w:val="-7"/>
        </w:rPr>
        <w:t> </w:t>
      </w:r>
      <w:r>
        <w:rPr/>
        <w:t>oil</w:t>
      </w:r>
      <w:r>
        <w:rPr>
          <w:spacing w:val="-6"/>
        </w:rPr>
        <w:t> </w:t>
      </w:r>
      <w:r>
        <w:rPr/>
        <w:t>layer</w:t>
      </w:r>
      <w:r>
        <w:rPr>
          <w:spacing w:val="-3"/>
        </w:rPr>
        <w:t> </w:t>
      </w:r>
      <w:r>
        <w:rPr/>
        <w:t>with</w:t>
      </w:r>
      <w:r>
        <w:rPr>
          <w:spacing w:val="-6"/>
        </w:rPr>
        <w:t> </w:t>
      </w:r>
      <w:r>
        <w:rPr/>
        <w:t>no</w:t>
      </w:r>
      <w:r>
        <w:rPr>
          <w:spacing w:val="-6"/>
        </w:rPr>
        <w:t> </w:t>
      </w:r>
      <w:r>
        <w:rPr/>
        <w:t>clear</w:t>
      </w:r>
      <w:r>
        <w:rPr>
          <w:spacing w:val="-7"/>
        </w:rPr>
        <w:t> </w:t>
      </w:r>
      <w:r>
        <w:rPr/>
        <w:t>zone</w:t>
      </w:r>
      <w:r>
        <w:rPr>
          <w:spacing w:val="-5"/>
        </w:rPr>
        <w:t> </w:t>
      </w:r>
      <w:r>
        <w:rPr/>
        <w:t>as</w:t>
      </w:r>
      <w:r>
        <w:rPr>
          <w:spacing w:val="-6"/>
        </w:rPr>
        <w:t> </w:t>
      </w:r>
      <w:r>
        <w:rPr/>
        <w:t>negative</w:t>
      </w:r>
      <w:r>
        <w:rPr>
          <w:spacing w:val="-7"/>
        </w:rPr>
        <w:t> </w:t>
      </w:r>
      <w:r>
        <w:rPr/>
        <w:t>control</w:t>
      </w:r>
      <w:r>
        <w:rPr>
          <w:spacing w:val="-4"/>
        </w:rPr>
        <w:t> </w:t>
      </w:r>
      <w:r>
        <w:rPr/>
        <w:t>(Plate</w:t>
      </w:r>
      <w:r>
        <w:rPr>
          <w:spacing w:val="-5"/>
        </w:rPr>
        <w:t> </w:t>
      </w:r>
      <w:r>
        <w:rPr/>
        <w:t>II</w:t>
      </w:r>
      <w:r>
        <w:rPr>
          <w:spacing w:val="-7"/>
        </w:rPr>
        <w:t> </w:t>
      </w:r>
      <w:r>
        <w:rPr/>
        <w:t>a).</w:t>
      </w:r>
      <w:r>
        <w:rPr>
          <w:spacing w:val="-7"/>
        </w:rPr>
        <w:t> </w:t>
      </w:r>
      <w:r>
        <w:rPr/>
        <w:t>A</w:t>
      </w:r>
      <w:r>
        <w:rPr>
          <w:spacing w:val="-5"/>
        </w:rPr>
        <w:t> </w:t>
      </w:r>
      <w:r>
        <w:rPr/>
        <w:t>liquid</w:t>
      </w:r>
      <w:r>
        <w:rPr>
          <w:spacing w:val="-6"/>
        </w:rPr>
        <w:t> </w:t>
      </w:r>
      <w:r>
        <w:rPr/>
        <w:t>drop</w:t>
      </w:r>
      <w:r>
        <w:rPr>
          <w:spacing w:val="-7"/>
        </w:rPr>
        <w:t> </w:t>
      </w:r>
      <w:r>
        <w:rPr/>
        <w:t>containing surfactant</w:t>
      </w:r>
      <w:r>
        <w:rPr>
          <w:spacing w:val="-5"/>
        </w:rPr>
        <w:t> </w:t>
      </w:r>
      <w:r>
        <w:rPr/>
        <w:t>will</w:t>
      </w:r>
      <w:r>
        <w:rPr>
          <w:spacing w:val="-6"/>
        </w:rPr>
        <w:t> </w:t>
      </w:r>
      <w:r>
        <w:rPr/>
        <w:t>spread</w:t>
      </w:r>
      <w:r>
        <w:rPr>
          <w:spacing w:val="-7"/>
        </w:rPr>
        <w:t> </w:t>
      </w:r>
      <w:r>
        <w:rPr/>
        <w:t>completely</w:t>
      </w:r>
      <w:r>
        <w:rPr>
          <w:spacing w:val="-12"/>
        </w:rPr>
        <w:t> </w:t>
      </w:r>
      <w:r>
        <w:rPr/>
        <w:t>over</w:t>
      </w:r>
      <w:r>
        <w:rPr>
          <w:spacing w:val="-8"/>
        </w:rPr>
        <w:t> </w:t>
      </w:r>
      <w:r>
        <w:rPr/>
        <w:t>the</w:t>
      </w:r>
      <w:r>
        <w:rPr>
          <w:spacing w:val="-8"/>
        </w:rPr>
        <w:t> </w:t>
      </w:r>
      <w:r>
        <w:rPr/>
        <w:t>surface</w:t>
      </w:r>
      <w:r>
        <w:rPr>
          <w:spacing w:val="-6"/>
        </w:rPr>
        <w:t> </w:t>
      </w:r>
      <w:r>
        <w:rPr/>
        <w:t>of</w:t>
      </w:r>
      <w:r>
        <w:rPr>
          <w:spacing w:val="-8"/>
        </w:rPr>
        <w:t> </w:t>
      </w:r>
      <w:r>
        <w:rPr/>
        <w:t>oil</w:t>
      </w:r>
      <w:r>
        <w:rPr>
          <w:spacing w:val="-7"/>
        </w:rPr>
        <w:t> </w:t>
      </w:r>
      <w:r>
        <w:rPr/>
        <w:t>because</w:t>
      </w:r>
      <w:r>
        <w:rPr>
          <w:spacing w:val="-7"/>
        </w:rPr>
        <w:t> </w:t>
      </w:r>
      <w:r>
        <w:rPr/>
        <w:t>of</w:t>
      </w:r>
      <w:r>
        <w:rPr>
          <w:spacing w:val="-7"/>
        </w:rPr>
        <w:t> </w:t>
      </w:r>
      <w:r>
        <w:rPr/>
        <w:t>the</w:t>
      </w:r>
      <w:r>
        <w:rPr>
          <w:spacing w:val="-7"/>
        </w:rPr>
        <w:t> </w:t>
      </w:r>
      <w:r>
        <w:rPr/>
        <w:t>decrease</w:t>
      </w:r>
      <w:r>
        <w:rPr>
          <w:spacing w:val="-7"/>
        </w:rPr>
        <w:t> </w:t>
      </w:r>
      <w:r>
        <w:rPr/>
        <w:t>in</w:t>
      </w:r>
      <w:r>
        <w:rPr>
          <w:spacing w:val="-6"/>
        </w:rPr>
        <w:t> </w:t>
      </w:r>
      <w:r>
        <w:rPr/>
        <w:t>surface</w:t>
      </w:r>
      <w:r>
        <w:rPr>
          <w:spacing w:val="-8"/>
        </w:rPr>
        <w:t> </w:t>
      </w:r>
      <w:r>
        <w:rPr/>
        <w:t>tension in the liquid-liquid interface. A drop of </w:t>
      </w:r>
      <w:r>
        <w:rPr>
          <w:i/>
        </w:rPr>
        <w:t>Alcaligenes faecalis</w:t>
      </w:r>
      <w:r>
        <w:rPr>
          <w:i/>
          <w:spacing w:val="40"/>
        </w:rPr>
        <w:t> </w:t>
      </w:r>
      <w:r>
        <w:rPr/>
        <w:t>strain ADY25 culture supernatant collapsed</w:t>
      </w:r>
      <w:r>
        <w:rPr>
          <w:spacing w:val="-3"/>
        </w:rPr>
        <w:t> </w:t>
      </w:r>
      <w:r>
        <w:rPr/>
        <w:t>on</w:t>
      </w:r>
      <w:r>
        <w:rPr>
          <w:spacing w:val="-3"/>
        </w:rPr>
        <w:t> </w:t>
      </w:r>
      <w:r>
        <w:rPr/>
        <w:t>crude</w:t>
      </w:r>
      <w:r>
        <w:rPr>
          <w:spacing w:val="-4"/>
        </w:rPr>
        <w:t> </w:t>
      </w:r>
      <w:r>
        <w:rPr/>
        <w:t>oil,</w:t>
      </w:r>
      <w:r>
        <w:rPr>
          <w:spacing w:val="-3"/>
        </w:rPr>
        <w:t> </w:t>
      </w:r>
      <w:r>
        <w:rPr/>
        <w:t>confirmed</w:t>
      </w:r>
      <w:r>
        <w:rPr>
          <w:spacing w:val="-3"/>
        </w:rPr>
        <w:t> </w:t>
      </w:r>
      <w:r>
        <w:rPr/>
        <w:t>biosurfactant</w:t>
      </w:r>
      <w:r>
        <w:rPr>
          <w:spacing w:val="-3"/>
        </w:rPr>
        <w:t> </w:t>
      </w:r>
      <w:r>
        <w:rPr/>
        <w:t>production</w:t>
      </w:r>
      <w:r>
        <w:rPr>
          <w:spacing w:val="-3"/>
        </w:rPr>
        <w:t> </w:t>
      </w:r>
      <w:r>
        <w:rPr/>
        <w:t>(Plate III</w:t>
      </w:r>
      <w:r>
        <w:rPr>
          <w:spacing w:val="-7"/>
        </w:rPr>
        <w:t> </w:t>
      </w:r>
      <w:r>
        <w:rPr/>
        <w:t>b)</w:t>
      </w:r>
      <w:r>
        <w:rPr>
          <w:spacing w:val="-3"/>
        </w:rPr>
        <w:t> </w:t>
      </w:r>
      <w:r>
        <w:rPr/>
        <w:t>as</w:t>
      </w:r>
      <w:r>
        <w:rPr>
          <w:spacing w:val="-1"/>
        </w:rPr>
        <w:t> </w:t>
      </w:r>
      <w:r>
        <w:rPr/>
        <w:t>compared</w:t>
      </w:r>
      <w:r>
        <w:rPr>
          <w:spacing w:val="-3"/>
        </w:rPr>
        <w:t> </w:t>
      </w:r>
      <w:r>
        <w:rPr/>
        <w:t>to</w:t>
      </w:r>
      <w:r>
        <w:rPr>
          <w:spacing w:val="-3"/>
        </w:rPr>
        <w:t> </w:t>
      </w:r>
      <w:r>
        <w:rPr/>
        <w:t>a</w:t>
      </w:r>
      <w:r>
        <w:rPr>
          <w:spacing w:val="-3"/>
        </w:rPr>
        <w:t> </w:t>
      </w:r>
      <w:r>
        <w:rPr/>
        <w:t>negative control,</w:t>
      </w:r>
      <w:r>
        <w:rPr>
          <w:spacing w:val="-3"/>
        </w:rPr>
        <w:t> </w:t>
      </w:r>
      <w:r>
        <w:rPr/>
        <w:t>which</w:t>
      </w:r>
      <w:r>
        <w:rPr>
          <w:spacing w:val="-3"/>
        </w:rPr>
        <w:t> </w:t>
      </w:r>
      <w:r>
        <w:rPr/>
        <w:t>appeared</w:t>
      </w:r>
      <w:r>
        <w:rPr>
          <w:spacing w:val="-3"/>
        </w:rPr>
        <w:t> </w:t>
      </w:r>
      <w:r>
        <w:rPr/>
        <w:t>like</w:t>
      </w:r>
      <w:r>
        <w:rPr>
          <w:spacing w:val="-4"/>
        </w:rPr>
        <w:t> </w:t>
      </w:r>
      <w:r>
        <w:rPr/>
        <w:t>bubble</w:t>
      </w:r>
      <w:r>
        <w:rPr>
          <w:spacing w:val="-3"/>
        </w:rPr>
        <w:t> </w:t>
      </w:r>
      <w:r>
        <w:rPr/>
        <w:t>on</w:t>
      </w:r>
      <w:r>
        <w:rPr>
          <w:spacing w:val="-3"/>
        </w:rPr>
        <w:t> </w:t>
      </w:r>
      <w:r>
        <w:rPr/>
        <w:t>the</w:t>
      </w:r>
      <w:r>
        <w:rPr>
          <w:spacing w:val="-4"/>
        </w:rPr>
        <w:t> </w:t>
      </w:r>
      <w:r>
        <w:rPr/>
        <w:t>surface</w:t>
      </w:r>
      <w:r>
        <w:rPr>
          <w:spacing w:val="-2"/>
        </w:rPr>
        <w:t> </w:t>
      </w:r>
      <w:r>
        <w:rPr/>
        <w:t>when</w:t>
      </w:r>
      <w:r>
        <w:rPr>
          <w:spacing w:val="-3"/>
        </w:rPr>
        <w:t> </w:t>
      </w:r>
      <w:r>
        <w:rPr/>
        <w:t>a</w:t>
      </w:r>
      <w:r>
        <w:rPr>
          <w:spacing w:val="-4"/>
        </w:rPr>
        <w:t> </w:t>
      </w:r>
      <w:r>
        <w:rPr/>
        <w:t>drop</w:t>
      </w:r>
      <w:r>
        <w:rPr>
          <w:spacing w:val="-4"/>
        </w:rPr>
        <w:t> </w:t>
      </w:r>
      <w:r>
        <w:rPr/>
        <w:t>of</w:t>
      </w:r>
      <w:r>
        <w:rPr>
          <w:spacing w:val="-3"/>
        </w:rPr>
        <w:t> </w:t>
      </w:r>
      <w:r>
        <w:rPr/>
        <w:t>supernatant</w:t>
      </w:r>
      <w:r>
        <w:rPr>
          <w:spacing w:val="-3"/>
        </w:rPr>
        <w:t> </w:t>
      </w:r>
      <w:r>
        <w:rPr/>
        <w:t>of</w:t>
      </w:r>
      <w:r>
        <w:rPr>
          <w:spacing w:val="-4"/>
        </w:rPr>
        <w:t> </w:t>
      </w:r>
      <w:r>
        <w:rPr/>
        <w:t>a</w:t>
      </w:r>
      <w:r>
        <w:rPr>
          <w:spacing w:val="-4"/>
        </w:rPr>
        <w:t> </w:t>
      </w:r>
      <w:r>
        <w:rPr/>
        <w:t>non</w:t>
      </w:r>
      <w:r>
        <w:rPr>
          <w:spacing w:val="-3"/>
        </w:rPr>
        <w:t> </w:t>
      </w:r>
      <w:r>
        <w:rPr/>
        <w:t>surfactant producing isolate was used (Plate III a).</w:t>
      </w:r>
    </w:p>
    <w:p>
      <w:pPr>
        <w:spacing w:after="0" w:line="480" w:lineRule="auto"/>
        <w:jc w:val="both"/>
        <w:sectPr>
          <w:type w:val="continuous"/>
          <w:pgSz w:w="12240" w:h="15840"/>
          <w:pgMar w:header="0" w:footer="1015" w:top="1640" w:bottom="1200" w:left="1320" w:right="1320"/>
        </w:sectPr>
      </w:pPr>
    </w:p>
    <w:p>
      <w:pPr>
        <w:tabs>
          <w:tab w:pos="4980" w:val="left" w:leader="none"/>
        </w:tabs>
        <w:spacing w:line="240" w:lineRule="auto"/>
        <w:ind w:left="120" w:right="0" w:firstLine="0"/>
        <w:rPr>
          <w:sz w:val="20"/>
        </w:rPr>
      </w:pPr>
      <w:r>
        <w:rPr>
          <w:position w:val="8"/>
          <w:sz w:val="20"/>
        </w:rPr>
        <w:pict>
          <v:group style="width:229.6pt;height:245.2pt;mso-position-horizontal-relative:char;mso-position-vertical-relative:line" id="docshapegroup11" coordorigin="0,0" coordsize="4592,4904">
            <v:shape style="position:absolute;left:0;top:0;width:4592;height:4904" type="#_x0000_t75" id="docshape12" stroked="false">
              <v:imagedata r:id="rId13" o:title=""/>
            </v:shape>
            <v:shape style="position:absolute;left:413;top:4097;width:380;height:798" type="#_x0000_t202" id="docshape13" filled="false" stroked="false">
              <v:textbox inset="0,0,0,0">
                <w:txbxContent>
                  <w:p>
                    <w:pPr>
                      <w:spacing w:line="797" w:lineRule="exact" w:before="0"/>
                      <w:ind w:left="0" w:right="0" w:firstLine="0"/>
                      <w:jc w:val="left"/>
                      <w:rPr>
                        <w:b/>
                        <w:sz w:val="72"/>
                      </w:rPr>
                    </w:pPr>
                    <w:r>
                      <w:rPr>
                        <w:b/>
                        <w:sz w:val="72"/>
                      </w:rPr>
                      <w:t>a</w:t>
                    </w:r>
                  </w:p>
                </w:txbxContent>
              </v:textbox>
              <w10:wrap type="none"/>
            </v:shape>
          </v:group>
        </w:pict>
      </w:r>
      <w:r>
        <w:rPr>
          <w:position w:val="8"/>
          <w:sz w:val="20"/>
        </w:rPr>
      </w:r>
      <w:r>
        <w:rPr>
          <w:position w:val="8"/>
          <w:sz w:val="20"/>
        </w:rPr>
        <w:tab/>
      </w:r>
      <w:r>
        <w:rPr>
          <w:sz w:val="20"/>
        </w:rPr>
        <w:pict>
          <v:group style="width:225pt;height:249.2pt;mso-position-horizontal-relative:char;mso-position-vertical-relative:line" id="docshapegroup14" coordorigin="0,0" coordsize="4500,4984">
            <v:shape style="position:absolute;left:0;top:0;width:4500;height:4904" type="#_x0000_t75" id="docshape15" stroked="false">
              <v:imagedata r:id="rId14" o:title=""/>
            </v:shape>
            <v:shape style="position:absolute;left:53;top:4185;width:421;height:798" type="#_x0000_t202" id="docshape16" filled="false" stroked="false">
              <v:textbox inset="0,0,0,0">
                <w:txbxContent>
                  <w:p>
                    <w:pPr>
                      <w:spacing w:line="797" w:lineRule="exact" w:before="0"/>
                      <w:ind w:left="0" w:right="0" w:firstLine="0"/>
                      <w:jc w:val="left"/>
                      <w:rPr>
                        <w:b/>
                        <w:sz w:val="72"/>
                      </w:rPr>
                    </w:pPr>
                    <w:r>
                      <w:rPr>
                        <w:b/>
                        <w:sz w:val="72"/>
                      </w:rPr>
                      <w:t>b</w:t>
                    </w:r>
                  </w:p>
                </w:txbxContent>
              </v:textbox>
              <w10:wrap type="none"/>
            </v:shape>
          </v:group>
        </w:pict>
      </w:r>
      <w:r>
        <w:rPr>
          <w:sz w:val="20"/>
        </w:rPr>
      </w:r>
    </w:p>
    <w:p>
      <w:pPr>
        <w:pStyle w:val="BodyText"/>
        <w:spacing w:before="5"/>
        <w:rPr>
          <w:sz w:val="21"/>
        </w:rPr>
      </w:pPr>
    </w:p>
    <w:p>
      <w:pPr>
        <w:tabs>
          <w:tab w:pos="5160" w:val="left" w:leader="none"/>
        </w:tabs>
        <w:spacing w:before="90"/>
        <w:ind w:left="120" w:right="0" w:firstLine="0"/>
        <w:jc w:val="left"/>
        <w:rPr>
          <w:b/>
          <w:sz w:val="24"/>
        </w:rPr>
      </w:pPr>
      <w:r>
        <w:rPr>
          <w:b/>
          <w:sz w:val="24"/>
        </w:rPr>
        <w:t>Plate</w:t>
      </w:r>
      <w:r>
        <w:rPr>
          <w:b/>
          <w:spacing w:val="-3"/>
          <w:sz w:val="24"/>
        </w:rPr>
        <w:t> </w:t>
      </w:r>
      <w:r>
        <w:rPr>
          <w:b/>
          <w:sz w:val="24"/>
        </w:rPr>
        <w:t>II</w:t>
      </w:r>
      <w:r>
        <w:rPr>
          <w:b/>
          <w:spacing w:val="-1"/>
          <w:sz w:val="24"/>
        </w:rPr>
        <w:t> </w:t>
      </w:r>
      <w:r>
        <w:rPr>
          <w:b/>
          <w:sz w:val="24"/>
        </w:rPr>
        <w:t>:</w:t>
      </w:r>
      <w:r>
        <w:rPr>
          <w:b/>
          <w:spacing w:val="-1"/>
          <w:sz w:val="24"/>
        </w:rPr>
        <w:t> </w:t>
      </w:r>
      <w:r>
        <w:rPr>
          <w:b/>
          <w:spacing w:val="-2"/>
          <w:sz w:val="24"/>
        </w:rPr>
        <w:t>control</w:t>
      </w:r>
      <w:r>
        <w:rPr>
          <w:b/>
          <w:sz w:val="24"/>
        </w:rPr>
        <w:tab/>
        <w:t>Plate</w:t>
      </w:r>
      <w:r>
        <w:rPr>
          <w:b/>
          <w:spacing w:val="-6"/>
          <w:sz w:val="24"/>
        </w:rPr>
        <w:t> </w:t>
      </w:r>
      <w:r>
        <w:rPr>
          <w:b/>
          <w:sz w:val="24"/>
        </w:rPr>
        <w:t>II</w:t>
      </w:r>
      <w:r>
        <w:rPr>
          <w:b/>
          <w:spacing w:val="-4"/>
          <w:sz w:val="24"/>
        </w:rPr>
        <w:t> </w:t>
      </w:r>
      <w:r>
        <w:rPr>
          <w:b/>
          <w:sz w:val="24"/>
        </w:rPr>
        <w:t>:</w:t>
      </w:r>
      <w:r>
        <w:rPr>
          <w:b/>
          <w:spacing w:val="-4"/>
          <w:sz w:val="24"/>
        </w:rPr>
        <w:t> </w:t>
      </w:r>
      <w:r>
        <w:rPr>
          <w:b/>
          <w:sz w:val="24"/>
        </w:rPr>
        <w:t>oil</w:t>
      </w:r>
      <w:r>
        <w:rPr>
          <w:b/>
          <w:spacing w:val="-4"/>
          <w:sz w:val="24"/>
        </w:rPr>
        <w:t> </w:t>
      </w:r>
      <w:r>
        <w:rPr>
          <w:b/>
          <w:sz w:val="24"/>
        </w:rPr>
        <w:t>displacement</w:t>
      </w:r>
      <w:r>
        <w:rPr>
          <w:b/>
          <w:spacing w:val="-5"/>
          <w:sz w:val="24"/>
        </w:rPr>
        <w:t> </w:t>
      </w:r>
      <w:r>
        <w:rPr>
          <w:b/>
          <w:spacing w:val="-4"/>
          <w:sz w:val="24"/>
        </w:rPr>
        <w:t>test</w:t>
      </w:r>
    </w:p>
    <w:p>
      <w:pPr>
        <w:pStyle w:val="BodyText"/>
        <w:spacing w:before="1"/>
        <w:rPr>
          <w:b/>
          <w:sz w:val="22"/>
        </w:rPr>
      </w:pPr>
      <w:r>
        <w:rPr/>
        <w:pict>
          <v:group style="position:absolute;margin-left:72pt;margin-top:13.917197pt;width:225.4pt;height:260.05pt;mso-position-horizontal-relative:page;mso-position-vertical-relative:paragraph;z-index:-15723520;mso-wrap-distance-left:0;mso-wrap-distance-right:0" id="docshapegroup17" coordorigin="1440,278" coordsize="4508,5201">
            <v:shape style="position:absolute;left:1440;top:278;width:4508;height:5201" type="#_x0000_t75" id="docshape18" stroked="false">
              <v:imagedata r:id="rId15" o:title=""/>
            </v:shape>
            <v:shape style="position:absolute;left:1670;top:4710;width:341;height:710" type="#_x0000_t202" id="docshape19" filled="false" stroked="false">
              <v:textbox inset="0,0,0,0">
                <w:txbxContent>
                  <w:p>
                    <w:pPr>
                      <w:spacing w:line="709" w:lineRule="exact" w:before="0"/>
                      <w:ind w:left="0" w:right="0" w:firstLine="0"/>
                      <w:jc w:val="left"/>
                      <w:rPr>
                        <w:b/>
                        <w:sz w:val="64"/>
                      </w:rPr>
                    </w:pPr>
                    <w:r>
                      <w:rPr>
                        <w:b/>
                        <w:w w:val="100"/>
                        <w:sz w:val="64"/>
                      </w:rPr>
                      <w:t>a</w:t>
                    </w:r>
                  </w:p>
                </w:txbxContent>
              </v:textbox>
              <w10:wrap type="none"/>
            </v:shape>
            <w10:wrap type="topAndBottom"/>
          </v:group>
        </w:pict>
      </w:r>
      <w:r>
        <w:rPr/>
        <w:pict>
          <v:group style="position:absolute;margin-left:301.679993pt;margin-top:13.917197pt;width:238.35pt;height:260.05pt;mso-position-horizontal-relative:page;mso-position-vertical-relative:paragraph;z-index:-15723008;mso-wrap-distance-left:0;mso-wrap-distance-right:0" id="docshapegroup20" coordorigin="6034,278" coordsize="4767,5201">
            <v:shape style="position:absolute;left:6033;top:278;width:4767;height:5201" type="#_x0000_t75" id="docshape21" stroked="false">
              <v:imagedata r:id="rId16" o:title=""/>
            </v:shape>
            <v:shape style="position:absolute;left:6351;top:4710;width:377;height:710" type="#_x0000_t202" id="docshape22" filled="false" stroked="false">
              <v:textbox inset="0,0,0,0">
                <w:txbxContent>
                  <w:p>
                    <w:pPr>
                      <w:spacing w:line="709" w:lineRule="exact" w:before="0"/>
                      <w:ind w:left="0" w:right="0" w:firstLine="0"/>
                      <w:jc w:val="left"/>
                      <w:rPr>
                        <w:b/>
                        <w:sz w:val="64"/>
                      </w:rPr>
                    </w:pPr>
                    <w:r>
                      <w:rPr>
                        <w:b/>
                        <w:w w:val="100"/>
                        <w:sz w:val="64"/>
                      </w:rPr>
                      <w:t>b</w:t>
                    </w:r>
                  </w:p>
                </w:txbxContent>
              </v:textbox>
              <w10:wrap type="none"/>
            </v:shape>
            <w10:wrap type="topAndBottom"/>
          </v:group>
        </w:pict>
      </w:r>
    </w:p>
    <w:p>
      <w:pPr>
        <w:pStyle w:val="BodyText"/>
        <w:spacing w:before="6"/>
        <w:rPr>
          <w:b/>
          <w:sz w:val="25"/>
        </w:rPr>
      </w:pPr>
    </w:p>
    <w:p>
      <w:pPr>
        <w:tabs>
          <w:tab w:pos="5160" w:val="left" w:leader="none"/>
          <w:tab w:pos="5900" w:val="left" w:leader="none"/>
          <w:tab w:pos="6481" w:val="left" w:leader="none"/>
          <w:tab w:pos="7195" w:val="left" w:leader="none"/>
          <w:tab w:pos="8231" w:val="left" w:leader="none"/>
          <w:tab w:pos="8814" w:val="left" w:leader="none"/>
        </w:tabs>
        <w:spacing w:before="0"/>
        <w:ind w:left="840" w:right="0" w:firstLine="0"/>
        <w:jc w:val="left"/>
        <w:rPr>
          <w:b/>
          <w:sz w:val="24"/>
        </w:rPr>
      </w:pPr>
      <w:r>
        <w:rPr>
          <w:b/>
          <w:sz w:val="24"/>
        </w:rPr>
        <w:t>Plate</w:t>
      </w:r>
      <w:r>
        <w:rPr>
          <w:b/>
          <w:spacing w:val="-6"/>
          <w:sz w:val="24"/>
        </w:rPr>
        <w:t> </w:t>
      </w:r>
      <w:r>
        <w:rPr>
          <w:b/>
          <w:sz w:val="24"/>
        </w:rPr>
        <w:t>III:</w:t>
      </w:r>
      <w:r>
        <w:rPr>
          <w:b/>
          <w:spacing w:val="-5"/>
          <w:sz w:val="24"/>
        </w:rPr>
        <w:t> </w:t>
      </w:r>
      <w:r>
        <w:rPr>
          <w:b/>
          <w:sz w:val="24"/>
        </w:rPr>
        <w:t>Drop</w:t>
      </w:r>
      <w:r>
        <w:rPr>
          <w:b/>
          <w:spacing w:val="-4"/>
          <w:sz w:val="24"/>
        </w:rPr>
        <w:t> </w:t>
      </w:r>
      <w:r>
        <w:rPr>
          <w:b/>
          <w:sz w:val="24"/>
        </w:rPr>
        <w:t>collapse</w:t>
      </w:r>
      <w:r>
        <w:rPr>
          <w:b/>
          <w:spacing w:val="-4"/>
          <w:sz w:val="24"/>
        </w:rPr>
        <w:t> </w:t>
      </w:r>
      <w:r>
        <w:rPr>
          <w:b/>
          <w:sz w:val="24"/>
        </w:rPr>
        <w:t>test</w:t>
      </w:r>
      <w:r>
        <w:rPr>
          <w:b/>
          <w:spacing w:val="-3"/>
          <w:sz w:val="24"/>
        </w:rPr>
        <w:t> </w:t>
      </w:r>
      <w:r>
        <w:rPr>
          <w:b/>
          <w:spacing w:val="-2"/>
          <w:sz w:val="24"/>
        </w:rPr>
        <w:t>(control)</w:t>
      </w:r>
      <w:r>
        <w:rPr>
          <w:b/>
          <w:sz w:val="24"/>
        </w:rPr>
        <w:tab/>
      </w:r>
      <w:r>
        <w:rPr>
          <w:b/>
          <w:spacing w:val="-4"/>
          <w:sz w:val="24"/>
        </w:rPr>
        <w:t>Plate</w:t>
      </w:r>
      <w:r>
        <w:rPr>
          <w:b/>
          <w:sz w:val="24"/>
        </w:rPr>
        <w:tab/>
      </w:r>
      <w:r>
        <w:rPr>
          <w:b/>
          <w:spacing w:val="-4"/>
          <w:sz w:val="24"/>
        </w:rPr>
        <w:t>III:</w:t>
      </w:r>
      <w:r>
        <w:rPr>
          <w:b/>
          <w:sz w:val="24"/>
        </w:rPr>
        <w:tab/>
      </w:r>
      <w:r>
        <w:rPr>
          <w:b/>
          <w:spacing w:val="-4"/>
          <w:sz w:val="24"/>
        </w:rPr>
        <w:t>drop</w:t>
      </w:r>
      <w:r>
        <w:rPr>
          <w:b/>
          <w:sz w:val="24"/>
        </w:rPr>
        <w:tab/>
      </w:r>
      <w:r>
        <w:rPr>
          <w:b/>
          <w:spacing w:val="-2"/>
          <w:sz w:val="24"/>
        </w:rPr>
        <w:t>collapse</w:t>
      </w:r>
      <w:r>
        <w:rPr>
          <w:b/>
          <w:sz w:val="24"/>
        </w:rPr>
        <w:tab/>
      </w:r>
      <w:r>
        <w:rPr>
          <w:b/>
          <w:spacing w:val="-4"/>
          <w:sz w:val="24"/>
        </w:rPr>
        <w:t>test</w:t>
      </w:r>
      <w:r>
        <w:rPr>
          <w:b/>
          <w:sz w:val="24"/>
        </w:rPr>
        <w:tab/>
      </w:r>
      <w:r>
        <w:rPr>
          <w:b/>
          <w:spacing w:val="-2"/>
          <w:sz w:val="24"/>
        </w:rPr>
        <w:t>(crude</w:t>
      </w:r>
    </w:p>
    <w:p>
      <w:pPr>
        <w:pStyle w:val="BodyText"/>
        <w:rPr>
          <w:b/>
        </w:rPr>
      </w:pPr>
    </w:p>
    <w:p>
      <w:pPr>
        <w:spacing w:before="0"/>
        <w:ind w:left="5161" w:right="0" w:firstLine="0"/>
        <w:jc w:val="left"/>
        <w:rPr>
          <w:b/>
          <w:sz w:val="24"/>
        </w:rPr>
      </w:pPr>
      <w:r>
        <w:rPr>
          <w:b/>
          <w:spacing w:val="-2"/>
          <w:sz w:val="24"/>
        </w:rPr>
        <w:t>biosurfactant)</w:t>
      </w:r>
    </w:p>
    <w:p>
      <w:pPr>
        <w:spacing w:after="0"/>
        <w:jc w:val="left"/>
        <w:rPr>
          <w:sz w:val="24"/>
        </w:rPr>
        <w:sectPr>
          <w:pgSz w:w="12240" w:h="15840"/>
          <w:pgMar w:header="0" w:footer="1015" w:top="1440" w:bottom="1200" w:left="1320" w:right="1320"/>
        </w:sectPr>
      </w:pPr>
    </w:p>
    <w:p>
      <w:pPr>
        <w:pStyle w:val="ListParagraph"/>
        <w:numPr>
          <w:ilvl w:val="2"/>
          <w:numId w:val="5"/>
        </w:numPr>
        <w:tabs>
          <w:tab w:pos="841" w:val="left" w:leader="none"/>
        </w:tabs>
        <w:spacing w:line="240" w:lineRule="auto" w:before="76" w:after="0"/>
        <w:ind w:left="840" w:right="0" w:hanging="721"/>
        <w:jc w:val="both"/>
        <w:rPr>
          <w:b/>
          <w:sz w:val="24"/>
        </w:rPr>
      </w:pPr>
      <w:r>
        <w:rPr>
          <w:b/>
          <w:sz w:val="24"/>
        </w:rPr>
        <w:t>Produced</w:t>
      </w:r>
      <w:r>
        <w:rPr>
          <w:b/>
          <w:spacing w:val="-12"/>
          <w:sz w:val="24"/>
        </w:rPr>
        <w:t> </w:t>
      </w:r>
      <w:r>
        <w:rPr>
          <w:b/>
          <w:spacing w:val="-2"/>
          <w:sz w:val="24"/>
        </w:rPr>
        <w:t>Biosurfactant</w:t>
      </w:r>
    </w:p>
    <w:p>
      <w:pPr>
        <w:pStyle w:val="BodyText"/>
        <w:spacing w:before="7"/>
        <w:rPr>
          <w:b/>
          <w:sz w:val="23"/>
        </w:rPr>
      </w:pPr>
    </w:p>
    <w:p>
      <w:pPr>
        <w:pStyle w:val="BodyText"/>
        <w:spacing w:line="480" w:lineRule="auto" w:before="1" w:after="8"/>
        <w:ind w:left="120" w:right="114"/>
        <w:jc w:val="both"/>
      </w:pPr>
      <w:r>
        <w:rPr>
          <w:i/>
        </w:rPr>
        <w:t>Alcaligenes faecalis </w:t>
      </w:r>
      <w:r>
        <w:rPr/>
        <w:t>strain ADY25 was used to produce biosurfactant in a mineral salt medium that contains crude oil as sole source of carbon. During extraction using acetone precipitation, there were two phases of separation in which the upper layer contains the reagent and the lower layer contains a whitish residue of crude biosurfactant (Plate IV a). Then whitish dry mass of surfactant (Plate IV b) was obtained after drying the crude surfactant in a hot air oven at 70ºC to constant weight with a yield of 4.5 g/L dry mass.</w:t>
      </w:r>
    </w:p>
    <w:p>
      <w:pPr>
        <w:spacing w:line="240" w:lineRule="auto"/>
        <w:ind w:left="120" w:right="0" w:firstLine="0"/>
        <w:rPr>
          <w:sz w:val="20"/>
        </w:rPr>
      </w:pPr>
      <w:r>
        <w:rPr>
          <w:position w:val="15"/>
          <w:sz w:val="20"/>
        </w:rPr>
        <w:pict>
          <v:group style="width:226.2pt;height:222pt;mso-position-horizontal-relative:char;mso-position-vertical-relative:line" id="docshapegroup23" coordorigin="0,0" coordsize="4524,4440">
            <v:shape style="position:absolute;left:0;top:0;width:4524;height:4440" type="#_x0000_t75" id="docshape24" stroked="false">
              <v:imagedata r:id="rId17" o:title=""/>
            </v:shape>
            <v:shape style="position:absolute;left:410;top:3605;width:340;height:798" type="#_x0000_t202" id="docshape25" filled="false" stroked="false">
              <v:textbox inset="0,0,0,0">
                <w:txbxContent>
                  <w:p>
                    <w:pPr>
                      <w:spacing w:line="797" w:lineRule="exact" w:before="0"/>
                      <w:ind w:left="0" w:right="0" w:firstLine="0"/>
                      <w:jc w:val="left"/>
                      <w:rPr>
                        <w:sz w:val="72"/>
                      </w:rPr>
                    </w:pPr>
                    <w:r>
                      <w:rPr>
                        <w:color w:val="FFFFFF"/>
                        <w:sz w:val="72"/>
                      </w:rPr>
                      <w:t>a</w:t>
                    </w:r>
                  </w:p>
                </w:txbxContent>
              </v:textbox>
              <w10:wrap type="none"/>
            </v:shape>
          </v:group>
        </w:pict>
      </w:r>
      <w:r>
        <w:rPr>
          <w:position w:val="15"/>
          <w:sz w:val="20"/>
        </w:rPr>
      </w:r>
      <w:r>
        <w:rPr>
          <w:spacing w:val="28"/>
          <w:position w:val="15"/>
          <w:sz w:val="20"/>
        </w:rPr>
        <w:t> </w:t>
      </w:r>
      <w:r>
        <w:rPr>
          <w:spacing w:val="28"/>
          <w:sz w:val="20"/>
        </w:rPr>
        <w:pict>
          <v:group style="width:237.4pt;height:229.4pt;mso-position-horizontal-relative:char;mso-position-vertical-relative:line" id="docshapegroup26" coordorigin="0,0" coordsize="4748,4588">
            <v:shape style="position:absolute;left:0;top:0;width:4748;height:4440" type="#_x0000_t75" id="docshape27" stroked="false">
              <v:imagedata r:id="rId18" o:title=""/>
            </v:shape>
            <v:shape style="position:absolute;left:231;top:3790;width:380;height:798" type="#_x0000_t202" id="docshape28" filled="false" stroked="false">
              <v:textbox inset="0,0,0,0">
                <w:txbxContent>
                  <w:p>
                    <w:pPr>
                      <w:spacing w:line="797" w:lineRule="exact" w:before="0"/>
                      <w:ind w:left="0" w:right="0" w:firstLine="0"/>
                      <w:jc w:val="left"/>
                      <w:rPr>
                        <w:sz w:val="72"/>
                      </w:rPr>
                    </w:pPr>
                    <w:r>
                      <w:rPr>
                        <w:color w:val="FFFFFF"/>
                        <w:sz w:val="72"/>
                      </w:rPr>
                      <w:t>b</w:t>
                    </w:r>
                  </w:p>
                </w:txbxContent>
              </v:textbox>
              <w10:wrap type="none"/>
            </v:shape>
          </v:group>
        </w:pict>
      </w:r>
      <w:r>
        <w:rPr>
          <w:spacing w:val="28"/>
          <w:sz w:val="20"/>
        </w:rPr>
      </w:r>
    </w:p>
    <w:p>
      <w:pPr>
        <w:pStyle w:val="BodyText"/>
        <w:spacing w:before="3"/>
        <w:rPr>
          <w:sz w:val="29"/>
        </w:rPr>
      </w:pPr>
    </w:p>
    <w:p>
      <w:pPr>
        <w:pStyle w:val="Heading2"/>
        <w:ind w:left="120" w:firstLine="0"/>
      </w:pPr>
      <w:r>
        <w:rPr/>
        <w:t>Plate</w:t>
      </w:r>
      <w:r>
        <w:rPr>
          <w:spacing w:val="-5"/>
        </w:rPr>
        <w:t> </w:t>
      </w:r>
      <w:r>
        <w:rPr/>
        <w:t>IV:</w:t>
      </w:r>
      <w:r>
        <w:rPr>
          <w:spacing w:val="-5"/>
        </w:rPr>
        <w:t> </w:t>
      </w:r>
      <w:r>
        <w:rPr/>
        <w:t>crude</w:t>
      </w:r>
      <w:r>
        <w:rPr>
          <w:spacing w:val="-5"/>
        </w:rPr>
        <w:t> </w:t>
      </w:r>
      <w:r>
        <w:rPr/>
        <w:t>biosurfactant</w:t>
      </w:r>
      <w:r>
        <w:rPr>
          <w:spacing w:val="-4"/>
        </w:rPr>
        <w:t> </w:t>
      </w:r>
      <w:r>
        <w:rPr/>
        <w:t>after</w:t>
      </w:r>
      <w:r>
        <w:rPr>
          <w:spacing w:val="-4"/>
        </w:rPr>
        <w:t> </w:t>
      </w:r>
      <w:r>
        <w:rPr/>
        <w:t>acetone</w:t>
      </w:r>
      <w:r>
        <w:rPr>
          <w:spacing w:val="-5"/>
        </w:rPr>
        <w:t> </w:t>
      </w:r>
      <w:r>
        <w:rPr/>
        <w:t>precipitation,</w:t>
      </w:r>
      <w:r>
        <w:rPr>
          <w:spacing w:val="-4"/>
        </w:rPr>
        <w:t> </w:t>
      </w:r>
      <w:r>
        <w:rPr/>
        <w:t>Plate</w:t>
      </w:r>
      <w:r>
        <w:rPr>
          <w:spacing w:val="-2"/>
        </w:rPr>
        <w:t> </w:t>
      </w:r>
      <w:r>
        <w:rPr/>
        <w:t>IV:</w:t>
      </w:r>
      <w:r>
        <w:rPr>
          <w:spacing w:val="-5"/>
        </w:rPr>
        <w:t> </w:t>
      </w:r>
      <w:r>
        <w:rPr/>
        <w:t>dry</w:t>
      </w:r>
      <w:r>
        <w:rPr>
          <w:spacing w:val="-3"/>
        </w:rPr>
        <w:t> </w:t>
      </w:r>
      <w:r>
        <w:rPr>
          <w:spacing w:val="-2"/>
        </w:rPr>
        <w:t>biosurfactant</w:t>
      </w:r>
    </w:p>
    <w:p>
      <w:pPr>
        <w:spacing w:after="0"/>
        <w:sectPr>
          <w:pgSz w:w="12240" w:h="15840"/>
          <w:pgMar w:header="0" w:footer="1015" w:top="1360" w:bottom="1200" w:left="1320" w:right="1320"/>
        </w:sectPr>
      </w:pPr>
    </w:p>
    <w:p>
      <w:pPr>
        <w:pStyle w:val="BodyText"/>
        <w:spacing w:line="477" w:lineRule="auto" w:before="71"/>
        <w:ind w:left="120" w:right="75"/>
      </w:pPr>
      <w:r>
        <w:rPr>
          <w:position w:val="2"/>
        </w:rPr>
        <w:t>The</w:t>
      </w:r>
      <w:r>
        <w:rPr>
          <w:spacing w:val="-3"/>
          <w:position w:val="2"/>
        </w:rPr>
        <w:t> </w:t>
      </w:r>
      <w:r>
        <w:rPr>
          <w:position w:val="2"/>
        </w:rPr>
        <w:t>result</w:t>
      </w:r>
      <w:r>
        <w:rPr>
          <w:spacing w:val="-1"/>
          <w:position w:val="2"/>
        </w:rPr>
        <w:t> </w:t>
      </w:r>
      <w:r>
        <w:rPr>
          <w:position w:val="2"/>
        </w:rPr>
        <w:t>for</w:t>
      </w:r>
      <w:r>
        <w:rPr>
          <w:spacing w:val="-2"/>
          <w:position w:val="2"/>
        </w:rPr>
        <w:t> </w:t>
      </w:r>
      <w:r>
        <w:rPr>
          <w:position w:val="2"/>
        </w:rPr>
        <w:t>the</w:t>
      </w:r>
      <w:r>
        <w:rPr>
          <w:spacing w:val="-1"/>
          <w:position w:val="2"/>
        </w:rPr>
        <w:t> </w:t>
      </w:r>
      <w:r>
        <w:rPr>
          <w:position w:val="2"/>
        </w:rPr>
        <w:t>Emulsification</w:t>
      </w:r>
      <w:r>
        <w:rPr>
          <w:spacing w:val="-2"/>
          <w:position w:val="2"/>
        </w:rPr>
        <w:t> </w:t>
      </w:r>
      <w:r>
        <w:rPr>
          <w:position w:val="2"/>
        </w:rPr>
        <w:t>index</w:t>
      </w:r>
      <w:r>
        <w:rPr>
          <w:spacing w:val="-1"/>
          <w:position w:val="2"/>
        </w:rPr>
        <w:t> </w:t>
      </w:r>
      <w:r>
        <w:rPr>
          <w:position w:val="2"/>
        </w:rPr>
        <w:t>(E</w:t>
      </w:r>
      <w:r>
        <w:rPr>
          <w:sz w:val="16"/>
        </w:rPr>
        <w:t>24</w:t>
      </w:r>
      <w:r>
        <w:rPr>
          <w:position w:val="2"/>
        </w:rPr>
        <w:t>)</w:t>
      </w:r>
      <w:r>
        <w:rPr>
          <w:spacing w:val="-2"/>
          <w:position w:val="2"/>
        </w:rPr>
        <w:t> </w:t>
      </w:r>
      <w:r>
        <w:rPr>
          <w:position w:val="2"/>
        </w:rPr>
        <w:t>of</w:t>
      </w:r>
      <w:r>
        <w:rPr>
          <w:spacing w:val="-4"/>
          <w:position w:val="2"/>
        </w:rPr>
        <w:t> </w:t>
      </w:r>
      <w:r>
        <w:rPr>
          <w:position w:val="2"/>
        </w:rPr>
        <w:t>the</w:t>
      </w:r>
      <w:r>
        <w:rPr>
          <w:spacing w:val="-3"/>
          <w:position w:val="2"/>
        </w:rPr>
        <w:t> </w:t>
      </w:r>
      <w:r>
        <w:rPr>
          <w:position w:val="2"/>
        </w:rPr>
        <w:t>culture</w:t>
      </w:r>
      <w:r>
        <w:rPr>
          <w:spacing w:val="-3"/>
          <w:position w:val="2"/>
        </w:rPr>
        <w:t> </w:t>
      </w:r>
      <w:r>
        <w:rPr>
          <w:position w:val="2"/>
        </w:rPr>
        <w:t>supernatant</w:t>
      </w:r>
      <w:r>
        <w:rPr>
          <w:spacing w:val="-2"/>
          <w:position w:val="2"/>
        </w:rPr>
        <w:t> </w:t>
      </w:r>
      <w:r>
        <w:rPr>
          <w:position w:val="2"/>
        </w:rPr>
        <w:t>of </w:t>
      </w:r>
      <w:r>
        <w:rPr>
          <w:i/>
          <w:position w:val="2"/>
        </w:rPr>
        <w:t>Alcaligenes</w:t>
      </w:r>
      <w:r>
        <w:rPr>
          <w:i/>
          <w:spacing w:val="-1"/>
          <w:position w:val="2"/>
        </w:rPr>
        <w:t> </w:t>
      </w:r>
      <w:r>
        <w:rPr>
          <w:i/>
          <w:position w:val="2"/>
        </w:rPr>
        <w:t>faecalis</w:t>
      </w:r>
      <w:r>
        <w:rPr>
          <w:i/>
          <w:spacing w:val="-1"/>
          <w:position w:val="2"/>
        </w:rPr>
        <w:t> </w:t>
      </w:r>
      <w:r>
        <w:rPr>
          <w:position w:val="2"/>
        </w:rPr>
        <w:t>for </w:t>
      </w:r>
      <w:r>
        <w:rPr/>
        <w:t>a period of 7 days is shown in Table 4.2.</w:t>
      </w:r>
    </w:p>
    <w:p>
      <w:pPr>
        <w:tabs>
          <w:tab w:pos="2100" w:val="left" w:leader="none"/>
        </w:tabs>
        <w:spacing w:before="9"/>
        <w:ind w:left="660" w:right="0" w:firstLine="0"/>
        <w:jc w:val="left"/>
        <w:rPr>
          <w:b/>
          <w:sz w:val="24"/>
        </w:rPr>
      </w:pPr>
      <w:r>
        <w:rPr>
          <w:b/>
          <w:sz w:val="24"/>
        </w:rPr>
        <w:t>Table</w:t>
      </w:r>
      <w:r>
        <w:rPr>
          <w:b/>
          <w:spacing w:val="-3"/>
          <w:sz w:val="24"/>
        </w:rPr>
        <w:t> </w:t>
      </w:r>
      <w:r>
        <w:rPr>
          <w:b/>
          <w:spacing w:val="-4"/>
          <w:sz w:val="24"/>
        </w:rPr>
        <w:t>4.2:</w:t>
      </w:r>
      <w:r>
        <w:rPr>
          <w:b/>
          <w:sz w:val="24"/>
        </w:rPr>
        <w:tab/>
        <w:t>Emulsification</w:t>
      </w:r>
      <w:r>
        <w:rPr>
          <w:b/>
          <w:spacing w:val="-6"/>
          <w:sz w:val="24"/>
        </w:rPr>
        <w:t> </w:t>
      </w:r>
      <w:r>
        <w:rPr>
          <w:b/>
          <w:sz w:val="24"/>
        </w:rPr>
        <w:t>activity</w:t>
      </w:r>
      <w:r>
        <w:rPr>
          <w:b/>
          <w:spacing w:val="-6"/>
          <w:sz w:val="24"/>
        </w:rPr>
        <w:t> </w:t>
      </w:r>
      <w:r>
        <w:rPr>
          <w:b/>
          <w:sz w:val="24"/>
        </w:rPr>
        <w:t>of</w:t>
      </w:r>
      <w:r>
        <w:rPr>
          <w:b/>
          <w:spacing w:val="-3"/>
          <w:sz w:val="24"/>
        </w:rPr>
        <w:t> </w:t>
      </w:r>
      <w:r>
        <w:rPr>
          <w:b/>
          <w:i/>
          <w:sz w:val="24"/>
        </w:rPr>
        <w:t>Alcaligenes</w:t>
      </w:r>
      <w:r>
        <w:rPr>
          <w:b/>
          <w:i/>
          <w:spacing w:val="-6"/>
          <w:sz w:val="24"/>
        </w:rPr>
        <w:t> </w:t>
      </w:r>
      <w:r>
        <w:rPr>
          <w:b/>
          <w:i/>
          <w:sz w:val="24"/>
        </w:rPr>
        <w:t>faecalis</w:t>
      </w:r>
      <w:r>
        <w:rPr>
          <w:b/>
          <w:i/>
          <w:spacing w:val="-5"/>
          <w:sz w:val="24"/>
        </w:rPr>
        <w:t> </w:t>
      </w:r>
      <w:r>
        <w:rPr>
          <w:b/>
          <w:sz w:val="24"/>
        </w:rPr>
        <w:t>for</w:t>
      </w:r>
      <w:r>
        <w:rPr>
          <w:b/>
          <w:spacing w:val="-7"/>
          <w:sz w:val="24"/>
        </w:rPr>
        <w:t> </w:t>
      </w:r>
      <w:r>
        <w:rPr>
          <w:b/>
          <w:sz w:val="24"/>
        </w:rPr>
        <w:t>a</w:t>
      </w:r>
      <w:r>
        <w:rPr>
          <w:b/>
          <w:spacing w:val="-6"/>
          <w:sz w:val="24"/>
        </w:rPr>
        <w:t> </w:t>
      </w:r>
      <w:r>
        <w:rPr>
          <w:b/>
          <w:sz w:val="24"/>
        </w:rPr>
        <w:t>period</w:t>
      </w:r>
      <w:r>
        <w:rPr>
          <w:b/>
          <w:spacing w:val="-4"/>
          <w:sz w:val="24"/>
        </w:rPr>
        <w:t> </w:t>
      </w:r>
      <w:r>
        <w:rPr>
          <w:b/>
          <w:sz w:val="24"/>
        </w:rPr>
        <w:t>of</w:t>
      </w:r>
      <w:r>
        <w:rPr>
          <w:b/>
          <w:spacing w:val="-5"/>
          <w:sz w:val="24"/>
        </w:rPr>
        <w:t> </w:t>
      </w:r>
      <w:r>
        <w:rPr>
          <w:b/>
          <w:sz w:val="24"/>
        </w:rPr>
        <w:t>7</w:t>
      </w:r>
      <w:r>
        <w:rPr>
          <w:b/>
          <w:spacing w:val="-5"/>
          <w:sz w:val="24"/>
        </w:rPr>
        <w:t> </w:t>
      </w:r>
      <w:r>
        <w:rPr>
          <w:b/>
          <w:spacing w:val="-4"/>
          <w:sz w:val="24"/>
        </w:rPr>
        <w:t>days</w:t>
      </w:r>
    </w:p>
    <w:p>
      <w:pPr>
        <w:pStyle w:val="BodyText"/>
        <w:spacing w:before="3"/>
        <w:rPr>
          <w:b/>
        </w:rPr>
      </w:pPr>
    </w:p>
    <w:tbl>
      <w:tblPr>
        <w:tblW w:w="0" w:type="auto"/>
        <w:jc w:val="left"/>
        <w:tblInd w:w="1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0"/>
        <w:gridCol w:w="1471"/>
        <w:gridCol w:w="1396"/>
      </w:tblGrid>
      <w:tr>
        <w:trPr>
          <w:trHeight w:val="752" w:hRule="atLeast"/>
        </w:trPr>
        <w:tc>
          <w:tcPr>
            <w:tcW w:w="1510" w:type="dxa"/>
            <w:tcBorders>
              <w:top w:val="single" w:sz="8" w:space="0" w:color="000000"/>
              <w:bottom w:val="single" w:sz="8" w:space="0" w:color="000000"/>
            </w:tcBorders>
          </w:tcPr>
          <w:p>
            <w:pPr>
              <w:pStyle w:val="TableParagraph"/>
              <w:spacing w:line="275" w:lineRule="exact" w:before="0"/>
              <w:ind w:left="98" w:right="113"/>
              <w:jc w:val="center"/>
              <w:rPr>
                <w:b/>
                <w:sz w:val="24"/>
              </w:rPr>
            </w:pPr>
            <w:r>
              <w:rPr>
                <w:b/>
                <w:spacing w:val="-2"/>
                <w:sz w:val="24"/>
              </w:rPr>
              <w:t>Time(hours)</w:t>
            </w:r>
          </w:p>
        </w:tc>
        <w:tc>
          <w:tcPr>
            <w:tcW w:w="1471" w:type="dxa"/>
            <w:tcBorders>
              <w:top w:val="single" w:sz="8" w:space="0" w:color="000000"/>
              <w:bottom w:val="single" w:sz="8" w:space="0" w:color="000000"/>
            </w:tcBorders>
          </w:tcPr>
          <w:p>
            <w:pPr>
              <w:pStyle w:val="TableParagraph"/>
              <w:spacing w:line="275" w:lineRule="exact" w:before="0"/>
              <w:ind w:left="113" w:right="393"/>
              <w:jc w:val="center"/>
              <w:rPr>
                <w:b/>
                <w:sz w:val="24"/>
              </w:rPr>
            </w:pPr>
            <w:r>
              <w:rPr>
                <w:b/>
                <w:sz w:val="24"/>
              </w:rPr>
              <w:t>EL </w:t>
            </w:r>
            <w:r>
              <w:rPr>
                <w:b/>
                <w:spacing w:val="-4"/>
                <w:sz w:val="24"/>
              </w:rPr>
              <w:t>(mm)</w:t>
            </w:r>
          </w:p>
        </w:tc>
        <w:tc>
          <w:tcPr>
            <w:tcW w:w="1396" w:type="dxa"/>
            <w:tcBorders>
              <w:top w:val="single" w:sz="8" w:space="0" w:color="000000"/>
              <w:bottom w:val="single" w:sz="8" w:space="0" w:color="000000"/>
            </w:tcBorders>
          </w:tcPr>
          <w:p>
            <w:pPr>
              <w:pStyle w:val="TableParagraph"/>
              <w:spacing w:line="274" w:lineRule="exact" w:before="0"/>
              <w:ind w:left="406"/>
              <w:rPr>
                <w:b/>
                <w:sz w:val="16"/>
              </w:rPr>
            </w:pPr>
            <w:r>
              <w:rPr>
                <w:b/>
                <w:spacing w:val="-5"/>
                <w:position w:val="1"/>
                <w:sz w:val="24"/>
              </w:rPr>
              <w:t>E</w:t>
            </w:r>
            <w:r>
              <w:rPr>
                <w:b/>
                <w:spacing w:val="-5"/>
                <w:sz w:val="16"/>
              </w:rPr>
              <w:t>24</w:t>
            </w:r>
          </w:p>
        </w:tc>
      </w:tr>
      <w:tr>
        <w:trPr>
          <w:trHeight w:val="512" w:hRule="atLeast"/>
        </w:trPr>
        <w:tc>
          <w:tcPr>
            <w:tcW w:w="1510" w:type="dxa"/>
            <w:tcBorders>
              <w:top w:val="single" w:sz="8" w:space="0" w:color="000000"/>
            </w:tcBorders>
          </w:tcPr>
          <w:p>
            <w:pPr>
              <w:pStyle w:val="TableParagraph"/>
              <w:spacing w:line="270" w:lineRule="exact" w:before="0"/>
              <w:ind w:left="98" w:right="113"/>
              <w:jc w:val="center"/>
              <w:rPr>
                <w:sz w:val="24"/>
              </w:rPr>
            </w:pPr>
            <w:r>
              <w:rPr>
                <w:spacing w:val="-5"/>
                <w:sz w:val="24"/>
              </w:rPr>
              <w:t>24</w:t>
            </w:r>
          </w:p>
        </w:tc>
        <w:tc>
          <w:tcPr>
            <w:tcW w:w="1471" w:type="dxa"/>
            <w:tcBorders>
              <w:top w:val="single" w:sz="8" w:space="0" w:color="000000"/>
            </w:tcBorders>
          </w:tcPr>
          <w:p>
            <w:pPr>
              <w:pStyle w:val="TableParagraph"/>
              <w:spacing w:line="270" w:lineRule="exact" w:before="0"/>
              <w:ind w:left="113" w:right="297"/>
              <w:jc w:val="center"/>
              <w:rPr>
                <w:sz w:val="24"/>
              </w:rPr>
            </w:pPr>
            <w:r>
              <w:rPr>
                <w:spacing w:val="-5"/>
                <w:sz w:val="24"/>
              </w:rPr>
              <w:t>2.0</w:t>
            </w:r>
          </w:p>
        </w:tc>
        <w:tc>
          <w:tcPr>
            <w:tcW w:w="1396" w:type="dxa"/>
            <w:tcBorders>
              <w:top w:val="single" w:sz="8" w:space="0" w:color="000000"/>
            </w:tcBorders>
          </w:tcPr>
          <w:p>
            <w:pPr>
              <w:pStyle w:val="TableParagraph"/>
              <w:spacing w:line="270" w:lineRule="exact" w:before="0"/>
              <w:ind w:left="0" w:right="343"/>
              <w:jc w:val="right"/>
              <w:rPr>
                <w:sz w:val="24"/>
              </w:rPr>
            </w:pPr>
            <w:r>
              <w:rPr>
                <w:spacing w:val="-4"/>
                <w:sz w:val="24"/>
              </w:rPr>
              <w:t>7.41</w:t>
            </w:r>
          </w:p>
        </w:tc>
      </w:tr>
      <w:tr>
        <w:trPr>
          <w:trHeight w:val="752" w:hRule="atLeast"/>
        </w:trPr>
        <w:tc>
          <w:tcPr>
            <w:tcW w:w="1510" w:type="dxa"/>
          </w:tcPr>
          <w:p>
            <w:pPr>
              <w:pStyle w:val="TableParagraph"/>
              <w:spacing w:before="232"/>
              <w:ind w:left="98" w:right="113"/>
              <w:jc w:val="center"/>
              <w:rPr>
                <w:sz w:val="24"/>
              </w:rPr>
            </w:pPr>
            <w:r>
              <w:rPr>
                <w:spacing w:val="-5"/>
                <w:sz w:val="24"/>
              </w:rPr>
              <w:t>48</w:t>
            </w:r>
          </w:p>
        </w:tc>
        <w:tc>
          <w:tcPr>
            <w:tcW w:w="1471" w:type="dxa"/>
          </w:tcPr>
          <w:p>
            <w:pPr>
              <w:pStyle w:val="TableParagraph"/>
              <w:spacing w:before="232"/>
              <w:ind w:left="113" w:right="297"/>
              <w:jc w:val="center"/>
              <w:rPr>
                <w:sz w:val="24"/>
              </w:rPr>
            </w:pPr>
            <w:r>
              <w:rPr>
                <w:spacing w:val="-5"/>
                <w:sz w:val="24"/>
              </w:rPr>
              <w:t>2.4</w:t>
            </w:r>
          </w:p>
        </w:tc>
        <w:tc>
          <w:tcPr>
            <w:tcW w:w="1396" w:type="dxa"/>
          </w:tcPr>
          <w:p>
            <w:pPr>
              <w:pStyle w:val="TableParagraph"/>
              <w:spacing w:before="232"/>
              <w:ind w:left="0" w:right="343"/>
              <w:jc w:val="right"/>
              <w:rPr>
                <w:sz w:val="24"/>
              </w:rPr>
            </w:pPr>
            <w:r>
              <w:rPr>
                <w:spacing w:val="-4"/>
                <w:sz w:val="24"/>
              </w:rPr>
              <w:t>8.89</w:t>
            </w:r>
          </w:p>
        </w:tc>
      </w:tr>
      <w:tr>
        <w:trPr>
          <w:trHeight w:val="752" w:hRule="atLeast"/>
        </w:trPr>
        <w:tc>
          <w:tcPr>
            <w:tcW w:w="1510" w:type="dxa"/>
          </w:tcPr>
          <w:p>
            <w:pPr>
              <w:pStyle w:val="TableParagraph"/>
              <w:spacing w:before="4"/>
              <w:ind w:left="0"/>
              <w:rPr>
                <w:b/>
                <w:sz w:val="20"/>
              </w:rPr>
            </w:pPr>
          </w:p>
          <w:p>
            <w:pPr>
              <w:pStyle w:val="TableParagraph"/>
              <w:spacing w:before="0"/>
              <w:ind w:left="98" w:right="113"/>
              <w:jc w:val="center"/>
              <w:rPr>
                <w:sz w:val="24"/>
              </w:rPr>
            </w:pPr>
            <w:r>
              <w:rPr>
                <w:spacing w:val="-5"/>
                <w:sz w:val="24"/>
              </w:rPr>
              <w:t>72</w:t>
            </w:r>
          </w:p>
        </w:tc>
        <w:tc>
          <w:tcPr>
            <w:tcW w:w="1471" w:type="dxa"/>
          </w:tcPr>
          <w:p>
            <w:pPr>
              <w:pStyle w:val="TableParagraph"/>
              <w:spacing w:before="4"/>
              <w:ind w:left="0"/>
              <w:rPr>
                <w:b/>
                <w:sz w:val="20"/>
              </w:rPr>
            </w:pPr>
          </w:p>
          <w:p>
            <w:pPr>
              <w:pStyle w:val="TableParagraph"/>
              <w:spacing w:before="0"/>
              <w:ind w:left="113" w:right="297"/>
              <w:jc w:val="center"/>
              <w:rPr>
                <w:sz w:val="24"/>
              </w:rPr>
            </w:pPr>
            <w:r>
              <w:rPr>
                <w:spacing w:val="-5"/>
                <w:sz w:val="24"/>
              </w:rPr>
              <w:t>2.4</w:t>
            </w:r>
          </w:p>
        </w:tc>
        <w:tc>
          <w:tcPr>
            <w:tcW w:w="1396" w:type="dxa"/>
          </w:tcPr>
          <w:p>
            <w:pPr>
              <w:pStyle w:val="TableParagraph"/>
              <w:spacing w:before="4"/>
              <w:ind w:left="0"/>
              <w:rPr>
                <w:b/>
                <w:sz w:val="20"/>
              </w:rPr>
            </w:pPr>
          </w:p>
          <w:p>
            <w:pPr>
              <w:pStyle w:val="TableParagraph"/>
              <w:spacing w:before="0"/>
              <w:ind w:left="0" w:right="343"/>
              <w:jc w:val="right"/>
              <w:rPr>
                <w:sz w:val="24"/>
              </w:rPr>
            </w:pPr>
            <w:r>
              <w:rPr>
                <w:spacing w:val="-4"/>
                <w:sz w:val="24"/>
              </w:rPr>
              <w:t>8.89</w:t>
            </w:r>
          </w:p>
        </w:tc>
      </w:tr>
      <w:tr>
        <w:trPr>
          <w:trHeight w:val="751" w:hRule="atLeast"/>
        </w:trPr>
        <w:tc>
          <w:tcPr>
            <w:tcW w:w="1510" w:type="dxa"/>
          </w:tcPr>
          <w:p>
            <w:pPr>
              <w:pStyle w:val="TableParagraph"/>
              <w:spacing w:before="232"/>
              <w:ind w:left="98" w:right="113"/>
              <w:jc w:val="center"/>
              <w:rPr>
                <w:sz w:val="24"/>
              </w:rPr>
            </w:pPr>
            <w:r>
              <w:rPr>
                <w:spacing w:val="-5"/>
                <w:sz w:val="24"/>
              </w:rPr>
              <w:t>96</w:t>
            </w:r>
          </w:p>
        </w:tc>
        <w:tc>
          <w:tcPr>
            <w:tcW w:w="1471" w:type="dxa"/>
          </w:tcPr>
          <w:p>
            <w:pPr>
              <w:pStyle w:val="TableParagraph"/>
              <w:spacing w:before="232"/>
              <w:ind w:left="113" w:right="297"/>
              <w:jc w:val="center"/>
              <w:rPr>
                <w:sz w:val="24"/>
              </w:rPr>
            </w:pPr>
            <w:r>
              <w:rPr>
                <w:spacing w:val="-5"/>
                <w:sz w:val="24"/>
              </w:rPr>
              <w:t>1.9</w:t>
            </w:r>
          </w:p>
        </w:tc>
        <w:tc>
          <w:tcPr>
            <w:tcW w:w="1396" w:type="dxa"/>
          </w:tcPr>
          <w:p>
            <w:pPr>
              <w:pStyle w:val="TableParagraph"/>
              <w:spacing w:before="232"/>
              <w:ind w:left="0" w:right="343"/>
              <w:jc w:val="right"/>
              <w:rPr>
                <w:sz w:val="24"/>
              </w:rPr>
            </w:pPr>
            <w:r>
              <w:rPr>
                <w:spacing w:val="-4"/>
                <w:sz w:val="24"/>
              </w:rPr>
              <w:t>7.04</w:t>
            </w:r>
          </w:p>
        </w:tc>
      </w:tr>
      <w:tr>
        <w:trPr>
          <w:trHeight w:val="751" w:hRule="atLeast"/>
        </w:trPr>
        <w:tc>
          <w:tcPr>
            <w:tcW w:w="1510" w:type="dxa"/>
          </w:tcPr>
          <w:p>
            <w:pPr>
              <w:pStyle w:val="TableParagraph"/>
              <w:spacing w:before="232"/>
              <w:ind w:left="98" w:right="113"/>
              <w:jc w:val="center"/>
              <w:rPr>
                <w:sz w:val="24"/>
              </w:rPr>
            </w:pPr>
            <w:r>
              <w:rPr>
                <w:spacing w:val="-5"/>
                <w:sz w:val="24"/>
              </w:rPr>
              <w:t>124</w:t>
            </w:r>
          </w:p>
        </w:tc>
        <w:tc>
          <w:tcPr>
            <w:tcW w:w="1471" w:type="dxa"/>
          </w:tcPr>
          <w:p>
            <w:pPr>
              <w:pStyle w:val="TableParagraph"/>
              <w:spacing w:before="232"/>
              <w:ind w:left="113" w:right="297"/>
              <w:jc w:val="center"/>
              <w:rPr>
                <w:sz w:val="24"/>
              </w:rPr>
            </w:pPr>
            <w:r>
              <w:rPr>
                <w:spacing w:val="-5"/>
                <w:sz w:val="24"/>
              </w:rPr>
              <w:t>1.5</w:t>
            </w:r>
          </w:p>
        </w:tc>
        <w:tc>
          <w:tcPr>
            <w:tcW w:w="1396" w:type="dxa"/>
          </w:tcPr>
          <w:p>
            <w:pPr>
              <w:pStyle w:val="TableParagraph"/>
              <w:spacing w:before="232"/>
              <w:ind w:left="0" w:right="343"/>
              <w:jc w:val="right"/>
              <w:rPr>
                <w:sz w:val="24"/>
              </w:rPr>
            </w:pPr>
            <w:r>
              <w:rPr>
                <w:spacing w:val="-4"/>
                <w:sz w:val="24"/>
              </w:rPr>
              <w:t>5.56</w:t>
            </w:r>
          </w:p>
        </w:tc>
      </w:tr>
      <w:tr>
        <w:trPr>
          <w:trHeight w:val="752" w:hRule="atLeast"/>
        </w:trPr>
        <w:tc>
          <w:tcPr>
            <w:tcW w:w="1510" w:type="dxa"/>
          </w:tcPr>
          <w:p>
            <w:pPr>
              <w:pStyle w:val="TableParagraph"/>
              <w:spacing w:before="232"/>
              <w:ind w:left="98" w:right="113"/>
              <w:jc w:val="center"/>
              <w:rPr>
                <w:sz w:val="24"/>
              </w:rPr>
            </w:pPr>
            <w:r>
              <w:rPr>
                <w:spacing w:val="-5"/>
                <w:sz w:val="24"/>
              </w:rPr>
              <w:t>148</w:t>
            </w:r>
          </w:p>
        </w:tc>
        <w:tc>
          <w:tcPr>
            <w:tcW w:w="1471" w:type="dxa"/>
          </w:tcPr>
          <w:p>
            <w:pPr>
              <w:pStyle w:val="TableParagraph"/>
              <w:spacing w:before="232"/>
              <w:ind w:left="113" w:right="297"/>
              <w:jc w:val="center"/>
              <w:rPr>
                <w:sz w:val="24"/>
              </w:rPr>
            </w:pPr>
            <w:r>
              <w:rPr>
                <w:spacing w:val="-5"/>
                <w:sz w:val="24"/>
              </w:rPr>
              <w:t>1.0</w:t>
            </w:r>
          </w:p>
        </w:tc>
        <w:tc>
          <w:tcPr>
            <w:tcW w:w="1396" w:type="dxa"/>
          </w:tcPr>
          <w:p>
            <w:pPr>
              <w:pStyle w:val="TableParagraph"/>
              <w:spacing w:before="232"/>
              <w:ind w:left="0" w:right="343"/>
              <w:jc w:val="right"/>
              <w:rPr>
                <w:sz w:val="24"/>
              </w:rPr>
            </w:pPr>
            <w:r>
              <w:rPr>
                <w:spacing w:val="-4"/>
                <w:sz w:val="24"/>
              </w:rPr>
              <w:t>3.70</w:t>
            </w:r>
          </w:p>
        </w:tc>
      </w:tr>
      <w:tr>
        <w:trPr>
          <w:trHeight w:val="509" w:hRule="atLeast"/>
        </w:trPr>
        <w:tc>
          <w:tcPr>
            <w:tcW w:w="1510" w:type="dxa"/>
          </w:tcPr>
          <w:p>
            <w:pPr>
              <w:pStyle w:val="TableParagraph"/>
              <w:spacing w:line="256" w:lineRule="exact" w:before="233"/>
              <w:ind w:left="98" w:right="113"/>
              <w:jc w:val="center"/>
              <w:rPr>
                <w:sz w:val="24"/>
              </w:rPr>
            </w:pPr>
            <w:r>
              <w:rPr>
                <w:spacing w:val="-5"/>
                <w:sz w:val="24"/>
              </w:rPr>
              <w:t>172</w:t>
            </w:r>
          </w:p>
        </w:tc>
        <w:tc>
          <w:tcPr>
            <w:tcW w:w="1471" w:type="dxa"/>
          </w:tcPr>
          <w:p>
            <w:pPr>
              <w:pStyle w:val="TableParagraph"/>
              <w:spacing w:line="256" w:lineRule="exact" w:before="233"/>
              <w:ind w:left="113" w:right="297"/>
              <w:jc w:val="center"/>
              <w:rPr>
                <w:sz w:val="24"/>
              </w:rPr>
            </w:pPr>
            <w:r>
              <w:rPr>
                <w:spacing w:val="-5"/>
                <w:sz w:val="24"/>
              </w:rPr>
              <w:t>1.0</w:t>
            </w:r>
          </w:p>
        </w:tc>
        <w:tc>
          <w:tcPr>
            <w:tcW w:w="1396" w:type="dxa"/>
          </w:tcPr>
          <w:p>
            <w:pPr>
              <w:pStyle w:val="TableParagraph"/>
              <w:spacing w:line="256" w:lineRule="exact" w:before="233"/>
              <w:ind w:left="0" w:right="343"/>
              <w:jc w:val="right"/>
              <w:rPr>
                <w:sz w:val="24"/>
              </w:rPr>
            </w:pPr>
            <w:r>
              <w:rPr>
                <w:spacing w:val="-4"/>
                <w:sz w:val="24"/>
              </w:rPr>
              <w:t>3.70</w:t>
            </w:r>
          </w:p>
        </w:tc>
      </w:tr>
    </w:tbl>
    <w:p>
      <w:pPr>
        <w:pStyle w:val="BodyText"/>
        <w:rPr>
          <w:b/>
          <w:sz w:val="20"/>
        </w:rPr>
      </w:pPr>
    </w:p>
    <w:p>
      <w:pPr>
        <w:pStyle w:val="BodyText"/>
        <w:spacing w:before="1"/>
        <w:rPr>
          <w:b/>
          <w:sz w:val="20"/>
        </w:rPr>
      </w:pPr>
      <w:r>
        <w:rPr/>
        <w:pict>
          <v:shape style="position:absolute;margin-left:162.380005pt;margin-top:12.749997pt;width:242.45pt;height:1pt;mso-position-horizontal-relative:page;mso-position-vertical-relative:paragraph;z-index:-15721472;mso-wrap-distance-left:0;mso-wrap-distance-right:0" id="docshape29" coordorigin="3248,255" coordsize="4849,20" path="m6075,255l6071,255,6056,255,4763,255,4758,255,4743,255,3248,255,3248,274,4743,274,4758,274,4763,274,6056,274,6071,274,6075,274,6075,255xm8097,255l6075,255,6075,274,8097,274,8097,255xe" filled="true" fillcolor="#000000" stroked="false">
            <v:path arrowok="t"/>
            <v:fill type="solid"/>
            <w10:wrap type="topAndBottom"/>
          </v:shape>
        </w:pict>
      </w:r>
    </w:p>
    <w:p>
      <w:pPr>
        <w:pStyle w:val="BodyText"/>
        <w:ind w:left="120"/>
      </w:pPr>
      <w:r>
        <w:rPr>
          <w:spacing w:val="-4"/>
        </w:rPr>
        <w:t>Keys:</w:t>
      </w:r>
    </w:p>
    <w:p>
      <w:pPr>
        <w:pStyle w:val="BodyText"/>
        <w:spacing w:before="3"/>
        <w:rPr>
          <w:sz w:val="23"/>
        </w:rPr>
      </w:pPr>
    </w:p>
    <w:p>
      <w:pPr>
        <w:pStyle w:val="BodyText"/>
        <w:spacing w:line="480" w:lineRule="auto"/>
        <w:ind w:left="120" w:right="6549"/>
      </w:pPr>
      <w:r>
        <w:rPr/>
        <w:t>EL:</w:t>
      </w:r>
      <w:r>
        <w:rPr>
          <w:spacing w:val="-14"/>
        </w:rPr>
        <w:t> </w:t>
      </w:r>
      <w:r>
        <w:rPr/>
        <w:t>Emulsion</w:t>
      </w:r>
      <w:r>
        <w:rPr>
          <w:spacing w:val="-14"/>
        </w:rPr>
        <w:t> </w:t>
      </w:r>
      <w:r>
        <w:rPr/>
        <w:t>layer</w:t>
      </w:r>
      <w:r>
        <w:rPr>
          <w:spacing w:val="-14"/>
        </w:rPr>
        <w:t> </w:t>
      </w:r>
      <w:r>
        <w:rPr/>
        <w:t>height E24: Emulsion index</w:t>
      </w:r>
    </w:p>
    <w:p>
      <w:pPr>
        <w:spacing w:after="0" w:line="480" w:lineRule="auto"/>
        <w:sectPr>
          <w:pgSz w:w="12240" w:h="15840"/>
          <w:pgMar w:header="0" w:footer="1015" w:top="1360" w:bottom="1200" w:left="1320" w:right="1320"/>
        </w:sectPr>
      </w:pPr>
    </w:p>
    <w:p>
      <w:pPr>
        <w:pStyle w:val="Heading2"/>
        <w:numPr>
          <w:ilvl w:val="2"/>
          <w:numId w:val="5"/>
        </w:numPr>
        <w:tabs>
          <w:tab w:pos="661" w:val="left" w:leader="none"/>
        </w:tabs>
        <w:spacing w:line="240" w:lineRule="auto" w:before="76" w:after="0"/>
        <w:ind w:left="660" w:right="0" w:hanging="541"/>
        <w:jc w:val="both"/>
      </w:pPr>
      <w:r>
        <w:rPr/>
        <w:t>Chemical</w:t>
      </w:r>
      <w:r>
        <w:rPr>
          <w:spacing w:val="-12"/>
        </w:rPr>
        <w:t> </w:t>
      </w:r>
      <w:r>
        <w:rPr/>
        <w:t>Characterization</w:t>
      </w:r>
      <w:r>
        <w:rPr>
          <w:spacing w:val="-12"/>
        </w:rPr>
        <w:t> </w:t>
      </w:r>
      <w:r>
        <w:rPr/>
        <w:t>of</w:t>
      </w:r>
      <w:r>
        <w:rPr>
          <w:spacing w:val="-11"/>
        </w:rPr>
        <w:t> </w:t>
      </w:r>
      <w:r>
        <w:rPr>
          <w:spacing w:val="-2"/>
        </w:rPr>
        <w:t>biosurfactant</w:t>
      </w:r>
    </w:p>
    <w:p>
      <w:pPr>
        <w:pStyle w:val="BodyText"/>
        <w:spacing w:before="7"/>
        <w:rPr>
          <w:b/>
          <w:sz w:val="23"/>
        </w:rPr>
      </w:pPr>
    </w:p>
    <w:p>
      <w:pPr>
        <w:pStyle w:val="BodyText"/>
        <w:spacing w:line="480" w:lineRule="auto" w:before="1" w:after="8"/>
        <w:ind w:left="120" w:right="113"/>
        <w:jc w:val="both"/>
      </w:pPr>
      <w:r>
        <w:rPr/>
        <w:t>The Plate V shows the Raman spectroscopy of the biosurfactant produced. Peaks 424 cm</w:t>
      </w:r>
      <w:r>
        <w:rPr>
          <w:vertAlign w:val="superscript"/>
        </w:rPr>
        <w:t>-1</w:t>
      </w:r>
      <w:r>
        <w:rPr>
          <w:vertAlign w:val="baseline"/>
        </w:rPr>
        <w:t>, 644 cm</w:t>
      </w:r>
      <w:r>
        <w:rPr>
          <w:vertAlign w:val="superscript"/>
        </w:rPr>
        <w:t>-1</w:t>
      </w:r>
      <w:r>
        <w:rPr>
          <w:vertAlign w:val="baseline"/>
        </w:rPr>
        <w:t>,</w:t>
      </w:r>
      <w:r>
        <w:rPr>
          <w:spacing w:val="-2"/>
          <w:vertAlign w:val="baseline"/>
        </w:rPr>
        <w:t> </w:t>
      </w:r>
      <w:r>
        <w:rPr>
          <w:vertAlign w:val="baseline"/>
        </w:rPr>
        <w:t>8774</w:t>
      </w:r>
      <w:r>
        <w:rPr>
          <w:spacing w:val="-2"/>
          <w:vertAlign w:val="baseline"/>
        </w:rPr>
        <w:t> </w:t>
      </w:r>
      <w:r>
        <w:rPr>
          <w:vertAlign w:val="baseline"/>
        </w:rPr>
        <w:t>cm</w:t>
      </w:r>
      <w:r>
        <w:rPr>
          <w:vertAlign w:val="superscript"/>
        </w:rPr>
        <w:t>-</w:t>
      </w:r>
      <w:r>
        <w:rPr>
          <w:vertAlign w:val="baseline"/>
        </w:rPr>
        <w:t>1,</w:t>
      </w:r>
      <w:r>
        <w:rPr>
          <w:spacing w:val="-2"/>
          <w:vertAlign w:val="baseline"/>
        </w:rPr>
        <w:t> </w:t>
      </w:r>
      <w:r>
        <w:rPr>
          <w:vertAlign w:val="baseline"/>
        </w:rPr>
        <w:t>1010 cm</w:t>
      </w:r>
      <w:r>
        <w:rPr>
          <w:vertAlign w:val="superscript"/>
        </w:rPr>
        <w:t>-1</w:t>
      </w:r>
      <w:r>
        <w:rPr>
          <w:vertAlign w:val="baseline"/>
        </w:rPr>
        <w:t>,</w:t>
      </w:r>
      <w:r>
        <w:rPr>
          <w:spacing w:val="-2"/>
          <w:vertAlign w:val="baseline"/>
        </w:rPr>
        <w:t> </w:t>
      </w:r>
      <w:r>
        <w:rPr>
          <w:vertAlign w:val="baseline"/>
        </w:rPr>
        <w:t>1790</w:t>
      </w:r>
      <w:r>
        <w:rPr>
          <w:spacing w:val="-2"/>
          <w:vertAlign w:val="baseline"/>
        </w:rPr>
        <w:t> </w:t>
      </w:r>
      <w:r>
        <w:rPr>
          <w:vertAlign w:val="baseline"/>
        </w:rPr>
        <w:t>cm</w:t>
      </w:r>
      <w:r>
        <w:rPr>
          <w:vertAlign w:val="superscript"/>
        </w:rPr>
        <w:t>-1</w:t>
      </w:r>
      <w:r>
        <w:rPr>
          <w:vertAlign w:val="baseline"/>
        </w:rPr>
        <w:t>,</w:t>
      </w:r>
      <w:r>
        <w:rPr>
          <w:spacing w:val="-2"/>
          <w:vertAlign w:val="baseline"/>
        </w:rPr>
        <w:t> </w:t>
      </w:r>
      <w:r>
        <w:rPr>
          <w:vertAlign w:val="baseline"/>
        </w:rPr>
        <w:t>and</w:t>
      </w:r>
      <w:r>
        <w:rPr>
          <w:spacing w:val="-2"/>
          <w:vertAlign w:val="baseline"/>
        </w:rPr>
        <w:t> </w:t>
      </w:r>
      <w:r>
        <w:rPr>
          <w:vertAlign w:val="baseline"/>
        </w:rPr>
        <w:t>2878 cm</w:t>
      </w:r>
      <w:r>
        <w:rPr>
          <w:vertAlign w:val="superscript"/>
        </w:rPr>
        <w:t>-1</w:t>
      </w:r>
      <w:r>
        <w:rPr>
          <w:spacing w:val="-1"/>
          <w:vertAlign w:val="baseline"/>
        </w:rPr>
        <w:t> </w:t>
      </w:r>
      <w:r>
        <w:rPr>
          <w:vertAlign w:val="baseline"/>
        </w:rPr>
        <w:t>represent functional</w:t>
      </w:r>
      <w:r>
        <w:rPr>
          <w:spacing w:val="-2"/>
          <w:vertAlign w:val="baseline"/>
        </w:rPr>
        <w:t> </w:t>
      </w:r>
      <w:r>
        <w:rPr>
          <w:vertAlign w:val="baseline"/>
        </w:rPr>
        <w:t>groups</w:t>
      </w:r>
      <w:r>
        <w:rPr>
          <w:spacing w:val="40"/>
          <w:vertAlign w:val="baseline"/>
        </w:rPr>
        <w:t> </w:t>
      </w:r>
      <w:r>
        <w:rPr>
          <w:vertAlign w:val="baseline"/>
        </w:rPr>
        <w:t>-S-S,</w:t>
      </w:r>
      <w:r>
        <w:rPr>
          <w:spacing w:val="-2"/>
          <w:vertAlign w:val="baseline"/>
        </w:rPr>
        <w:t> </w:t>
      </w:r>
      <w:r>
        <w:rPr>
          <w:vertAlign w:val="baseline"/>
        </w:rPr>
        <w:t>–C-S-,</w:t>
      </w:r>
      <w:r>
        <w:rPr>
          <w:spacing w:val="-3"/>
          <w:vertAlign w:val="baseline"/>
        </w:rPr>
        <w:t> </w:t>
      </w:r>
      <w:r>
        <w:rPr>
          <w:vertAlign w:val="baseline"/>
        </w:rPr>
        <w:t>- C-C-,</w:t>
      </w:r>
      <w:r>
        <w:rPr>
          <w:spacing w:val="-13"/>
          <w:vertAlign w:val="baseline"/>
        </w:rPr>
        <w:t> </w:t>
      </w:r>
      <w:r>
        <w:rPr>
          <w:vertAlign w:val="baseline"/>
        </w:rPr>
        <w:t>-O-O-,</w:t>
      </w:r>
      <w:r>
        <w:rPr>
          <w:spacing w:val="-13"/>
          <w:vertAlign w:val="baseline"/>
        </w:rPr>
        <w:t> </w:t>
      </w:r>
      <w:r>
        <w:rPr>
          <w:vertAlign w:val="baseline"/>
        </w:rPr>
        <w:t>-N-N-</w:t>
      </w:r>
      <w:r>
        <w:rPr>
          <w:spacing w:val="-11"/>
          <w:vertAlign w:val="baseline"/>
        </w:rPr>
        <w:t> </w:t>
      </w:r>
      <w:r>
        <w:rPr>
          <w:vertAlign w:val="baseline"/>
        </w:rPr>
        <w:t>and</w:t>
      </w:r>
      <w:r>
        <w:rPr>
          <w:spacing w:val="-13"/>
          <w:vertAlign w:val="baseline"/>
        </w:rPr>
        <w:t> </w:t>
      </w:r>
      <w:r>
        <w:rPr>
          <w:vertAlign w:val="baseline"/>
        </w:rPr>
        <w:t>–</w:t>
      </w:r>
      <w:r>
        <w:rPr>
          <w:spacing w:val="-13"/>
          <w:vertAlign w:val="baseline"/>
        </w:rPr>
        <w:t> </w:t>
      </w:r>
      <w:r>
        <w:rPr>
          <w:vertAlign w:val="baseline"/>
        </w:rPr>
        <w:t>C-H-</w:t>
      </w:r>
      <w:r>
        <w:rPr>
          <w:spacing w:val="-14"/>
          <w:vertAlign w:val="baseline"/>
        </w:rPr>
        <w:t> </w:t>
      </w:r>
      <w:r>
        <w:rPr>
          <w:vertAlign w:val="baseline"/>
        </w:rPr>
        <w:t>respectively.</w:t>
      </w:r>
      <w:r>
        <w:rPr>
          <w:spacing w:val="-13"/>
          <w:vertAlign w:val="baseline"/>
        </w:rPr>
        <w:t> </w:t>
      </w:r>
      <w:r>
        <w:rPr>
          <w:vertAlign w:val="baseline"/>
        </w:rPr>
        <w:t>These</w:t>
      </w:r>
      <w:r>
        <w:rPr>
          <w:spacing w:val="-12"/>
          <w:vertAlign w:val="baseline"/>
        </w:rPr>
        <w:t> </w:t>
      </w:r>
      <w:r>
        <w:rPr>
          <w:vertAlign w:val="baseline"/>
        </w:rPr>
        <w:t>confirmed</w:t>
      </w:r>
      <w:r>
        <w:rPr>
          <w:spacing w:val="-14"/>
          <w:vertAlign w:val="baseline"/>
        </w:rPr>
        <w:t> </w:t>
      </w:r>
      <w:r>
        <w:rPr>
          <w:vertAlign w:val="baseline"/>
        </w:rPr>
        <w:t>the</w:t>
      </w:r>
      <w:r>
        <w:rPr>
          <w:spacing w:val="-14"/>
          <w:vertAlign w:val="baseline"/>
        </w:rPr>
        <w:t> </w:t>
      </w:r>
      <w:r>
        <w:rPr>
          <w:vertAlign w:val="baseline"/>
        </w:rPr>
        <w:t>presence</w:t>
      </w:r>
      <w:r>
        <w:rPr>
          <w:spacing w:val="-14"/>
          <w:vertAlign w:val="baseline"/>
        </w:rPr>
        <w:t> </w:t>
      </w:r>
      <w:r>
        <w:rPr>
          <w:vertAlign w:val="baseline"/>
        </w:rPr>
        <w:t>of</w:t>
      </w:r>
      <w:r>
        <w:rPr>
          <w:spacing w:val="-14"/>
          <w:vertAlign w:val="baseline"/>
        </w:rPr>
        <w:t> </w:t>
      </w:r>
      <w:r>
        <w:rPr>
          <w:vertAlign w:val="baseline"/>
        </w:rPr>
        <w:t>lipoprotein</w:t>
      </w:r>
      <w:r>
        <w:rPr>
          <w:spacing w:val="-13"/>
          <w:vertAlign w:val="baseline"/>
        </w:rPr>
        <w:t> </w:t>
      </w:r>
      <w:r>
        <w:rPr>
          <w:vertAlign w:val="baseline"/>
        </w:rPr>
        <w:t>moieties in the biosurfactant. RAMAN scattering is usually used as a vibrational spectroscopic technique, which complement infrared spectroscopic technique for analyzing composition. The main advantage of</w:t>
      </w:r>
      <w:r>
        <w:rPr>
          <w:spacing w:val="-1"/>
          <w:vertAlign w:val="baseline"/>
        </w:rPr>
        <w:t> </w:t>
      </w:r>
      <w:r>
        <w:rPr>
          <w:vertAlign w:val="baseline"/>
        </w:rPr>
        <w:t>this</w:t>
      </w:r>
      <w:r>
        <w:rPr>
          <w:spacing w:val="-1"/>
          <w:vertAlign w:val="baseline"/>
        </w:rPr>
        <w:t> </w:t>
      </w:r>
      <w:r>
        <w:rPr>
          <w:vertAlign w:val="baseline"/>
        </w:rPr>
        <w:t>technique</w:t>
      </w:r>
      <w:r>
        <w:rPr>
          <w:spacing w:val="-2"/>
          <w:vertAlign w:val="baseline"/>
        </w:rPr>
        <w:t> </w:t>
      </w:r>
      <w:r>
        <w:rPr>
          <w:vertAlign w:val="baseline"/>
        </w:rPr>
        <w:t>is</w:t>
      </w:r>
      <w:r>
        <w:rPr>
          <w:spacing w:val="-1"/>
          <w:vertAlign w:val="baseline"/>
        </w:rPr>
        <w:t> </w:t>
      </w:r>
      <w:r>
        <w:rPr>
          <w:vertAlign w:val="baseline"/>
        </w:rPr>
        <w:t>that</w:t>
      </w:r>
      <w:r>
        <w:rPr>
          <w:spacing w:val="-1"/>
          <w:vertAlign w:val="baseline"/>
        </w:rPr>
        <w:t> </w:t>
      </w:r>
      <w:r>
        <w:rPr>
          <w:vertAlign w:val="baseline"/>
        </w:rPr>
        <w:t>it</w:t>
      </w:r>
      <w:r>
        <w:rPr>
          <w:spacing w:val="-1"/>
          <w:vertAlign w:val="baseline"/>
        </w:rPr>
        <w:t> </w:t>
      </w:r>
      <w:r>
        <w:rPr>
          <w:vertAlign w:val="baseline"/>
        </w:rPr>
        <w:t>has</w:t>
      </w:r>
      <w:r>
        <w:rPr>
          <w:spacing w:val="-1"/>
          <w:vertAlign w:val="baseline"/>
        </w:rPr>
        <w:t> </w:t>
      </w:r>
      <w:r>
        <w:rPr>
          <w:vertAlign w:val="baseline"/>
        </w:rPr>
        <w:t>low</w:t>
      </w:r>
      <w:r>
        <w:rPr>
          <w:spacing w:val="-1"/>
          <w:vertAlign w:val="baseline"/>
        </w:rPr>
        <w:t> </w:t>
      </w:r>
      <w:r>
        <w:rPr>
          <w:vertAlign w:val="baseline"/>
        </w:rPr>
        <w:t>sensitivity</w:t>
      </w:r>
      <w:r>
        <w:rPr>
          <w:spacing w:val="-6"/>
          <w:vertAlign w:val="baseline"/>
        </w:rPr>
        <w:t> </w:t>
      </w:r>
      <w:r>
        <w:rPr>
          <w:vertAlign w:val="baseline"/>
        </w:rPr>
        <w:t>to</w:t>
      </w:r>
      <w:r>
        <w:rPr>
          <w:spacing w:val="-1"/>
          <w:vertAlign w:val="baseline"/>
        </w:rPr>
        <w:t> </w:t>
      </w:r>
      <w:r>
        <w:rPr>
          <w:vertAlign w:val="baseline"/>
        </w:rPr>
        <w:t>water content</w:t>
      </w:r>
      <w:r>
        <w:rPr>
          <w:spacing w:val="-1"/>
          <w:vertAlign w:val="baseline"/>
        </w:rPr>
        <w:t> </w:t>
      </w:r>
      <w:r>
        <w:rPr>
          <w:vertAlign w:val="baseline"/>
        </w:rPr>
        <w:t>when</w:t>
      </w:r>
      <w:r>
        <w:rPr>
          <w:spacing w:val="-1"/>
          <w:vertAlign w:val="baseline"/>
        </w:rPr>
        <w:t> </w:t>
      </w:r>
      <w:r>
        <w:rPr>
          <w:vertAlign w:val="baseline"/>
        </w:rPr>
        <w:t>applied to</w:t>
      </w:r>
      <w:r>
        <w:rPr>
          <w:spacing w:val="-1"/>
          <w:vertAlign w:val="baseline"/>
        </w:rPr>
        <w:t> </w:t>
      </w:r>
      <w:r>
        <w:rPr>
          <w:vertAlign w:val="baseline"/>
        </w:rPr>
        <w:t>samples of biological origin (Han </w:t>
      </w:r>
      <w:r>
        <w:rPr>
          <w:i/>
          <w:vertAlign w:val="baseline"/>
        </w:rPr>
        <w:t>et al</w:t>
      </w:r>
      <w:r>
        <w:rPr>
          <w:vertAlign w:val="baseline"/>
        </w:rPr>
        <w:t>., 2012; San-Keskin </w:t>
      </w:r>
      <w:r>
        <w:rPr>
          <w:i/>
          <w:vertAlign w:val="baseline"/>
        </w:rPr>
        <w:t>et al</w:t>
      </w:r>
      <w:r>
        <w:rPr>
          <w:vertAlign w:val="baseline"/>
        </w:rPr>
        <w:t>., 2015).</w:t>
      </w:r>
    </w:p>
    <w:p>
      <w:pPr>
        <w:pStyle w:val="BodyText"/>
        <w:ind w:left="120"/>
        <w:rPr>
          <w:sz w:val="20"/>
        </w:rPr>
      </w:pPr>
      <w:r>
        <w:rPr>
          <w:sz w:val="20"/>
        </w:rPr>
        <w:pict>
          <v:group style="width:468pt;height:343pt;mso-position-horizontal-relative:char;mso-position-vertical-relative:line" id="docshapegroup30" coordorigin="0,0" coordsize="9360,6860">
            <v:shape style="position:absolute;left:0;top:0;width:9360;height:6860" type="#_x0000_t75" id="docshape31" stroked="false">
              <v:imagedata r:id="rId19" o:title=""/>
            </v:shape>
            <v:shape style="position:absolute;left:1860;top:838;width:527;height:266" type="#_x0000_t202" id="docshape32" filled="false" stroked="false">
              <v:textbox inset="0,0,0,0">
                <w:txbxContent>
                  <w:p>
                    <w:pPr>
                      <w:spacing w:line="266" w:lineRule="exact" w:before="0"/>
                      <w:ind w:left="0" w:right="0" w:firstLine="0"/>
                      <w:jc w:val="left"/>
                      <w:rPr>
                        <w:sz w:val="24"/>
                      </w:rPr>
                    </w:pPr>
                    <w:r>
                      <w:rPr>
                        <w:spacing w:val="-2"/>
                        <w:sz w:val="24"/>
                      </w:rPr>
                      <w:t>(S-</w:t>
                    </w:r>
                    <w:r>
                      <w:rPr>
                        <w:spacing w:val="-5"/>
                        <w:sz w:val="24"/>
                      </w:rPr>
                      <w:t>S)</w:t>
                    </w:r>
                  </w:p>
                </w:txbxContent>
              </v:textbox>
              <w10:wrap type="none"/>
            </v:shape>
            <v:shape style="position:absolute;left:2602;top:2100;width:604;height:266" type="#_x0000_t202" id="docshape33" filled="false" stroked="false">
              <v:textbox inset="0,0,0,0">
                <w:txbxContent>
                  <w:p>
                    <w:pPr>
                      <w:spacing w:line="266" w:lineRule="exact" w:before="0"/>
                      <w:ind w:left="0" w:right="0" w:firstLine="0"/>
                      <w:jc w:val="left"/>
                      <w:rPr>
                        <w:sz w:val="24"/>
                      </w:rPr>
                    </w:pPr>
                    <w:r>
                      <w:rPr>
                        <w:spacing w:val="-2"/>
                        <w:sz w:val="24"/>
                      </w:rPr>
                      <w:t>(O-</w:t>
                    </w:r>
                    <w:r>
                      <w:rPr>
                        <w:spacing w:val="-5"/>
                        <w:sz w:val="24"/>
                      </w:rPr>
                      <w:t>O)</w:t>
                    </w:r>
                  </w:p>
                </w:txbxContent>
              </v:textbox>
              <w10:wrap type="none"/>
            </v:shape>
            <v:shape style="position:absolute;left:4935;top:3101;width:582;height:266" type="#_x0000_t202" id="docshape34" filled="false" stroked="false">
              <v:textbox inset="0,0,0,0">
                <w:txbxContent>
                  <w:p>
                    <w:pPr>
                      <w:spacing w:line="266" w:lineRule="exact" w:before="0"/>
                      <w:ind w:left="0" w:right="0" w:firstLine="0"/>
                      <w:jc w:val="left"/>
                      <w:rPr>
                        <w:sz w:val="24"/>
                      </w:rPr>
                    </w:pPr>
                    <w:r>
                      <w:rPr>
                        <w:spacing w:val="-2"/>
                        <w:sz w:val="24"/>
                      </w:rPr>
                      <w:t>(C-</w:t>
                    </w:r>
                    <w:r>
                      <w:rPr>
                        <w:spacing w:val="-5"/>
                        <w:sz w:val="24"/>
                      </w:rPr>
                      <w:t>C)</w:t>
                    </w:r>
                  </w:p>
                </w:txbxContent>
              </v:textbox>
              <w10:wrap type="none"/>
            </v:shape>
            <v:shape style="position:absolute;left:2112;top:3658;width:554;height:266" type="#_x0000_t202" id="docshape35" filled="false" stroked="false">
              <v:textbox inset="0,0,0,0">
                <w:txbxContent>
                  <w:p>
                    <w:pPr>
                      <w:spacing w:line="266" w:lineRule="exact" w:before="0"/>
                      <w:ind w:left="0" w:right="0" w:firstLine="0"/>
                      <w:jc w:val="left"/>
                      <w:rPr>
                        <w:sz w:val="24"/>
                      </w:rPr>
                    </w:pPr>
                    <w:r>
                      <w:rPr>
                        <w:spacing w:val="-2"/>
                        <w:sz w:val="24"/>
                      </w:rPr>
                      <w:t>(C-</w:t>
                    </w:r>
                    <w:r>
                      <w:rPr>
                        <w:spacing w:val="-5"/>
                        <w:sz w:val="24"/>
                      </w:rPr>
                      <w:t>S)</w:t>
                    </w:r>
                  </w:p>
                </w:txbxContent>
              </v:textbox>
              <w10:wrap type="none"/>
            </v:shape>
            <v:shape style="position:absolute;left:3032;top:3769;width:581;height:266" type="#_x0000_t202" id="docshape36" filled="false" stroked="false">
              <v:textbox inset="0,0,0,0">
                <w:txbxContent>
                  <w:p>
                    <w:pPr>
                      <w:spacing w:line="266" w:lineRule="exact" w:before="0"/>
                      <w:ind w:left="0" w:right="0" w:firstLine="0"/>
                      <w:jc w:val="left"/>
                      <w:rPr>
                        <w:sz w:val="24"/>
                      </w:rPr>
                    </w:pPr>
                    <w:r>
                      <w:rPr>
                        <w:spacing w:val="-2"/>
                        <w:sz w:val="24"/>
                      </w:rPr>
                      <w:t>(C-</w:t>
                    </w:r>
                    <w:r>
                      <w:rPr>
                        <w:spacing w:val="-5"/>
                        <w:sz w:val="24"/>
                      </w:rPr>
                      <w:t>C)</w:t>
                    </w:r>
                  </w:p>
                </w:txbxContent>
              </v:textbox>
              <w10:wrap type="none"/>
            </v:shape>
            <v:shape style="position:absolute;left:7602;top:4172;width:593;height:266" type="#_x0000_t202" id="docshape37" filled="false" stroked="false">
              <v:textbox inset="0,0,0,0">
                <w:txbxContent>
                  <w:p>
                    <w:pPr>
                      <w:spacing w:line="266" w:lineRule="exact" w:before="0"/>
                      <w:ind w:left="0" w:right="0" w:firstLine="0"/>
                      <w:jc w:val="left"/>
                      <w:rPr>
                        <w:sz w:val="24"/>
                      </w:rPr>
                    </w:pPr>
                    <w:r>
                      <w:rPr>
                        <w:spacing w:val="-2"/>
                        <w:sz w:val="24"/>
                      </w:rPr>
                      <w:t>(C-</w:t>
                    </w:r>
                    <w:r>
                      <w:rPr>
                        <w:spacing w:val="-5"/>
                        <w:sz w:val="24"/>
                      </w:rPr>
                      <w:t>H)</w:t>
                    </w:r>
                  </w:p>
                </w:txbxContent>
              </v:textbox>
              <w10:wrap type="none"/>
            </v:shape>
          </v:group>
        </w:pict>
      </w:r>
      <w:r>
        <w:rPr>
          <w:sz w:val="20"/>
        </w:rPr>
      </w:r>
    </w:p>
    <w:p>
      <w:pPr>
        <w:pStyle w:val="BodyText"/>
        <w:spacing w:before="9"/>
        <w:rPr>
          <w:sz w:val="23"/>
        </w:rPr>
      </w:pPr>
    </w:p>
    <w:p>
      <w:pPr>
        <w:pStyle w:val="Heading2"/>
        <w:ind w:left="120" w:firstLine="0"/>
      </w:pPr>
      <w:r>
        <w:rPr/>
        <w:t>Plate</w:t>
      </w:r>
      <w:r>
        <w:rPr>
          <w:spacing w:val="-6"/>
        </w:rPr>
        <w:t> </w:t>
      </w:r>
      <w:r>
        <w:rPr/>
        <w:t>V:</w:t>
      </w:r>
      <w:r>
        <w:rPr>
          <w:spacing w:val="-6"/>
        </w:rPr>
        <w:t> </w:t>
      </w:r>
      <w:r>
        <w:rPr/>
        <w:t>Raman</w:t>
      </w:r>
      <w:r>
        <w:rPr>
          <w:spacing w:val="-5"/>
        </w:rPr>
        <w:t> </w:t>
      </w:r>
      <w:r>
        <w:rPr/>
        <w:t>Spectroscopy</w:t>
      </w:r>
      <w:r>
        <w:rPr>
          <w:spacing w:val="-4"/>
        </w:rPr>
        <w:t> </w:t>
      </w:r>
      <w:r>
        <w:rPr/>
        <w:t>of</w:t>
      </w:r>
      <w:r>
        <w:rPr>
          <w:spacing w:val="-4"/>
        </w:rPr>
        <w:t> </w:t>
      </w:r>
      <w:r>
        <w:rPr/>
        <w:t>the</w:t>
      </w:r>
      <w:r>
        <w:rPr>
          <w:spacing w:val="-4"/>
        </w:rPr>
        <w:t> </w:t>
      </w:r>
      <w:r>
        <w:rPr>
          <w:spacing w:val="-2"/>
        </w:rPr>
        <w:t>biosurfactants</w:t>
      </w:r>
    </w:p>
    <w:p>
      <w:pPr>
        <w:spacing w:after="0"/>
        <w:sectPr>
          <w:pgSz w:w="12240" w:h="15840"/>
          <w:pgMar w:header="0" w:footer="1015" w:top="1360" w:bottom="1200" w:left="1320" w:right="1320"/>
        </w:sectPr>
      </w:pPr>
    </w:p>
    <w:p>
      <w:pPr>
        <w:pStyle w:val="ListParagraph"/>
        <w:numPr>
          <w:ilvl w:val="2"/>
          <w:numId w:val="5"/>
        </w:numPr>
        <w:tabs>
          <w:tab w:pos="840" w:val="left" w:leader="none"/>
          <w:tab w:pos="841" w:val="left" w:leader="none"/>
        </w:tabs>
        <w:spacing w:line="240" w:lineRule="auto" w:before="76" w:after="0"/>
        <w:ind w:left="840" w:right="0" w:hanging="721"/>
        <w:jc w:val="left"/>
        <w:rPr>
          <w:b/>
          <w:sz w:val="24"/>
        </w:rPr>
      </w:pPr>
      <w:r>
        <w:rPr>
          <w:b/>
          <w:sz w:val="24"/>
        </w:rPr>
        <w:t>Produced</w:t>
      </w:r>
      <w:r>
        <w:rPr>
          <w:b/>
          <w:spacing w:val="-5"/>
          <w:sz w:val="24"/>
        </w:rPr>
        <w:t> </w:t>
      </w:r>
      <w:r>
        <w:rPr>
          <w:b/>
          <w:sz w:val="24"/>
        </w:rPr>
        <w:t>iron</w:t>
      </w:r>
      <w:r>
        <w:rPr>
          <w:b/>
          <w:spacing w:val="-4"/>
          <w:sz w:val="24"/>
        </w:rPr>
        <w:t> </w:t>
      </w:r>
      <w:r>
        <w:rPr>
          <w:b/>
          <w:sz w:val="24"/>
        </w:rPr>
        <w:t>oxide</w:t>
      </w:r>
      <w:r>
        <w:rPr>
          <w:b/>
          <w:spacing w:val="-5"/>
          <w:sz w:val="24"/>
        </w:rPr>
        <w:t> </w:t>
      </w:r>
      <w:r>
        <w:rPr>
          <w:b/>
          <w:spacing w:val="-2"/>
          <w:sz w:val="24"/>
        </w:rPr>
        <w:t>nanoparticles</w:t>
      </w:r>
    </w:p>
    <w:p>
      <w:pPr>
        <w:pStyle w:val="BodyText"/>
        <w:spacing w:before="7"/>
        <w:rPr>
          <w:b/>
          <w:sz w:val="23"/>
        </w:rPr>
      </w:pPr>
    </w:p>
    <w:p>
      <w:pPr>
        <w:pStyle w:val="BodyText"/>
        <w:spacing w:line="480" w:lineRule="auto" w:before="1"/>
        <w:ind w:left="120" w:right="114"/>
        <w:jc w:val="both"/>
      </w:pPr>
      <w:r>
        <w:rPr/>
        <w:t>The mixture of corn silk extract (brown) (Plate VI a) and iron (II) sulphate solution (light green) (Plate</w:t>
      </w:r>
      <w:r>
        <w:rPr>
          <w:spacing w:val="-1"/>
        </w:rPr>
        <w:t> </w:t>
      </w:r>
      <w:r>
        <w:rPr/>
        <w:t>VI</w:t>
      </w:r>
      <w:r>
        <w:rPr>
          <w:spacing w:val="-3"/>
        </w:rPr>
        <w:t> </w:t>
      </w:r>
      <w:r>
        <w:rPr/>
        <w:t>b)</w:t>
      </w:r>
      <w:r>
        <w:rPr>
          <w:spacing w:val="-1"/>
        </w:rPr>
        <w:t> </w:t>
      </w:r>
      <w:r>
        <w:rPr/>
        <w:t>in the ratio 2:1, resulted in Iron oxide</w:t>
      </w:r>
      <w:r>
        <w:rPr>
          <w:spacing w:val="-1"/>
        </w:rPr>
        <w:t> </w:t>
      </w:r>
      <w:r>
        <w:rPr/>
        <w:t>nanoparticles with a dirty</w:t>
      </w:r>
      <w:r>
        <w:rPr>
          <w:spacing w:val="-2"/>
        </w:rPr>
        <w:t> </w:t>
      </w:r>
      <w:r>
        <w:rPr/>
        <w:t>greenish colouration </w:t>
      </w:r>
      <w:r>
        <w:rPr>
          <w:position w:val="2"/>
        </w:rPr>
        <w:t>(Plate VI</w:t>
      </w:r>
      <w:r>
        <w:rPr>
          <w:spacing w:val="-4"/>
          <w:position w:val="2"/>
        </w:rPr>
        <w:t> </w:t>
      </w:r>
      <w:r>
        <w:rPr>
          <w:position w:val="2"/>
        </w:rPr>
        <w:t>c). On mixing the plant extract and the FeSO</w:t>
      </w:r>
      <w:r>
        <w:rPr>
          <w:sz w:val="16"/>
        </w:rPr>
        <w:t>4</w:t>
      </w:r>
      <w:r>
        <w:rPr>
          <w:spacing w:val="24"/>
          <w:sz w:val="16"/>
        </w:rPr>
        <w:t> </w:t>
      </w:r>
      <w:r>
        <w:rPr>
          <w:position w:val="2"/>
        </w:rPr>
        <w:t>solution, it changes the colour and pH of </w:t>
      </w:r>
      <w:r>
        <w:rPr/>
        <w:t>the solution immediately</w:t>
      </w:r>
      <w:r>
        <w:rPr>
          <w:spacing w:val="-2"/>
        </w:rPr>
        <w:t> </w:t>
      </w:r>
      <w:r>
        <w:rPr/>
        <w:t>which may</w:t>
      </w:r>
      <w:r>
        <w:rPr>
          <w:spacing w:val="-4"/>
        </w:rPr>
        <w:t> </w:t>
      </w:r>
      <w:r>
        <w:rPr/>
        <w:t>be an indicator of iron nanoparticles formation. The</w:t>
      </w:r>
      <w:r>
        <w:rPr>
          <w:spacing w:val="-1"/>
        </w:rPr>
        <w:t> </w:t>
      </w:r>
      <w:r>
        <w:rPr/>
        <w:t>pH was observed to have changed from high acidic to low acidic.</w:t>
      </w:r>
      <w:r>
        <w:rPr>
          <w:spacing w:val="40"/>
        </w:rPr>
        <w:t> </w:t>
      </w:r>
      <w:r>
        <w:rPr/>
        <w:t>Following the pH adjustment to 8 and heating at 70</w:t>
      </w:r>
      <w:r>
        <w:rPr>
          <w:vertAlign w:val="superscript"/>
        </w:rPr>
        <w:t>o</w:t>
      </w:r>
      <w:r>
        <w:rPr>
          <w:vertAlign w:val="baseline"/>
        </w:rPr>
        <w:t>C for 2 hours, and then cooled, centrifuged and washed 4 times at 4000 rpm for 5 minutes, the dark greenish sediment was dried in a hot air oven (Thermostatic, RSTI-101 series, Ambala, India) at 50</w:t>
      </w:r>
      <w:r>
        <w:rPr>
          <w:vertAlign w:val="superscript"/>
        </w:rPr>
        <w:t>o</w:t>
      </w:r>
      <w:r>
        <w:rPr>
          <w:vertAlign w:val="baseline"/>
        </w:rPr>
        <w:t>C and a brownish black residue (Plate VI d) was obtained.</w:t>
      </w:r>
    </w:p>
    <w:p>
      <w:pPr>
        <w:pStyle w:val="BodyText"/>
        <w:rPr>
          <w:sz w:val="20"/>
        </w:rPr>
      </w:pPr>
    </w:p>
    <w:p>
      <w:pPr>
        <w:pStyle w:val="BodyText"/>
        <w:spacing w:before="4"/>
        <w:rPr>
          <w:sz w:val="26"/>
        </w:rPr>
      </w:pPr>
      <w:r>
        <w:rPr/>
        <w:pict>
          <v:group style="position:absolute;margin-left:72pt;margin-top:16.362255pt;width:468pt;height:241.6pt;mso-position-horizontal-relative:page;mso-position-vertical-relative:paragraph;z-index:-15720448;mso-wrap-distance-left:0;mso-wrap-distance-right:0" id="docshapegroup38" coordorigin="1440,327" coordsize="9360,4832">
            <v:shape style="position:absolute;left:1440;top:327;width:7061;height:4832" type="#_x0000_t75" id="docshape39" stroked="false">
              <v:imagedata r:id="rId20" o:title=""/>
            </v:shape>
            <v:shape style="position:absolute;left:8248;top:327;width:2552;height:4832" type="#_x0000_t75" id="docshape40" stroked="false">
              <v:imagedata r:id="rId21" o:title=""/>
            </v:shape>
            <v:shape style="position:absolute;left:2443;top:1299;width:261;height:533" type="#_x0000_t202" id="docshape41" filled="false" stroked="false">
              <v:textbox inset="0,0,0,0">
                <w:txbxContent>
                  <w:p>
                    <w:pPr>
                      <w:spacing w:line="532" w:lineRule="exact" w:before="0"/>
                      <w:ind w:left="0" w:right="0" w:firstLine="0"/>
                      <w:jc w:val="left"/>
                      <w:rPr>
                        <w:b/>
                        <w:sz w:val="48"/>
                      </w:rPr>
                    </w:pPr>
                    <w:r>
                      <w:rPr>
                        <w:b/>
                        <w:w w:val="100"/>
                        <w:sz w:val="48"/>
                      </w:rPr>
                      <w:t>a</w:t>
                    </w:r>
                  </w:p>
                </w:txbxContent>
              </v:textbox>
              <w10:wrap type="none"/>
            </v:shape>
            <v:shape style="position:absolute;left:4676;top:1299;width:288;height:533" type="#_x0000_t202" id="docshape42" filled="false" stroked="false">
              <v:textbox inset="0,0,0,0">
                <w:txbxContent>
                  <w:p>
                    <w:pPr>
                      <w:spacing w:line="532" w:lineRule="exact" w:before="0"/>
                      <w:ind w:left="0" w:right="0" w:firstLine="0"/>
                      <w:jc w:val="left"/>
                      <w:rPr>
                        <w:b/>
                        <w:sz w:val="48"/>
                      </w:rPr>
                    </w:pPr>
                    <w:r>
                      <w:rPr>
                        <w:b/>
                        <w:w w:val="100"/>
                        <w:sz w:val="48"/>
                      </w:rPr>
                      <w:t>b</w:t>
                    </w:r>
                  </w:p>
                </w:txbxContent>
              </v:textbox>
              <w10:wrap type="none"/>
            </v:shape>
            <v:shape style="position:absolute;left:7167;top:1299;width:234;height:533" type="#_x0000_t202" id="docshape43" filled="false" stroked="false">
              <v:textbox inset="0,0,0,0">
                <w:txbxContent>
                  <w:p>
                    <w:pPr>
                      <w:spacing w:line="532" w:lineRule="exact" w:before="0"/>
                      <w:ind w:left="0" w:right="0" w:firstLine="0"/>
                      <w:jc w:val="left"/>
                      <w:rPr>
                        <w:b/>
                        <w:sz w:val="48"/>
                      </w:rPr>
                    </w:pPr>
                    <w:r>
                      <w:rPr>
                        <w:b/>
                        <w:w w:val="100"/>
                        <w:sz w:val="48"/>
                      </w:rPr>
                      <w:t>c</w:t>
                    </w:r>
                  </w:p>
                </w:txbxContent>
              </v:textbox>
              <w10:wrap type="none"/>
            </v:shape>
            <v:shape style="position:absolute;left:9400;top:1126;width:288;height:533" type="#_x0000_t202" id="docshape44" filled="false" stroked="false">
              <v:textbox inset="0,0,0,0">
                <w:txbxContent>
                  <w:p>
                    <w:pPr>
                      <w:spacing w:line="532" w:lineRule="exact" w:before="0"/>
                      <w:ind w:left="0" w:right="0" w:firstLine="0"/>
                      <w:jc w:val="left"/>
                      <w:rPr>
                        <w:b/>
                        <w:sz w:val="48"/>
                      </w:rPr>
                    </w:pPr>
                    <w:r>
                      <w:rPr>
                        <w:b/>
                        <w:w w:val="100"/>
                        <w:sz w:val="48"/>
                      </w:rPr>
                      <w:t>d</w:t>
                    </w:r>
                  </w:p>
                </w:txbxContent>
              </v:textbox>
              <w10:wrap type="none"/>
            </v:shape>
            <w10:wrap type="topAndBottom"/>
          </v:group>
        </w:pict>
      </w:r>
    </w:p>
    <w:p>
      <w:pPr>
        <w:pStyle w:val="BodyText"/>
        <w:spacing w:before="9"/>
        <w:rPr>
          <w:sz w:val="23"/>
        </w:rPr>
      </w:pPr>
    </w:p>
    <w:p>
      <w:pPr>
        <w:pStyle w:val="Heading2"/>
        <w:spacing w:line="480" w:lineRule="auto" w:before="1"/>
        <w:ind w:left="120" w:right="118" w:firstLine="0"/>
      </w:pPr>
      <w:r>
        <w:rPr>
          <w:position w:val="1"/>
        </w:rPr>
        <w:t>Plate</w:t>
      </w:r>
      <w:r>
        <w:rPr>
          <w:spacing w:val="-11"/>
          <w:position w:val="1"/>
        </w:rPr>
        <w:t> </w:t>
      </w:r>
      <w:r>
        <w:rPr>
          <w:position w:val="1"/>
        </w:rPr>
        <w:t>VI</w:t>
      </w:r>
      <w:r>
        <w:rPr>
          <w:spacing w:val="-10"/>
          <w:position w:val="1"/>
        </w:rPr>
        <w:t> </w:t>
      </w:r>
      <w:r>
        <w:rPr>
          <w:position w:val="1"/>
        </w:rPr>
        <w:t>a:</w:t>
      </w:r>
      <w:r>
        <w:rPr>
          <w:spacing w:val="-8"/>
          <w:position w:val="1"/>
        </w:rPr>
        <w:t> </w:t>
      </w:r>
      <w:r>
        <w:rPr>
          <w:position w:val="1"/>
        </w:rPr>
        <w:t>corn</w:t>
      </w:r>
      <w:r>
        <w:rPr>
          <w:spacing w:val="-9"/>
          <w:position w:val="1"/>
        </w:rPr>
        <w:t> </w:t>
      </w:r>
      <w:r>
        <w:rPr>
          <w:position w:val="1"/>
        </w:rPr>
        <w:t>silk</w:t>
      </w:r>
      <w:r>
        <w:rPr>
          <w:spacing w:val="-9"/>
          <w:position w:val="1"/>
        </w:rPr>
        <w:t> </w:t>
      </w:r>
      <w:r>
        <w:rPr>
          <w:position w:val="1"/>
        </w:rPr>
        <w:t>extract,</w:t>
      </w:r>
      <w:r>
        <w:rPr>
          <w:spacing w:val="-8"/>
          <w:position w:val="1"/>
        </w:rPr>
        <w:t> </w:t>
      </w:r>
      <w:r>
        <w:rPr>
          <w:position w:val="1"/>
        </w:rPr>
        <w:t>Plate</w:t>
      </w:r>
      <w:r>
        <w:rPr>
          <w:spacing w:val="-9"/>
          <w:position w:val="1"/>
        </w:rPr>
        <w:t> </w:t>
      </w:r>
      <w:r>
        <w:rPr>
          <w:position w:val="1"/>
        </w:rPr>
        <w:t>VI</w:t>
      </w:r>
      <w:r>
        <w:rPr>
          <w:spacing w:val="-9"/>
          <w:position w:val="1"/>
        </w:rPr>
        <w:t> </w:t>
      </w:r>
      <w:r>
        <w:rPr>
          <w:position w:val="1"/>
        </w:rPr>
        <w:t>b:</w:t>
      </w:r>
      <w:r>
        <w:rPr>
          <w:spacing w:val="-9"/>
          <w:position w:val="1"/>
        </w:rPr>
        <w:t> </w:t>
      </w:r>
      <w:r>
        <w:rPr>
          <w:position w:val="1"/>
        </w:rPr>
        <w:t>FeSO</w:t>
      </w:r>
      <w:r>
        <w:rPr>
          <w:sz w:val="16"/>
        </w:rPr>
        <w:t>4</w:t>
      </w:r>
      <w:r>
        <w:rPr>
          <w:spacing w:val="-7"/>
          <w:sz w:val="16"/>
        </w:rPr>
        <w:t> </w:t>
      </w:r>
      <w:r>
        <w:rPr>
          <w:position w:val="1"/>
        </w:rPr>
        <w:t>solution,</w:t>
      </w:r>
      <w:r>
        <w:rPr>
          <w:spacing w:val="-10"/>
          <w:position w:val="1"/>
        </w:rPr>
        <w:t> </w:t>
      </w:r>
      <w:r>
        <w:rPr>
          <w:position w:val="1"/>
        </w:rPr>
        <w:t>Plate</w:t>
      </w:r>
      <w:r>
        <w:rPr>
          <w:spacing w:val="-8"/>
          <w:position w:val="1"/>
        </w:rPr>
        <w:t> </w:t>
      </w:r>
      <w:r>
        <w:rPr>
          <w:position w:val="1"/>
        </w:rPr>
        <w:t>VI</w:t>
      </w:r>
      <w:r>
        <w:rPr>
          <w:spacing w:val="-9"/>
          <w:position w:val="1"/>
        </w:rPr>
        <w:t> </w:t>
      </w:r>
      <w:r>
        <w:rPr>
          <w:position w:val="1"/>
        </w:rPr>
        <w:t>c:</w:t>
      </w:r>
      <w:r>
        <w:rPr>
          <w:spacing w:val="-10"/>
          <w:position w:val="1"/>
        </w:rPr>
        <w:t> </w:t>
      </w:r>
      <w:r>
        <w:rPr>
          <w:position w:val="1"/>
        </w:rPr>
        <w:t>Iron</w:t>
      </w:r>
      <w:r>
        <w:rPr>
          <w:spacing w:val="-9"/>
          <w:position w:val="1"/>
        </w:rPr>
        <w:t> </w:t>
      </w:r>
      <w:r>
        <w:rPr>
          <w:position w:val="1"/>
        </w:rPr>
        <w:t>oxide</w:t>
      </w:r>
      <w:r>
        <w:rPr>
          <w:spacing w:val="-11"/>
          <w:position w:val="1"/>
        </w:rPr>
        <w:t> </w:t>
      </w:r>
      <w:r>
        <w:rPr>
          <w:position w:val="1"/>
        </w:rPr>
        <w:t>Nanoparticles </w:t>
      </w:r>
      <w:r>
        <w:rPr/>
        <w:t>precipitate, Plate VI d: Dried nanoparticles sample</w:t>
      </w:r>
    </w:p>
    <w:p>
      <w:pPr>
        <w:spacing w:after="0" w:line="480" w:lineRule="auto"/>
        <w:sectPr>
          <w:pgSz w:w="12240" w:h="15840"/>
          <w:pgMar w:header="0" w:footer="1015" w:top="1360" w:bottom="1200" w:left="1320" w:right="1320"/>
        </w:sectPr>
      </w:pPr>
    </w:p>
    <w:p>
      <w:pPr>
        <w:pStyle w:val="ListParagraph"/>
        <w:numPr>
          <w:ilvl w:val="3"/>
          <w:numId w:val="5"/>
        </w:numPr>
        <w:tabs>
          <w:tab w:pos="841" w:val="left" w:leader="none"/>
        </w:tabs>
        <w:spacing w:line="240" w:lineRule="auto" w:before="76" w:after="0"/>
        <w:ind w:left="840" w:right="0" w:hanging="721"/>
        <w:jc w:val="left"/>
        <w:rPr>
          <w:b/>
          <w:sz w:val="24"/>
        </w:rPr>
      </w:pPr>
      <w:r>
        <w:rPr>
          <w:b/>
          <w:sz w:val="24"/>
        </w:rPr>
        <w:t>UV</w:t>
      </w:r>
      <w:r>
        <w:rPr>
          <w:b/>
          <w:spacing w:val="-6"/>
          <w:sz w:val="24"/>
        </w:rPr>
        <w:t> </w:t>
      </w:r>
      <w:r>
        <w:rPr>
          <w:b/>
          <w:sz w:val="24"/>
        </w:rPr>
        <w:t>spectroscopy</w:t>
      </w:r>
      <w:r>
        <w:rPr>
          <w:b/>
          <w:spacing w:val="-5"/>
          <w:sz w:val="24"/>
        </w:rPr>
        <w:t> </w:t>
      </w:r>
      <w:r>
        <w:rPr>
          <w:b/>
          <w:sz w:val="24"/>
        </w:rPr>
        <w:t>of</w:t>
      </w:r>
      <w:r>
        <w:rPr>
          <w:b/>
          <w:spacing w:val="-4"/>
          <w:sz w:val="24"/>
        </w:rPr>
        <w:t> </w:t>
      </w:r>
      <w:r>
        <w:rPr>
          <w:b/>
          <w:sz w:val="24"/>
        </w:rPr>
        <w:t>iron</w:t>
      </w:r>
      <w:r>
        <w:rPr>
          <w:b/>
          <w:spacing w:val="-5"/>
          <w:sz w:val="24"/>
        </w:rPr>
        <w:t> </w:t>
      </w:r>
      <w:r>
        <w:rPr>
          <w:b/>
          <w:sz w:val="24"/>
        </w:rPr>
        <w:t>oxide</w:t>
      </w:r>
      <w:r>
        <w:rPr>
          <w:b/>
          <w:spacing w:val="-5"/>
          <w:sz w:val="24"/>
        </w:rPr>
        <w:t> </w:t>
      </w:r>
      <w:r>
        <w:rPr>
          <w:b/>
          <w:sz w:val="24"/>
        </w:rPr>
        <w:t>nanoparticles</w:t>
      </w:r>
      <w:r>
        <w:rPr>
          <w:b/>
          <w:spacing w:val="-5"/>
          <w:sz w:val="24"/>
        </w:rPr>
        <w:t> </w:t>
      </w:r>
      <w:r>
        <w:rPr>
          <w:b/>
          <w:spacing w:val="-2"/>
          <w:sz w:val="24"/>
        </w:rPr>
        <w:t>nanoparticles</w:t>
      </w:r>
    </w:p>
    <w:p>
      <w:pPr>
        <w:pStyle w:val="BodyText"/>
        <w:spacing w:before="7"/>
        <w:rPr>
          <w:b/>
          <w:sz w:val="23"/>
        </w:rPr>
      </w:pPr>
    </w:p>
    <w:p>
      <w:pPr>
        <w:pStyle w:val="BodyText"/>
        <w:spacing w:line="480" w:lineRule="auto" w:before="1"/>
        <w:ind w:left="120"/>
      </w:pPr>
      <w:r>
        <w:rPr/>
        <w:t>UV spectroscopy of the produced nanoparticles is shown in Figure 4.3 Iron oxide nanoparticles were detected at wavelength range of 262-269 nm using UV-1800 Series.</w:t>
      </w:r>
    </w:p>
    <w:p>
      <w:pPr>
        <w:pStyle w:val="BodyText"/>
        <w:spacing w:before="8"/>
        <w:rPr>
          <w:sz w:val="9"/>
        </w:rPr>
      </w:pPr>
      <w:r>
        <w:rPr/>
        <w:pict>
          <v:group style="position:absolute;margin-left:72pt;margin-top:6.800994pt;width:440.7pt;height:293.150pt;mso-position-horizontal-relative:page;mso-position-vertical-relative:paragraph;z-index:-15719936;mso-wrap-distance-left:0;mso-wrap-distance-right:0" id="docshapegroup45" coordorigin="1440,136" coordsize="8814,5863">
            <v:shape style="position:absolute;left:1440;top:136;width:8814;height:5863" type="#_x0000_t75" id="docshape46" stroked="false">
              <v:imagedata r:id="rId22" o:title=""/>
            </v:shape>
            <v:shape style="position:absolute;left:3602;top:1706;width:560;height:399" type="#_x0000_t202" id="docshape47" filled="false" stroked="false">
              <v:textbox inset="0,0,0,0">
                <w:txbxContent>
                  <w:p>
                    <w:pPr>
                      <w:spacing w:line="399" w:lineRule="exact" w:before="0"/>
                      <w:ind w:left="0" w:right="0" w:firstLine="0"/>
                      <w:jc w:val="left"/>
                      <w:rPr>
                        <w:b/>
                        <w:sz w:val="36"/>
                      </w:rPr>
                    </w:pPr>
                    <w:r>
                      <w:rPr>
                        <w:b/>
                        <w:spacing w:val="-5"/>
                        <w:sz w:val="36"/>
                      </w:rPr>
                      <w:t>269</w:t>
                    </w:r>
                  </w:p>
                </w:txbxContent>
              </v:textbox>
              <w10:wrap type="none"/>
            </v:shape>
            <v:shape style="position:absolute;left:3494;top:2752;width:560;height:399" type="#_x0000_t202" id="docshape48" filled="false" stroked="false">
              <v:textbox inset="0,0,0,0">
                <w:txbxContent>
                  <w:p>
                    <w:pPr>
                      <w:spacing w:line="399" w:lineRule="exact" w:before="0"/>
                      <w:ind w:left="0" w:right="0" w:firstLine="0"/>
                      <w:jc w:val="left"/>
                      <w:rPr>
                        <w:b/>
                        <w:sz w:val="36"/>
                      </w:rPr>
                    </w:pPr>
                    <w:r>
                      <w:rPr>
                        <w:b/>
                        <w:spacing w:val="-5"/>
                        <w:sz w:val="36"/>
                      </w:rPr>
                      <w:t>262</w:t>
                    </w:r>
                  </w:p>
                </w:txbxContent>
              </v:textbox>
              <w10:wrap type="none"/>
            </v:shape>
            <w10:wrap type="topAndBottom"/>
          </v:group>
        </w:pict>
      </w:r>
    </w:p>
    <w:p>
      <w:pPr>
        <w:pStyle w:val="BodyText"/>
        <w:rPr>
          <w:sz w:val="30"/>
        </w:rPr>
      </w:pPr>
    </w:p>
    <w:p>
      <w:pPr>
        <w:pStyle w:val="Heading2"/>
        <w:tabs>
          <w:tab w:pos="4826" w:val="left" w:leader="none"/>
        </w:tabs>
        <w:ind w:left="120" w:firstLine="0"/>
        <w:jc w:val="left"/>
      </w:pPr>
      <w:r>
        <w:rPr/>
        <w:t>Figure</w:t>
      </w:r>
      <w:r>
        <w:rPr>
          <w:spacing w:val="36"/>
        </w:rPr>
        <w:t>  </w:t>
      </w:r>
      <w:r>
        <w:rPr/>
        <w:t>4.3:</w:t>
      </w:r>
      <w:r>
        <w:rPr>
          <w:spacing w:val="37"/>
        </w:rPr>
        <w:t>  </w:t>
      </w:r>
      <w:r>
        <w:rPr/>
        <w:t>UV</w:t>
      </w:r>
      <w:r>
        <w:rPr>
          <w:spacing w:val="37"/>
        </w:rPr>
        <w:t>  </w:t>
      </w:r>
      <w:r>
        <w:rPr/>
        <w:t>spectroscopy</w:t>
      </w:r>
      <w:r>
        <w:rPr>
          <w:spacing w:val="37"/>
        </w:rPr>
        <w:t>  </w:t>
      </w:r>
      <w:r>
        <w:rPr/>
        <w:t>result</w:t>
      </w:r>
      <w:r>
        <w:rPr>
          <w:spacing w:val="35"/>
        </w:rPr>
        <w:t>  </w:t>
      </w:r>
      <w:r>
        <w:rPr>
          <w:spacing w:val="-5"/>
        </w:rPr>
        <w:t>of</w:t>
      </w:r>
      <w:r>
        <w:rPr/>
        <w:tab/>
        <w:t>the</w:t>
      </w:r>
      <w:r>
        <w:rPr>
          <w:spacing w:val="37"/>
        </w:rPr>
        <w:t>  </w:t>
      </w:r>
      <w:r>
        <w:rPr/>
        <w:t>synthesized</w:t>
      </w:r>
      <w:r>
        <w:rPr>
          <w:spacing w:val="37"/>
        </w:rPr>
        <w:t>  </w:t>
      </w:r>
      <w:r>
        <w:rPr/>
        <w:t>iron</w:t>
      </w:r>
      <w:r>
        <w:rPr>
          <w:spacing w:val="38"/>
        </w:rPr>
        <w:t>  </w:t>
      </w:r>
      <w:r>
        <w:rPr/>
        <w:t>oxide</w:t>
      </w:r>
      <w:r>
        <w:rPr>
          <w:spacing w:val="37"/>
        </w:rPr>
        <w:t>  </w:t>
      </w:r>
      <w:r>
        <w:rPr>
          <w:spacing w:val="-2"/>
        </w:rPr>
        <w:t>nanoparticles</w:t>
      </w:r>
    </w:p>
    <w:p>
      <w:pPr>
        <w:spacing w:after="0"/>
        <w:jc w:val="left"/>
        <w:sectPr>
          <w:pgSz w:w="12240" w:h="15840"/>
          <w:pgMar w:header="0" w:footer="1015" w:top="1360" w:bottom="1200" w:left="1320" w:right="1320"/>
        </w:sectPr>
      </w:pPr>
    </w:p>
    <w:p>
      <w:pPr>
        <w:pStyle w:val="ListParagraph"/>
        <w:numPr>
          <w:ilvl w:val="3"/>
          <w:numId w:val="5"/>
        </w:numPr>
        <w:tabs>
          <w:tab w:pos="782" w:val="left" w:leader="none"/>
        </w:tabs>
        <w:spacing w:line="240" w:lineRule="auto" w:before="79" w:after="0"/>
        <w:ind w:left="781" w:right="0" w:hanging="662"/>
        <w:jc w:val="both"/>
        <w:rPr>
          <w:b/>
          <w:sz w:val="24"/>
        </w:rPr>
      </w:pPr>
      <w:r>
        <w:rPr>
          <w:b/>
          <w:sz w:val="24"/>
        </w:rPr>
        <w:t>:</w:t>
      </w:r>
      <w:r>
        <w:rPr>
          <w:b/>
          <w:spacing w:val="-5"/>
          <w:sz w:val="24"/>
        </w:rPr>
        <w:t> </w:t>
      </w:r>
      <w:r>
        <w:rPr>
          <w:b/>
          <w:sz w:val="24"/>
        </w:rPr>
        <w:t>Nanosize</w:t>
      </w:r>
      <w:r>
        <w:rPr>
          <w:b/>
          <w:spacing w:val="-7"/>
          <w:sz w:val="24"/>
        </w:rPr>
        <w:t> </w:t>
      </w:r>
      <w:r>
        <w:rPr>
          <w:b/>
          <w:sz w:val="24"/>
        </w:rPr>
        <w:t>result</w:t>
      </w:r>
      <w:r>
        <w:rPr>
          <w:b/>
          <w:spacing w:val="-4"/>
          <w:sz w:val="24"/>
        </w:rPr>
        <w:t> </w:t>
      </w:r>
      <w:r>
        <w:rPr>
          <w:b/>
          <w:sz w:val="24"/>
        </w:rPr>
        <w:t>of</w:t>
      </w:r>
      <w:r>
        <w:rPr>
          <w:b/>
          <w:spacing w:val="-5"/>
          <w:sz w:val="24"/>
        </w:rPr>
        <w:t> </w:t>
      </w:r>
      <w:r>
        <w:rPr>
          <w:b/>
          <w:sz w:val="24"/>
        </w:rPr>
        <w:t>the</w:t>
      </w:r>
      <w:r>
        <w:rPr>
          <w:b/>
          <w:spacing w:val="-4"/>
          <w:sz w:val="24"/>
        </w:rPr>
        <w:t> </w:t>
      </w:r>
      <w:r>
        <w:rPr>
          <w:b/>
          <w:sz w:val="24"/>
        </w:rPr>
        <w:t>produced</w:t>
      </w:r>
      <w:r>
        <w:rPr>
          <w:b/>
          <w:spacing w:val="-5"/>
          <w:sz w:val="24"/>
        </w:rPr>
        <w:t> </w:t>
      </w:r>
      <w:r>
        <w:rPr>
          <w:b/>
          <w:sz w:val="24"/>
        </w:rPr>
        <w:t>iron</w:t>
      </w:r>
      <w:r>
        <w:rPr>
          <w:b/>
          <w:spacing w:val="-4"/>
          <w:sz w:val="24"/>
        </w:rPr>
        <w:t> </w:t>
      </w:r>
      <w:r>
        <w:rPr>
          <w:b/>
          <w:sz w:val="24"/>
        </w:rPr>
        <w:t>oxide</w:t>
      </w:r>
      <w:r>
        <w:rPr>
          <w:b/>
          <w:spacing w:val="-4"/>
          <w:sz w:val="24"/>
        </w:rPr>
        <w:t> </w:t>
      </w:r>
      <w:r>
        <w:rPr>
          <w:b/>
          <w:spacing w:val="-2"/>
          <w:sz w:val="24"/>
        </w:rPr>
        <w:t>nanoparticles</w:t>
      </w:r>
    </w:p>
    <w:p>
      <w:pPr>
        <w:pStyle w:val="BodyText"/>
        <w:rPr>
          <w:b/>
          <w:sz w:val="26"/>
        </w:rPr>
      </w:pPr>
    </w:p>
    <w:p>
      <w:pPr>
        <w:pStyle w:val="BodyText"/>
        <w:spacing w:line="480" w:lineRule="auto" w:before="169"/>
        <w:ind w:left="120" w:right="113"/>
        <w:jc w:val="both"/>
      </w:pPr>
      <w:r>
        <w:rPr/>
        <w:t>The</w:t>
      </w:r>
      <w:r>
        <w:rPr>
          <w:spacing w:val="-9"/>
        </w:rPr>
        <w:t> </w:t>
      </w:r>
      <w:r>
        <w:rPr/>
        <w:t>nanosize</w:t>
      </w:r>
      <w:r>
        <w:rPr>
          <w:spacing w:val="-9"/>
        </w:rPr>
        <w:t> </w:t>
      </w:r>
      <w:r>
        <w:rPr/>
        <w:t>result</w:t>
      </w:r>
      <w:r>
        <w:rPr>
          <w:spacing w:val="-7"/>
        </w:rPr>
        <w:t> </w:t>
      </w:r>
      <w:r>
        <w:rPr/>
        <w:t>showed</w:t>
      </w:r>
      <w:r>
        <w:rPr>
          <w:spacing w:val="-8"/>
        </w:rPr>
        <w:t> </w:t>
      </w:r>
      <w:r>
        <w:rPr/>
        <w:t>the</w:t>
      </w:r>
      <w:r>
        <w:rPr>
          <w:spacing w:val="-9"/>
        </w:rPr>
        <w:t> </w:t>
      </w:r>
      <w:r>
        <w:rPr/>
        <w:t>size</w:t>
      </w:r>
      <w:r>
        <w:rPr>
          <w:spacing w:val="-9"/>
        </w:rPr>
        <w:t> </w:t>
      </w:r>
      <w:r>
        <w:rPr/>
        <w:t>disdribution</w:t>
      </w:r>
      <w:r>
        <w:rPr>
          <w:spacing w:val="-6"/>
        </w:rPr>
        <w:t> </w:t>
      </w:r>
      <w:r>
        <w:rPr/>
        <w:t>by</w:t>
      </w:r>
      <w:r>
        <w:rPr>
          <w:spacing w:val="-11"/>
        </w:rPr>
        <w:t> </w:t>
      </w:r>
      <w:r>
        <w:rPr/>
        <w:t>volume.</w:t>
      </w:r>
      <w:r>
        <w:rPr>
          <w:spacing w:val="-8"/>
        </w:rPr>
        <w:t> </w:t>
      </w:r>
      <w:r>
        <w:rPr/>
        <w:t>The</w:t>
      </w:r>
      <w:r>
        <w:rPr>
          <w:spacing w:val="-9"/>
        </w:rPr>
        <w:t> </w:t>
      </w:r>
      <w:r>
        <w:rPr/>
        <w:t>chart</w:t>
      </w:r>
      <w:r>
        <w:rPr>
          <w:spacing w:val="-9"/>
        </w:rPr>
        <w:t> </w:t>
      </w:r>
      <w:r>
        <w:rPr/>
        <w:t>in</w:t>
      </w:r>
      <w:r>
        <w:rPr>
          <w:spacing w:val="-8"/>
        </w:rPr>
        <w:t> </w:t>
      </w:r>
      <w:r>
        <w:rPr/>
        <w:t>figure</w:t>
      </w:r>
      <w:r>
        <w:rPr>
          <w:spacing w:val="-9"/>
        </w:rPr>
        <w:t> </w:t>
      </w:r>
      <w:r>
        <w:rPr/>
        <w:t>4.4</w:t>
      </w:r>
      <w:r>
        <w:rPr>
          <w:spacing w:val="-7"/>
        </w:rPr>
        <w:t> </w:t>
      </w:r>
      <w:r>
        <w:rPr/>
        <w:t>shows</w:t>
      </w:r>
      <w:r>
        <w:rPr>
          <w:spacing w:val="-8"/>
        </w:rPr>
        <w:t> </w:t>
      </w:r>
      <w:r>
        <w:rPr/>
        <w:t>that</w:t>
      </w:r>
      <w:r>
        <w:rPr>
          <w:spacing w:val="-8"/>
        </w:rPr>
        <w:t> </w:t>
      </w:r>
      <w:r>
        <w:rPr/>
        <w:t>the nanoparticles is polydispersed with different peaks and the highest peak of</w:t>
      </w:r>
      <w:r>
        <w:rPr>
          <w:spacing w:val="40"/>
        </w:rPr>
        <w:t> </w:t>
      </w:r>
      <w:r>
        <w:rPr/>
        <w:t>size 10.78 with a percentage volume of about 65 %.</w:t>
      </w:r>
    </w:p>
    <w:p>
      <w:pPr>
        <w:pStyle w:val="BodyText"/>
        <w:rPr>
          <w:sz w:val="20"/>
        </w:rPr>
      </w:pPr>
    </w:p>
    <w:p>
      <w:pPr>
        <w:pStyle w:val="BodyText"/>
        <w:rPr>
          <w:sz w:val="20"/>
        </w:rPr>
      </w:pPr>
    </w:p>
    <w:p>
      <w:pPr>
        <w:pStyle w:val="BodyText"/>
        <w:spacing w:before="2"/>
      </w:pPr>
      <w:r>
        <w:rPr/>
        <w:drawing>
          <wp:anchor distT="0" distB="0" distL="0" distR="0" allowOverlap="1" layoutInCell="1" locked="0" behindDoc="0" simplePos="0" relativeHeight="18">
            <wp:simplePos x="0" y="0"/>
            <wp:positionH relativeFrom="page">
              <wp:posOffset>1264327</wp:posOffset>
            </wp:positionH>
            <wp:positionV relativeFrom="paragraph">
              <wp:posOffset>191788</wp:posOffset>
            </wp:positionV>
            <wp:extent cx="5294873" cy="4240149"/>
            <wp:effectExtent l="0" t="0" r="0" b="0"/>
            <wp:wrapTopAndBottom/>
            <wp:docPr id="7" name="image15.jpeg"/>
            <wp:cNvGraphicFramePr>
              <a:graphicFrameLocks noChangeAspect="1"/>
            </wp:cNvGraphicFramePr>
            <a:graphic>
              <a:graphicData uri="http://schemas.openxmlformats.org/drawingml/2006/picture">
                <pic:pic>
                  <pic:nvPicPr>
                    <pic:cNvPr id="8" name="image15.jpeg"/>
                    <pic:cNvPicPr/>
                  </pic:nvPicPr>
                  <pic:blipFill>
                    <a:blip r:embed="rId23" cstate="print"/>
                    <a:stretch>
                      <a:fillRect/>
                    </a:stretch>
                  </pic:blipFill>
                  <pic:spPr>
                    <a:xfrm>
                      <a:off x="0" y="0"/>
                      <a:ext cx="5294873" cy="4240149"/>
                    </a:xfrm>
                    <a:prstGeom prst="rect">
                      <a:avLst/>
                    </a:prstGeom>
                  </pic:spPr>
                </pic:pic>
              </a:graphicData>
            </a:graphic>
          </wp:anchor>
        </w:drawing>
      </w:r>
    </w:p>
    <w:p>
      <w:pPr>
        <w:pStyle w:val="BodyText"/>
        <w:spacing w:before="6"/>
        <w:rPr>
          <w:sz w:val="23"/>
        </w:rPr>
      </w:pPr>
    </w:p>
    <w:p>
      <w:pPr>
        <w:pStyle w:val="Heading2"/>
        <w:ind w:left="180" w:firstLine="0"/>
      </w:pPr>
      <w:r>
        <w:rPr/>
        <w:t>Figure</w:t>
      </w:r>
      <w:r>
        <w:rPr>
          <w:spacing w:val="-5"/>
        </w:rPr>
        <w:t> </w:t>
      </w:r>
      <w:r>
        <w:rPr/>
        <w:t>4.4:</w:t>
      </w:r>
      <w:r>
        <w:rPr>
          <w:spacing w:val="-4"/>
        </w:rPr>
        <w:t> </w:t>
      </w:r>
      <w:r>
        <w:rPr/>
        <w:t>Nanosize</w:t>
      </w:r>
      <w:r>
        <w:rPr>
          <w:spacing w:val="-6"/>
        </w:rPr>
        <w:t> </w:t>
      </w:r>
      <w:r>
        <w:rPr/>
        <w:t>distribution</w:t>
      </w:r>
      <w:r>
        <w:rPr>
          <w:spacing w:val="-3"/>
        </w:rPr>
        <w:t> </w:t>
      </w:r>
      <w:r>
        <w:rPr/>
        <w:t>of</w:t>
      </w:r>
      <w:r>
        <w:rPr>
          <w:spacing w:val="-5"/>
        </w:rPr>
        <w:t> </w:t>
      </w:r>
      <w:r>
        <w:rPr/>
        <w:t>iron</w:t>
      </w:r>
      <w:r>
        <w:rPr>
          <w:spacing w:val="-3"/>
        </w:rPr>
        <w:t> </w:t>
      </w:r>
      <w:r>
        <w:rPr/>
        <w:t>oxide</w:t>
      </w:r>
      <w:r>
        <w:rPr>
          <w:spacing w:val="-8"/>
        </w:rPr>
        <w:t> </w:t>
      </w:r>
      <w:r>
        <w:rPr>
          <w:spacing w:val="-2"/>
        </w:rPr>
        <w:t>nanoparticle</w:t>
      </w:r>
    </w:p>
    <w:p>
      <w:pPr>
        <w:pStyle w:val="BodyText"/>
        <w:rPr>
          <w:b/>
          <w:sz w:val="26"/>
        </w:rPr>
      </w:pPr>
    </w:p>
    <w:p>
      <w:pPr>
        <w:pStyle w:val="BodyText"/>
        <w:rPr>
          <w:b/>
          <w:sz w:val="26"/>
        </w:rPr>
      </w:pPr>
    </w:p>
    <w:p>
      <w:pPr>
        <w:pStyle w:val="ListParagraph"/>
        <w:numPr>
          <w:ilvl w:val="2"/>
          <w:numId w:val="5"/>
        </w:numPr>
        <w:tabs>
          <w:tab w:pos="840" w:val="left" w:leader="none"/>
          <w:tab w:pos="841" w:val="left" w:leader="none"/>
        </w:tabs>
        <w:spacing w:line="240" w:lineRule="auto" w:before="231" w:after="0"/>
        <w:ind w:left="840" w:right="0" w:hanging="721"/>
        <w:jc w:val="left"/>
        <w:rPr>
          <w:b/>
          <w:sz w:val="24"/>
        </w:rPr>
      </w:pPr>
      <w:r>
        <w:rPr>
          <w:b/>
          <w:sz w:val="24"/>
        </w:rPr>
        <w:t>Produced</w:t>
      </w:r>
      <w:r>
        <w:rPr>
          <w:b/>
          <w:spacing w:val="-12"/>
          <w:sz w:val="24"/>
        </w:rPr>
        <w:t> </w:t>
      </w:r>
      <w:r>
        <w:rPr>
          <w:b/>
          <w:spacing w:val="-2"/>
          <w:sz w:val="24"/>
        </w:rPr>
        <w:t>biochar</w:t>
      </w:r>
    </w:p>
    <w:p>
      <w:pPr>
        <w:spacing w:after="0" w:line="240" w:lineRule="auto"/>
        <w:jc w:val="left"/>
        <w:rPr>
          <w:sz w:val="24"/>
        </w:rPr>
        <w:sectPr>
          <w:pgSz w:w="12240" w:h="15840"/>
          <w:pgMar w:header="0" w:footer="1015" w:top="1360" w:bottom="1200" w:left="1320" w:right="1320"/>
        </w:sectPr>
      </w:pPr>
    </w:p>
    <w:p>
      <w:pPr>
        <w:pStyle w:val="BodyText"/>
        <w:spacing w:line="480" w:lineRule="auto" w:before="72"/>
        <w:ind w:left="120" w:right="114"/>
        <w:jc w:val="both"/>
      </w:pPr>
      <w:r>
        <w:rPr/>
        <w:pict>
          <v:group style="position:absolute;margin-left:72pt;margin-top:86.803139pt;width:468pt;height:248.55pt;mso-position-horizontal-relative:page;mso-position-vertical-relative:paragraph;z-index:-15718912;mso-wrap-distance-left:0;mso-wrap-distance-right:0" id="docshapegroup49" coordorigin="1440,1736" coordsize="9360,4971">
            <v:shape style="position:absolute;left:1440;top:1736;width:9360;height:4772" type="#_x0000_t75" id="docshape50" stroked="false">
              <v:imagedata r:id="rId24" o:title=""/>
            </v:shape>
            <v:shape style="position:absolute;left:1994;top:5738;width:341;height:710" type="#_x0000_t202" id="docshape51" filled="false" stroked="false">
              <v:textbox inset="0,0,0,0">
                <w:txbxContent>
                  <w:p>
                    <w:pPr>
                      <w:spacing w:line="709" w:lineRule="exact" w:before="0"/>
                      <w:ind w:left="0" w:right="0" w:firstLine="0"/>
                      <w:jc w:val="left"/>
                      <w:rPr>
                        <w:b/>
                        <w:sz w:val="64"/>
                      </w:rPr>
                    </w:pPr>
                    <w:r>
                      <w:rPr>
                        <w:b/>
                        <w:w w:val="100"/>
                        <w:sz w:val="64"/>
                      </w:rPr>
                      <w:t>a</w:t>
                    </w:r>
                  </w:p>
                </w:txbxContent>
              </v:textbox>
              <w10:wrap type="none"/>
            </v:shape>
            <v:shape style="position:absolute;left:7242;top:5997;width:377;height:710" type="#_x0000_t202" id="docshape52" filled="false" stroked="false">
              <v:textbox inset="0,0,0,0">
                <w:txbxContent>
                  <w:p>
                    <w:pPr>
                      <w:spacing w:line="709" w:lineRule="exact" w:before="0"/>
                      <w:ind w:left="0" w:right="0" w:firstLine="0"/>
                      <w:jc w:val="left"/>
                      <w:rPr>
                        <w:b/>
                        <w:sz w:val="64"/>
                      </w:rPr>
                    </w:pPr>
                    <w:r>
                      <w:rPr>
                        <w:b/>
                        <w:w w:val="100"/>
                        <w:sz w:val="64"/>
                      </w:rPr>
                      <w:t>b</w:t>
                    </w:r>
                  </w:p>
                </w:txbxContent>
              </v:textbox>
              <w10:wrap type="none"/>
            </v:shape>
            <w10:wrap type="topAndBottom"/>
          </v:group>
        </w:pict>
      </w:r>
      <w:r>
        <w:rPr/>
        <w:t>Fine</w:t>
      </w:r>
      <w:r>
        <w:rPr>
          <w:spacing w:val="-5"/>
        </w:rPr>
        <w:t> </w:t>
      </w:r>
      <w:r>
        <w:rPr/>
        <w:t>black</w:t>
      </w:r>
      <w:r>
        <w:rPr>
          <w:spacing w:val="-5"/>
        </w:rPr>
        <w:t> </w:t>
      </w:r>
      <w:r>
        <w:rPr/>
        <w:t>powder</w:t>
      </w:r>
      <w:r>
        <w:rPr>
          <w:spacing w:val="-6"/>
        </w:rPr>
        <w:t> </w:t>
      </w:r>
      <w:r>
        <w:rPr/>
        <w:t>known</w:t>
      </w:r>
      <w:r>
        <w:rPr>
          <w:spacing w:val="-5"/>
        </w:rPr>
        <w:t> </w:t>
      </w:r>
      <w:r>
        <w:rPr/>
        <w:t>as</w:t>
      </w:r>
      <w:r>
        <w:rPr>
          <w:spacing w:val="-5"/>
        </w:rPr>
        <w:t> </w:t>
      </w:r>
      <w:r>
        <w:rPr/>
        <w:t>biochar</w:t>
      </w:r>
      <w:r>
        <w:rPr>
          <w:spacing w:val="-3"/>
        </w:rPr>
        <w:t> </w:t>
      </w:r>
      <w:r>
        <w:rPr/>
        <w:t>was</w:t>
      </w:r>
      <w:r>
        <w:rPr>
          <w:spacing w:val="-5"/>
        </w:rPr>
        <w:t> </w:t>
      </w:r>
      <w:r>
        <w:rPr/>
        <w:t>obtained</w:t>
      </w:r>
      <w:r>
        <w:rPr>
          <w:spacing w:val="-5"/>
        </w:rPr>
        <w:t> </w:t>
      </w:r>
      <w:r>
        <w:rPr/>
        <w:t>from</w:t>
      </w:r>
      <w:r>
        <w:rPr>
          <w:spacing w:val="-4"/>
        </w:rPr>
        <w:t> </w:t>
      </w:r>
      <w:r>
        <w:rPr/>
        <w:t>residues</w:t>
      </w:r>
      <w:r>
        <w:rPr>
          <w:spacing w:val="-3"/>
        </w:rPr>
        <w:t> </w:t>
      </w:r>
      <w:r>
        <w:rPr/>
        <w:t>of</w:t>
      </w:r>
      <w:r>
        <w:rPr>
          <w:spacing w:val="-6"/>
        </w:rPr>
        <w:t> </w:t>
      </w:r>
      <w:r>
        <w:rPr/>
        <w:t>sun</w:t>
      </w:r>
      <w:r>
        <w:rPr>
          <w:spacing w:val="-5"/>
        </w:rPr>
        <w:t> </w:t>
      </w:r>
      <w:r>
        <w:rPr/>
        <w:t>dried</w:t>
      </w:r>
      <w:r>
        <w:rPr>
          <w:spacing w:val="-5"/>
        </w:rPr>
        <w:t> </w:t>
      </w:r>
      <w:r>
        <w:rPr/>
        <w:t>dried</w:t>
      </w:r>
      <w:r>
        <w:rPr>
          <w:spacing w:val="-5"/>
        </w:rPr>
        <w:t> </w:t>
      </w:r>
      <w:r>
        <w:rPr/>
        <w:t>plantain</w:t>
      </w:r>
      <w:r>
        <w:rPr>
          <w:spacing w:val="-4"/>
        </w:rPr>
        <w:t> </w:t>
      </w:r>
      <w:r>
        <w:rPr/>
        <w:t>trunk that undergo pyrolysis at 550°C in the absence of air using a Nova Station B instrument using nitrogen gas as shown in Plates VII a and VII b.</w:t>
      </w:r>
    </w:p>
    <w:p>
      <w:pPr>
        <w:pStyle w:val="BodyText"/>
        <w:spacing w:before="2"/>
        <w:rPr>
          <w:sz w:val="30"/>
        </w:rPr>
      </w:pPr>
    </w:p>
    <w:p>
      <w:pPr>
        <w:pStyle w:val="Heading2"/>
        <w:tabs>
          <w:tab w:pos="5160" w:val="left" w:leader="none"/>
        </w:tabs>
        <w:ind w:left="120" w:firstLine="0"/>
      </w:pPr>
      <w:r>
        <w:rPr/>
        <w:t>Plate</w:t>
      </w:r>
      <w:r>
        <w:rPr>
          <w:spacing w:val="-3"/>
        </w:rPr>
        <w:t> </w:t>
      </w:r>
      <w:r>
        <w:rPr/>
        <w:t>VII</w:t>
      </w:r>
      <w:r>
        <w:rPr>
          <w:spacing w:val="-2"/>
        </w:rPr>
        <w:t> </w:t>
      </w:r>
      <w:r>
        <w:rPr/>
        <w:t>a:</w:t>
      </w:r>
      <w:r>
        <w:rPr>
          <w:spacing w:val="-2"/>
        </w:rPr>
        <w:t> Biochar</w:t>
      </w:r>
      <w:r>
        <w:rPr/>
        <w:tab/>
        <w:t>Plate</w:t>
      </w:r>
      <w:r>
        <w:rPr>
          <w:spacing w:val="61"/>
          <w:w w:val="150"/>
        </w:rPr>
        <w:t> </w:t>
      </w:r>
      <w:r>
        <w:rPr/>
        <w:t>VII</w:t>
      </w:r>
      <w:r>
        <w:rPr>
          <w:spacing w:val="62"/>
          <w:w w:val="150"/>
        </w:rPr>
        <w:t> </w:t>
      </w:r>
      <w:r>
        <w:rPr/>
        <w:t>b:</w:t>
      </w:r>
      <w:r>
        <w:rPr>
          <w:spacing w:val="59"/>
          <w:w w:val="150"/>
        </w:rPr>
        <w:t> </w:t>
      </w:r>
      <w:r>
        <w:rPr/>
        <w:t>biochar</w:t>
      </w:r>
      <w:r>
        <w:rPr>
          <w:spacing w:val="59"/>
          <w:w w:val="150"/>
        </w:rPr>
        <w:t> </w:t>
      </w:r>
      <w:r>
        <w:rPr/>
        <w:t>in</w:t>
      </w:r>
      <w:r>
        <w:rPr>
          <w:spacing w:val="62"/>
          <w:w w:val="150"/>
        </w:rPr>
        <w:t> </w:t>
      </w:r>
      <w:r>
        <w:rPr/>
        <w:t>sample</w:t>
      </w:r>
      <w:r>
        <w:rPr>
          <w:spacing w:val="61"/>
          <w:w w:val="150"/>
        </w:rPr>
        <w:t> </w:t>
      </w:r>
      <w:r>
        <w:rPr>
          <w:spacing w:val="-2"/>
        </w:rPr>
        <w:t>bottle</w:t>
      </w:r>
    </w:p>
    <w:p>
      <w:pPr>
        <w:pStyle w:val="BodyText"/>
        <w:rPr>
          <w:b/>
          <w:sz w:val="26"/>
        </w:rPr>
      </w:pPr>
    </w:p>
    <w:p>
      <w:pPr>
        <w:pStyle w:val="BodyText"/>
        <w:rPr>
          <w:b/>
          <w:sz w:val="26"/>
        </w:rPr>
      </w:pPr>
    </w:p>
    <w:p>
      <w:pPr>
        <w:pStyle w:val="BodyText"/>
        <w:spacing w:line="480" w:lineRule="auto" w:before="226"/>
        <w:ind w:left="120" w:right="117"/>
        <w:jc w:val="both"/>
      </w:pPr>
      <w:r>
        <w:rPr/>
        <w:t>BET analysis reveales that the produced biochar has an average surface area of 209.106</w:t>
      </w:r>
      <w:r>
        <w:rPr/>
        <w:t> m</w:t>
      </w:r>
      <w:r>
        <w:rPr>
          <w:vertAlign w:val="superscript"/>
        </w:rPr>
        <w:t>2</w:t>
      </w:r>
      <w:r>
        <w:rPr>
          <w:vertAlign w:val="baseline"/>
        </w:rPr>
        <w:t>/g, micropore volume of 0.074 cc/g and an average pore width of 6-522 nm at an adsorption energy of 3.987 kJ/mol.</w:t>
      </w:r>
    </w:p>
    <w:p>
      <w:pPr>
        <w:pStyle w:val="Heading2"/>
        <w:numPr>
          <w:ilvl w:val="2"/>
          <w:numId w:val="5"/>
        </w:numPr>
        <w:tabs>
          <w:tab w:pos="841" w:val="left" w:leader="none"/>
        </w:tabs>
        <w:spacing w:line="240" w:lineRule="auto" w:before="5" w:after="0"/>
        <w:ind w:left="840" w:right="0" w:hanging="721"/>
        <w:jc w:val="both"/>
      </w:pPr>
      <w:r>
        <w:rPr/>
        <w:t>Microbial</w:t>
      </w:r>
      <w:r>
        <w:rPr>
          <w:spacing w:val="-5"/>
        </w:rPr>
        <w:t> </w:t>
      </w:r>
      <w:r>
        <w:rPr/>
        <w:t>count</w:t>
      </w:r>
      <w:r>
        <w:rPr>
          <w:spacing w:val="-6"/>
        </w:rPr>
        <w:t> </w:t>
      </w:r>
      <w:r>
        <w:rPr/>
        <w:t>of</w:t>
      </w:r>
      <w:r>
        <w:rPr>
          <w:spacing w:val="-5"/>
        </w:rPr>
        <w:t> </w:t>
      </w:r>
      <w:r>
        <w:rPr/>
        <w:t>the</w:t>
      </w:r>
      <w:r>
        <w:rPr>
          <w:spacing w:val="-5"/>
        </w:rPr>
        <w:t> </w:t>
      </w:r>
      <w:r>
        <w:rPr/>
        <w:t>soil</w:t>
      </w:r>
      <w:r>
        <w:rPr>
          <w:spacing w:val="-5"/>
        </w:rPr>
        <w:t> </w:t>
      </w:r>
      <w:r>
        <w:rPr/>
        <w:t>during</w:t>
      </w:r>
      <w:r>
        <w:rPr>
          <w:spacing w:val="-5"/>
        </w:rPr>
        <w:t> </w:t>
      </w:r>
      <w:r>
        <w:rPr/>
        <w:t>the</w:t>
      </w:r>
      <w:r>
        <w:rPr>
          <w:spacing w:val="-5"/>
        </w:rPr>
        <w:t> </w:t>
      </w:r>
      <w:r>
        <w:rPr/>
        <w:t>degradation</w:t>
      </w:r>
      <w:r>
        <w:rPr>
          <w:spacing w:val="-5"/>
        </w:rPr>
        <w:t> </w:t>
      </w:r>
      <w:r>
        <w:rPr>
          <w:spacing w:val="-2"/>
        </w:rPr>
        <w:t>process</w:t>
      </w:r>
    </w:p>
    <w:p>
      <w:pPr>
        <w:pStyle w:val="BodyText"/>
        <w:spacing w:before="4"/>
        <w:rPr>
          <w:b/>
          <w:sz w:val="23"/>
        </w:rPr>
      </w:pPr>
    </w:p>
    <w:p>
      <w:pPr>
        <w:pStyle w:val="BodyText"/>
        <w:spacing w:line="480" w:lineRule="auto"/>
        <w:ind w:left="120" w:right="116"/>
        <w:jc w:val="both"/>
      </w:pPr>
      <w:r>
        <w:rPr/>
        <w:t>Soil was polluted using crude oil at 10%w/w of crude oil, which was treated with biosurfactant, nanoparticles, and biochar singly and when combined at different ratios.</w:t>
      </w:r>
      <w:r>
        <w:rPr>
          <w:spacing w:val="40"/>
        </w:rPr>
        <w:t> </w:t>
      </w:r>
      <w:r>
        <w:rPr/>
        <w:t>Table 4.3 shows total bacterial count</w:t>
      </w:r>
      <w:r>
        <w:rPr>
          <w:spacing w:val="-1"/>
        </w:rPr>
        <w:t> </w:t>
      </w:r>
      <w:r>
        <w:rPr/>
        <w:t>of</w:t>
      </w:r>
      <w:r>
        <w:rPr>
          <w:spacing w:val="-2"/>
        </w:rPr>
        <w:t> </w:t>
      </w:r>
      <w:r>
        <w:rPr/>
        <w:t>bioremediated</w:t>
      </w:r>
      <w:r>
        <w:rPr>
          <w:spacing w:val="-1"/>
        </w:rPr>
        <w:t> </w:t>
      </w:r>
      <w:r>
        <w:rPr/>
        <w:t>soil at</w:t>
      </w:r>
      <w:r>
        <w:rPr>
          <w:spacing w:val="-1"/>
        </w:rPr>
        <w:t> </w:t>
      </w:r>
      <w:r>
        <w:rPr/>
        <w:t>an</w:t>
      </w:r>
      <w:r>
        <w:rPr>
          <w:spacing w:val="-1"/>
        </w:rPr>
        <w:t> </w:t>
      </w:r>
      <w:r>
        <w:rPr/>
        <w:t>interval of</w:t>
      </w:r>
      <w:r>
        <w:rPr>
          <w:spacing w:val="-2"/>
        </w:rPr>
        <w:t> </w:t>
      </w:r>
      <w:r>
        <w:rPr/>
        <w:t>7</w:t>
      </w:r>
      <w:r>
        <w:rPr>
          <w:spacing w:val="-1"/>
        </w:rPr>
        <w:t> </w:t>
      </w:r>
      <w:r>
        <w:rPr/>
        <w:t>days for</w:t>
      </w:r>
      <w:r>
        <w:rPr>
          <w:spacing w:val="-3"/>
        </w:rPr>
        <w:t> </w:t>
      </w:r>
      <w:r>
        <w:rPr/>
        <w:t>35</w:t>
      </w:r>
      <w:r>
        <w:rPr>
          <w:spacing w:val="-1"/>
        </w:rPr>
        <w:t> </w:t>
      </w:r>
      <w:r>
        <w:rPr/>
        <w:t>days</w:t>
      </w:r>
      <w:r>
        <w:rPr>
          <w:spacing w:val="-1"/>
        </w:rPr>
        <w:t> </w:t>
      </w:r>
      <w:r>
        <w:rPr/>
        <w:t>treatment</w:t>
      </w:r>
      <w:r>
        <w:rPr>
          <w:spacing w:val="-1"/>
        </w:rPr>
        <w:t> </w:t>
      </w:r>
      <w:r>
        <w:rPr/>
        <w:t>period.</w:t>
      </w:r>
      <w:r>
        <w:rPr>
          <w:spacing w:val="-2"/>
        </w:rPr>
        <w:t> </w:t>
      </w:r>
      <w:r>
        <w:rPr/>
        <w:t>Before the</w:t>
      </w:r>
      <w:r>
        <w:rPr>
          <w:spacing w:val="-5"/>
        </w:rPr>
        <w:t> </w:t>
      </w:r>
      <w:r>
        <w:rPr/>
        <w:t>soil was polluted</w:t>
      </w:r>
      <w:r>
        <w:rPr>
          <w:spacing w:val="-1"/>
        </w:rPr>
        <w:t> </w:t>
      </w:r>
      <w:r>
        <w:rPr/>
        <w:t>with crude</w:t>
      </w:r>
      <w:r>
        <w:rPr>
          <w:spacing w:val="-2"/>
        </w:rPr>
        <w:t> </w:t>
      </w:r>
      <w:r>
        <w:rPr/>
        <w:t>oil, the</w:t>
      </w:r>
      <w:r>
        <w:rPr>
          <w:spacing w:val="-1"/>
        </w:rPr>
        <w:t> </w:t>
      </w:r>
      <w:r>
        <w:rPr/>
        <w:t>bacterial count was recorded as 4.2 x10</w:t>
      </w:r>
      <w:r>
        <w:rPr>
          <w:vertAlign w:val="superscript"/>
        </w:rPr>
        <w:t>5</w:t>
      </w:r>
      <w:r>
        <w:rPr>
          <w:spacing w:val="-15"/>
          <w:vertAlign w:val="baseline"/>
        </w:rPr>
        <w:t> </w:t>
      </w:r>
      <w:r>
        <w:rPr>
          <w:vertAlign w:val="baseline"/>
        </w:rPr>
        <w:t>CFU/g and after 10</w:t>
      </w:r>
      <w:r>
        <w:rPr>
          <w:spacing w:val="16"/>
          <w:vertAlign w:val="baseline"/>
        </w:rPr>
        <w:t> </w:t>
      </w:r>
      <w:r>
        <w:rPr>
          <w:vertAlign w:val="baseline"/>
        </w:rPr>
        <w:t>days</w:t>
      </w:r>
      <w:r>
        <w:rPr>
          <w:spacing w:val="18"/>
          <w:vertAlign w:val="baseline"/>
        </w:rPr>
        <w:t> </w:t>
      </w:r>
      <w:r>
        <w:rPr>
          <w:vertAlign w:val="baseline"/>
        </w:rPr>
        <w:t>of</w:t>
      </w:r>
      <w:r>
        <w:rPr>
          <w:spacing w:val="16"/>
          <w:vertAlign w:val="baseline"/>
        </w:rPr>
        <w:t> </w:t>
      </w:r>
      <w:r>
        <w:rPr>
          <w:vertAlign w:val="baseline"/>
        </w:rPr>
        <w:t>pollution</w:t>
      </w:r>
      <w:r>
        <w:rPr>
          <w:spacing w:val="17"/>
          <w:vertAlign w:val="baseline"/>
        </w:rPr>
        <w:t> </w:t>
      </w:r>
      <w:r>
        <w:rPr>
          <w:vertAlign w:val="baseline"/>
        </w:rPr>
        <w:t>before</w:t>
      </w:r>
      <w:r>
        <w:rPr>
          <w:spacing w:val="16"/>
          <w:vertAlign w:val="baseline"/>
        </w:rPr>
        <w:t> </w:t>
      </w:r>
      <w:r>
        <w:rPr>
          <w:vertAlign w:val="baseline"/>
        </w:rPr>
        <w:t>treatment,</w:t>
      </w:r>
      <w:r>
        <w:rPr>
          <w:spacing w:val="17"/>
          <w:vertAlign w:val="baseline"/>
        </w:rPr>
        <w:t> </w:t>
      </w:r>
      <w:r>
        <w:rPr>
          <w:vertAlign w:val="baseline"/>
        </w:rPr>
        <w:t>the</w:t>
      </w:r>
      <w:r>
        <w:rPr>
          <w:spacing w:val="17"/>
          <w:vertAlign w:val="baseline"/>
        </w:rPr>
        <w:t> </w:t>
      </w:r>
      <w:r>
        <w:rPr>
          <w:vertAlign w:val="baseline"/>
        </w:rPr>
        <w:t>bacterial</w:t>
      </w:r>
      <w:r>
        <w:rPr>
          <w:spacing w:val="18"/>
          <w:vertAlign w:val="baseline"/>
        </w:rPr>
        <w:t> </w:t>
      </w:r>
      <w:r>
        <w:rPr>
          <w:vertAlign w:val="baseline"/>
        </w:rPr>
        <w:t>count</w:t>
      </w:r>
      <w:r>
        <w:rPr>
          <w:spacing w:val="17"/>
          <w:vertAlign w:val="baseline"/>
        </w:rPr>
        <w:t> </w:t>
      </w:r>
      <w:r>
        <w:rPr>
          <w:vertAlign w:val="baseline"/>
        </w:rPr>
        <w:t>was</w:t>
      </w:r>
      <w:r>
        <w:rPr>
          <w:spacing w:val="18"/>
          <w:vertAlign w:val="baseline"/>
        </w:rPr>
        <w:t> </w:t>
      </w:r>
      <w:r>
        <w:rPr>
          <w:vertAlign w:val="baseline"/>
        </w:rPr>
        <w:t>recorded</w:t>
      </w:r>
      <w:r>
        <w:rPr>
          <w:spacing w:val="17"/>
          <w:vertAlign w:val="baseline"/>
        </w:rPr>
        <w:t> </w:t>
      </w:r>
      <w:r>
        <w:rPr>
          <w:vertAlign w:val="baseline"/>
        </w:rPr>
        <w:t>to</w:t>
      </w:r>
      <w:r>
        <w:rPr>
          <w:spacing w:val="19"/>
          <w:vertAlign w:val="baseline"/>
        </w:rPr>
        <w:t> </w:t>
      </w:r>
      <w:r>
        <w:rPr>
          <w:vertAlign w:val="baseline"/>
        </w:rPr>
        <w:t>be</w:t>
      </w:r>
      <w:r>
        <w:rPr>
          <w:spacing w:val="17"/>
          <w:vertAlign w:val="baseline"/>
        </w:rPr>
        <w:t> </w:t>
      </w:r>
      <w:r>
        <w:rPr>
          <w:vertAlign w:val="baseline"/>
        </w:rPr>
        <w:t>1.6x10</w:t>
      </w:r>
      <w:r>
        <w:rPr>
          <w:vertAlign w:val="superscript"/>
        </w:rPr>
        <w:t>5</w:t>
      </w:r>
      <w:r>
        <w:rPr>
          <w:spacing w:val="-7"/>
          <w:vertAlign w:val="baseline"/>
        </w:rPr>
        <w:t> </w:t>
      </w:r>
      <w:r>
        <w:rPr>
          <w:vertAlign w:val="baseline"/>
        </w:rPr>
        <w:t>CFU/g.</w:t>
      </w:r>
      <w:r>
        <w:rPr>
          <w:spacing w:val="20"/>
          <w:vertAlign w:val="baseline"/>
        </w:rPr>
        <w:t> </w:t>
      </w:r>
      <w:r>
        <w:rPr>
          <w:spacing w:val="-5"/>
          <w:vertAlign w:val="baseline"/>
        </w:rPr>
        <w:t>It</w:t>
      </w:r>
    </w:p>
    <w:p>
      <w:pPr>
        <w:spacing w:after="0" w:line="480" w:lineRule="auto"/>
        <w:jc w:val="both"/>
        <w:sectPr>
          <w:pgSz w:w="12240" w:h="15840"/>
          <w:pgMar w:header="0" w:footer="1015" w:top="1360" w:bottom="1200" w:left="1320" w:right="1320"/>
        </w:sectPr>
      </w:pPr>
    </w:p>
    <w:p>
      <w:pPr>
        <w:pStyle w:val="BodyText"/>
        <w:spacing w:line="480" w:lineRule="auto" w:before="92"/>
        <w:ind w:left="120" w:right="118"/>
        <w:jc w:val="both"/>
      </w:pPr>
      <w:r>
        <w:rPr/>
        <w:t>was</w:t>
      </w:r>
      <w:r>
        <w:rPr>
          <w:spacing w:val="-15"/>
        </w:rPr>
        <w:t> </w:t>
      </w:r>
      <w:r>
        <w:rPr/>
        <w:t>observed</w:t>
      </w:r>
      <w:r>
        <w:rPr>
          <w:spacing w:val="-15"/>
        </w:rPr>
        <w:t> </w:t>
      </w:r>
      <w:r>
        <w:rPr/>
        <w:t>that</w:t>
      </w:r>
      <w:r>
        <w:rPr>
          <w:spacing w:val="-15"/>
        </w:rPr>
        <w:t> </w:t>
      </w:r>
      <w:r>
        <w:rPr/>
        <w:t>the</w:t>
      </w:r>
      <w:r>
        <w:rPr>
          <w:spacing w:val="-15"/>
        </w:rPr>
        <w:t> </w:t>
      </w:r>
      <w:r>
        <w:rPr/>
        <w:t>highest</w:t>
      </w:r>
      <w:r>
        <w:rPr>
          <w:spacing w:val="-15"/>
        </w:rPr>
        <w:t> </w:t>
      </w:r>
      <w:r>
        <w:rPr/>
        <w:t>bacterial</w:t>
      </w:r>
      <w:r>
        <w:rPr>
          <w:spacing w:val="-15"/>
        </w:rPr>
        <w:t> </w:t>
      </w:r>
      <w:r>
        <w:rPr/>
        <w:t>count</w:t>
      </w:r>
      <w:r>
        <w:rPr>
          <w:spacing w:val="-15"/>
        </w:rPr>
        <w:t> </w:t>
      </w:r>
      <w:r>
        <w:rPr/>
        <w:t>(4.2</w:t>
      </w:r>
      <w:r>
        <w:rPr>
          <w:spacing w:val="-15"/>
        </w:rPr>
        <w:t> </w:t>
      </w:r>
      <w:r>
        <w:rPr/>
        <w:t>x10</w:t>
      </w:r>
      <w:r>
        <w:rPr>
          <w:vertAlign w:val="superscript"/>
        </w:rPr>
        <w:t>9</w:t>
      </w:r>
      <w:r>
        <w:rPr>
          <w:spacing w:val="-15"/>
          <w:vertAlign w:val="baseline"/>
        </w:rPr>
        <w:t> </w:t>
      </w:r>
      <w:r>
        <w:rPr>
          <w:vertAlign w:val="baseline"/>
        </w:rPr>
        <w:t>±25.91</w:t>
      </w:r>
      <w:r>
        <w:rPr>
          <w:spacing w:val="-15"/>
          <w:vertAlign w:val="baseline"/>
        </w:rPr>
        <w:t> </w:t>
      </w:r>
      <w:r>
        <w:rPr>
          <w:vertAlign w:val="baseline"/>
        </w:rPr>
        <w:t>CFU/g)</w:t>
      </w:r>
      <w:r>
        <w:rPr>
          <w:spacing w:val="-15"/>
          <w:vertAlign w:val="baseline"/>
        </w:rPr>
        <w:t> </w:t>
      </w:r>
      <w:r>
        <w:rPr>
          <w:vertAlign w:val="baseline"/>
        </w:rPr>
        <w:t>was</w:t>
      </w:r>
      <w:r>
        <w:rPr>
          <w:spacing w:val="-15"/>
          <w:vertAlign w:val="baseline"/>
        </w:rPr>
        <w:t> </w:t>
      </w:r>
      <w:r>
        <w:rPr>
          <w:vertAlign w:val="baseline"/>
        </w:rPr>
        <w:t>recorded</w:t>
      </w:r>
      <w:r>
        <w:rPr>
          <w:spacing w:val="-15"/>
          <w:vertAlign w:val="baseline"/>
        </w:rPr>
        <w:t> </w:t>
      </w:r>
      <w:r>
        <w:rPr>
          <w:vertAlign w:val="baseline"/>
        </w:rPr>
        <w:t>with</w:t>
      </w:r>
      <w:r>
        <w:rPr>
          <w:spacing w:val="-15"/>
          <w:vertAlign w:val="baseline"/>
        </w:rPr>
        <w:t> </w:t>
      </w:r>
      <w:r>
        <w:rPr>
          <w:vertAlign w:val="baseline"/>
        </w:rPr>
        <w:t>treatment BS/ NP/BC (1:1:1)a while the least count (1.5 x10</w:t>
      </w:r>
      <w:r>
        <w:rPr>
          <w:vertAlign w:val="superscript"/>
        </w:rPr>
        <w:t>8</w:t>
      </w:r>
      <w:r>
        <w:rPr>
          <w:spacing w:val="-15"/>
          <w:vertAlign w:val="baseline"/>
        </w:rPr>
        <w:t> </w:t>
      </w:r>
      <w:r>
        <w:rPr>
          <w:vertAlign w:val="baseline"/>
        </w:rPr>
        <w:t>±12.01 CFU/g ) was recorded with treatment BCa at week 3. Each treatment shows an increased bacterial count from week 0 and week 1.</w:t>
      </w:r>
    </w:p>
    <w:p>
      <w:pPr>
        <w:pStyle w:val="BodyText"/>
        <w:spacing w:line="480" w:lineRule="auto"/>
        <w:ind w:left="120" w:right="117"/>
        <w:jc w:val="both"/>
      </w:pPr>
      <w:r>
        <w:rPr/>
        <w:t>Table</w:t>
      </w:r>
      <w:r>
        <w:rPr>
          <w:spacing w:val="-6"/>
        </w:rPr>
        <w:t> </w:t>
      </w:r>
      <w:r>
        <w:rPr/>
        <w:t>4.4</w:t>
      </w:r>
      <w:r>
        <w:rPr>
          <w:spacing w:val="-6"/>
        </w:rPr>
        <w:t> </w:t>
      </w:r>
      <w:r>
        <w:rPr/>
        <w:t>shows</w:t>
      </w:r>
      <w:r>
        <w:rPr>
          <w:spacing w:val="-6"/>
        </w:rPr>
        <w:t> </w:t>
      </w:r>
      <w:r>
        <w:rPr/>
        <w:t>Total</w:t>
      </w:r>
      <w:r>
        <w:rPr>
          <w:spacing w:val="-5"/>
        </w:rPr>
        <w:t> </w:t>
      </w:r>
      <w:r>
        <w:rPr/>
        <w:t>fungal</w:t>
      </w:r>
      <w:r>
        <w:rPr>
          <w:spacing w:val="-5"/>
        </w:rPr>
        <w:t> </w:t>
      </w:r>
      <w:r>
        <w:rPr/>
        <w:t>count</w:t>
      </w:r>
      <w:r>
        <w:rPr>
          <w:spacing w:val="-5"/>
        </w:rPr>
        <w:t> </w:t>
      </w:r>
      <w:r>
        <w:rPr/>
        <w:t>of</w:t>
      </w:r>
      <w:r>
        <w:rPr>
          <w:spacing w:val="-7"/>
        </w:rPr>
        <w:t> </w:t>
      </w:r>
      <w:r>
        <w:rPr/>
        <w:t>bioremediated</w:t>
      </w:r>
      <w:r>
        <w:rPr>
          <w:spacing w:val="-6"/>
        </w:rPr>
        <w:t> </w:t>
      </w:r>
      <w:r>
        <w:rPr/>
        <w:t>soil</w:t>
      </w:r>
      <w:r>
        <w:rPr>
          <w:spacing w:val="-5"/>
        </w:rPr>
        <w:t> </w:t>
      </w:r>
      <w:r>
        <w:rPr/>
        <w:t>for</w:t>
      </w:r>
      <w:r>
        <w:rPr>
          <w:spacing w:val="-7"/>
        </w:rPr>
        <w:t> </w:t>
      </w:r>
      <w:r>
        <w:rPr/>
        <w:t>35</w:t>
      </w:r>
      <w:r>
        <w:rPr>
          <w:spacing w:val="-6"/>
        </w:rPr>
        <w:t> </w:t>
      </w:r>
      <w:r>
        <w:rPr/>
        <w:t>days</w:t>
      </w:r>
      <w:r>
        <w:rPr>
          <w:spacing w:val="-6"/>
        </w:rPr>
        <w:t> </w:t>
      </w:r>
      <w:r>
        <w:rPr/>
        <w:t>treatment</w:t>
      </w:r>
      <w:r>
        <w:rPr>
          <w:spacing w:val="-6"/>
        </w:rPr>
        <w:t> </w:t>
      </w:r>
      <w:r>
        <w:rPr/>
        <w:t>period.</w:t>
      </w:r>
      <w:r>
        <w:rPr>
          <w:spacing w:val="-6"/>
        </w:rPr>
        <w:t> </w:t>
      </w:r>
      <w:r>
        <w:rPr/>
        <w:t>Before</w:t>
      </w:r>
      <w:r>
        <w:rPr>
          <w:spacing w:val="-8"/>
        </w:rPr>
        <w:t> </w:t>
      </w:r>
      <w:r>
        <w:rPr/>
        <w:t>the soil was polluted with crude oil, the total fungal count was recorded as 8.0 x10</w:t>
      </w:r>
      <w:r>
        <w:rPr>
          <w:vertAlign w:val="superscript"/>
        </w:rPr>
        <w:t>4</w:t>
      </w:r>
      <w:r>
        <w:rPr>
          <w:vertAlign w:val="baseline"/>
        </w:rPr>
        <w:t> CFU/g and after 10 days of pollution before treatment, the fungal count was 3.0x10</w:t>
      </w:r>
      <w:r>
        <w:rPr>
          <w:vertAlign w:val="superscript"/>
        </w:rPr>
        <w:t>4</w:t>
      </w:r>
      <w:r>
        <w:rPr>
          <w:vertAlign w:val="baseline"/>
        </w:rPr>
        <w:t> CFU/g. It was observed that the highest fungal count (6.0x10</w:t>
      </w:r>
      <w:r>
        <w:rPr>
          <w:vertAlign w:val="superscript"/>
        </w:rPr>
        <w:t>5</w:t>
      </w:r>
      <w:r>
        <w:rPr>
          <w:vertAlign w:val="baseline"/>
        </w:rPr>
        <w:t>±0.00 CFU/g) was recorded with treatment BS/NP/BC (1:1:1)a while the least count (2.0x10</w:t>
      </w:r>
      <w:r>
        <w:rPr>
          <w:vertAlign w:val="superscript"/>
        </w:rPr>
        <w:t>4</w:t>
      </w:r>
      <w:r>
        <w:rPr>
          <w:vertAlign w:val="baseline"/>
        </w:rPr>
        <w:t>±6.52 CFU/g) was recorded with treatment NPa at week 3.</w:t>
      </w:r>
    </w:p>
    <w:p>
      <w:pPr>
        <w:pStyle w:val="BodyText"/>
        <w:spacing w:line="480" w:lineRule="auto" w:before="1"/>
        <w:ind w:left="120" w:right="116"/>
        <w:jc w:val="both"/>
      </w:pPr>
      <w:r>
        <w:rPr/>
        <w:t>Table</w:t>
      </w:r>
      <w:r>
        <w:rPr>
          <w:spacing w:val="-11"/>
        </w:rPr>
        <w:t> </w:t>
      </w:r>
      <w:r>
        <w:rPr/>
        <w:t>4.5</w:t>
      </w:r>
      <w:r>
        <w:rPr>
          <w:spacing w:val="-11"/>
        </w:rPr>
        <w:t> </w:t>
      </w:r>
      <w:r>
        <w:rPr/>
        <w:t>shows</w:t>
      </w:r>
      <w:r>
        <w:rPr>
          <w:spacing w:val="-11"/>
        </w:rPr>
        <w:t> </w:t>
      </w:r>
      <w:r>
        <w:rPr/>
        <w:t>the</w:t>
      </w:r>
      <w:r>
        <w:rPr>
          <w:spacing w:val="-11"/>
        </w:rPr>
        <w:t> </w:t>
      </w:r>
      <w:r>
        <w:rPr/>
        <w:t>Percentage</w:t>
      </w:r>
      <w:r>
        <w:rPr>
          <w:spacing w:val="-12"/>
        </w:rPr>
        <w:t> </w:t>
      </w:r>
      <w:r>
        <w:rPr/>
        <w:t>of</w:t>
      </w:r>
      <w:r>
        <w:rPr>
          <w:spacing w:val="-11"/>
        </w:rPr>
        <w:t> </w:t>
      </w:r>
      <w:r>
        <w:rPr/>
        <w:t>total</w:t>
      </w:r>
      <w:r>
        <w:rPr>
          <w:spacing w:val="-10"/>
        </w:rPr>
        <w:t> </w:t>
      </w:r>
      <w:r>
        <w:rPr/>
        <w:t>hydrocarbon</w:t>
      </w:r>
      <w:r>
        <w:rPr>
          <w:spacing w:val="-11"/>
        </w:rPr>
        <w:t> </w:t>
      </w:r>
      <w:r>
        <w:rPr/>
        <w:t>degraded</w:t>
      </w:r>
      <w:r>
        <w:rPr>
          <w:spacing w:val="-11"/>
        </w:rPr>
        <w:t> </w:t>
      </w:r>
      <w:r>
        <w:rPr/>
        <w:t>after</w:t>
      </w:r>
      <w:r>
        <w:rPr>
          <w:spacing w:val="-11"/>
        </w:rPr>
        <w:t> </w:t>
      </w:r>
      <w:r>
        <w:rPr/>
        <w:t>treatment</w:t>
      </w:r>
      <w:r>
        <w:rPr>
          <w:spacing w:val="-10"/>
        </w:rPr>
        <w:t> </w:t>
      </w:r>
      <w:r>
        <w:rPr/>
        <w:t>of</w:t>
      </w:r>
      <w:r>
        <w:rPr>
          <w:spacing w:val="-11"/>
        </w:rPr>
        <w:t> </w:t>
      </w:r>
      <w:r>
        <w:rPr/>
        <w:t>crude</w:t>
      </w:r>
      <w:r>
        <w:rPr>
          <w:spacing w:val="-12"/>
        </w:rPr>
        <w:t> </w:t>
      </w:r>
      <w:r>
        <w:rPr/>
        <w:t>oil</w:t>
      </w:r>
      <w:r>
        <w:rPr>
          <w:spacing w:val="-10"/>
        </w:rPr>
        <w:t> </w:t>
      </w:r>
      <w:r>
        <w:rPr/>
        <w:t>polluted soil with BS, BC, NP and the combinations for 35 days. The highest degradation (75 %) was observed</w:t>
      </w:r>
      <w:r>
        <w:rPr>
          <w:spacing w:val="-14"/>
        </w:rPr>
        <w:t> </w:t>
      </w:r>
      <w:r>
        <w:rPr/>
        <w:t>with</w:t>
      </w:r>
      <w:r>
        <w:rPr>
          <w:spacing w:val="-15"/>
        </w:rPr>
        <w:t> </w:t>
      </w:r>
      <w:r>
        <w:rPr/>
        <w:t>treatment</w:t>
      </w:r>
      <w:r>
        <w:rPr>
          <w:spacing w:val="-13"/>
        </w:rPr>
        <w:t> </w:t>
      </w:r>
      <w:r>
        <w:rPr/>
        <w:t>BS/NP/BC</w:t>
      </w:r>
      <w:r>
        <w:rPr>
          <w:spacing w:val="-15"/>
        </w:rPr>
        <w:t> </w:t>
      </w:r>
      <w:r>
        <w:rPr/>
        <w:t>(1:1:1)</w:t>
      </w:r>
      <w:r>
        <w:rPr>
          <w:spacing w:val="-14"/>
        </w:rPr>
        <w:t> </w:t>
      </w:r>
      <w:r>
        <w:rPr/>
        <w:t>a</w:t>
      </w:r>
      <w:r>
        <w:rPr>
          <w:spacing w:val="-14"/>
        </w:rPr>
        <w:t> </w:t>
      </w:r>
      <w:r>
        <w:rPr/>
        <w:t>while</w:t>
      </w:r>
      <w:r>
        <w:rPr>
          <w:spacing w:val="-15"/>
        </w:rPr>
        <w:t> </w:t>
      </w:r>
      <w:r>
        <w:rPr/>
        <w:t>the</w:t>
      </w:r>
      <w:r>
        <w:rPr>
          <w:spacing w:val="-15"/>
        </w:rPr>
        <w:t> </w:t>
      </w:r>
      <w:r>
        <w:rPr/>
        <w:t>least</w:t>
      </w:r>
      <w:r>
        <w:rPr>
          <w:spacing w:val="-15"/>
        </w:rPr>
        <w:t> </w:t>
      </w:r>
      <w:r>
        <w:rPr/>
        <w:t>degradation</w:t>
      </w:r>
      <w:r>
        <w:rPr>
          <w:spacing w:val="-15"/>
        </w:rPr>
        <w:t> </w:t>
      </w:r>
      <w:r>
        <w:rPr/>
        <w:t>(17</w:t>
      </w:r>
      <w:r>
        <w:rPr>
          <w:spacing w:val="-13"/>
        </w:rPr>
        <w:t> </w:t>
      </w:r>
      <w:r>
        <w:rPr/>
        <w:t>%)</w:t>
      </w:r>
      <w:r>
        <w:rPr>
          <w:spacing w:val="-15"/>
        </w:rPr>
        <w:t> </w:t>
      </w:r>
      <w:r>
        <w:rPr/>
        <w:t>was</w:t>
      </w:r>
      <w:r>
        <w:rPr>
          <w:spacing w:val="-15"/>
        </w:rPr>
        <w:t> </w:t>
      </w:r>
      <w:r>
        <w:rPr/>
        <w:t>observed</w:t>
      </w:r>
      <w:r>
        <w:rPr>
          <w:spacing w:val="-12"/>
        </w:rPr>
        <w:t> </w:t>
      </w:r>
      <w:r>
        <w:rPr/>
        <w:t>with the control, which was left untrated.</w:t>
      </w:r>
    </w:p>
    <w:p>
      <w:pPr>
        <w:spacing w:after="0" w:line="480" w:lineRule="auto"/>
        <w:jc w:val="both"/>
        <w:sectPr>
          <w:pgSz w:w="12240" w:h="15840"/>
          <w:pgMar w:header="0" w:footer="1015" w:top="1340" w:bottom="1200" w:left="1320" w:right="1320"/>
        </w:sectPr>
      </w:pPr>
    </w:p>
    <w:p>
      <w:pPr>
        <w:pStyle w:val="Heading2"/>
        <w:spacing w:before="77"/>
        <w:ind w:left="580" w:firstLine="0"/>
        <w:jc w:val="left"/>
      </w:pPr>
      <w:r>
        <w:rPr/>
        <w:t>Table</w:t>
      </w:r>
      <w:r>
        <w:rPr>
          <w:spacing w:val="-5"/>
        </w:rPr>
        <w:t> </w:t>
      </w:r>
      <w:r>
        <w:rPr/>
        <w:t>4.3:</w:t>
      </w:r>
      <w:r>
        <w:rPr>
          <w:spacing w:val="-4"/>
        </w:rPr>
        <w:t> </w:t>
      </w:r>
      <w:r>
        <w:rPr/>
        <w:t>Total</w:t>
      </w:r>
      <w:r>
        <w:rPr>
          <w:spacing w:val="-5"/>
        </w:rPr>
        <w:t> </w:t>
      </w:r>
      <w:r>
        <w:rPr/>
        <w:t>bacterial</w:t>
      </w:r>
      <w:r>
        <w:rPr>
          <w:spacing w:val="-4"/>
        </w:rPr>
        <w:t> </w:t>
      </w:r>
      <w:r>
        <w:rPr/>
        <w:t>count</w:t>
      </w:r>
      <w:r>
        <w:rPr>
          <w:spacing w:val="-5"/>
        </w:rPr>
        <w:t> </w:t>
      </w:r>
      <w:r>
        <w:rPr/>
        <w:t>(CFU/g)</w:t>
      </w:r>
      <w:r>
        <w:rPr>
          <w:spacing w:val="-5"/>
        </w:rPr>
        <w:t> </w:t>
      </w:r>
      <w:r>
        <w:rPr/>
        <w:t>of</w:t>
      </w:r>
      <w:r>
        <w:rPr>
          <w:spacing w:val="-4"/>
        </w:rPr>
        <w:t> </w:t>
      </w:r>
      <w:r>
        <w:rPr/>
        <w:t>bioremediated</w:t>
      </w:r>
      <w:r>
        <w:rPr>
          <w:spacing w:val="-4"/>
        </w:rPr>
        <w:t> </w:t>
      </w:r>
      <w:r>
        <w:rPr/>
        <w:t>soil</w:t>
      </w:r>
      <w:r>
        <w:rPr>
          <w:spacing w:val="-4"/>
        </w:rPr>
        <w:t> </w:t>
      </w:r>
      <w:r>
        <w:rPr/>
        <w:t>for</w:t>
      </w:r>
      <w:r>
        <w:rPr>
          <w:spacing w:val="-6"/>
        </w:rPr>
        <w:t> </w:t>
      </w:r>
      <w:r>
        <w:rPr/>
        <w:t>35</w:t>
      </w:r>
      <w:r>
        <w:rPr>
          <w:spacing w:val="-4"/>
        </w:rPr>
        <w:t> </w:t>
      </w:r>
      <w:r>
        <w:rPr/>
        <w:t>days</w:t>
      </w:r>
      <w:r>
        <w:rPr>
          <w:spacing w:val="-4"/>
        </w:rPr>
        <w:t> </w:t>
      </w:r>
      <w:r>
        <w:rPr/>
        <w:t>treatment</w:t>
      </w:r>
      <w:r>
        <w:rPr>
          <w:spacing w:val="-5"/>
        </w:rPr>
        <w:t> </w:t>
      </w:r>
      <w:r>
        <w:rPr>
          <w:spacing w:val="-2"/>
        </w:rPr>
        <w:t>period</w:t>
      </w:r>
    </w:p>
    <w:p>
      <w:pPr>
        <w:pStyle w:val="BodyText"/>
        <w:spacing w:before="3"/>
        <w:rPr>
          <w:b/>
        </w:rPr>
      </w:pPr>
    </w:p>
    <w:tbl>
      <w:tblPr>
        <w:tblW w:w="0" w:type="auto"/>
        <w:jc w:val="left"/>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1"/>
        <w:gridCol w:w="1797"/>
        <w:gridCol w:w="1853"/>
        <w:gridCol w:w="1861"/>
        <w:gridCol w:w="1950"/>
        <w:gridCol w:w="1946"/>
        <w:gridCol w:w="2253"/>
      </w:tblGrid>
      <w:tr>
        <w:trPr>
          <w:trHeight w:val="474" w:hRule="atLeast"/>
        </w:trPr>
        <w:tc>
          <w:tcPr>
            <w:tcW w:w="2011" w:type="dxa"/>
            <w:tcBorders>
              <w:top w:val="single" w:sz="4" w:space="0" w:color="000000"/>
              <w:bottom w:val="single" w:sz="4" w:space="0" w:color="000000"/>
            </w:tcBorders>
          </w:tcPr>
          <w:p>
            <w:pPr>
              <w:pStyle w:val="TableParagraph"/>
              <w:spacing w:line="270" w:lineRule="exact" w:before="0"/>
              <w:ind w:left="115"/>
              <w:rPr>
                <w:sz w:val="24"/>
              </w:rPr>
            </w:pPr>
            <w:r>
              <w:rPr>
                <w:spacing w:val="-2"/>
                <w:sz w:val="24"/>
              </w:rPr>
              <w:t>Treatments</w:t>
            </w:r>
          </w:p>
        </w:tc>
        <w:tc>
          <w:tcPr>
            <w:tcW w:w="1797" w:type="dxa"/>
            <w:tcBorders>
              <w:top w:val="single" w:sz="4" w:space="0" w:color="000000"/>
              <w:bottom w:val="single" w:sz="4" w:space="0" w:color="000000"/>
            </w:tcBorders>
          </w:tcPr>
          <w:p>
            <w:pPr>
              <w:pStyle w:val="TableParagraph"/>
              <w:spacing w:line="270" w:lineRule="exact" w:before="0"/>
              <w:ind w:left="274"/>
              <w:rPr>
                <w:sz w:val="24"/>
              </w:rPr>
            </w:pPr>
            <w:r>
              <w:rPr>
                <w:sz w:val="24"/>
              </w:rPr>
              <w:t>Week</w:t>
            </w:r>
            <w:r>
              <w:rPr>
                <w:spacing w:val="-1"/>
                <w:sz w:val="24"/>
              </w:rPr>
              <w:t> </w:t>
            </w:r>
            <w:r>
              <w:rPr>
                <w:spacing w:val="-10"/>
                <w:sz w:val="24"/>
              </w:rPr>
              <w:t>0</w:t>
            </w:r>
          </w:p>
        </w:tc>
        <w:tc>
          <w:tcPr>
            <w:tcW w:w="1853" w:type="dxa"/>
            <w:tcBorders>
              <w:top w:val="single" w:sz="4" w:space="0" w:color="000000"/>
              <w:bottom w:val="single" w:sz="4" w:space="0" w:color="000000"/>
            </w:tcBorders>
          </w:tcPr>
          <w:p>
            <w:pPr>
              <w:pStyle w:val="TableParagraph"/>
              <w:spacing w:line="270" w:lineRule="exact" w:before="0"/>
              <w:ind w:left="238"/>
              <w:rPr>
                <w:sz w:val="24"/>
              </w:rPr>
            </w:pPr>
            <w:r>
              <w:rPr>
                <w:sz w:val="24"/>
              </w:rPr>
              <w:t>Week</w:t>
            </w:r>
            <w:r>
              <w:rPr>
                <w:spacing w:val="-1"/>
                <w:sz w:val="24"/>
              </w:rPr>
              <w:t> </w:t>
            </w:r>
            <w:r>
              <w:rPr>
                <w:spacing w:val="-10"/>
                <w:sz w:val="24"/>
              </w:rPr>
              <w:t>1</w:t>
            </w:r>
          </w:p>
        </w:tc>
        <w:tc>
          <w:tcPr>
            <w:tcW w:w="1861" w:type="dxa"/>
            <w:tcBorders>
              <w:top w:val="single" w:sz="4" w:space="0" w:color="000000"/>
              <w:bottom w:val="single" w:sz="4" w:space="0" w:color="000000"/>
            </w:tcBorders>
          </w:tcPr>
          <w:p>
            <w:pPr>
              <w:pStyle w:val="TableParagraph"/>
              <w:spacing w:line="270" w:lineRule="exact" w:before="0"/>
              <w:ind w:left="270"/>
              <w:rPr>
                <w:sz w:val="24"/>
              </w:rPr>
            </w:pPr>
            <w:r>
              <w:rPr>
                <w:sz w:val="24"/>
              </w:rPr>
              <w:t>Week</w:t>
            </w:r>
            <w:r>
              <w:rPr>
                <w:spacing w:val="-1"/>
                <w:sz w:val="24"/>
              </w:rPr>
              <w:t> </w:t>
            </w:r>
            <w:r>
              <w:rPr>
                <w:spacing w:val="-10"/>
                <w:sz w:val="24"/>
              </w:rPr>
              <w:t>2</w:t>
            </w:r>
          </w:p>
        </w:tc>
        <w:tc>
          <w:tcPr>
            <w:tcW w:w="1950" w:type="dxa"/>
            <w:tcBorders>
              <w:top w:val="single" w:sz="4" w:space="0" w:color="000000"/>
              <w:bottom w:val="single" w:sz="4" w:space="0" w:color="000000"/>
            </w:tcBorders>
          </w:tcPr>
          <w:p>
            <w:pPr>
              <w:pStyle w:val="TableParagraph"/>
              <w:spacing w:line="270" w:lineRule="exact" w:before="0"/>
              <w:ind w:left="296"/>
              <w:rPr>
                <w:sz w:val="24"/>
              </w:rPr>
            </w:pPr>
            <w:r>
              <w:rPr>
                <w:sz w:val="24"/>
              </w:rPr>
              <w:t>Week</w:t>
            </w:r>
            <w:r>
              <w:rPr>
                <w:spacing w:val="-1"/>
                <w:sz w:val="24"/>
              </w:rPr>
              <w:t> </w:t>
            </w:r>
            <w:r>
              <w:rPr>
                <w:spacing w:val="-10"/>
                <w:sz w:val="24"/>
              </w:rPr>
              <w:t>3</w:t>
            </w:r>
          </w:p>
        </w:tc>
        <w:tc>
          <w:tcPr>
            <w:tcW w:w="1946" w:type="dxa"/>
            <w:tcBorders>
              <w:top w:val="single" w:sz="4" w:space="0" w:color="000000"/>
              <w:bottom w:val="single" w:sz="4" w:space="0" w:color="000000"/>
            </w:tcBorders>
          </w:tcPr>
          <w:p>
            <w:pPr>
              <w:pStyle w:val="TableParagraph"/>
              <w:spacing w:line="270" w:lineRule="exact" w:before="0"/>
              <w:ind w:left="357"/>
              <w:rPr>
                <w:sz w:val="24"/>
              </w:rPr>
            </w:pPr>
            <w:r>
              <w:rPr>
                <w:sz w:val="24"/>
              </w:rPr>
              <w:t>Week</w:t>
            </w:r>
            <w:r>
              <w:rPr>
                <w:spacing w:val="-1"/>
                <w:sz w:val="24"/>
              </w:rPr>
              <w:t> </w:t>
            </w:r>
            <w:r>
              <w:rPr>
                <w:spacing w:val="-10"/>
                <w:sz w:val="24"/>
              </w:rPr>
              <w:t>4</w:t>
            </w:r>
          </w:p>
        </w:tc>
        <w:tc>
          <w:tcPr>
            <w:tcW w:w="2253" w:type="dxa"/>
            <w:tcBorders>
              <w:top w:val="single" w:sz="4" w:space="0" w:color="000000"/>
              <w:bottom w:val="single" w:sz="4" w:space="0" w:color="000000"/>
            </w:tcBorders>
          </w:tcPr>
          <w:p>
            <w:pPr>
              <w:pStyle w:val="TableParagraph"/>
              <w:spacing w:line="270" w:lineRule="exact" w:before="0"/>
              <w:ind w:left="296"/>
              <w:rPr>
                <w:sz w:val="24"/>
              </w:rPr>
            </w:pPr>
            <w:r>
              <w:rPr>
                <w:sz w:val="24"/>
              </w:rPr>
              <w:t>Week</w:t>
            </w:r>
            <w:r>
              <w:rPr>
                <w:spacing w:val="-1"/>
                <w:sz w:val="24"/>
              </w:rPr>
              <w:t> </w:t>
            </w:r>
            <w:r>
              <w:rPr>
                <w:spacing w:val="-10"/>
                <w:sz w:val="24"/>
              </w:rPr>
              <w:t>5</w:t>
            </w:r>
          </w:p>
        </w:tc>
      </w:tr>
      <w:tr>
        <w:trPr>
          <w:trHeight w:val="346" w:hRule="atLeast"/>
        </w:trPr>
        <w:tc>
          <w:tcPr>
            <w:tcW w:w="2011" w:type="dxa"/>
            <w:tcBorders>
              <w:top w:val="single" w:sz="4" w:space="0" w:color="000000"/>
            </w:tcBorders>
          </w:tcPr>
          <w:p>
            <w:pPr>
              <w:pStyle w:val="TableParagraph"/>
              <w:spacing w:line="228" w:lineRule="exact" w:before="0"/>
              <w:ind w:left="115"/>
              <w:rPr>
                <w:sz w:val="20"/>
              </w:rPr>
            </w:pPr>
            <w:r>
              <w:rPr>
                <w:spacing w:val="-5"/>
                <w:sz w:val="20"/>
              </w:rPr>
              <w:t>NPa</w:t>
            </w:r>
          </w:p>
        </w:tc>
        <w:tc>
          <w:tcPr>
            <w:tcW w:w="1797" w:type="dxa"/>
            <w:tcBorders>
              <w:top w:val="single" w:sz="4" w:space="0" w:color="000000"/>
            </w:tcBorders>
          </w:tcPr>
          <w:p>
            <w:pPr>
              <w:pStyle w:val="TableParagraph"/>
              <w:spacing w:line="228" w:lineRule="exact" w:before="0"/>
              <w:ind w:left="274"/>
              <w:rPr>
                <w:sz w:val="20"/>
              </w:rPr>
            </w:pPr>
            <w:r>
              <w:rPr>
                <w:spacing w:val="-2"/>
                <w:sz w:val="20"/>
              </w:rPr>
              <w:t>1.6x10</w:t>
            </w:r>
            <w:r>
              <w:rPr>
                <w:spacing w:val="-2"/>
                <w:sz w:val="20"/>
                <w:vertAlign w:val="superscript"/>
              </w:rPr>
              <w:t>5</w:t>
            </w:r>
            <w:r>
              <w:rPr>
                <w:spacing w:val="-2"/>
                <w:sz w:val="20"/>
                <w:vertAlign w:val="baseline"/>
              </w:rPr>
              <w:t>±25.00</w:t>
            </w:r>
            <w:r>
              <w:rPr>
                <w:spacing w:val="-2"/>
                <w:sz w:val="20"/>
                <w:vertAlign w:val="superscript"/>
              </w:rPr>
              <w:t>a</w:t>
            </w:r>
          </w:p>
        </w:tc>
        <w:tc>
          <w:tcPr>
            <w:tcW w:w="1853" w:type="dxa"/>
            <w:tcBorders>
              <w:top w:val="single" w:sz="4" w:space="0" w:color="000000"/>
            </w:tcBorders>
          </w:tcPr>
          <w:p>
            <w:pPr>
              <w:pStyle w:val="TableParagraph"/>
              <w:spacing w:line="228" w:lineRule="exact" w:before="0"/>
              <w:ind w:left="238"/>
              <w:rPr>
                <w:sz w:val="20"/>
              </w:rPr>
            </w:pPr>
            <w:r>
              <w:rPr>
                <w:sz w:val="20"/>
              </w:rPr>
              <w:t>4.6</w:t>
            </w:r>
            <w:r>
              <w:rPr>
                <w:spacing w:val="-2"/>
                <w:sz w:val="20"/>
              </w:rPr>
              <w:t> </w:t>
            </w:r>
            <w:r>
              <w:rPr>
                <w:sz w:val="20"/>
              </w:rPr>
              <w:t>x10</w:t>
            </w:r>
            <w:r>
              <w:rPr>
                <w:sz w:val="20"/>
                <w:vertAlign w:val="superscript"/>
              </w:rPr>
              <w:t>5</w:t>
            </w:r>
            <w:r>
              <w:rPr>
                <w:spacing w:val="-2"/>
                <w:sz w:val="20"/>
                <w:vertAlign w:val="baseline"/>
              </w:rPr>
              <w:t> 0±0.00</w:t>
            </w:r>
            <w:r>
              <w:rPr>
                <w:spacing w:val="-2"/>
                <w:sz w:val="20"/>
                <w:vertAlign w:val="superscript"/>
              </w:rPr>
              <w:t>b</w:t>
            </w:r>
          </w:p>
        </w:tc>
        <w:tc>
          <w:tcPr>
            <w:tcW w:w="1861" w:type="dxa"/>
            <w:tcBorders>
              <w:top w:val="single" w:sz="4" w:space="0" w:color="000000"/>
            </w:tcBorders>
          </w:tcPr>
          <w:p>
            <w:pPr>
              <w:pStyle w:val="TableParagraph"/>
              <w:spacing w:line="228" w:lineRule="exact" w:before="0"/>
              <w:ind w:left="270"/>
              <w:rPr>
                <w:sz w:val="20"/>
              </w:rPr>
            </w:pPr>
            <w:r>
              <w:rPr>
                <w:sz w:val="20"/>
              </w:rPr>
              <w:t>1.0</w:t>
            </w:r>
            <w:r>
              <w:rPr>
                <w:spacing w:val="-1"/>
                <w:sz w:val="20"/>
              </w:rPr>
              <w:t> </w:t>
            </w:r>
            <w:r>
              <w:rPr>
                <w:spacing w:val="-2"/>
                <w:sz w:val="20"/>
              </w:rPr>
              <w:t>x10</w:t>
            </w:r>
            <w:r>
              <w:rPr>
                <w:spacing w:val="-2"/>
                <w:sz w:val="20"/>
                <w:vertAlign w:val="superscript"/>
              </w:rPr>
              <w:t>7</w:t>
            </w:r>
            <w:r>
              <w:rPr>
                <w:spacing w:val="-2"/>
                <w:sz w:val="20"/>
                <w:vertAlign w:val="baseline"/>
              </w:rPr>
              <w:t>±99.81</w:t>
            </w:r>
            <w:r>
              <w:rPr>
                <w:spacing w:val="-2"/>
                <w:sz w:val="20"/>
                <w:vertAlign w:val="superscript"/>
              </w:rPr>
              <w:t>d</w:t>
            </w:r>
          </w:p>
        </w:tc>
        <w:tc>
          <w:tcPr>
            <w:tcW w:w="1950" w:type="dxa"/>
            <w:tcBorders>
              <w:top w:val="single" w:sz="4" w:space="0" w:color="000000"/>
            </w:tcBorders>
          </w:tcPr>
          <w:p>
            <w:pPr>
              <w:pStyle w:val="TableParagraph"/>
              <w:spacing w:line="228" w:lineRule="exact" w:before="0"/>
              <w:ind w:left="296"/>
              <w:rPr>
                <w:sz w:val="20"/>
              </w:rPr>
            </w:pPr>
            <w:r>
              <w:rPr>
                <w:sz w:val="20"/>
              </w:rPr>
              <w:t>1.4</w:t>
            </w:r>
            <w:r>
              <w:rPr>
                <w:spacing w:val="-1"/>
                <w:sz w:val="20"/>
              </w:rPr>
              <w:t> </w:t>
            </w:r>
            <w:r>
              <w:rPr>
                <w:spacing w:val="-2"/>
                <w:sz w:val="20"/>
              </w:rPr>
              <w:t>x10</w:t>
            </w:r>
            <w:r>
              <w:rPr>
                <w:spacing w:val="-2"/>
                <w:sz w:val="20"/>
                <w:vertAlign w:val="superscript"/>
              </w:rPr>
              <w:t>7</w:t>
            </w:r>
            <w:r>
              <w:rPr>
                <w:spacing w:val="-2"/>
                <w:sz w:val="20"/>
                <w:vertAlign w:val="baseline"/>
              </w:rPr>
              <w:t>±10.50</w:t>
            </w:r>
            <w:r>
              <w:rPr>
                <w:spacing w:val="-2"/>
                <w:sz w:val="20"/>
                <w:vertAlign w:val="superscript"/>
              </w:rPr>
              <w:t>e</w:t>
            </w:r>
          </w:p>
        </w:tc>
        <w:tc>
          <w:tcPr>
            <w:tcW w:w="1946" w:type="dxa"/>
            <w:tcBorders>
              <w:top w:val="single" w:sz="4" w:space="0" w:color="000000"/>
            </w:tcBorders>
          </w:tcPr>
          <w:p>
            <w:pPr>
              <w:pStyle w:val="TableParagraph"/>
              <w:spacing w:line="228" w:lineRule="exact" w:before="0"/>
              <w:ind w:left="357"/>
              <w:rPr>
                <w:sz w:val="20"/>
              </w:rPr>
            </w:pPr>
            <w:r>
              <w:rPr>
                <w:sz w:val="20"/>
              </w:rPr>
              <w:t>1.7</w:t>
            </w:r>
            <w:r>
              <w:rPr>
                <w:spacing w:val="-1"/>
                <w:sz w:val="20"/>
              </w:rPr>
              <w:t> </w:t>
            </w:r>
            <w:r>
              <w:rPr>
                <w:spacing w:val="-2"/>
                <w:sz w:val="20"/>
              </w:rPr>
              <w:t>x10</w:t>
            </w:r>
            <w:r>
              <w:rPr>
                <w:spacing w:val="-2"/>
                <w:sz w:val="20"/>
                <w:vertAlign w:val="superscript"/>
              </w:rPr>
              <w:t>8</w:t>
            </w:r>
            <w:r>
              <w:rPr>
                <w:spacing w:val="-2"/>
                <w:sz w:val="20"/>
                <w:vertAlign w:val="baseline"/>
              </w:rPr>
              <w:t>±91.92</w:t>
            </w:r>
            <w:r>
              <w:rPr>
                <w:spacing w:val="-2"/>
                <w:sz w:val="20"/>
                <w:vertAlign w:val="superscript"/>
              </w:rPr>
              <w:t>f</w:t>
            </w:r>
          </w:p>
        </w:tc>
        <w:tc>
          <w:tcPr>
            <w:tcW w:w="2253" w:type="dxa"/>
            <w:tcBorders>
              <w:top w:val="single" w:sz="4" w:space="0" w:color="000000"/>
            </w:tcBorders>
          </w:tcPr>
          <w:p>
            <w:pPr>
              <w:pStyle w:val="TableParagraph"/>
              <w:spacing w:line="228" w:lineRule="exact" w:before="0"/>
              <w:ind w:left="296"/>
              <w:rPr>
                <w:sz w:val="20"/>
              </w:rPr>
            </w:pPr>
            <w:r>
              <w:rPr>
                <w:sz w:val="20"/>
              </w:rPr>
              <w:t>5.5</w:t>
            </w:r>
            <w:r>
              <w:rPr>
                <w:spacing w:val="-1"/>
                <w:sz w:val="20"/>
              </w:rPr>
              <w:t> </w:t>
            </w:r>
            <w:r>
              <w:rPr>
                <w:spacing w:val="-2"/>
                <w:sz w:val="20"/>
              </w:rPr>
              <w:t>x10</w:t>
            </w:r>
            <w:r>
              <w:rPr>
                <w:spacing w:val="-2"/>
                <w:sz w:val="20"/>
                <w:vertAlign w:val="superscript"/>
              </w:rPr>
              <w:t>6</w:t>
            </w:r>
            <w:r>
              <w:rPr>
                <w:spacing w:val="-2"/>
                <w:sz w:val="20"/>
                <w:vertAlign w:val="baseline"/>
              </w:rPr>
              <w:t>±79.01</w:t>
            </w:r>
            <w:r>
              <w:rPr>
                <w:spacing w:val="-2"/>
                <w:sz w:val="20"/>
                <w:vertAlign w:val="superscript"/>
              </w:rPr>
              <w:t>c</w:t>
            </w:r>
          </w:p>
        </w:tc>
      </w:tr>
      <w:tr>
        <w:trPr>
          <w:trHeight w:val="447" w:hRule="atLeast"/>
        </w:trPr>
        <w:tc>
          <w:tcPr>
            <w:tcW w:w="2011" w:type="dxa"/>
          </w:tcPr>
          <w:p>
            <w:pPr>
              <w:pStyle w:val="TableParagraph"/>
              <w:spacing w:before="117"/>
              <w:ind w:left="115"/>
              <w:rPr>
                <w:sz w:val="20"/>
              </w:rPr>
            </w:pPr>
            <w:r>
              <w:rPr>
                <w:spacing w:val="-5"/>
                <w:sz w:val="20"/>
              </w:rPr>
              <w:t>NPb</w:t>
            </w:r>
          </w:p>
        </w:tc>
        <w:tc>
          <w:tcPr>
            <w:tcW w:w="1797" w:type="dxa"/>
          </w:tcPr>
          <w:p>
            <w:pPr>
              <w:pStyle w:val="TableParagraph"/>
              <w:spacing w:before="117"/>
              <w:ind w:left="274"/>
              <w:rPr>
                <w:sz w:val="20"/>
              </w:rPr>
            </w:pPr>
            <w:r>
              <w:rPr>
                <w:sz w:val="20"/>
              </w:rPr>
              <w:t>2.2</w:t>
            </w:r>
            <w:r>
              <w:rPr>
                <w:spacing w:val="-1"/>
                <w:sz w:val="20"/>
              </w:rPr>
              <w:t> </w:t>
            </w:r>
            <w:r>
              <w:rPr>
                <w:spacing w:val="-2"/>
                <w:sz w:val="20"/>
              </w:rPr>
              <w:t>x10</w:t>
            </w:r>
            <w:r>
              <w:rPr>
                <w:spacing w:val="-2"/>
                <w:sz w:val="20"/>
                <w:vertAlign w:val="superscript"/>
              </w:rPr>
              <w:t>5</w:t>
            </w:r>
            <w:r>
              <w:rPr>
                <w:spacing w:val="-2"/>
                <w:sz w:val="20"/>
                <w:vertAlign w:val="baseline"/>
              </w:rPr>
              <w:t>±50.00</w:t>
            </w:r>
            <w:r>
              <w:rPr>
                <w:spacing w:val="-2"/>
                <w:sz w:val="20"/>
                <w:vertAlign w:val="superscript"/>
              </w:rPr>
              <w:t>a</w:t>
            </w:r>
          </w:p>
        </w:tc>
        <w:tc>
          <w:tcPr>
            <w:tcW w:w="1853" w:type="dxa"/>
          </w:tcPr>
          <w:p>
            <w:pPr>
              <w:pStyle w:val="TableParagraph"/>
              <w:spacing w:before="117"/>
              <w:ind w:left="238"/>
              <w:rPr>
                <w:sz w:val="20"/>
              </w:rPr>
            </w:pPr>
            <w:r>
              <w:rPr>
                <w:sz w:val="20"/>
              </w:rPr>
              <w:t>4.2</w:t>
            </w:r>
            <w:r>
              <w:rPr>
                <w:spacing w:val="-1"/>
                <w:sz w:val="20"/>
              </w:rPr>
              <w:t> </w:t>
            </w:r>
            <w:r>
              <w:rPr>
                <w:spacing w:val="-2"/>
                <w:sz w:val="20"/>
              </w:rPr>
              <w:t>x10</w:t>
            </w:r>
            <w:r>
              <w:rPr>
                <w:spacing w:val="-2"/>
                <w:sz w:val="20"/>
                <w:vertAlign w:val="superscript"/>
              </w:rPr>
              <w:t>5</w:t>
            </w:r>
            <w:r>
              <w:rPr>
                <w:spacing w:val="-2"/>
                <w:sz w:val="20"/>
                <w:vertAlign w:val="baseline"/>
              </w:rPr>
              <w:t>±5.01</w:t>
            </w:r>
            <w:r>
              <w:rPr>
                <w:spacing w:val="-2"/>
                <w:sz w:val="20"/>
                <w:vertAlign w:val="superscript"/>
              </w:rPr>
              <w:t>b</w:t>
            </w:r>
          </w:p>
        </w:tc>
        <w:tc>
          <w:tcPr>
            <w:tcW w:w="1861" w:type="dxa"/>
          </w:tcPr>
          <w:p>
            <w:pPr>
              <w:pStyle w:val="TableParagraph"/>
              <w:spacing w:before="117"/>
              <w:ind w:left="270"/>
              <w:rPr>
                <w:sz w:val="20"/>
              </w:rPr>
            </w:pPr>
            <w:r>
              <w:rPr>
                <w:sz w:val="20"/>
              </w:rPr>
              <w:t>2.2</w:t>
            </w:r>
            <w:r>
              <w:rPr>
                <w:spacing w:val="-1"/>
                <w:sz w:val="20"/>
              </w:rPr>
              <w:t> </w:t>
            </w:r>
            <w:r>
              <w:rPr>
                <w:spacing w:val="-2"/>
                <w:sz w:val="20"/>
              </w:rPr>
              <w:t>x10</w:t>
            </w:r>
            <w:r>
              <w:rPr>
                <w:spacing w:val="-2"/>
                <w:sz w:val="20"/>
                <w:vertAlign w:val="superscript"/>
              </w:rPr>
              <w:t>7</w:t>
            </w:r>
            <w:r>
              <w:rPr>
                <w:spacing w:val="-2"/>
                <w:sz w:val="20"/>
                <w:vertAlign w:val="baseline"/>
              </w:rPr>
              <w:t>±55.50</w:t>
            </w:r>
            <w:r>
              <w:rPr>
                <w:spacing w:val="-2"/>
                <w:sz w:val="20"/>
                <w:vertAlign w:val="superscript"/>
              </w:rPr>
              <w:t>c</w:t>
            </w:r>
          </w:p>
        </w:tc>
        <w:tc>
          <w:tcPr>
            <w:tcW w:w="1950" w:type="dxa"/>
          </w:tcPr>
          <w:p>
            <w:pPr>
              <w:pStyle w:val="TableParagraph"/>
              <w:spacing w:before="117"/>
              <w:ind w:left="296"/>
              <w:rPr>
                <w:sz w:val="20"/>
              </w:rPr>
            </w:pPr>
            <w:r>
              <w:rPr>
                <w:sz w:val="20"/>
              </w:rPr>
              <w:t>2.8</w:t>
            </w:r>
            <w:r>
              <w:rPr>
                <w:spacing w:val="-1"/>
                <w:sz w:val="20"/>
              </w:rPr>
              <w:t> </w:t>
            </w:r>
            <w:r>
              <w:rPr>
                <w:spacing w:val="-2"/>
                <w:sz w:val="20"/>
              </w:rPr>
              <w:t>x10</w:t>
            </w:r>
            <w:r>
              <w:rPr>
                <w:spacing w:val="-2"/>
                <w:sz w:val="20"/>
                <w:vertAlign w:val="superscript"/>
              </w:rPr>
              <w:t>8</w:t>
            </w:r>
            <w:r>
              <w:rPr>
                <w:spacing w:val="-2"/>
                <w:sz w:val="20"/>
                <w:vertAlign w:val="baseline"/>
              </w:rPr>
              <w:t>±90.92</w:t>
            </w:r>
            <w:r>
              <w:rPr>
                <w:spacing w:val="-2"/>
                <w:sz w:val="20"/>
                <w:vertAlign w:val="superscript"/>
              </w:rPr>
              <w:t>f</w:t>
            </w:r>
          </w:p>
        </w:tc>
        <w:tc>
          <w:tcPr>
            <w:tcW w:w="1946" w:type="dxa"/>
          </w:tcPr>
          <w:p>
            <w:pPr>
              <w:pStyle w:val="TableParagraph"/>
              <w:spacing w:before="117"/>
              <w:ind w:left="357"/>
              <w:rPr>
                <w:sz w:val="20"/>
              </w:rPr>
            </w:pPr>
            <w:r>
              <w:rPr>
                <w:sz w:val="20"/>
              </w:rPr>
              <w:t>2.0</w:t>
            </w:r>
            <w:r>
              <w:rPr>
                <w:spacing w:val="-1"/>
                <w:sz w:val="20"/>
              </w:rPr>
              <w:t> </w:t>
            </w:r>
            <w:r>
              <w:rPr>
                <w:spacing w:val="-2"/>
                <w:sz w:val="20"/>
              </w:rPr>
              <w:t>x10</w:t>
            </w:r>
            <w:r>
              <w:rPr>
                <w:spacing w:val="-2"/>
                <w:sz w:val="20"/>
                <w:vertAlign w:val="superscript"/>
              </w:rPr>
              <w:t>8</w:t>
            </w:r>
            <w:r>
              <w:rPr>
                <w:spacing w:val="-2"/>
                <w:sz w:val="20"/>
                <w:vertAlign w:val="baseline"/>
              </w:rPr>
              <w:t>±16.60</w:t>
            </w:r>
            <w:r>
              <w:rPr>
                <w:spacing w:val="-2"/>
                <w:sz w:val="20"/>
                <w:vertAlign w:val="superscript"/>
              </w:rPr>
              <w:t>e</w:t>
            </w:r>
          </w:p>
        </w:tc>
        <w:tc>
          <w:tcPr>
            <w:tcW w:w="2253" w:type="dxa"/>
          </w:tcPr>
          <w:p>
            <w:pPr>
              <w:pStyle w:val="TableParagraph"/>
              <w:spacing w:before="117"/>
              <w:ind w:left="296"/>
              <w:rPr>
                <w:sz w:val="20"/>
              </w:rPr>
            </w:pPr>
            <w:r>
              <w:rPr>
                <w:sz w:val="20"/>
              </w:rPr>
              <w:t>3.4</w:t>
            </w:r>
            <w:r>
              <w:rPr>
                <w:spacing w:val="-1"/>
                <w:sz w:val="20"/>
              </w:rPr>
              <w:t> </w:t>
            </w:r>
            <w:r>
              <w:rPr>
                <w:spacing w:val="-2"/>
                <w:sz w:val="20"/>
              </w:rPr>
              <w:t>x10</w:t>
            </w:r>
            <w:r>
              <w:rPr>
                <w:spacing w:val="-2"/>
                <w:sz w:val="20"/>
                <w:vertAlign w:val="superscript"/>
              </w:rPr>
              <w:t>7</w:t>
            </w:r>
            <w:r>
              <w:rPr>
                <w:spacing w:val="-2"/>
                <w:sz w:val="20"/>
                <w:vertAlign w:val="baseline"/>
              </w:rPr>
              <w:t>±0.00</w:t>
            </w:r>
            <w:r>
              <w:rPr>
                <w:spacing w:val="-2"/>
                <w:sz w:val="20"/>
                <w:vertAlign w:val="superscript"/>
              </w:rPr>
              <w:t>d</w:t>
            </w:r>
          </w:p>
        </w:tc>
      </w:tr>
      <w:tr>
        <w:trPr>
          <w:trHeight w:val="447" w:hRule="atLeast"/>
        </w:trPr>
        <w:tc>
          <w:tcPr>
            <w:tcW w:w="2011" w:type="dxa"/>
          </w:tcPr>
          <w:p>
            <w:pPr>
              <w:pStyle w:val="TableParagraph"/>
              <w:ind w:left="115"/>
              <w:rPr>
                <w:sz w:val="20"/>
              </w:rPr>
            </w:pPr>
            <w:r>
              <w:rPr>
                <w:spacing w:val="-5"/>
                <w:sz w:val="20"/>
              </w:rPr>
              <w:t>BSa</w:t>
            </w:r>
          </w:p>
        </w:tc>
        <w:tc>
          <w:tcPr>
            <w:tcW w:w="1797" w:type="dxa"/>
          </w:tcPr>
          <w:p>
            <w:pPr>
              <w:pStyle w:val="TableParagraph"/>
              <w:ind w:left="274"/>
              <w:rPr>
                <w:sz w:val="20"/>
              </w:rPr>
            </w:pPr>
            <w:r>
              <w:rPr>
                <w:sz w:val="20"/>
              </w:rPr>
              <w:t>5.1</w:t>
            </w:r>
            <w:r>
              <w:rPr>
                <w:spacing w:val="-1"/>
                <w:sz w:val="20"/>
              </w:rPr>
              <w:t> </w:t>
            </w:r>
            <w:r>
              <w:rPr>
                <w:spacing w:val="-2"/>
                <w:sz w:val="20"/>
              </w:rPr>
              <w:t>x10</w:t>
            </w:r>
            <w:r>
              <w:rPr>
                <w:spacing w:val="-2"/>
                <w:sz w:val="20"/>
                <w:vertAlign w:val="superscript"/>
              </w:rPr>
              <w:t>5</w:t>
            </w:r>
            <w:r>
              <w:rPr>
                <w:spacing w:val="-2"/>
                <w:sz w:val="20"/>
                <w:vertAlign w:val="baseline"/>
              </w:rPr>
              <w:t>±12.52</w:t>
            </w:r>
            <w:r>
              <w:rPr>
                <w:spacing w:val="-2"/>
                <w:sz w:val="20"/>
                <w:vertAlign w:val="superscript"/>
              </w:rPr>
              <w:t>a</w:t>
            </w:r>
          </w:p>
        </w:tc>
        <w:tc>
          <w:tcPr>
            <w:tcW w:w="1853" w:type="dxa"/>
          </w:tcPr>
          <w:p>
            <w:pPr>
              <w:pStyle w:val="TableParagraph"/>
              <w:ind w:left="238"/>
              <w:rPr>
                <w:sz w:val="20"/>
              </w:rPr>
            </w:pPr>
            <w:r>
              <w:rPr>
                <w:sz w:val="20"/>
              </w:rPr>
              <w:t>2.8</w:t>
            </w:r>
            <w:r>
              <w:rPr>
                <w:spacing w:val="-1"/>
                <w:sz w:val="20"/>
              </w:rPr>
              <w:t> </w:t>
            </w:r>
            <w:r>
              <w:rPr>
                <w:spacing w:val="-2"/>
                <w:sz w:val="20"/>
              </w:rPr>
              <w:t>x10</w:t>
            </w:r>
            <w:r>
              <w:rPr>
                <w:spacing w:val="-2"/>
                <w:sz w:val="20"/>
                <w:vertAlign w:val="superscript"/>
              </w:rPr>
              <w:t>6</w:t>
            </w:r>
            <w:r>
              <w:rPr>
                <w:spacing w:val="-2"/>
                <w:sz w:val="20"/>
                <w:vertAlign w:val="baseline"/>
              </w:rPr>
              <w:t>±5.01</w:t>
            </w:r>
            <w:r>
              <w:rPr>
                <w:spacing w:val="-2"/>
                <w:sz w:val="20"/>
                <w:vertAlign w:val="superscript"/>
              </w:rPr>
              <w:t>b</w:t>
            </w:r>
          </w:p>
        </w:tc>
        <w:tc>
          <w:tcPr>
            <w:tcW w:w="1861" w:type="dxa"/>
          </w:tcPr>
          <w:p>
            <w:pPr>
              <w:pStyle w:val="TableParagraph"/>
              <w:ind w:left="270"/>
              <w:rPr>
                <w:sz w:val="20"/>
              </w:rPr>
            </w:pPr>
            <w:r>
              <w:rPr>
                <w:sz w:val="20"/>
              </w:rPr>
              <w:t>4.0</w:t>
            </w:r>
            <w:r>
              <w:rPr>
                <w:spacing w:val="-1"/>
                <w:sz w:val="20"/>
              </w:rPr>
              <w:t> </w:t>
            </w:r>
            <w:r>
              <w:rPr>
                <w:spacing w:val="-2"/>
                <w:sz w:val="20"/>
              </w:rPr>
              <w:t>x10</w:t>
            </w:r>
            <w:r>
              <w:rPr>
                <w:spacing w:val="-2"/>
                <w:sz w:val="20"/>
                <w:vertAlign w:val="superscript"/>
              </w:rPr>
              <w:t>7</w:t>
            </w:r>
            <w:r>
              <w:rPr>
                <w:spacing w:val="-2"/>
                <w:sz w:val="20"/>
                <w:vertAlign w:val="baseline"/>
              </w:rPr>
              <w:t>±90.50</w:t>
            </w:r>
            <w:r>
              <w:rPr>
                <w:spacing w:val="-2"/>
                <w:sz w:val="20"/>
                <w:vertAlign w:val="superscript"/>
              </w:rPr>
              <w:t>d</w:t>
            </w:r>
          </w:p>
        </w:tc>
        <w:tc>
          <w:tcPr>
            <w:tcW w:w="1950" w:type="dxa"/>
          </w:tcPr>
          <w:p>
            <w:pPr>
              <w:pStyle w:val="TableParagraph"/>
              <w:ind w:left="296"/>
              <w:rPr>
                <w:sz w:val="20"/>
              </w:rPr>
            </w:pPr>
            <w:r>
              <w:rPr>
                <w:sz w:val="20"/>
              </w:rPr>
              <w:t>4.1</w:t>
            </w:r>
            <w:r>
              <w:rPr>
                <w:spacing w:val="-1"/>
                <w:sz w:val="20"/>
              </w:rPr>
              <w:t> </w:t>
            </w:r>
            <w:r>
              <w:rPr>
                <w:spacing w:val="-2"/>
                <w:sz w:val="20"/>
              </w:rPr>
              <w:t>x10</w:t>
            </w:r>
            <w:r>
              <w:rPr>
                <w:spacing w:val="-2"/>
                <w:sz w:val="20"/>
                <w:vertAlign w:val="superscript"/>
              </w:rPr>
              <w:t>8</w:t>
            </w:r>
            <w:r>
              <w:rPr>
                <w:spacing w:val="-2"/>
                <w:sz w:val="20"/>
                <w:vertAlign w:val="baseline"/>
              </w:rPr>
              <w:t>±42.00</w:t>
            </w:r>
            <w:r>
              <w:rPr>
                <w:spacing w:val="-2"/>
                <w:sz w:val="20"/>
                <w:vertAlign w:val="superscript"/>
              </w:rPr>
              <w:t>e</w:t>
            </w:r>
          </w:p>
        </w:tc>
        <w:tc>
          <w:tcPr>
            <w:tcW w:w="1946" w:type="dxa"/>
          </w:tcPr>
          <w:p>
            <w:pPr>
              <w:pStyle w:val="TableParagraph"/>
              <w:ind w:left="357"/>
              <w:rPr>
                <w:sz w:val="20"/>
              </w:rPr>
            </w:pPr>
            <w:r>
              <w:rPr>
                <w:sz w:val="20"/>
              </w:rPr>
              <w:t>4.2</w:t>
            </w:r>
            <w:r>
              <w:rPr>
                <w:spacing w:val="-1"/>
                <w:sz w:val="20"/>
              </w:rPr>
              <w:t> </w:t>
            </w:r>
            <w:r>
              <w:rPr>
                <w:spacing w:val="-2"/>
                <w:sz w:val="20"/>
              </w:rPr>
              <w:t>x10</w:t>
            </w:r>
            <w:r>
              <w:rPr>
                <w:spacing w:val="-2"/>
                <w:sz w:val="20"/>
                <w:vertAlign w:val="superscript"/>
              </w:rPr>
              <w:t>8</w:t>
            </w:r>
            <w:r>
              <w:rPr>
                <w:spacing w:val="-2"/>
                <w:sz w:val="20"/>
                <w:vertAlign w:val="baseline"/>
              </w:rPr>
              <w:t>±50.02</w:t>
            </w:r>
            <w:r>
              <w:rPr>
                <w:spacing w:val="-2"/>
                <w:sz w:val="20"/>
                <w:vertAlign w:val="superscript"/>
              </w:rPr>
              <w:t>f</w:t>
            </w:r>
          </w:p>
        </w:tc>
        <w:tc>
          <w:tcPr>
            <w:tcW w:w="2253" w:type="dxa"/>
          </w:tcPr>
          <w:p>
            <w:pPr>
              <w:pStyle w:val="TableParagraph"/>
              <w:ind w:left="296"/>
              <w:rPr>
                <w:sz w:val="20"/>
              </w:rPr>
            </w:pPr>
            <w:r>
              <w:rPr>
                <w:sz w:val="20"/>
              </w:rPr>
              <w:t>1.0</w:t>
            </w:r>
            <w:r>
              <w:rPr>
                <w:spacing w:val="-1"/>
                <w:sz w:val="20"/>
              </w:rPr>
              <w:t> </w:t>
            </w:r>
            <w:r>
              <w:rPr>
                <w:spacing w:val="-2"/>
                <w:sz w:val="20"/>
              </w:rPr>
              <w:t>x10</w:t>
            </w:r>
            <w:r>
              <w:rPr>
                <w:spacing w:val="-2"/>
                <w:sz w:val="20"/>
                <w:vertAlign w:val="superscript"/>
              </w:rPr>
              <w:t>7</w:t>
            </w:r>
            <w:r>
              <w:rPr>
                <w:spacing w:val="-2"/>
                <w:sz w:val="20"/>
                <w:vertAlign w:val="baseline"/>
              </w:rPr>
              <w:t>±50.01</w:t>
            </w:r>
            <w:r>
              <w:rPr>
                <w:spacing w:val="-2"/>
                <w:sz w:val="20"/>
                <w:vertAlign w:val="superscript"/>
              </w:rPr>
              <w:t>c</w:t>
            </w:r>
          </w:p>
        </w:tc>
      </w:tr>
      <w:tr>
        <w:trPr>
          <w:trHeight w:val="466" w:hRule="atLeast"/>
        </w:trPr>
        <w:tc>
          <w:tcPr>
            <w:tcW w:w="2011" w:type="dxa"/>
          </w:tcPr>
          <w:p>
            <w:pPr>
              <w:pStyle w:val="TableParagraph"/>
              <w:spacing w:before="117"/>
              <w:ind w:left="115"/>
              <w:rPr>
                <w:sz w:val="20"/>
              </w:rPr>
            </w:pPr>
            <w:r>
              <w:rPr>
                <w:spacing w:val="-5"/>
                <w:sz w:val="20"/>
              </w:rPr>
              <w:t>BSb</w:t>
            </w:r>
          </w:p>
        </w:tc>
        <w:tc>
          <w:tcPr>
            <w:tcW w:w="1797" w:type="dxa"/>
          </w:tcPr>
          <w:p>
            <w:pPr>
              <w:pStyle w:val="TableParagraph"/>
              <w:spacing w:before="117"/>
              <w:ind w:left="274"/>
              <w:rPr>
                <w:sz w:val="20"/>
              </w:rPr>
            </w:pPr>
            <w:r>
              <w:rPr>
                <w:sz w:val="20"/>
              </w:rPr>
              <w:t>4.0</w:t>
            </w:r>
            <w:r>
              <w:rPr>
                <w:spacing w:val="-2"/>
                <w:sz w:val="20"/>
              </w:rPr>
              <w:t> </w:t>
            </w:r>
            <w:r>
              <w:rPr>
                <w:sz w:val="20"/>
              </w:rPr>
              <w:t>x10</w:t>
            </w:r>
            <w:r>
              <w:rPr>
                <w:sz w:val="20"/>
                <w:vertAlign w:val="superscript"/>
              </w:rPr>
              <w:t>4</w:t>
            </w:r>
            <w:r>
              <w:rPr>
                <w:spacing w:val="-2"/>
                <w:sz w:val="20"/>
                <w:vertAlign w:val="baseline"/>
              </w:rPr>
              <w:t> ±2.51</w:t>
            </w:r>
            <w:r>
              <w:rPr>
                <w:spacing w:val="-2"/>
                <w:sz w:val="20"/>
                <w:vertAlign w:val="superscript"/>
              </w:rPr>
              <w:t>a</w:t>
            </w:r>
          </w:p>
        </w:tc>
        <w:tc>
          <w:tcPr>
            <w:tcW w:w="1853" w:type="dxa"/>
          </w:tcPr>
          <w:p>
            <w:pPr>
              <w:pStyle w:val="TableParagraph"/>
              <w:spacing w:before="117"/>
              <w:ind w:left="238"/>
              <w:rPr>
                <w:sz w:val="20"/>
              </w:rPr>
            </w:pPr>
            <w:r>
              <w:rPr>
                <w:sz w:val="20"/>
              </w:rPr>
              <w:t>1.2</w:t>
            </w:r>
            <w:r>
              <w:rPr>
                <w:spacing w:val="-2"/>
                <w:sz w:val="20"/>
              </w:rPr>
              <w:t> </w:t>
            </w:r>
            <w:r>
              <w:rPr>
                <w:sz w:val="20"/>
              </w:rPr>
              <w:t>x10</w:t>
            </w:r>
            <w:r>
              <w:rPr>
                <w:sz w:val="20"/>
                <w:vertAlign w:val="superscript"/>
              </w:rPr>
              <w:t>5</w:t>
            </w:r>
            <w:r>
              <w:rPr>
                <w:spacing w:val="-2"/>
                <w:sz w:val="20"/>
                <w:vertAlign w:val="baseline"/>
              </w:rPr>
              <w:t> ±3.02</w:t>
            </w:r>
            <w:r>
              <w:rPr>
                <w:spacing w:val="-2"/>
                <w:sz w:val="20"/>
                <w:vertAlign w:val="superscript"/>
              </w:rPr>
              <w:t>b</w:t>
            </w:r>
          </w:p>
        </w:tc>
        <w:tc>
          <w:tcPr>
            <w:tcW w:w="1861" w:type="dxa"/>
          </w:tcPr>
          <w:p>
            <w:pPr>
              <w:pStyle w:val="TableParagraph"/>
              <w:spacing w:before="117"/>
              <w:ind w:left="270"/>
              <w:rPr>
                <w:sz w:val="20"/>
              </w:rPr>
            </w:pPr>
            <w:r>
              <w:rPr>
                <w:sz w:val="20"/>
              </w:rPr>
              <w:t>3.7</w:t>
            </w:r>
            <w:r>
              <w:rPr>
                <w:spacing w:val="-1"/>
                <w:sz w:val="20"/>
              </w:rPr>
              <w:t> </w:t>
            </w:r>
            <w:r>
              <w:rPr>
                <w:spacing w:val="-2"/>
                <w:sz w:val="20"/>
              </w:rPr>
              <w:t>x10</w:t>
            </w:r>
            <w:r>
              <w:rPr>
                <w:spacing w:val="-2"/>
                <w:sz w:val="20"/>
                <w:vertAlign w:val="superscript"/>
              </w:rPr>
              <w:t>7</w:t>
            </w:r>
            <w:r>
              <w:rPr>
                <w:spacing w:val="-2"/>
                <w:sz w:val="20"/>
                <w:vertAlign w:val="baseline"/>
              </w:rPr>
              <w:t>±4.50</w:t>
            </w:r>
            <w:r>
              <w:rPr>
                <w:spacing w:val="-2"/>
                <w:sz w:val="20"/>
                <w:vertAlign w:val="superscript"/>
              </w:rPr>
              <w:t>c</w:t>
            </w:r>
          </w:p>
        </w:tc>
        <w:tc>
          <w:tcPr>
            <w:tcW w:w="1950" w:type="dxa"/>
          </w:tcPr>
          <w:p>
            <w:pPr>
              <w:pStyle w:val="TableParagraph"/>
              <w:spacing w:before="117"/>
              <w:ind w:left="296"/>
              <w:rPr>
                <w:sz w:val="20"/>
              </w:rPr>
            </w:pPr>
            <w:r>
              <w:rPr>
                <w:sz w:val="20"/>
              </w:rPr>
              <w:t>3.8</w:t>
            </w:r>
            <w:r>
              <w:rPr>
                <w:spacing w:val="-1"/>
                <w:sz w:val="20"/>
              </w:rPr>
              <w:t> </w:t>
            </w:r>
            <w:r>
              <w:rPr>
                <w:spacing w:val="-2"/>
                <w:sz w:val="20"/>
              </w:rPr>
              <w:t>x10</w:t>
            </w:r>
            <w:r>
              <w:rPr>
                <w:spacing w:val="-2"/>
                <w:sz w:val="20"/>
                <w:vertAlign w:val="superscript"/>
              </w:rPr>
              <w:t>8</w:t>
            </w:r>
            <w:r>
              <w:rPr>
                <w:spacing w:val="-2"/>
                <w:sz w:val="20"/>
                <w:vertAlign w:val="baseline"/>
              </w:rPr>
              <w:t>±56.00</w:t>
            </w:r>
            <w:r>
              <w:rPr>
                <w:spacing w:val="-2"/>
                <w:sz w:val="20"/>
                <w:vertAlign w:val="superscript"/>
              </w:rPr>
              <w:t>e</w:t>
            </w:r>
          </w:p>
        </w:tc>
        <w:tc>
          <w:tcPr>
            <w:tcW w:w="1946" w:type="dxa"/>
          </w:tcPr>
          <w:p>
            <w:pPr>
              <w:pStyle w:val="TableParagraph"/>
              <w:spacing w:before="117"/>
              <w:ind w:left="357"/>
              <w:rPr>
                <w:sz w:val="20"/>
              </w:rPr>
            </w:pPr>
            <w:r>
              <w:rPr>
                <w:sz w:val="20"/>
              </w:rPr>
              <w:t>3.8</w:t>
            </w:r>
            <w:r>
              <w:rPr>
                <w:spacing w:val="-1"/>
                <w:sz w:val="20"/>
              </w:rPr>
              <w:t> </w:t>
            </w:r>
            <w:r>
              <w:rPr>
                <w:spacing w:val="-2"/>
                <w:sz w:val="20"/>
              </w:rPr>
              <w:t>x10</w:t>
            </w:r>
            <w:r>
              <w:rPr>
                <w:spacing w:val="-2"/>
                <w:sz w:val="20"/>
                <w:vertAlign w:val="superscript"/>
              </w:rPr>
              <w:t>8</w:t>
            </w:r>
            <w:r>
              <w:rPr>
                <w:spacing w:val="-2"/>
                <w:sz w:val="20"/>
                <w:vertAlign w:val="baseline"/>
              </w:rPr>
              <w:t>±75.91</w:t>
            </w:r>
            <w:r>
              <w:rPr>
                <w:spacing w:val="-2"/>
                <w:sz w:val="20"/>
                <w:vertAlign w:val="superscript"/>
              </w:rPr>
              <w:t>f</w:t>
            </w:r>
          </w:p>
        </w:tc>
        <w:tc>
          <w:tcPr>
            <w:tcW w:w="2253" w:type="dxa"/>
          </w:tcPr>
          <w:p>
            <w:pPr>
              <w:pStyle w:val="TableParagraph"/>
              <w:spacing w:before="117"/>
              <w:ind w:left="296"/>
              <w:rPr>
                <w:sz w:val="20"/>
              </w:rPr>
            </w:pPr>
            <w:r>
              <w:rPr>
                <w:sz w:val="20"/>
              </w:rPr>
              <w:t>4.0</w:t>
            </w:r>
            <w:r>
              <w:rPr>
                <w:spacing w:val="-1"/>
                <w:sz w:val="20"/>
              </w:rPr>
              <w:t> </w:t>
            </w:r>
            <w:r>
              <w:rPr>
                <w:spacing w:val="-2"/>
                <w:sz w:val="20"/>
              </w:rPr>
              <w:t>x10</w:t>
            </w:r>
            <w:r>
              <w:rPr>
                <w:spacing w:val="-2"/>
                <w:sz w:val="20"/>
                <w:vertAlign w:val="superscript"/>
              </w:rPr>
              <w:t>7</w:t>
            </w:r>
            <w:r>
              <w:rPr>
                <w:spacing w:val="-2"/>
                <w:sz w:val="20"/>
                <w:vertAlign w:val="baseline"/>
              </w:rPr>
              <w:t>±0.52</w:t>
            </w:r>
            <w:r>
              <w:rPr>
                <w:spacing w:val="-2"/>
                <w:sz w:val="20"/>
                <w:vertAlign w:val="superscript"/>
              </w:rPr>
              <w:t>d</w:t>
            </w:r>
          </w:p>
        </w:tc>
      </w:tr>
      <w:tr>
        <w:trPr>
          <w:trHeight w:val="465" w:hRule="atLeast"/>
        </w:trPr>
        <w:tc>
          <w:tcPr>
            <w:tcW w:w="2011" w:type="dxa"/>
          </w:tcPr>
          <w:p>
            <w:pPr>
              <w:pStyle w:val="TableParagraph"/>
              <w:spacing w:before="117"/>
              <w:ind w:left="115"/>
              <w:rPr>
                <w:sz w:val="20"/>
              </w:rPr>
            </w:pPr>
            <w:r>
              <w:rPr>
                <w:spacing w:val="-5"/>
                <w:sz w:val="20"/>
              </w:rPr>
              <w:t>BCa</w:t>
            </w:r>
          </w:p>
        </w:tc>
        <w:tc>
          <w:tcPr>
            <w:tcW w:w="1797" w:type="dxa"/>
          </w:tcPr>
          <w:p>
            <w:pPr>
              <w:pStyle w:val="TableParagraph"/>
              <w:spacing w:before="117"/>
              <w:ind w:left="274"/>
              <w:rPr>
                <w:sz w:val="20"/>
              </w:rPr>
            </w:pPr>
            <w:r>
              <w:rPr>
                <w:sz w:val="20"/>
              </w:rPr>
              <w:t>1.9</w:t>
            </w:r>
            <w:r>
              <w:rPr>
                <w:spacing w:val="-2"/>
                <w:sz w:val="20"/>
              </w:rPr>
              <w:t> </w:t>
            </w:r>
            <w:r>
              <w:rPr>
                <w:sz w:val="20"/>
              </w:rPr>
              <w:t>x10</w:t>
            </w:r>
            <w:r>
              <w:rPr>
                <w:sz w:val="20"/>
                <w:vertAlign w:val="superscript"/>
              </w:rPr>
              <w:t>5</w:t>
            </w:r>
            <w:r>
              <w:rPr>
                <w:spacing w:val="-2"/>
                <w:sz w:val="20"/>
                <w:vertAlign w:val="baseline"/>
              </w:rPr>
              <w:t> ±3.01</w:t>
            </w:r>
            <w:r>
              <w:rPr>
                <w:spacing w:val="-2"/>
                <w:sz w:val="20"/>
                <w:vertAlign w:val="superscript"/>
              </w:rPr>
              <w:t>a</w:t>
            </w:r>
          </w:p>
        </w:tc>
        <w:tc>
          <w:tcPr>
            <w:tcW w:w="1853" w:type="dxa"/>
          </w:tcPr>
          <w:p>
            <w:pPr>
              <w:pStyle w:val="TableParagraph"/>
              <w:spacing w:before="117"/>
              <w:ind w:left="238"/>
              <w:rPr>
                <w:sz w:val="20"/>
              </w:rPr>
            </w:pPr>
            <w:r>
              <w:rPr>
                <w:sz w:val="20"/>
              </w:rPr>
              <w:t>7.5</w:t>
            </w:r>
            <w:r>
              <w:rPr>
                <w:spacing w:val="-2"/>
                <w:sz w:val="20"/>
              </w:rPr>
              <w:t> </w:t>
            </w:r>
            <w:r>
              <w:rPr>
                <w:sz w:val="20"/>
              </w:rPr>
              <w:t>x10</w:t>
            </w:r>
            <w:r>
              <w:rPr>
                <w:sz w:val="20"/>
                <w:vertAlign w:val="superscript"/>
              </w:rPr>
              <w:t>5</w:t>
            </w:r>
            <w:r>
              <w:rPr>
                <w:spacing w:val="-2"/>
                <w:sz w:val="20"/>
                <w:vertAlign w:val="baseline"/>
              </w:rPr>
              <w:t> ±28.00</w:t>
            </w:r>
            <w:r>
              <w:rPr>
                <w:spacing w:val="-2"/>
                <w:sz w:val="20"/>
                <w:vertAlign w:val="superscript"/>
              </w:rPr>
              <w:t>b</w:t>
            </w:r>
          </w:p>
        </w:tc>
        <w:tc>
          <w:tcPr>
            <w:tcW w:w="1861" w:type="dxa"/>
          </w:tcPr>
          <w:p>
            <w:pPr>
              <w:pStyle w:val="TableParagraph"/>
              <w:spacing w:before="117"/>
              <w:ind w:left="270"/>
              <w:rPr>
                <w:sz w:val="20"/>
              </w:rPr>
            </w:pPr>
            <w:r>
              <w:rPr>
                <w:sz w:val="20"/>
              </w:rPr>
              <w:t>1.3</w:t>
            </w:r>
            <w:r>
              <w:rPr>
                <w:spacing w:val="-1"/>
                <w:sz w:val="20"/>
              </w:rPr>
              <w:t> </w:t>
            </w:r>
            <w:r>
              <w:rPr>
                <w:spacing w:val="-2"/>
                <w:sz w:val="20"/>
              </w:rPr>
              <w:t>x10</w:t>
            </w:r>
            <w:r>
              <w:rPr>
                <w:spacing w:val="-2"/>
                <w:sz w:val="20"/>
                <w:vertAlign w:val="superscript"/>
              </w:rPr>
              <w:t>7</w:t>
            </w:r>
            <w:r>
              <w:rPr>
                <w:spacing w:val="-2"/>
                <w:sz w:val="20"/>
                <w:vertAlign w:val="baseline"/>
              </w:rPr>
              <w:t>±57.00</w:t>
            </w:r>
            <w:r>
              <w:rPr>
                <w:spacing w:val="-2"/>
                <w:sz w:val="20"/>
                <w:vertAlign w:val="superscript"/>
              </w:rPr>
              <w:t>c</w:t>
            </w:r>
          </w:p>
        </w:tc>
        <w:tc>
          <w:tcPr>
            <w:tcW w:w="1950" w:type="dxa"/>
          </w:tcPr>
          <w:p>
            <w:pPr>
              <w:pStyle w:val="TableParagraph"/>
              <w:spacing w:before="117"/>
              <w:ind w:left="296"/>
              <w:rPr>
                <w:sz w:val="20"/>
              </w:rPr>
            </w:pPr>
            <w:r>
              <w:rPr>
                <w:sz w:val="20"/>
              </w:rPr>
              <w:t>1.5</w:t>
            </w:r>
            <w:r>
              <w:rPr>
                <w:spacing w:val="-1"/>
                <w:sz w:val="20"/>
              </w:rPr>
              <w:t> </w:t>
            </w:r>
            <w:r>
              <w:rPr>
                <w:spacing w:val="-2"/>
                <w:sz w:val="20"/>
              </w:rPr>
              <w:t>x10</w:t>
            </w:r>
            <w:r>
              <w:rPr>
                <w:spacing w:val="-2"/>
                <w:sz w:val="20"/>
                <w:vertAlign w:val="superscript"/>
              </w:rPr>
              <w:t>8</w:t>
            </w:r>
            <w:r>
              <w:rPr>
                <w:spacing w:val="-2"/>
                <w:sz w:val="20"/>
                <w:vertAlign w:val="baseline"/>
              </w:rPr>
              <w:t>±12.01</w:t>
            </w:r>
            <w:r>
              <w:rPr>
                <w:spacing w:val="-2"/>
                <w:sz w:val="20"/>
                <w:vertAlign w:val="superscript"/>
              </w:rPr>
              <w:t>e</w:t>
            </w:r>
          </w:p>
        </w:tc>
        <w:tc>
          <w:tcPr>
            <w:tcW w:w="1946" w:type="dxa"/>
          </w:tcPr>
          <w:p>
            <w:pPr>
              <w:pStyle w:val="TableParagraph"/>
              <w:spacing w:before="117"/>
              <w:ind w:left="357"/>
              <w:rPr>
                <w:sz w:val="20"/>
              </w:rPr>
            </w:pPr>
            <w:r>
              <w:rPr>
                <w:sz w:val="20"/>
              </w:rPr>
              <w:t>1.6</w:t>
            </w:r>
            <w:r>
              <w:rPr>
                <w:spacing w:val="-1"/>
                <w:sz w:val="20"/>
              </w:rPr>
              <w:t> </w:t>
            </w:r>
            <w:r>
              <w:rPr>
                <w:spacing w:val="-2"/>
                <w:sz w:val="20"/>
              </w:rPr>
              <w:t>x10</w:t>
            </w:r>
            <w:r>
              <w:rPr>
                <w:spacing w:val="-2"/>
                <w:sz w:val="20"/>
                <w:vertAlign w:val="superscript"/>
              </w:rPr>
              <w:t>8</w:t>
            </w:r>
            <w:r>
              <w:rPr>
                <w:spacing w:val="-2"/>
                <w:sz w:val="20"/>
                <w:vertAlign w:val="baseline"/>
              </w:rPr>
              <w:t>±72.61</w:t>
            </w:r>
            <w:r>
              <w:rPr>
                <w:spacing w:val="-2"/>
                <w:sz w:val="20"/>
                <w:vertAlign w:val="superscript"/>
              </w:rPr>
              <w:t>f</w:t>
            </w:r>
          </w:p>
        </w:tc>
        <w:tc>
          <w:tcPr>
            <w:tcW w:w="2253" w:type="dxa"/>
          </w:tcPr>
          <w:p>
            <w:pPr>
              <w:pStyle w:val="TableParagraph"/>
              <w:spacing w:before="117"/>
              <w:ind w:left="296"/>
              <w:rPr>
                <w:sz w:val="20"/>
              </w:rPr>
            </w:pPr>
            <w:r>
              <w:rPr>
                <w:sz w:val="20"/>
              </w:rPr>
              <w:t>1.4</w:t>
            </w:r>
            <w:r>
              <w:rPr>
                <w:spacing w:val="-1"/>
                <w:sz w:val="20"/>
              </w:rPr>
              <w:t> </w:t>
            </w:r>
            <w:r>
              <w:rPr>
                <w:spacing w:val="-2"/>
                <w:sz w:val="20"/>
              </w:rPr>
              <w:t>x10</w:t>
            </w:r>
            <w:r>
              <w:rPr>
                <w:spacing w:val="-2"/>
                <w:sz w:val="20"/>
                <w:vertAlign w:val="superscript"/>
              </w:rPr>
              <w:t>8</w:t>
            </w:r>
            <w:r>
              <w:rPr>
                <w:spacing w:val="-2"/>
                <w:sz w:val="20"/>
                <w:vertAlign w:val="baseline"/>
              </w:rPr>
              <w:t>±40.90</w:t>
            </w:r>
            <w:r>
              <w:rPr>
                <w:spacing w:val="-2"/>
                <w:sz w:val="20"/>
                <w:vertAlign w:val="superscript"/>
              </w:rPr>
              <w:t>d</w:t>
            </w:r>
          </w:p>
        </w:tc>
      </w:tr>
      <w:tr>
        <w:trPr>
          <w:trHeight w:val="466" w:hRule="atLeast"/>
        </w:trPr>
        <w:tc>
          <w:tcPr>
            <w:tcW w:w="2011" w:type="dxa"/>
          </w:tcPr>
          <w:p>
            <w:pPr>
              <w:pStyle w:val="TableParagraph"/>
              <w:spacing w:before="117"/>
              <w:ind w:left="115"/>
              <w:rPr>
                <w:sz w:val="20"/>
              </w:rPr>
            </w:pPr>
            <w:r>
              <w:rPr>
                <w:spacing w:val="-5"/>
                <w:sz w:val="20"/>
              </w:rPr>
              <w:t>BCb</w:t>
            </w:r>
          </w:p>
        </w:tc>
        <w:tc>
          <w:tcPr>
            <w:tcW w:w="1797" w:type="dxa"/>
          </w:tcPr>
          <w:p>
            <w:pPr>
              <w:pStyle w:val="TableParagraph"/>
              <w:spacing w:before="117"/>
              <w:ind w:left="274"/>
              <w:rPr>
                <w:sz w:val="20"/>
              </w:rPr>
            </w:pPr>
            <w:r>
              <w:rPr>
                <w:sz w:val="20"/>
              </w:rPr>
              <w:t>2.0</w:t>
            </w:r>
            <w:r>
              <w:rPr>
                <w:spacing w:val="-1"/>
                <w:sz w:val="20"/>
              </w:rPr>
              <w:t> </w:t>
            </w:r>
            <w:r>
              <w:rPr>
                <w:spacing w:val="-2"/>
                <w:sz w:val="20"/>
              </w:rPr>
              <w:t>x10</w:t>
            </w:r>
            <w:r>
              <w:rPr>
                <w:spacing w:val="-2"/>
                <w:sz w:val="20"/>
                <w:vertAlign w:val="superscript"/>
              </w:rPr>
              <w:t>5</w:t>
            </w:r>
            <w:r>
              <w:rPr>
                <w:spacing w:val="-2"/>
                <w:sz w:val="20"/>
                <w:vertAlign w:val="baseline"/>
              </w:rPr>
              <w:t>±4.50</w:t>
            </w:r>
            <w:r>
              <w:rPr>
                <w:spacing w:val="-2"/>
                <w:sz w:val="20"/>
                <w:vertAlign w:val="superscript"/>
              </w:rPr>
              <w:t>a</w:t>
            </w:r>
          </w:p>
        </w:tc>
        <w:tc>
          <w:tcPr>
            <w:tcW w:w="1853" w:type="dxa"/>
          </w:tcPr>
          <w:p>
            <w:pPr>
              <w:pStyle w:val="TableParagraph"/>
              <w:spacing w:before="117"/>
              <w:ind w:left="238"/>
              <w:rPr>
                <w:sz w:val="20"/>
              </w:rPr>
            </w:pPr>
            <w:r>
              <w:rPr>
                <w:sz w:val="20"/>
              </w:rPr>
              <w:t>5.5</w:t>
            </w:r>
            <w:r>
              <w:rPr>
                <w:spacing w:val="-1"/>
                <w:sz w:val="20"/>
              </w:rPr>
              <w:t> </w:t>
            </w:r>
            <w:r>
              <w:rPr>
                <w:spacing w:val="-2"/>
                <w:sz w:val="20"/>
              </w:rPr>
              <w:t>x10</w:t>
            </w:r>
            <w:r>
              <w:rPr>
                <w:spacing w:val="-2"/>
                <w:sz w:val="20"/>
                <w:vertAlign w:val="superscript"/>
              </w:rPr>
              <w:t>5</w:t>
            </w:r>
            <w:r>
              <w:rPr>
                <w:spacing w:val="-2"/>
                <w:sz w:val="20"/>
                <w:vertAlign w:val="baseline"/>
              </w:rPr>
              <w:t>±2.02</w:t>
            </w:r>
            <w:r>
              <w:rPr>
                <w:spacing w:val="-2"/>
                <w:sz w:val="20"/>
                <w:vertAlign w:val="superscript"/>
              </w:rPr>
              <w:t>b</w:t>
            </w:r>
          </w:p>
        </w:tc>
        <w:tc>
          <w:tcPr>
            <w:tcW w:w="1861" w:type="dxa"/>
          </w:tcPr>
          <w:p>
            <w:pPr>
              <w:pStyle w:val="TableParagraph"/>
              <w:spacing w:before="117"/>
              <w:ind w:left="270"/>
              <w:rPr>
                <w:sz w:val="20"/>
              </w:rPr>
            </w:pPr>
            <w:r>
              <w:rPr>
                <w:sz w:val="20"/>
              </w:rPr>
              <w:t>1.3</w:t>
            </w:r>
            <w:r>
              <w:rPr>
                <w:spacing w:val="-1"/>
                <w:sz w:val="20"/>
              </w:rPr>
              <w:t> </w:t>
            </w:r>
            <w:r>
              <w:rPr>
                <w:spacing w:val="-2"/>
                <w:sz w:val="20"/>
              </w:rPr>
              <w:t>x10</w:t>
            </w:r>
            <w:r>
              <w:rPr>
                <w:spacing w:val="-2"/>
                <w:sz w:val="20"/>
                <w:vertAlign w:val="superscript"/>
              </w:rPr>
              <w:t>7</w:t>
            </w:r>
            <w:r>
              <w:rPr>
                <w:spacing w:val="-2"/>
                <w:sz w:val="20"/>
                <w:vertAlign w:val="baseline"/>
              </w:rPr>
              <w:t>±0.00</w:t>
            </w:r>
            <w:r>
              <w:rPr>
                <w:spacing w:val="-2"/>
                <w:sz w:val="20"/>
                <w:vertAlign w:val="superscript"/>
              </w:rPr>
              <w:t>c</w:t>
            </w:r>
          </w:p>
        </w:tc>
        <w:tc>
          <w:tcPr>
            <w:tcW w:w="1950" w:type="dxa"/>
          </w:tcPr>
          <w:p>
            <w:pPr>
              <w:pStyle w:val="TableParagraph"/>
              <w:spacing w:before="117"/>
              <w:ind w:left="296"/>
              <w:rPr>
                <w:sz w:val="20"/>
              </w:rPr>
            </w:pPr>
            <w:r>
              <w:rPr>
                <w:sz w:val="20"/>
              </w:rPr>
              <w:t>1.6</w:t>
            </w:r>
            <w:r>
              <w:rPr>
                <w:spacing w:val="-1"/>
                <w:sz w:val="20"/>
              </w:rPr>
              <w:t> </w:t>
            </w:r>
            <w:r>
              <w:rPr>
                <w:spacing w:val="-2"/>
                <w:sz w:val="20"/>
              </w:rPr>
              <w:t>x10</w:t>
            </w:r>
            <w:r>
              <w:rPr>
                <w:spacing w:val="-2"/>
                <w:sz w:val="20"/>
                <w:vertAlign w:val="superscript"/>
              </w:rPr>
              <w:t>8</w:t>
            </w:r>
            <w:r>
              <w:rPr>
                <w:spacing w:val="-2"/>
                <w:sz w:val="20"/>
                <w:vertAlign w:val="baseline"/>
              </w:rPr>
              <w:t>±0.00</w:t>
            </w:r>
            <w:r>
              <w:rPr>
                <w:spacing w:val="-2"/>
                <w:sz w:val="20"/>
                <w:vertAlign w:val="superscript"/>
              </w:rPr>
              <w:t>e</w:t>
            </w:r>
          </w:p>
        </w:tc>
        <w:tc>
          <w:tcPr>
            <w:tcW w:w="1946" w:type="dxa"/>
          </w:tcPr>
          <w:p>
            <w:pPr>
              <w:pStyle w:val="TableParagraph"/>
              <w:spacing w:before="117"/>
              <w:ind w:left="357"/>
              <w:rPr>
                <w:sz w:val="20"/>
              </w:rPr>
            </w:pPr>
            <w:r>
              <w:rPr>
                <w:sz w:val="20"/>
              </w:rPr>
              <w:t>2.2</w:t>
            </w:r>
            <w:r>
              <w:rPr>
                <w:spacing w:val="-1"/>
                <w:sz w:val="20"/>
              </w:rPr>
              <w:t> </w:t>
            </w:r>
            <w:r>
              <w:rPr>
                <w:spacing w:val="-2"/>
                <w:sz w:val="20"/>
              </w:rPr>
              <w:t>x10</w:t>
            </w:r>
            <w:r>
              <w:rPr>
                <w:spacing w:val="-2"/>
                <w:sz w:val="20"/>
                <w:vertAlign w:val="superscript"/>
              </w:rPr>
              <w:t>8</w:t>
            </w:r>
            <w:r>
              <w:rPr>
                <w:spacing w:val="-2"/>
                <w:sz w:val="20"/>
                <w:vertAlign w:val="baseline"/>
              </w:rPr>
              <w:t>±0.00</w:t>
            </w:r>
            <w:r>
              <w:rPr>
                <w:spacing w:val="-2"/>
                <w:sz w:val="20"/>
                <w:vertAlign w:val="superscript"/>
              </w:rPr>
              <w:t>f</w:t>
            </w:r>
          </w:p>
        </w:tc>
        <w:tc>
          <w:tcPr>
            <w:tcW w:w="2253" w:type="dxa"/>
          </w:tcPr>
          <w:p>
            <w:pPr>
              <w:pStyle w:val="TableParagraph"/>
              <w:spacing w:before="117"/>
              <w:ind w:left="296"/>
              <w:rPr>
                <w:sz w:val="20"/>
              </w:rPr>
            </w:pPr>
            <w:r>
              <w:rPr>
                <w:sz w:val="20"/>
              </w:rPr>
              <w:t>7.8</w:t>
            </w:r>
            <w:r>
              <w:rPr>
                <w:spacing w:val="-1"/>
                <w:sz w:val="20"/>
              </w:rPr>
              <w:t> </w:t>
            </w:r>
            <w:r>
              <w:rPr>
                <w:spacing w:val="-2"/>
                <w:sz w:val="20"/>
              </w:rPr>
              <w:t>x10</w:t>
            </w:r>
            <w:r>
              <w:rPr>
                <w:spacing w:val="-2"/>
                <w:sz w:val="20"/>
                <w:vertAlign w:val="superscript"/>
              </w:rPr>
              <w:t>7</w:t>
            </w:r>
            <w:r>
              <w:rPr>
                <w:spacing w:val="-2"/>
                <w:sz w:val="20"/>
                <w:vertAlign w:val="baseline"/>
              </w:rPr>
              <w:t>±7.71</w:t>
            </w:r>
            <w:r>
              <w:rPr>
                <w:spacing w:val="-2"/>
                <w:sz w:val="20"/>
                <w:vertAlign w:val="superscript"/>
              </w:rPr>
              <w:t>d</w:t>
            </w:r>
          </w:p>
        </w:tc>
      </w:tr>
      <w:tr>
        <w:trPr>
          <w:trHeight w:val="466" w:hRule="atLeast"/>
        </w:trPr>
        <w:tc>
          <w:tcPr>
            <w:tcW w:w="2011" w:type="dxa"/>
          </w:tcPr>
          <w:p>
            <w:pPr>
              <w:pStyle w:val="TableParagraph"/>
              <w:spacing w:before="118"/>
              <w:ind w:left="115"/>
              <w:rPr>
                <w:sz w:val="20"/>
              </w:rPr>
            </w:pPr>
            <w:r>
              <w:rPr>
                <w:sz w:val="20"/>
              </w:rPr>
              <w:t>BS/</w:t>
            </w:r>
            <w:r>
              <w:rPr>
                <w:spacing w:val="-5"/>
                <w:sz w:val="20"/>
              </w:rPr>
              <w:t> </w:t>
            </w:r>
            <w:r>
              <w:rPr>
                <w:spacing w:val="-2"/>
                <w:sz w:val="20"/>
              </w:rPr>
              <w:t>NP/BC(1:1:1)a</w:t>
            </w:r>
          </w:p>
        </w:tc>
        <w:tc>
          <w:tcPr>
            <w:tcW w:w="1797" w:type="dxa"/>
          </w:tcPr>
          <w:p>
            <w:pPr>
              <w:pStyle w:val="TableParagraph"/>
              <w:spacing w:before="118"/>
              <w:ind w:left="274"/>
              <w:rPr>
                <w:sz w:val="20"/>
              </w:rPr>
            </w:pPr>
            <w:r>
              <w:rPr>
                <w:spacing w:val="-2"/>
                <w:sz w:val="20"/>
              </w:rPr>
              <w:t>8.0x10</w:t>
            </w:r>
            <w:r>
              <w:rPr>
                <w:spacing w:val="-2"/>
                <w:sz w:val="20"/>
                <w:vertAlign w:val="superscript"/>
              </w:rPr>
              <w:t>5</w:t>
            </w:r>
            <w:r>
              <w:rPr>
                <w:spacing w:val="-2"/>
                <w:sz w:val="20"/>
                <w:vertAlign w:val="baseline"/>
              </w:rPr>
              <w:t>±1.00</w:t>
            </w:r>
            <w:r>
              <w:rPr>
                <w:spacing w:val="-2"/>
                <w:sz w:val="20"/>
                <w:vertAlign w:val="superscript"/>
              </w:rPr>
              <w:t>a</w:t>
            </w:r>
          </w:p>
        </w:tc>
        <w:tc>
          <w:tcPr>
            <w:tcW w:w="1853" w:type="dxa"/>
          </w:tcPr>
          <w:p>
            <w:pPr>
              <w:pStyle w:val="TableParagraph"/>
              <w:spacing w:before="118"/>
              <w:ind w:left="238"/>
              <w:rPr>
                <w:sz w:val="20"/>
              </w:rPr>
            </w:pPr>
            <w:r>
              <w:rPr>
                <w:sz w:val="20"/>
              </w:rPr>
              <w:t>9.5</w:t>
            </w:r>
            <w:r>
              <w:rPr>
                <w:spacing w:val="-1"/>
                <w:sz w:val="20"/>
              </w:rPr>
              <w:t> </w:t>
            </w:r>
            <w:r>
              <w:rPr>
                <w:spacing w:val="-2"/>
                <w:sz w:val="20"/>
              </w:rPr>
              <w:t>x10</w:t>
            </w:r>
            <w:r>
              <w:rPr>
                <w:spacing w:val="-2"/>
                <w:sz w:val="20"/>
                <w:vertAlign w:val="superscript"/>
              </w:rPr>
              <w:t>5</w:t>
            </w:r>
            <w:r>
              <w:rPr>
                <w:spacing w:val="-2"/>
                <w:sz w:val="20"/>
                <w:vertAlign w:val="baseline"/>
              </w:rPr>
              <w:t>±32.02</w:t>
            </w:r>
            <w:r>
              <w:rPr>
                <w:spacing w:val="-2"/>
                <w:sz w:val="20"/>
                <w:vertAlign w:val="superscript"/>
              </w:rPr>
              <w:t>b</w:t>
            </w:r>
          </w:p>
        </w:tc>
        <w:tc>
          <w:tcPr>
            <w:tcW w:w="1861" w:type="dxa"/>
          </w:tcPr>
          <w:p>
            <w:pPr>
              <w:pStyle w:val="TableParagraph"/>
              <w:spacing w:before="118"/>
              <w:ind w:left="270"/>
              <w:rPr>
                <w:sz w:val="20"/>
              </w:rPr>
            </w:pPr>
            <w:r>
              <w:rPr>
                <w:sz w:val="20"/>
              </w:rPr>
              <w:t>5.5</w:t>
            </w:r>
            <w:r>
              <w:rPr>
                <w:spacing w:val="-1"/>
                <w:sz w:val="20"/>
              </w:rPr>
              <w:t> </w:t>
            </w:r>
            <w:r>
              <w:rPr>
                <w:spacing w:val="-2"/>
                <w:sz w:val="20"/>
              </w:rPr>
              <w:t>x10</w:t>
            </w:r>
            <w:r>
              <w:rPr>
                <w:spacing w:val="-2"/>
                <w:sz w:val="20"/>
                <w:vertAlign w:val="superscript"/>
              </w:rPr>
              <w:t>7</w:t>
            </w:r>
            <w:r>
              <w:rPr>
                <w:spacing w:val="-2"/>
                <w:sz w:val="20"/>
                <w:vertAlign w:val="baseline"/>
              </w:rPr>
              <w:t>±44.53</w:t>
            </w:r>
            <w:r>
              <w:rPr>
                <w:spacing w:val="-2"/>
                <w:sz w:val="20"/>
                <w:vertAlign w:val="superscript"/>
              </w:rPr>
              <w:t>d</w:t>
            </w:r>
          </w:p>
        </w:tc>
        <w:tc>
          <w:tcPr>
            <w:tcW w:w="1950" w:type="dxa"/>
          </w:tcPr>
          <w:p>
            <w:pPr>
              <w:pStyle w:val="TableParagraph"/>
              <w:spacing w:before="118"/>
              <w:ind w:left="296"/>
              <w:rPr>
                <w:sz w:val="20"/>
              </w:rPr>
            </w:pPr>
            <w:r>
              <w:rPr>
                <w:sz w:val="20"/>
              </w:rPr>
              <w:t>4.2</w:t>
            </w:r>
            <w:r>
              <w:rPr>
                <w:spacing w:val="-1"/>
                <w:sz w:val="20"/>
              </w:rPr>
              <w:t> </w:t>
            </w:r>
            <w:r>
              <w:rPr>
                <w:spacing w:val="-2"/>
                <w:sz w:val="20"/>
              </w:rPr>
              <w:t>x10</w:t>
            </w:r>
            <w:r>
              <w:rPr>
                <w:spacing w:val="-2"/>
                <w:sz w:val="20"/>
                <w:vertAlign w:val="superscript"/>
              </w:rPr>
              <w:t>9</w:t>
            </w:r>
            <w:r>
              <w:rPr>
                <w:spacing w:val="-2"/>
                <w:sz w:val="20"/>
                <w:vertAlign w:val="baseline"/>
              </w:rPr>
              <w:t>±25.91</w:t>
            </w:r>
            <w:r>
              <w:rPr>
                <w:spacing w:val="-2"/>
                <w:sz w:val="20"/>
                <w:vertAlign w:val="superscript"/>
              </w:rPr>
              <w:t>f</w:t>
            </w:r>
          </w:p>
        </w:tc>
        <w:tc>
          <w:tcPr>
            <w:tcW w:w="1946" w:type="dxa"/>
          </w:tcPr>
          <w:p>
            <w:pPr>
              <w:pStyle w:val="TableParagraph"/>
              <w:spacing w:before="118"/>
              <w:ind w:left="357"/>
              <w:rPr>
                <w:sz w:val="20"/>
              </w:rPr>
            </w:pPr>
            <w:r>
              <w:rPr>
                <w:sz w:val="20"/>
              </w:rPr>
              <w:t>4.1</w:t>
            </w:r>
            <w:r>
              <w:rPr>
                <w:spacing w:val="-1"/>
                <w:sz w:val="20"/>
              </w:rPr>
              <w:t> </w:t>
            </w:r>
            <w:r>
              <w:rPr>
                <w:spacing w:val="-2"/>
                <w:sz w:val="20"/>
              </w:rPr>
              <w:t>x10</w:t>
            </w:r>
            <w:r>
              <w:rPr>
                <w:spacing w:val="-2"/>
                <w:sz w:val="20"/>
                <w:vertAlign w:val="superscript"/>
              </w:rPr>
              <w:t>8</w:t>
            </w:r>
            <w:r>
              <w:rPr>
                <w:spacing w:val="-2"/>
                <w:sz w:val="20"/>
                <w:vertAlign w:val="baseline"/>
              </w:rPr>
              <w:t>±30.00</w:t>
            </w:r>
            <w:r>
              <w:rPr>
                <w:spacing w:val="-2"/>
                <w:sz w:val="20"/>
                <w:vertAlign w:val="superscript"/>
              </w:rPr>
              <w:t>e</w:t>
            </w:r>
          </w:p>
        </w:tc>
        <w:tc>
          <w:tcPr>
            <w:tcW w:w="2253" w:type="dxa"/>
          </w:tcPr>
          <w:p>
            <w:pPr>
              <w:pStyle w:val="TableParagraph"/>
              <w:spacing w:before="118"/>
              <w:ind w:left="296"/>
              <w:rPr>
                <w:sz w:val="20"/>
              </w:rPr>
            </w:pPr>
            <w:r>
              <w:rPr>
                <w:sz w:val="20"/>
              </w:rPr>
              <w:t>9.6</w:t>
            </w:r>
            <w:r>
              <w:rPr>
                <w:spacing w:val="-1"/>
                <w:sz w:val="20"/>
              </w:rPr>
              <w:t> </w:t>
            </w:r>
            <w:r>
              <w:rPr>
                <w:spacing w:val="-2"/>
                <w:sz w:val="20"/>
              </w:rPr>
              <w:t>x10</w:t>
            </w:r>
            <w:r>
              <w:rPr>
                <w:spacing w:val="-2"/>
                <w:sz w:val="20"/>
                <w:vertAlign w:val="superscript"/>
              </w:rPr>
              <w:t>6</w:t>
            </w:r>
            <w:r>
              <w:rPr>
                <w:spacing w:val="-2"/>
                <w:sz w:val="20"/>
                <w:vertAlign w:val="baseline"/>
              </w:rPr>
              <w:t>±0.00</w:t>
            </w:r>
            <w:r>
              <w:rPr>
                <w:spacing w:val="-2"/>
                <w:sz w:val="20"/>
                <w:vertAlign w:val="superscript"/>
              </w:rPr>
              <w:t>c</w:t>
            </w:r>
          </w:p>
        </w:tc>
      </w:tr>
      <w:tr>
        <w:trPr>
          <w:trHeight w:val="465" w:hRule="atLeast"/>
        </w:trPr>
        <w:tc>
          <w:tcPr>
            <w:tcW w:w="2011" w:type="dxa"/>
          </w:tcPr>
          <w:p>
            <w:pPr>
              <w:pStyle w:val="TableParagraph"/>
              <w:spacing w:before="117"/>
              <w:ind w:left="115"/>
              <w:rPr>
                <w:sz w:val="20"/>
              </w:rPr>
            </w:pPr>
            <w:r>
              <w:rPr>
                <w:sz w:val="20"/>
              </w:rPr>
              <w:t>BS/</w:t>
            </w:r>
            <w:r>
              <w:rPr>
                <w:spacing w:val="-7"/>
                <w:sz w:val="20"/>
              </w:rPr>
              <w:t> </w:t>
            </w:r>
            <w:r>
              <w:rPr>
                <w:sz w:val="20"/>
              </w:rPr>
              <w:t>NP/BC(1:</w:t>
            </w:r>
            <w:r>
              <w:rPr>
                <w:spacing w:val="-4"/>
                <w:sz w:val="20"/>
              </w:rPr>
              <w:t> </w:t>
            </w:r>
            <w:r>
              <w:rPr>
                <w:spacing w:val="-2"/>
                <w:sz w:val="20"/>
              </w:rPr>
              <w:t>2:1)a</w:t>
            </w:r>
          </w:p>
        </w:tc>
        <w:tc>
          <w:tcPr>
            <w:tcW w:w="1797" w:type="dxa"/>
          </w:tcPr>
          <w:p>
            <w:pPr>
              <w:pStyle w:val="TableParagraph"/>
              <w:spacing w:before="117"/>
              <w:ind w:left="274"/>
              <w:rPr>
                <w:sz w:val="20"/>
              </w:rPr>
            </w:pPr>
            <w:r>
              <w:rPr>
                <w:sz w:val="20"/>
              </w:rPr>
              <w:t>2.1</w:t>
            </w:r>
            <w:r>
              <w:rPr>
                <w:spacing w:val="-1"/>
                <w:sz w:val="20"/>
              </w:rPr>
              <w:t> </w:t>
            </w:r>
            <w:r>
              <w:rPr>
                <w:spacing w:val="-2"/>
                <w:sz w:val="20"/>
              </w:rPr>
              <w:t>x10</w:t>
            </w:r>
            <w:r>
              <w:rPr>
                <w:spacing w:val="-2"/>
                <w:sz w:val="20"/>
                <w:vertAlign w:val="superscript"/>
              </w:rPr>
              <w:t>5</w:t>
            </w:r>
            <w:r>
              <w:rPr>
                <w:spacing w:val="-2"/>
                <w:sz w:val="20"/>
                <w:vertAlign w:val="baseline"/>
              </w:rPr>
              <w:t>±0.02</w:t>
            </w:r>
            <w:r>
              <w:rPr>
                <w:spacing w:val="-2"/>
                <w:sz w:val="20"/>
                <w:vertAlign w:val="superscript"/>
              </w:rPr>
              <w:t>a</w:t>
            </w:r>
          </w:p>
        </w:tc>
        <w:tc>
          <w:tcPr>
            <w:tcW w:w="1853" w:type="dxa"/>
          </w:tcPr>
          <w:p>
            <w:pPr>
              <w:pStyle w:val="TableParagraph"/>
              <w:spacing w:before="117"/>
              <w:ind w:left="238"/>
              <w:rPr>
                <w:sz w:val="20"/>
              </w:rPr>
            </w:pPr>
            <w:r>
              <w:rPr>
                <w:sz w:val="20"/>
              </w:rPr>
              <w:t>4.4</w:t>
            </w:r>
            <w:r>
              <w:rPr>
                <w:spacing w:val="-1"/>
                <w:sz w:val="20"/>
              </w:rPr>
              <w:t> </w:t>
            </w:r>
            <w:r>
              <w:rPr>
                <w:spacing w:val="-2"/>
                <w:sz w:val="20"/>
              </w:rPr>
              <w:t>x10</w:t>
            </w:r>
            <w:r>
              <w:rPr>
                <w:spacing w:val="-2"/>
                <w:sz w:val="20"/>
                <w:vertAlign w:val="superscript"/>
              </w:rPr>
              <w:t>5</w:t>
            </w:r>
            <w:r>
              <w:rPr>
                <w:spacing w:val="-2"/>
                <w:sz w:val="20"/>
                <w:vertAlign w:val="baseline"/>
              </w:rPr>
              <w:t>±50.21</w:t>
            </w:r>
            <w:r>
              <w:rPr>
                <w:spacing w:val="-2"/>
                <w:sz w:val="20"/>
                <w:vertAlign w:val="superscript"/>
              </w:rPr>
              <w:t>b</w:t>
            </w:r>
          </w:p>
        </w:tc>
        <w:tc>
          <w:tcPr>
            <w:tcW w:w="1861" w:type="dxa"/>
          </w:tcPr>
          <w:p>
            <w:pPr>
              <w:pStyle w:val="TableParagraph"/>
              <w:spacing w:before="117"/>
              <w:ind w:left="270"/>
              <w:rPr>
                <w:sz w:val="20"/>
              </w:rPr>
            </w:pPr>
            <w:r>
              <w:rPr>
                <w:sz w:val="20"/>
              </w:rPr>
              <w:t>3.8</w:t>
            </w:r>
            <w:r>
              <w:rPr>
                <w:spacing w:val="-1"/>
                <w:sz w:val="20"/>
              </w:rPr>
              <w:t> </w:t>
            </w:r>
            <w:r>
              <w:rPr>
                <w:spacing w:val="-2"/>
                <w:sz w:val="20"/>
              </w:rPr>
              <w:t>x10</w:t>
            </w:r>
            <w:r>
              <w:rPr>
                <w:spacing w:val="-2"/>
                <w:sz w:val="20"/>
                <w:vertAlign w:val="superscript"/>
              </w:rPr>
              <w:t>7</w:t>
            </w:r>
            <w:r>
              <w:rPr>
                <w:spacing w:val="-2"/>
                <w:sz w:val="20"/>
                <w:vertAlign w:val="baseline"/>
              </w:rPr>
              <w:t>±50.53</w:t>
            </w:r>
            <w:r>
              <w:rPr>
                <w:spacing w:val="-2"/>
                <w:sz w:val="20"/>
                <w:vertAlign w:val="superscript"/>
              </w:rPr>
              <w:t>d</w:t>
            </w:r>
          </w:p>
        </w:tc>
        <w:tc>
          <w:tcPr>
            <w:tcW w:w="1950" w:type="dxa"/>
          </w:tcPr>
          <w:p>
            <w:pPr>
              <w:pStyle w:val="TableParagraph"/>
              <w:spacing w:before="117"/>
              <w:ind w:left="296"/>
              <w:rPr>
                <w:sz w:val="20"/>
              </w:rPr>
            </w:pPr>
            <w:r>
              <w:rPr>
                <w:sz w:val="20"/>
              </w:rPr>
              <w:t>4.0</w:t>
            </w:r>
            <w:r>
              <w:rPr>
                <w:spacing w:val="-1"/>
                <w:sz w:val="20"/>
              </w:rPr>
              <w:t> </w:t>
            </w:r>
            <w:r>
              <w:rPr>
                <w:spacing w:val="-2"/>
                <w:sz w:val="20"/>
              </w:rPr>
              <w:t>x10</w:t>
            </w:r>
            <w:r>
              <w:rPr>
                <w:spacing w:val="-2"/>
                <w:sz w:val="20"/>
                <w:vertAlign w:val="superscript"/>
              </w:rPr>
              <w:t>8</w:t>
            </w:r>
            <w:r>
              <w:rPr>
                <w:spacing w:val="-2"/>
                <w:sz w:val="20"/>
                <w:vertAlign w:val="baseline"/>
              </w:rPr>
              <w:t>±0.00</w:t>
            </w:r>
            <w:r>
              <w:rPr>
                <w:spacing w:val="-2"/>
                <w:sz w:val="20"/>
                <w:vertAlign w:val="superscript"/>
              </w:rPr>
              <w:t>e</w:t>
            </w:r>
          </w:p>
        </w:tc>
        <w:tc>
          <w:tcPr>
            <w:tcW w:w="1946" w:type="dxa"/>
          </w:tcPr>
          <w:p>
            <w:pPr>
              <w:pStyle w:val="TableParagraph"/>
              <w:spacing w:before="117"/>
              <w:ind w:left="357"/>
              <w:rPr>
                <w:sz w:val="20"/>
              </w:rPr>
            </w:pPr>
            <w:r>
              <w:rPr>
                <w:sz w:val="20"/>
              </w:rPr>
              <w:t>5.2</w:t>
            </w:r>
            <w:r>
              <w:rPr>
                <w:spacing w:val="-1"/>
                <w:sz w:val="20"/>
              </w:rPr>
              <w:t> </w:t>
            </w:r>
            <w:r>
              <w:rPr>
                <w:spacing w:val="-2"/>
                <w:sz w:val="20"/>
              </w:rPr>
              <w:t>x10</w:t>
            </w:r>
            <w:r>
              <w:rPr>
                <w:spacing w:val="-2"/>
                <w:sz w:val="20"/>
                <w:vertAlign w:val="superscript"/>
              </w:rPr>
              <w:t>8</w:t>
            </w:r>
            <w:r>
              <w:rPr>
                <w:spacing w:val="-2"/>
                <w:sz w:val="20"/>
                <w:vertAlign w:val="baseline"/>
              </w:rPr>
              <w:t>±0.00</w:t>
            </w:r>
            <w:r>
              <w:rPr>
                <w:spacing w:val="-2"/>
                <w:sz w:val="20"/>
                <w:vertAlign w:val="superscript"/>
              </w:rPr>
              <w:t>f</w:t>
            </w:r>
          </w:p>
        </w:tc>
        <w:tc>
          <w:tcPr>
            <w:tcW w:w="2253" w:type="dxa"/>
          </w:tcPr>
          <w:p>
            <w:pPr>
              <w:pStyle w:val="TableParagraph"/>
              <w:spacing w:before="117"/>
              <w:ind w:left="296"/>
              <w:rPr>
                <w:sz w:val="20"/>
              </w:rPr>
            </w:pPr>
            <w:r>
              <w:rPr>
                <w:sz w:val="20"/>
              </w:rPr>
              <w:t>3.0</w:t>
            </w:r>
            <w:r>
              <w:rPr>
                <w:spacing w:val="-1"/>
                <w:sz w:val="20"/>
              </w:rPr>
              <w:t> </w:t>
            </w:r>
            <w:r>
              <w:rPr>
                <w:spacing w:val="-2"/>
                <w:sz w:val="20"/>
              </w:rPr>
              <w:t>x10</w:t>
            </w:r>
            <w:r>
              <w:rPr>
                <w:spacing w:val="-2"/>
                <w:sz w:val="20"/>
                <w:vertAlign w:val="superscript"/>
              </w:rPr>
              <w:t>7</w:t>
            </w:r>
            <w:r>
              <w:rPr>
                <w:spacing w:val="-2"/>
                <w:sz w:val="20"/>
                <w:vertAlign w:val="baseline"/>
              </w:rPr>
              <w:t>±10.00</w:t>
            </w:r>
            <w:r>
              <w:rPr>
                <w:spacing w:val="-2"/>
                <w:sz w:val="20"/>
                <w:vertAlign w:val="superscript"/>
              </w:rPr>
              <w:t>c</w:t>
            </w:r>
          </w:p>
        </w:tc>
      </w:tr>
      <w:tr>
        <w:trPr>
          <w:trHeight w:val="465" w:hRule="atLeast"/>
        </w:trPr>
        <w:tc>
          <w:tcPr>
            <w:tcW w:w="2011" w:type="dxa"/>
          </w:tcPr>
          <w:p>
            <w:pPr>
              <w:pStyle w:val="TableParagraph"/>
              <w:spacing w:before="117"/>
              <w:ind w:left="115"/>
              <w:rPr>
                <w:sz w:val="20"/>
              </w:rPr>
            </w:pPr>
            <w:r>
              <w:rPr>
                <w:sz w:val="20"/>
              </w:rPr>
              <w:t>BS/</w:t>
            </w:r>
            <w:r>
              <w:rPr>
                <w:spacing w:val="-7"/>
                <w:sz w:val="20"/>
              </w:rPr>
              <w:t> </w:t>
            </w:r>
            <w:r>
              <w:rPr>
                <w:sz w:val="20"/>
              </w:rPr>
              <w:t>NP/BC(2:</w:t>
            </w:r>
            <w:r>
              <w:rPr>
                <w:spacing w:val="-4"/>
                <w:sz w:val="20"/>
              </w:rPr>
              <w:t> </w:t>
            </w:r>
            <w:r>
              <w:rPr>
                <w:spacing w:val="-2"/>
                <w:sz w:val="20"/>
              </w:rPr>
              <w:t>1:1)a</w:t>
            </w:r>
          </w:p>
        </w:tc>
        <w:tc>
          <w:tcPr>
            <w:tcW w:w="1797" w:type="dxa"/>
          </w:tcPr>
          <w:p>
            <w:pPr>
              <w:pStyle w:val="TableParagraph"/>
              <w:spacing w:before="117"/>
              <w:ind w:left="274"/>
              <w:rPr>
                <w:sz w:val="20"/>
              </w:rPr>
            </w:pPr>
            <w:r>
              <w:rPr>
                <w:sz w:val="20"/>
              </w:rPr>
              <w:t>5.7</w:t>
            </w:r>
            <w:r>
              <w:rPr>
                <w:spacing w:val="-1"/>
                <w:sz w:val="20"/>
              </w:rPr>
              <w:t> </w:t>
            </w:r>
            <w:r>
              <w:rPr>
                <w:spacing w:val="-2"/>
                <w:sz w:val="20"/>
              </w:rPr>
              <w:t>x10</w:t>
            </w:r>
            <w:r>
              <w:rPr>
                <w:spacing w:val="-2"/>
                <w:sz w:val="20"/>
                <w:vertAlign w:val="superscript"/>
              </w:rPr>
              <w:t>5</w:t>
            </w:r>
            <w:r>
              <w:rPr>
                <w:spacing w:val="-2"/>
                <w:sz w:val="20"/>
                <w:vertAlign w:val="baseline"/>
              </w:rPr>
              <w:t>±55.00</w:t>
            </w:r>
            <w:r>
              <w:rPr>
                <w:spacing w:val="-2"/>
                <w:sz w:val="20"/>
                <w:vertAlign w:val="superscript"/>
              </w:rPr>
              <w:t>a</w:t>
            </w:r>
          </w:p>
        </w:tc>
        <w:tc>
          <w:tcPr>
            <w:tcW w:w="1853" w:type="dxa"/>
          </w:tcPr>
          <w:p>
            <w:pPr>
              <w:pStyle w:val="TableParagraph"/>
              <w:spacing w:before="117"/>
              <w:ind w:left="238"/>
              <w:rPr>
                <w:sz w:val="20"/>
              </w:rPr>
            </w:pPr>
            <w:r>
              <w:rPr>
                <w:sz w:val="20"/>
              </w:rPr>
              <w:t>2.8</w:t>
            </w:r>
            <w:r>
              <w:rPr>
                <w:spacing w:val="-1"/>
                <w:sz w:val="20"/>
              </w:rPr>
              <w:t> </w:t>
            </w:r>
            <w:r>
              <w:rPr>
                <w:spacing w:val="-2"/>
                <w:sz w:val="20"/>
              </w:rPr>
              <w:t>x10</w:t>
            </w:r>
            <w:r>
              <w:rPr>
                <w:spacing w:val="-2"/>
                <w:sz w:val="20"/>
                <w:vertAlign w:val="superscript"/>
              </w:rPr>
              <w:t>6</w:t>
            </w:r>
            <w:r>
              <w:rPr>
                <w:spacing w:val="-2"/>
                <w:sz w:val="20"/>
                <w:vertAlign w:val="baseline"/>
              </w:rPr>
              <w:t>±0.00</w:t>
            </w:r>
            <w:r>
              <w:rPr>
                <w:spacing w:val="-2"/>
                <w:sz w:val="20"/>
                <w:vertAlign w:val="superscript"/>
              </w:rPr>
              <w:t>b</w:t>
            </w:r>
          </w:p>
        </w:tc>
        <w:tc>
          <w:tcPr>
            <w:tcW w:w="1861" w:type="dxa"/>
          </w:tcPr>
          <w:p>
            <w:pPr>
              <w:pStyle w:val="TableParagraph"/>
              <w:spacing w:before="117"/>
              <w:ind w:left="270"/>
              <w:rPr>
                <w:sz w:val="20"/>
              </w:rPr>
            </w:pPr>
            <w:r>
              <w:rPr>
                <w:sz w:val="20"/>
              </w:rPr>
              <w:t>5.0</w:t>
            </w:r>
            <w:r>
              <w:rPr>
                <w:spacing w:val="-1"/>
                <w:sz w:val="20"/>
              </w:rPr>
              <w:t> </w:t>
            </w:r>
            <w:r>
              <w:rPr>
                <w:spacing w:val="-2"/>
                <w:sz w:val="20"/>
              </w:rPr>
              <w:t>x10</w:t>
            </w:r>
            <w:r>
              <w:rPr>
                <w:spacing w:val="-2"/>
                <w:sz w:val="20"/>
                <w:vertAlign w:val="superscript"/>
              </w:rPr>
              <w:t>7</w:t>
            </w:r>
            <w:r>
              <w:rPr>
                <w:spacing w:val="-2"/>
                <w:sz w:val="20"/>
                <w:vertAlign w:val="baseline"/>
              </w:rPr>
              <w:t>±0.00</w:t>
            </w:r>
            <w:r>
              <w:rPr>
                <w:spacing w:val="-2"/>
                <w:sz w:val="20"/>
                <w:vertAlign w:val="superscript"/>
              </w:rPr>
              <w:t>d</w:t>
            </w:r>
          </w:p>
        </w:tc>
        <w:tc>
          <w:tcPr>
            <w:tcW w:w="1950" w:type="dxa"/>
          </w:tcPr>
          <w:p>
            <w:pPr>
              <w:pStyle w:val="TableParagraph"/>
              <w:spacing w:before="117"/>
              <w:ind w:left="296"/>
              <w:rPr>
                <w:sz w:val="20"/>
              </w:rPr>
            </w:pPr>
            <w:r>
              <w:rPr>
                <w:sz w:val="20"/>
              </w:rPr>
              <w:t>6.2</w:t>
            </w:r>
            <w:r>
              <w:rPr>
                <w:spacing w:val="-1"/>
                <w:sz w:val="20"/>
              </w:rPr>
              <w:t> </w:t>
            </w:r>
            <w:r>
              <w:rPr>
                <w:spacing w:val="-2"/>
                <w:sz w:val="20"/>
              </w:rPr>
              <w:t>x10</w:t>
            </w:r>
            <w:r>
              <w:rPr>
                <w:spacing w:val="-2"/>
                <w:sz w:val="20"/>
                <w:vertAlign w:val="superscript"/>
              </w:rPr>
              <w:t>8</w:t>
            </w:r>
            <w:r>
              <w:rPr>
                <w:spacing w:val="-2"/>
                <w:sz w:val="20"/>
                <w:vertAlign w:val="baseline"/>
              </w:rPr>
              <w:t>±45.00</w:t>
            </w:r>
            <w:r>
              <w:rPr>
                <w:spacing w:val="-2"/>
                <w:sz w:val="20"/>
                <w:vertAlign w:val="superscript"/>
              </w:rPr>
              <w:t>e</w:t>
            </w:r>
          </w:p>
        </w:tc>
        <w:tc>
          <w:tcPr>
            <w:tcW w:w="1946" w:type="dxa"/>
          </w:tcPr>
          <w:p>
            <w:pPr>
              <w:pStyle w:val="TableParagraph"/>
              <w:spacing w:before="117"/>
              <w:ind w:left="357"/>
              <w:rPr>
                <w:sz w:val="20"/>
              </w:rPr>
            </w:pPr>
            <w:r>
              <w:rPr>
                <w:sz w:val="20"/>
              </w:rPr>
              <w:t>8.5</w:t>
            </w:r>
            <w:r>
              <w:rPr>
                <w:spacing w:val="-1"/>
                <w:sz w:val="20"/>
              </w:rPr>
              <w:t> </w:t>
            </w:r>
            <w:r>
              <w:rPr>
                <w:spacing w:val="-2"/>
                <w:sz w:val="20"/>
              </w:rPr>
              <w:t>x10</w:t>
            </w:r>
            <w:r>
              <w:rPr>
                <w:spacing w:val="-2"/>
                <w:sz w:val="20"/>
                <w:vertAlign w:val="superscript"/>
              </w:rPr>
              <w:t>8</w:t>
            </w:r>
            <w:r>
              <w:rPr>
                <w:spacing w:val="-2"/>
                <w:sz w:val="20"/>
                <w:vertAlign w:val="baseline"/>
              </w:rPr>
              <w:t>±45.00</w:t>
            </w:r>
            <w:r>
              <w:rPr>
                <w:spacing w:val="-2"/>
                <w:sz w:val="20"/>
                <w:vertAlign w:val="superscript"/>
              </w:rPr>
              <w:t>f</w:t>
            </w:r>
          </w:p>
        </w:tc>
        <w:tc>
          <w:tcPr>
            <w:tcW w:w="2253" w:type="dxa"/>
          </w:tcPr>
          <w:p>
            <w:pPr>
              <w:pStyle w:val="TableParagraph"/>
              <w:spacing w:before="117"/>
              <w:ind w:left="296"/>
              <w:rPr>
                <w:sz w:val="20"/>
              </w:rPr>
            </w:pPr>
            <w:r>
              <w:rPr>
                <w:sz w:val="20"/>
              </w:rPr>
              <w:t>1.3</w:t>
            </w:r>
            <w:r>
              <w:rPr>
                <w:spacing w:val="-1"/>
                <w:sz w:val="20"/>
              </w:rPr>
              <w:t> </w:t>
            </w:r>
            <w:r>
              <w:rPr>
                <w:spacing w:val="-2"/>
                <w:sz w:val="20"/>
              </w:rPr>
              <w:t>x10</w:t>
            </w:r>
            <w:r>
              <w:rPr>
                <w:spacing w:val="-2"/>
                <w:sz w:val="20"/>
                <w:vertAlign w:val="superscript"/>
              </w:rPr>
              <w:t>7</w:t>
            </w:r>
            <w:r>
              <w:rPr>
                <w:spacing w:val="-2"/>
                <w:sz w:val="20"/>
                <w:vertAlign w:val="baseline"/>
              </w:rPr>
              <w:t>±21.50</w:t>
            </w:r>
            <w:r>
              <w:rPr>
                <w:spacing w:val="-2"/>
                <w:sz w:val="20"/>
                <w:vertAlign w:val="superscript"/>
              </w:rPr>
              <w:t>c</w:t>
            </w:r>
          </w:p>
        </w:tc>
      </w:tr>
      <w:tr>
        <w:trPr>
          <w:trHeight w:val="465" w:hRule="atLeast"/>
        </w:trPr>
        <w:tc>
          <w:tcPr>
            <w:tcW w:w="2011" w:type="dxa"/>
          </w:tcPr>
          <w:p>
            <w:pPr>
              <w:pStyle w:val="TableParagraph"/>
              <w:spacing w:before="117"/>
              <w:ind w:left="115"/>
              <w:rPr>
                <w:sz w:val="20"/>
              </w:rPr>
            </w:pPr>
            <w:r>
              <w:rPr>
                <w:sz w:val="20"/>
              </w:rPr>
              <w:t>BS/</w:t>
            </w:r>
            <w:r>
              <w:rPr>
                <w:spacing w:val="-5"/>
                <w:sz w:val="20"/>
              </w:rPr>
              <w:t> </w:t>
            </w:r>
            <w:r>
              <w:rPr>
                <w:spacing w:val="-2"/>
                <w:sz w:val="20"/>
              </w:rPr>
              <w:t>NP/BC(1:1:2)a</w:t>
            </w:r>
          </w:p>
        </w:tc>
        <w:tc>
          <w:tcPr>
            <w:tcW w:w="1797" w:type="dxa"/>
          </w:tcPr>
          <w:p>
            <w:pPr>
              <w:pStyle w:val="TableParagraph"/>
              <w:spacing w:before="117"/>
              <w:ind w:left="274"/>
              <w:rPr>
                <w:sz w:val="20"/>
              </w:rPr>
            </w:pPr>
            <w:r>
              <w:rPr>
                <w:sz w:val="20"/>
              </w:rPr>
              <w:t>9.0</w:t>
            </w:r>
            <w:r>
              <w:rPr>
                <w:spacing w:val="-1"/>
                <w:sz w:val="20"/>
              </w:rPr>
              <w:t> </w:t>
            </w:r>
            <w:r>
              <w:rPr>
                <w:spacing w:val="-2"/>
                <w:sz w:val="20"/>
              </w:rPr>
              <w:t>x10</w:t>
            </w:r>
            <w:r>
              <w:rPr>
                <w:spacing w:val="-2"/>
                <w:sz w:val="20"/>
                <w:vertAlign w:val="superscript"/>
              </w:rPr>
              <w:t>4</w:t>
            </w:r>
            <w:r>
              <w:rPr>
                <w:spacing w:val="-2"/>
                <w:sz w:val="20"/>
                <w:vertAlign w:val="baseline"/>
              </w:rPr>
              <w:t>±15.51</w:t>
            </w:r>
            <w:r>
              <w:rPr>
                <w:spacing w:val="-2"/>
                <w:sz w:val="20"/>
                <w:vertAlign w:val="superscript"/>
              </w:rPr>
              <w:t>a</w:t>
            </w:r>
          </w:p>
        </w:tc>
        <w:tc>
          <w:tcPr>
            <w:tcW w:w="1853" w:type="dxa"/>
          </w:tcPr>
          <w:p>
            <w:pPr>
              <w:pStyle w:val="TableParagraph"/>
              <w:spacing w:before="117"/>
              <w:ind w:left="238"/>
              <w:rPr>
                <w:sz w:val="20"/>
              </w:rPr>
            </w:pPr>
            <w:r>
              <w:rPr>
                <w:sz w:val="20"/>
              </w:rPr>
              <w:t>4.7</w:t>
            </w:r>
            <w:r>
              <w:rPr>
                <w:spacing w:val="-1"/>
                <w:sz w:val="20"/>
              </w:rPr>
              <w:t> </w:t>
            </w:r>
            <w:r>
              <w:rPr>
                <w:spacing w:val="-2"/>
                <w:sz w:val="20"/>
              </w:rPr>
              <w:t>x10</w:t>
            </w:r>
            <w:r>
              <w:rPr>
                <w:spacing w:val="-2"/>
                <w:sz w:val="20"/>
                <w:vertAlign w:val="superscript"/>
              </w:rPr>
              <w:t>5</w:t>
            </w:r>
            <w:r>
              <w:rPr>
                <w:spacing w:val="-2"/>
                <w:sz w:val="20"/>
                <w:vertAlign w:val="baseline"/>
              </w:rPr>
              <w:t>±25.00</w:t>
            </w:r>
            <w:r>
              <w:rPr>
                <w:spacing w:val="-2"/>
                <w:sz w:val="20"/>
                <w:vertAlign w:val="superscript"/>
              </w:rPr>
              <w:t>b</w:t>
            </w:r>
          </w:p>
        </w:tc>
        <w:tc>
          <w:tcPr>
            <w:tcW w:w="1861" w:type="dxa"/>
          </w:tcPr>
          <w:p>
            <w:pPr>
              <w:pStyle w:val="TableParagraph"/>
              <w:spacing w:before="117"/>
              <w:ind w:left="270"/>
              <w:rPr>
                <w:sz w:val="20"/>
              </w:rPr>
            </w:pPr>
            <w:r>
              <w:rPr>
                <w:sz w:val="20"/>
              </w:rPr>
              <w:t>1.1</w:t>
            </w:r>
            <w:r>
              <w:rPr>
                <w:spacing w:val="-1"/>
                <w:sz w:val="20"/>
              </w:rPr>
              <w:t> </w:t>
            </w:r>
            <w:r>
              <w:rPr>
                <w:spacing w:val="-2"/>
                <w:sz w:val="20"/>
              </w:rPr>
              <w:t>x10</w:t>
            </w:r>
            <w:r>
              <w:rPr>
                <w:spacing w:val="-2"/>
                <w:sz w:val="20"/>
                <w:vertAlign w:val="superscript"/>
              </w:rPr>
              <w:t>7</w:t>
            </w:r>
            <w:r>
              <w:rPr>
                <w:spacing w:val="-2"/>
                <w:sz w:val="20"/>
                <w:vertAlign w:val="baseline"/>
              </w:rPr>
              <w:t>±89.42</w:t>
            </w:r>
            <w:r>
              <w:rPr>
                <w:spacing w:val="-2"/>
                <w:sz w:val="20"/>
                <w:vertAlign w:val="superscript"/>
              </w:rPr>
              <w:t>d</w:t>
            </w:r>
          </w:p>
        </w:tc>
        <w:tc>
          <w:tcPr>
            <w:tcW w:w="1950" w:type="dxa"/>
          </w:tcPr>
          <w:p>
            <w:pPr>
              <w:pStyle w:val="TableParagraph"/>
              <w:spacing w:before="117"/>
              <w:ind w:left="296"/>
              <w:rPr>
                <w:sz w:val="20"/>
              </w:rPr>
            </w:pPr>
            <w:r>
              <w:rPr>
                <w:sz w:val="20"/>
              </w:rPr>
              <w:t>1.4</w:t>
            </w:r>
            <w:r>
              <w:rPr>
                <w:spacing w:val="-1"/>
                <w:sz w:val="20"/>
              </w:rPr>
              <w:t> </w:t>
            </w:r>
            <w:r>
              <w:rPr>
                <w:spacing w:val="-2"/>
                <w:sz w:val="20"/>
              </w:rPr>
              <w:t>x10</w:t>
            </w:r>
            <w:r>
              <w:rPr>
                <w:spacing w:val="-2"/>
                <w:sz w:val="20"/>
                <w:vertAlign w:val="superscript"/>
              </w:rPr>
              <w:t>8</w:t>
            </w:r>
            <w:r>
              <w:rPr>
                <w:spacing w:val="-2"/>
                <w:sz w:val="20"/>
                <w:vertAlign w:val="baseline"/>
              </w:rPr>
              <w:t>±48.01</w:t>
            </w:r>
            <w:r>
              <w:rPr>
                <w:spacing w:val="-2"/>
                <w:sz w:val="20"/>
                <w:vertAlign w:val="superscript"/>
              </w:rPr>
              <w:t>f</w:t>
            </w:r>
          </w:p>
        </w:tc>
        <w:tc>
          <w:tcPr>
            <w:tcW w:w="1946" w:type="dxa"/>
          </w:tcPr>
          <w:p>
            <w:pPr>
              <w:pStyle w:val="TableParagraph"/>
              <w:spacing w:before="117"/>
              <w:ind w:left="357"/>
              <w:rPr>
                <w:sz w:val="20"/>
              </w:rPr>
            </w:pPr>
            <w:r>
              <w:rPr>
                <w:sz w:val="20"/>
              </w:rPr>
              <w:t>7.1</w:t>
            </w:r>
            <w:r>
              <w:rPr>
                <w:spacing w:val="-1"/>
                <w:sz w:val="20"/>
              </w:rPr>
              <w:t> </w:t>
            </w:r>
            <w:r>
              <w:rPr>
                <w:spacing w:val="-2"/>
                <w:sz w:val="20"/>
              </w:rPr>
              <w:t>x10</w:t>
            </w:r>
            <w:r>
              <w:rPr>
                <w:spacing w:val="-2"/>
                <w:sz w:val="20"/>
                <w:vertAlign w:val="superscript"/>
              </w:rPr>
              <w:t>7</w:t>
            </w:r>
            <w:r>
              <w:rPr>
                <w:spacing w:val="-2"/>
                <w:sz w:val="20"/>
                <w:vertAlign w:val="baseline"/>
              </w:rPr>
              <w:t>±27.00</w:t>
            </w:r>
            <w:r>
              <w:rPr>
                <w:spacing w:val="-2"/>
                <w:sz w:val="20"/>
                <w:vertAlign w:val="superscript"/>
              </w:rPr>
              <w:t>e</w:t>
            </w:r>
          </w:p>
        </w:tc>
        <w:tc>
          <w:tcPr>
            <w:tcW w:w="2253" w:type="dxa"/>
          </w:tcPr>
          <w:p>
            <w:pPr>
              <w:pStyle w:val="TableParagraph"/>
              <w:spacing w:before="117"/>
              <w:ind w:left="296"/>
              <w:rPr>
                <w:sz w:val="20"/>
              </w:rPr>
            </w:pPr>
            <w:r>
              <w:rPr>
                <w:sz w:val="20"/>
              </w:rPr>
              <w:t>5.8</w:t>
            </w:r>
            <w:r>
              <w:rPr>
                <w:spacing w:val="-1"/>
                <w:sz w:val="20"/>
              </w:rPr>
              <w:t> </w:t>
            </w:r>
            <w:r>
              <w:rPr>
                <w:spacing w:val="-2"/>
                <w:sz w:val="20"/>
              </w:rPr>
              <w:t>x10</w:t>
            </w:r>
            <w:r>
              <w:rPr>
                <w:spacing w:val="-2"/>
                <w:sz w:val="20"/>
                <w:vertAlign w:val="superscript"/>
              </w:rPr>
              <w:t>6</w:t>
            </w:r>
            <w:r>
              <w:rPr>
                <w:spacing w:val="-2"/>
                <w:sz w:val="20"/>
                <w:vertAlign w:val="baseline"/>
              </w:rPr>
              <w:t>±98.14</w:t>
            </w:r>
            <w:r>
              <w:rPr>
                <w:spacing w:val="-2"/>
                <w:sz w:val="20"/>
                <w:vertAlign w:val="superscript"/>
              </w:rPr>
              <w:t>c</w:t>
            </w:r>
          </w:p>
        </w:tc>
      </w:tr>
      <w:tr>
        <w:trPr>
          <w:trHeight w:val="465" w:hRule="atLeast"/>
        </w:trPr>
        <w:tc>
          <w:tcPr>
            <w:tcW w:w="2011" w:type="dxa"/>
          </w:tcPr>
          <w:p>
            <w:pPr>
              <w:pStyle w:val="TableParagraph"/>
              <w:spacing w:before="117"/>
              <w:ind w:left="115"/>
              <w:rPr>
                <w:sz w:val="20"/>
              </w:rPr>
            </w:pPr>
            <w:r>
              <w:rPr>
                <w:sz w:val="20"/>
              </w:rPr>
              <w:t>BS/</w:t>
            </w:r>
            <w:r>
              <w:rPr>
                <w:spacing w:val="-5"/>
                <w:sz w:val="20"/>
              </w:rPr>
              <w:t> </w:t>
            </w:r>
            <w:r>
              <w:rPr>
                <w:spacing w:val="-2"/>
                <w:sz w:val="20"/>
              </w:rPr>
              <w:t>NP/BC(1:1:1)b</w:t>
            </w:r>
          </w:p>
        </w:tc>
        <w:tc>
          <w:tcPr>
            <w:tcW w:w="1797" w:type="dxa"/>
          </w:tcPr>
          <w:p>
            <w:pPr>
              <w:pStyle w:val="TableParagraph"/>
              <w:spacing w:before="117"/>
              <w:ind w:left="274"/>
              <w:rPr>
                <w:sz w:val="20"/>
              </w:rPr>
            </w:pPr>
            <w:r>
              <w:rPr>
                <w:sz w:val="20"/>
              </w:rPr>
              <w:t>8.0</w:t>
            </w:r>
            <w:r>
              <w:rPr>
                <w:spacing w:val="-1"/>
                <w:sz w:val="20"/>
              </w:rPr>
              <w:t> </w:t>
            </w:r>
            <w:r>
              <w:rPr>
                <w:spacing w:val="-2"/>
                <w:sz w:val="20"/>
              </w:rPr>
              <w:t>x10</w:t>
            </w:r>
            <w:r>
              <w:rPr>
                <w:spacing w:val="-2"/>
                <w:sz w:val="20"/>
                <w:vertAlign w:val="superscript"/>
              </w:rPr>
              <w:t>4</w:t>
            </w:r>
            <w:r>
              <w:rPr>
                <w:spacing w:val="-2"/>
                <w:sz w:val="20"/>
                <w:vertAlign w:val="baseline"/>
              </w:rPr>
              <w:t>±34.51</w:t>
            </w:r>
            <w:r>
              <w:rPr>
                <w:spacing w:val="-2"/>
                <w:sz w:val="20"/>
                <w:vertAlign w:val="superscript"/>
              </w:rPr>
              <w:t>a</w:t>
            </w:r>
          </w:p>
        </w:tc>
        <w:tc>
          <w:tcPr>
            <w:tcW w:w="1853" w:type="dxa"/>
          </w:tcPr>
          <w:p>
            <w:pPr>
              <w:pStyle w:val="TableParagraph"/>
              <w:spacing w:before="117"/>
              <w:ind w:left="238"/>
              <w:rPr>
                <w:sz w:val="20"/>
              </w:rPr>
            </w:pPr>
            <w:r>
              <w:rPr>
                <w:sz w:val="20"/>
              </w:rPr>
              <w:t>1.1</w:t>
            </w:r>
            <w:r>
              <w:rPr>
                <w:spacing w:val="-1"/>
                <w:sz w:val="20"/>
              </w:rPr>
              <w:t> </w:t>
            </w:r>
            <w:r>
              <w:rPr>
                <w:spacing w:val="-2"/>
                <w:sz w:val="20"/>
              </w:rPr>
              <w:t>x10</w:t>
            </w:r>
            <w:r>
              <w:rPr>
                <w:spacing w:val="-2"/>
                <w:sz w:val="20"/>
                <w:vertAlign w:val="superscript"/>
              </w:rPr>
              <w:t>5</w:t>
            </w:r>
            <w:r>
              <w:rPr>
                <w:spacing w:val="-2"/>
                <w:sz w:val="20"/>
                <w:vertAlign w:val="baseline"/>
              </w:rPr>
              <w:t>±0.00</w:t>
            </w:r>
            <w:r>
              <w:rPr>
                <w:spacing w:val="-2"/>
                <w:sz w:val="20"/>
                <w:vertAlign w:val="superscript"/>
              </w:rPr>
              <w:t>b</w:t>
            </w:r>
          </w:p>
        </w:tc>
        <w:tc>
          <w:tcPr>
            <w:tcW w:w="1861" w:type="dxa"/>
          </w:tcPr>
          <w:p>
            <w:pPr>
              <w:pStyle w:val="TableParagraph"/>
              <w:spacing w:before="117"/>
              <w:ind w:left="270"/>
              <w:rPr>
                <w:sz w:val="20"/>
              </w:rPr>
            </w:pPr>
            <w:r>
              <w:rPr>
                <w:sz w:val="20"/>
              </w:rPr>
              <w:t>1.2</w:t>
            </w:r>
            <w:r>
              <w:rPr>
                <w:spacing w:val="-1"/>
                <w:sz w:val="20"/>
              </w:rPr>
              <w:t> </w:t>
            </w:r>
            <w:r>
              <w:rPr>
                <w:spacing w:val="-2"/>
                <w:sz w:val="20"/>
              </w:rPr>
              <w:t>x10</w:t>
            </w:r>
            <w:r>
              <w:rPr>
                <w:spacing w:val="-2"/>
                <w:sz w:val="20"/>
                <w:vertAlign w:val="superscript"/>
              </w:rPr>
              <w:t>7</w:t>
            </w:r>
            <w:r>
              <w:rPr>
                <w:spacing w:val="-2"/>
                <w:sz w:val="20"/>
                <w:vertAlign w:val="baseline"/>
              </w:rPr>
              <w:t>±71.89</w:t>
            </w:r>
            <w:r>
              <w:rPr>
                <w:spacing w:val="-2"/>
                <w:sz w:val="20"/>
                <w:vertAlign w:val="superscript"/>
              </w:rPr>
              <w:t>d</w:t>
            </w:r>
          </w:p>
        </w:tc>
        <w:tc>
          <w:tcPr>
            <w:tcW w:w="1950" w:type="dxa"/>
          </w:tcPr>
          <w:p>
            <w:pPr>
              <w:pStyle w:val="TableParagraph"/>
              <w:spacing w:before="117"/>
              <w:ind w:left="296"/>
              <w:rPr>
                <w:sz w:val="20"/>
              </w:rPr>
            </w:pPr>
            <w:r>
              <w:rPr>
                <w:sz w:val="20"/>
              </w:rPr>
              <w:t>1.0</w:t>
            </w:r>
            <w:r>
              <w:rPr>
                <w:spacing w:val="-1"/>
                <w:sz w:val="20"/>
              </w:rPr>
              <w:t> </w:t>
            </w:r>
            <w:r>
              <w:rPr>
                <w:spacing w:val="-2"/>
                <w:sz w:val="20"/>
              </w:rPr>
              <w:t>x10</w:t>
            </w:r>
            <w:r>
              <w:rPr>
                <w:spacing w:val="-2"/>
                <w:sz w:val="20"/>
                <w:vertAlign w:val="superscript"/>
              </w:rPr>
              <w:t>8</w:t>
            </w:r>
            <w:r>
              <w:rPr>
                <w:spacing w:val="-2"/>
                <w:sz w:val="20"/>
                <w:vertAlign w:val="baseline"/>
              </w:rPr>
              <w:t>±34.47</w:t>
            </w:r>
            <w:r>
              <w:rPr>
                <w:spacing w:val="-2"/>
                <w:sz w:val="20"/>
                <w:vertAlign w:val="superscript"/>
              </w:rPr>
              <w:t>f</w:t>
            </w:r>
          </w:p>
        </w:tc>
        <w:tc>
          <w:tcPr>
            <w:tcW w:w="1946" w:type="dxa"/>
          </w:tcPr>
          <w:p>
            <w:pPr>
              <w:pStyle w:val="TableParagraph"/>
              <w:spacing w:before="117"/>
              <w:ind w:left="357"/>
              <w:rPr>
                <w:sz w:val="20"/>
              </w:rPr>
            </w:pPr>
            <w:r>
              <w:rPr>
                <w:sz w:val="20"/>
              </w:rPr>
              <w:t>8.5</w:t>
            </w:r>
            <w:r>
              <w:rPr>
                <w:spacing w:val="-1"/>
                <w:sz w:val="20"/>
              </w:rPr>
              <w:t> </w:t>
            </w:r>
            <w:r>
              <w:rPr>
                <w:spacing w:val="-2"/>
                <w:sz w:val="20"/>
              </w:rPr>
              <w:t>x10</w:t>
            </w:r>
            <w:r>
              <w:rPr>
                <w:spacing w:val="-2"/>
                <w:sz w:val="20"/>
                <w:vertAlign w:val="superscript"/>
              </w:rPr>
              <w:t>7</w:t>
            </w:r>
            <w:r>
              <w:rPr>
                <w:spacing w:val="-2"/>
                <w:sz w:val="20"/>
                <w:vertAlign w:val="baseline"/>
              </w:rPr>
              <w:t>±34.53</w:t>
            </w:r>
            <w:r>
              <w:rPr>
                <w:spacing w:val="-2"/>
                <w:sz w:val="20"/>
                <w:vertAlign w:val="superscript"/>
              </w:rPr>
              <w:t>e</w:t>
            </w:r>
          </w:p>
        </w:tc>
        <w:tc>
          <w:tcPr>
            <w:tcW w:w="2253" w:type="dxa"/>
          </w:tcPr>
          <w:p>
            <w:pPr>
              <w:pStyle w:val="TableParagraph"/>
              <w:spacing w:before="117"/>
              <w:ind w:left="296"/>
              <w:rPr>
                <w:sz w:val="20"/>
              </w:rPr>
            </w:pPr>
            <w:r>
              <w:rPr>
                <w:sz w:val="20"/>
              </w:rPr>
              <w:t>5.7</w:t>
            </w:r>
            <w:r>
              <w:rPr>
                <w:spacing w:val="-1"/>
                <w:sz w:val="20"/>
              </w:rPr>
              <w:t> </w:t>
            </w:r>
            <w:r>
              <w:rPr>
                <w:spacing w:val="-2"/>
                <w:sz w:val="20"/>
              </w:rPr>
              <w:t>x10</w:t>
            </w:r>
            <w:r>
              <w:rPr>
                <w:spacing w:val="-2"/>
                <w:sz w:val="20"/>
                <w:vertAlign w:val="superscript"/>
              </w:rPr>
              <w:t>6</w:t>
            </w:r>
            <w:r>
              <w:rPr>
                <w:spacing w:val="-2"/>
                <w:sz w:val="20"/>
                <w:vertAlign w:val="baseline"/>
              </w:rPr>
              <w:t>±60.02</w:t>
            </w:r>
            <w:r>
              <w:rPr>
                <w:spacing w:val="-2"/>
                <w:sz w:val="20"/>
                <w:vertAlign w:val="superscript"/>
              </w:rPr>
              <w:t>c</w:t>
            </w:r>
          </w:p>
        </w:tc>
      </w:tr>
      <w:tr>
        <w:trPr>
          <w:trHeight w:val="466" w:hRule="atLeast"/>
        </w:trPr>
        <w:tc>
          <w:tcPr>
            <w:tcW w:w="2011" w:type="dxa"/>
          </w:tcPr>
          <w:p>
            <w:pPr>
              <w:pStyle w:val="TableParagraph"/>
              <w:spacing w:before="117"/>
              <w:ind w:left="115"/>
              <w:rPr>
                <w:sz w:val="20"/>
              </w:rPr>
            </w:pPr>
            <w:r>
              <w:rPr>
                <w:sz w:val="20"/>
              </w:rPr>
              <w:t>BS/</w:t>
            </w:r>
            <w:r>
              <w:rPr>
                <w:spacing w:val="-7"/>
                <w:sz w:val="20"/>
              </w:rPr>
              <w:t> </w:t>
            </w:r>
            <w:r>
              <w:rPr>
                <w:sz w:val="20"/>
              </w:rPr>
              <w:t>NP/BC(1:</w:t>
            </w:r>
            <w:r>
              <w:rPr>
                <w:spacing w:val="-4"/>
                <w:sz w:val="20"/>
              </w:rPr>
              <w:t> </w:t>
            </w:r>
            <w:r>
              <w:rPr>
                <w:spacing w:val="-2"/>
                <w:sz w:val="20"/>
              </w:rPr>
              <w:t>2:1)b</w:t>
            </w:r>
          </w:p>
        </w:tc>
        <w:tc>
          <w:tcPr>
            <w:tcW w:w="1797" w:type="dxa"/>
          </w:tcPr>
          <w:p>
            <w:pPr>
              <w:pStyle w:val="TableParagraph"/>
              <w:spacing w:before="117"/>
              <w:ind w:left="274"/>
              <w:rPr>
                <w:sz w:val="20"/>
              </w:rPr>
            </w:pPr>
            <w:r>
              <w:rPr>
                <w:sz w:val="20"/>
              </w:rPr>
              <w:t>4.4</w:t>
            </w:r>
            <w:r>
              <w:rPr>
                <w:spacing w:val="-1"/>
                <w:sz w:val="20"/>
              </w:rPr>
              <w:t> </w:t>
            </w:r>
            <w:r>
              <w:rPr>
                <w:spacing w:val="-2"/>
                <w:sz w:val="20"/>
              </w:rPr>
              <w:t>x10</w:t>
            </w:r>
            <w:r>
              <w:rPr>
                <w:spacing w:val="-2"/>
                <w:sz w:val="20"/>
                <w:vertAlign w:val="superscript"/>
              </w:rPr>
              <w:t>5</w:t>
            </w:r>
            <w:r>
              <w:rPr>
                <w:spacing w:val="-2"/>
                <w:sz w:val="20"/>
                <w:vertAlign w:val="baseline"/>
              </w:rPr>
              <w:t>±50.50</w:t>
            </w:r>
            <w:r>
              <w:rPr>
                <w:spacing w:val="-2"/>
                <w:sz w:val="20"/>
                <w:vertAlign w:val="superscript"/>
              </w:rPr>
              <w:t>a</w:t>
            </w:r>
          </w:p>
        </w:tc>
        <w:tc>
          <w:tcPr>
            <w:tcW w:w="1853" w:type="dxa"/>
          </w:tcPr>
          <w:p>
            <w:pPr>
              <w:pStyle w:val="TableParagraph"/>
              <w:spacing w:before="117"/>
              <w:ind w:left="238"/>
              <w:rPr>
                <w:sz w:val="20"/>
              </w:rPr>
            </w:pPr>
            <w:r>
              <w:rPr>
                <w:sz w:val="20"/>
              </w:rPr>
              <w:t>1.4</w:t>
            </w:r>
            <w:r>
              <w:rPr>
                <w:spacing w:val="49"/>
                <w:sz w:val="20"/>
              </w:rPr>
              <w:t> </w:t>
            </w:r>
            <w:r>
              <w:rPr>
                <w:spacing w:val="-2"/>
                <w:sz w:val="20"/>
              </w:rPr>
              <w:t>x10</w:t>
            </w:r>
            <w:r>
              <w:rPr>
                <w:spacing w:val="-2"/>
                <w:sz w:val="20"/>
                <w:vertAlign w:val="superscript"/>
              </w:rPr>
              <w:t>6</w:t>
            </w:r>
            <w:r>
              <w:rPr>
                <w:spacing w:val="-2"/>
                <w:sz w:val="20"/>
                <w:vertAlign w:val="baseline"/>
              </w:rPr>
              <w:t>±0.00</w:t>
            </w:r>
            <w:r>
              <w:rPr>
                <w:spacing w:val="-2"/>
                <w:sz w:val="20"/>
                <w:vertAlign w:val="superscript"/>
              </w:rPr>
              <w:t>b</w:t>
            </w:r>
          </w:p>
        </w:tc>
        <w:tc>
          <w:tcPr>
            <w:tcW w:w="1861" w:type="dxa"/>
          </w:tcPr>
          <w:p>
            <w:pPr>
              <w:pStyle w:val="TableParagraph"/>
              <w:spacing w:before="117"/>
              <w:ind w:left="270"/>
              <w:rPr>
                <w:sz w:val="20"/>
              </w:rPr>
            </w:pPr>
            <w:r>
              <w:rPr>
                <w:sz w:val="20"/>
              </w:rPr>
              <w:t>3.8</w:t>
            </w:r>
            <w:r>
              <w:rPr>
                <w:spacing w:val="-1"/>
                <w:sz w:val="20"/>
              </w:rPr>
              <w:t> </w:t>
            </w:r>
            <w:r>
              <w:rPr>
                <w:spacing w:val="-2"/>
                <w:sz w:val="20"/>
              </w:rPr>
              <w:t>x10</w:t>
            </w:r>
            <w:r>
              <w:rPr>
                <w:spacing w:val="-2"/>
                <w:sz w:val="20"/>
                <w:vertAlign w:val="superscript"/>
              </w:rPr>
              <w:t>7</w:t>
            </w:r>
            <w:r>
              <w:rPr>
                <w:spacing w:val="-2"/>
                <w:sz w:val="20"/>
                <w:vertAlign w:val="baseline"/>
              </w:rPr>
              <w:t>±0.00</w:t>
            </w:r>
            <w:r>
              <w:rPr>
                <w:spacing w:val="-2"/>
                <w:sz w:val="20"/>
                <w:vertAlign w:val="superscript"/>
              </w:rPr>
              <w:t>d</w:t>
            </w:r>
          </w:p>
        </w:tc>
        <w:tc>
          <w:tcPr>
            <w:tcW w:w="1950" w:type="dxa"/>
          </w:tcPr>
          <w:p>
            <w:pPr>
              <w:pStyle w:val="TableParagraph"/>
              <w:spacing w:before="117"/>
              <w:ind w:left="296"/>
              <w:rPr>
                <w:sz w:val="20"/>
              </w:rPr>
            </w:pPr>
            <w:r>
              <w:rPr>
                <w:sz w:val="20"/>
              </w:rPr>
              <w:t>2.6</w:t>
            </w:r>
            <w:r>
              <w:rPr>
                <w:spacing w:val="-1"/>
                <w:sz w:val="20"/>
              </w:rPr>
              <w:t> </w:t>
            </w:r>
            <w:r>
              <w:rPr>
                <w:spacing w:val="-2"/>
                <w:sz w:val="20"/>
              </w:rPr>
              <w:t>x10</w:t>
            </w:r>
            <w:r>
              <w:rPr>
                <w:spacing w:val="-2"/>
                <w:sz w:val="20"/>
                <w:vertAlign w:val="superscript"/>
              </w:rPr>
              <w:t>8</w:t>
            </w:r>
            <w:r>
              <w:rPr>
                <w:spacing w:val="-2"/>
                <w:sz w:val="20"/>
                <w:vertAlign w:val="baseline"/>
              </w:rPr>
              <w:t>±0.00</w:t>
            </w:r>
            <w:r>
              <w:rPr>
                <w:spacing w:val="-2"/>
                <w:sz w:val="20"/>
                <w:vertAlign w:val="superscript"/>
              </w:rPr>
              <w:t>f</w:t>
            </w:r>
          </w:p>
        </w:tc>
        <w:tc>
          <w:tcPr>
            <w:tcW w:w="1946" w:type="dxa"/>
          </w:tcPr>
          <w:p>
            <w:pPr>
              <w:pStyle w:val="TableParagraph"/>
              <w:spacing w:before="117"/>
              <w:ind w:left="357"/>
              <w:rPr>
                <w:sz w:val="20"/>
              </w:rPr>
            </w:pPr>
            <w:r>
              <w:rPr>
                <w:sz w:val="20"/>
              </w:rPr>
              <w:t>1.5</w:t>
            </w:r>
            <w:r>
              <w:rPr>
                <w:spacing w:val="-1"/>
                <w:sz w:val="20"/>
              </w:rPr>
              <w:t> </w:t>
            </w:r>
            <w:r>
              <w:rPr>
                <w:spacing w:val="-2"/>
                <w:sz w:val="20"/>
              </w:rPr>
              <w:t>x10</w:t>
            </w:r>
            <w:r>
              <w:rPr>
                <w:spacing w:val="-2"/>
                <w:sz w:val="20"/>
                <w:vertAlign w:val="superscript"/>
              </w:rPr>
              <w:t>8</w:t>
            </w:r>
            <w:r>
              <w:rPr>
                <w:spacing w:val="-2"/>
                <w:sz w:val="20"/>
                <w:vertAlign w:val="baseline"/>
              </w:rPr>
              <w:t>±0.00</w:t>
            </w:r>
            <w:r>
              <w:rPr>
                <w:spacing w:val="-2"/>
                <w:sz w:val="20"/>
                <w:vertAlign w:val="superscript"/>
              </w:rPr>
              <w:t>e</w:t>
            </w:r>
          </w:p>
        </w:tc>
        <w:tc>
          <w:tcPr>
            <w:tcW w:w="2253" w:type="dxa"/>
          </w:tcPr>
          <w:p>
            <w:pPr>
              <w:pStyle w:val="TableParagraph"/>
              <w:spacing w:before="117"/>
              <w:ind w:left="296"/>
              <w:rPr>
                <w:sz w:val="20"/>
              </w:rPr>
            </w:pPr>
            <w:r>
              <w:rPr>
                <w:sz w:val="20"/>
              </w:rPr>
              <w:t>1.2</w:t>
            </w:r>
            <w:r>
              <w:rPr>
                <w:spacing w:val="-1"/>
                <w:sz w:val="20"/>
              </w:rPr>
              <w:t> </w:t>
            </w:r>
            <w:r>
              <w:rPr>
                <w:spacing w:val="-2"/>
                <w:sz w:val="20"/>
              </w:rPr>
              <w:t>x10</w:t>
            </w:r>
            <w:r>
              <w:rPr>
                <w:spacing w:val="-2"/>
                <w:sz w:val="20"/>
                <w:vertAlign w:val="superscript"/>
              </w:rPr>
              <w:t>7</w:t>
            </w:r>
            <w:r>
              <w:rPr>
                <w:spacing w:val="-2"/>
                <w:sz w:val="20"/>
                <w:vertAlign w:val="baseline"/>
              </w:rPr>
              <w:t>±20.22</w:t>
            </w:r>
            <w:r>
              <w:rPr>
                <w:spacing w:val="-2"/>
                <w:sz w:val="20"/>
                <w:vertAlign w:val="superscript"/>
              </w:rPr>
              <w:t>c</w:t>
            </w:r>
          </w:p>
        </w:tc>
      </w:tr>
      <w:tr>
        <w:trPr>
          <w:trHeight w:val="466" w:hRule="atLeast"/>
        </w:trPr>
        <w:tc>
          <w:tcPr>
            <w:tcW w:w="2011" w:type="dxa"/>
          </w:tcPr>
          <w:p>
            <w:pPr>
              <w:pStyle w:val="TableParagraph"/>
              <w:spacing w:before="118"/>
              <w:ind w:left="115"/>
              <w:rPr>
                <w:sz w:val="20"/>
              </w:rPr>
            </w:pPr>
            <w:r>
              <w:rPr>
                <w:sz w:val="20"/>
              </w:rPr>
              <w:t>BS/</w:t>
            </w:r>
            <w:r>
              <w:rPr>
                <w:spacing w:val="-7"/>
                <w:sz w:val="20"/>
              </w:rPr>
              <w:t> </w:t>
            </w:r>
            <w:r>
              <w:rPr>
                <w:sz w:val="20"/>
              </w:rPr>
              <w:t>NP/BC(2:</w:t>
            </w:r>
            <w:r>
              <w:rPr>
                <w:spacing w:val="-4"/>
                <w:sz w:val="20"/>
              </w:rPr>
              <w:t> </w:t>
            </w:r>
            <w:r>
              <w:rPr>
                <w:spacing w:val="-2"/>
                <w:sz w:val="20"/>
              </w:rPr>
              <w:t>1:1)b</w:t>
            </w:r>
          </w:p>
        </w:tc>
        <w:tc>
          <w:tcPr>
            <w:tcW w:w="1797" w:type="dxa"/>
          </w:tcPr>
          <w:p>
            <w:pPr>
              <w:pStyle w:val="TableParagraph"/>
              <w:spacing w:before="118"/>
              <w:ind w:left="274"/>
              <w:rPr>
                <w:sz w:val="20"/>
              </w:rPr>
            </w:pPr>
            <w:r>
              <w:rPr>
                <w:sz w:val="20"/>
              </w:rPr>
              <w:t>1.7</w:t>
            </w:r>
            <w:r>
              <w:rPr>
                <w:spacing w:val="-1"/>
                <w:sz w:val="20"/>
              </w:rPr>
              <w:t> </w:t>
            </w:r>
            <w:r>
              <w:rPr>
                <w:spacing w:val="-2"/>
                <w:sz w:val="20"/>
              </w:rPr>
              <w:t>x10</w:t>
            </w:r>
            <w:r>
              <w:rPr>
                <w:spacing w:val="-2"/>
                <w:sz w:val="20"/>
                <w:vertAlign w:val="superscript"/>
              </w:rPr>
              <w:t>5</w:t>
            </w:r>
            <w:r>
              <w:rPr>
                <w:spacing w:val="-2"/>
                <w:sz w:val="20"/>
                <w:vertAlign w:val="baseline"/>
              </w:rPr>
              <w:t>±0.00</w:t>
            </w:r>
            <w:r>
              <w:rPr>
                <w:spacing w:val="-2"/>
                <w:sz w:val="20"/>
                <w:vertAlign w:val="superscript"/>
              </w:rPr>
              <w:t>a</w:t>
            </w:r>
          </w:p>
        </w:tc>
        <w:tc>
          <w:tcPr>
            <w:tcW w:w="1853" w:type="dxa"/>
          </w:tcPr>
          <w:p>
            <w:pPr>
              <w:pStyle w:val="TableParagraph"/>
              <w:spacing w:before="118"/>
              <w:ind w:left="238"/>
              <w:rPr>
                <w:sz w:val="20"/>
              </w:rPr>
            </w:pPr>
            <w:r>
              <w:rPr>
                <w:sz w:val="20"/>
              </w:rPr>
              <w:t>1.2</w:t>
            </w:r>
            <w:r>
              <w:rPr>
                <w:spacing w:val="-1"/>
                <w:sz w:val="20"/>
              </w:rPr>
              <w:t> </w:t>
            </w:r>
            <w:r>
              <w:rPr>
                <w:spacing w:val="-2"/>
                <w:sz w:val="20"/>
              </w:rPr>
              <w:t>x10</w:t>
            </w:r>
            <w:r>
              <w:rPr>
                <w:spacing w:val="-2"/>
                <w:sz w:val="20"/>
                <w:vertAlign w:val="superscript"/>
              </w:rPr>
              <w:t>6</w:t>
            </w:r>
            <w:r>
              <w:rPr>
                <w:spacing w:val="-2"/>
                <w:sz w:val="20"/>
                <w:vertAlign w:val="baseline"/>
              </w:rPr>
              <w:t>±99.50</w:t>
            </w:r>
            <w:r>
              <w:rPr>
                <w:spacing w:val="-2"/>
                <w:sz w:val="20"/>
                <w:vertAlign w:val="superscript"/>
              </w:rPr>
              <w:t>b</w:t>
            </w:r>
          </w:p>
        </w:tc>
        <w:tc>
          <w:tcPr>
            <w:tcW w:w="1861" w:type="dxa"/>
          </w:tcPr>
          <w:p>
            <w:pPr>
              <w:pStyle w:val="TableParagraph"/>
              <w:spacing w:before="118"/>
              <w:ind w:left="270"/>
              <w:rPr>
                <w:sz w:val="20"/>
              </w:rPr>
            </w:pPr>
            <w:r>
              <w:rPr>
                <w:sz w:val="20"/>
              </w:rPr>
              <w:t>9.6</w:t>
            </w:r>
            <w:r>
              <w:rPr>
                <w:spacing w:val="-1"/>
                <w:sz w:val="20"/>
              </w:rPr>
              <w:t> </w:t>
            </w:r>
            <w:r>
              <w:rPr>
                <w:spacing w:val="-2"/>
                <w:sz w:val="20"/>
              </w:rPr>
              <w:t>x10</w:t>
            </w:r>
            <w:r>
              <w:rPr>
                <w:spacing w:val="-2"/>
                <w:sz w:val="20"/>
                <w:vertAlign w:val="superscript"/>
              </w:rPr>
              <w:t>6</w:t>
            </w:r>
            <w:r>
              <w:rPr>
                <w:spacing w:val="-2"/>
                <w:sz w:val="20"/>
                <w:vertAlign w:val="baseline"/>
              </w:rPr>
              <w:t>±24.52</w:t>
            </w:r>
            <w:r>
              <w:rPr>
                <w:spacing w:val="-2"/>
                <w:sz w:val="20"/>
                <w:vertAlign w:val="superscript"/>
              </w:rPr>
              <w:t>d</w:t>
            </w:r>
          </w:p>
        </w:tc>
        <w:tc>
          <w:tcPr>
            <w:tcW w:w="1950" w:type="dxa"/>
          </w:tcPr>
          <w:p>
            <w:pPr>
              <w:pStyle w:val="TableParagraph"/>
              <w:spacing w:before="118"/>
              <w:ind w:left="296"/>
              <w:rPr>
                <w:sz w:val="20"/>
              </w:rPr>
            </w:pPr>
            <w:r>
              <w:rPr>
                <w:sz w:val="20"/>
              </w:rPr>
              <w:t>1.1</w:t>
            </w:r>
            <w:r>
              <w:rPr>
                <w:spacing w:val="-1"/>
                <w:sz w:val="20"/>
              </w:rPr>
              <w:t> </w:t>
            </w:r>
            <w:r>
              <w:rPr>
                <w:spacing w:val="-2"/>
                <w:sz w:val="20"/>
              </w:rPr>
              <w:t>x10</w:t>
            </w:r>
            <w:r>
              <w:rPr>
                <w:spacing w:val="-2"/>
                <w:sz w:val="20"/>
                <w:vertAlign w:val="superscript"/>
              </w:rPr>
              <w:t>8</w:t>
            </w:r>
            <w:r>
              <w:rPr>
                <w:spacing w:val="-2"/>
                <w:sz w:val="20"/>
                <w:vertAlign w:val="baseline"/>
              </w:rPr>
              <w:t>±20.88</w:t>
            </w:r>
            <w:r>
              <w:rPr>
                <w:spacing w:val="-2"/>
                <w:sz w:val="20"/>
                <w:vertAlign w:val="superscript"/>
              </w:rPr>
              <w:t>e</w:t>
            </w:r>
          </w:p>
        </w:tc>
        <w:tc>
          <w:tcPr>
            <w:tcW w:w="1946" w:type="dxa"/>
          </w:tcPr>
          <w:p>
            <w:pPr>
              <w:pStyle w:val="TableParagraph"/>
              <w:spacing w:before="118"/>
              <w:ind w:left="357"/>
              <w:rPr>
                <w:sz w:val="20"/>
              </w:rPr>
            </w:pPr>
            <w:r>
              <w:rPr>
                <w:sz w:val="20"/>
              </w:rPr>
              <w:t>1.7</w:t>
            </w:r>
            <w:r>
              <w:rPr>
                <w:spacing w:val="-1"/>
                <w:sz w:val="20"/>
              </w:rPr>
              <w:t> </w:t>
            </w:r>
            <w:r>
              <w:rPr>
                <w:spacing w:val="-2"/>
                <w:sz w:val="20"/>
              </w:rPr>
              <w:t>x10</w:t>
            </w:r>
            <w:r>
              <w:rPr>
                <w:spacing w:val="-2"/>
                <w:sz w:val="20"/>
                <w:vertAlign w:val="superscript"/>
              </w:rPr>
              <w:t>8</w:t>
            </w:r>
            <w:r>
              <w:rPr>
                <w:spacing w:val="-2"/>
                <w:sz w:val="20"/>
                <w:vertAlign w:val="baseline"/>
              </w:rPr>
              <w:t>±70.96</w:t>
            </w:r>
            <w:r>
              <w:rPr>
                <w:spacing w:val="-2"/>
                <w:sz w:val="20"/>
                <w:vertAlign w:val="superscript"/>
              </w:rPr>
              <w:t>f</w:t>
            </w:r>
          </w:p>
        </w:tc>
        <w:tc>
          <w:tcPr>
            <w:tcW w:w="2253" w:type="dxa"/>
          </w:tcPr>
          <w:p>
            <w:pPr>
              <w:pStyle w:val="TableParagraph"/>
              <w:spacing w:before="118"/>
              <w:ind w:left="296"/>
              <w:rPr>
                <w:sz w:val="20"/>
              </w:rPr>
            </w:pPr>
            <w:r>
              <w:rPr>
                <w:sz w:val="20"/>
              </w:rPr>
              <w:t>9.2</w:t>
            </w:r>
            <w:r>
              <w:rPr>
                <w:spacing w:val="-1"/>
                <w:sz w:val="20"/>
              </w:rPr>
              <w:t> </w:t>
            </w:r>
            <w:r>
              <w:rPr>
                <w:spacing w:val="-2"/>
                <w:sz w:val="20"/>
              </w:rPr>
              <w:t>x10</w:t>
            </w:r>
            <w:r>
              <w:rPr>
                <w:spacing w:val="-2"/>
                <w:sz w:val="20"/>
                <w:vertAlign w:val="superscript"/>
              </w:rPr>
              <w:t>6</w:t>
            </w:r>
            <w:r>
              <w:rPr>
                <w:spacing w:val="-2"/>
                <w:sz w:val="20"/>
                <w:vertAlign w:val="baseline"/>
              </w:rPr>
              <w:t>±15.01</w:t>
            </w:r>
            <w:r>
              <w:rPr>
                <w:spacing w:val="-2"/>
                <w:sz w:val="20"/>
                <w:vertAlign w:val="superscript"/>
              </w:rPr>
              <w:t>c</w:t>
            </w:r>
          </w:p>
        </w:tc>
      </w:tr>
      <w:tr>
        <w:trPr>
          <w:trHeight w:val="465" w:hRule="atLeast"/>
        </w:trPr>
        <w:tc>
          <w:tcPr>
            <w:tcW w:w="2011" w:type="dxa"/>
          </w:tcPr>
          <w:p>
            <w:pPr>
              <w:pStyle w:val="TableParagraph"/>
              <w:spacing w:before="117"/>
              <w:ind w:left="115"/>
              <w:rPr>
                <w:sz w:val="20"/>
              </w:rPr>
            </w:pPr>
            <w:r>
              <w:rPr>
                <w:sz w:val="20"/>
              </w:rPr>
              <w:t>BS/</w:t>
            </w:r>
            <w:r>
              <w:rPr>
                <w:spacing w:val="-5"/>
                <w:sz w:val="20"/>
              </w:rPr>
              <w:t> </w:t>
            </w:r>
            <w:r>
              <w:rPr>
                <w:spacing w:val="-2"/>
                <w:sz w:val="20"/>
              </w:rPr>
              <w:t>NP/BC(1:1:2)b</w:t>
            </w:r>
          </w:p>
        </w:tc>
        <w:tc>
          <w:tcPr>
            <w:tcW w:w="1797" w:type="dxa"/>
          </w:tcPr>
          <w:p>
            <w:pPr>
              <w:pStyle w:val="TableParagraph"/>
              <w:spacing w:before="117"/>
              <w:ind w:left="274"/>
              <w:rPr>
                <w:sz w:val="20"/>
              </w:rPr>
            </w:pPr>
            <w:r>
              <w:rPr>
                <w:sz w:val="20"/>
              </w:rPr>
              <w:t>7.5</w:t>
            </w:r>
            <w:r>
              <w:rPr>
                <w:spacing w:val="-1"/>
                <w:sz w:val="20"/>
              </w:rPr>
              <w:t> </w:t>
            </w:r>
            <w:r>
              <w:rPr>
                <w:spacing w:val="-2"/>
                <w:sz w:val="20"/>
              </w:rPr>
              <w:t>x10</w:t>
            </w:r>
            <w:r>
              <w:rPr>
                <w:spacing w:val="-2"/>
                <w:sz w:val="20"/>
                <w:vertAlign w:val="superscript"/>
              </w:rPr>
              <w:t>5</w:t>
            </w:r>
            <w:r>
              <w:rPr>
                <w:spacing w:val="-2"/>
                <w:sz w:val="20"/>
                <w:vertAlign w:val="baseline"/>
              </w:rPr>
              <w:t>±1.00</w:t>
            </w:r>
            <w:r>
              <w:rPr>
                <w:spacing w:val="-2"/>
                <w:sz w:val="20"/>
                <w:vertAlign w:val="superscript"/>
              </w:rPr>
              <w:t>a</w:t>
            </w:r>
          </w:p>
        </w:tc>
        <w:tc>
          <w:tcPr>
            <w:tcW w:w="1853" w:type="dxa"/>
          </w:tcPr>
          <w:p>
            <w:pPr>
              <w:pStyle w:val="TableParagraph"/>
              <w:spacing w:before="117"/>
              <w:ind w:left="238"/>
              <w:rPr>
                <w:sz w:val="20"/>
              </w:rPr>
            </w:pPr>
            <w:r>
              <w:rPr>
                <w:sz w:val="20"/>
              </w:rPr>
              <w:t>2.6</w:t>
            </w:r>
            <w:r>
              <w:rPr>
                <w:spacing w:val="-1"/>
                <w:sz w:val="20"/>
              </w:rPr>
              <w:t> </w:t>
            </w:r>
            <w:r>
              <w:rPr>
                <w:spacing w:val="-2"/>
                <w:sz w:val="20"/>
              </w:rPr>
              <w:t>x10</w:t>
            </w:r>
            <w:r>
              <w:rPr>
                <w:spacing w:val="-2"/>
                <w:sz w:val="20"/>
                <w:vertAlign w:val="superscript"/>
              </w:rPr>
              <w:t>6</w:t>
            </w:r>
            <w:r>
              <w:rPr>
                <w:spacing w:val="-2"/>
                <w:sz w:val="20"/>
                <w:vertAlign w:val="baseline"/>
              </w:rPr>
              <w:t>±45.54</w:t>
            </w:r>
            <w:r>
              <w:rPr>
                <w:spacing w:val="-2"/>
                <w:sz w:val="20"/>
                <w:vertAlign w:val="superscript"/>
              </w:rPr>
              <w:t>b</w:t>
            </w:r>
          </w:p>
        </w:tc>
        <w:tc>
          <w:tcPr>
            <w:tcW w:w="1861" w:type="dxa"/>
          </w:tcPr>
          <w:p>
            <w:pPr>
              <w:pStyle w:val="TableParagraph"/>
              <w:spacing w:before="117"/>
              <w:ind w:left="270"/>
              <w:rPr>
                <w:sz w:val="20"/>
              </w:rPr>
            </w:pPr>
            <w:r>
              <w:rPr>
                <w:sz w:val="20"/>
              </w:rPr>
              <w:t>4.7</w:t>
            </w:r>
            <w:r>
              <w:rPr>
                <w:spacing w:val="-1"/>
                <w:sz w:val="20"/>
              </w:rPr>
              <w:t> </w:t>
            </w:r>
            <w:r>
              <w:rPr>
                <w:spacing w:val="-2"/>
                <w:sz w:val="20"/>
              </w:rPr>
              <w:t>x10</w:t>
            </w:r>
            <w:r>
              <w:rPr>
                <w:spacing w:val="-2"/>
                <w:sz w:val="20"/>
                <w:vertAlign w:val="superscript"/>
              </w:rPr>
              <w:t>7</w:t>
            </w:r>
            <w:r>
              <w:rPr>
                <w:spacing w:val="-2"/>
                <w:sz w:val="20"/>
                <w:vertAlign w:val="baseline"/>
              </w:rPr>
              <w:t>±0.00</w:t>
            </w:r>
            <w:r>
              <w:rPr>
                <w:spacing w:val="-2"/>
                <w:sz w:val="20"/>
                <w:vertAlign w:val="superscript"/>
              </w:rPr>
              <w:t>d</w:t>
            </w:r>
          </w:p>
        </w:tc>
        <w:tc>
          <w:tcPr>
            <w:tcW w:w="1950" w:type="dxa"/>
          </w:tcPr>
          <w:p>
            <w:pPr>
              <w:pStyle w:val="TableParagraph"/>
              <w:spacing w:before="117"/>
              <w:ind w:left="296"/>
              <w:rPr>
                <w:sz w:val="20"/>
              </w:rPr>
            </w:pPr>
            <w:r>
              <w:rPr>
                <w:sz w:val="20"/>
              </w:rPr>
              <w:t>3.5</w:t>
            </w:r>
            <w:r>
              <w:rPr>
                <w:spacing w:val="-1"/>
                <w:sz w:val="20"/>
              </w:rPr>
              <w:t> </w:t>
            </w:r>
            <w:r>
              <w:rPr>
                <w:spacing w:val="-2"/>
                <w:sz w:val="20"/>
              </w:rPr>
              <w:t>x10</w:t>
            </w:r>
            <w:r>
              <w:rPr>
                <w:spacing w:val="-2"/>
                <w:sz w:val="20"/>
                <w:vertAlign w:val="superscript"/>
              </w:rPr>
              <w:t>8</w:t>
            </w:r>
            <w:r>
              <w:rPr>
                <w:spacing w:val="-2"/>
                <w:sz w:val="20"/>
                <w:vertAlign w:val="baseline"/>
              </w:rPr>
              <w:t>±35.89</w:t>
            </w:r>
            <w:r>
              <w:rPr>
                <w:spacing w:val="-2"/>
                <w:sz w:val="20"/>
                <w:vertAlign w:val="superscript"/>
              </w:rPr>
              <w:t>f</w:t>
            </w:r>
          </w:p>
        </w:tc>
        <w:tc>
          <w:tcPr>
            <w:tcW w:w="1946" w:type="dxa"/>
          </w:tcPr>
          <w:p>
            <w:pPr>
              <w:pStyle w:val="TableParagraph"/>
              <w:spacing w:before="117"/>
              <w:ind w:left="357"/>
              <w:rPr>
                <w:sz w:val="20"/>
              </w:rPr>
            </w:pPr>
            <w:r>
              <w:rPr>
                <w:sz w:val="20"/>
              </w:rPr>
              <w:t>3.1</w:t>
            </w:r>
            <w:r>
              <w:rPr>
                <w:spacing w:val="-1"/>
                <w:sz w:val="20"/>
              </w:rPr>
              <w:t> </w:t>
            </w:r>
            <w:r>
              <w:rPr>
                <w:spacing w:val="-2"/>
                <w:sz w:val="20"/>
              </w:rPr>
              <w:t>x10</w:t>
            </w:r>
            <w:r>
              <w:rPr>
                <w:spacing w:val="-2"/>
                <w:sz w:val="20"/>
                <w:vertAlign w:val="superscript"/>
              </w:rPr>
              <w:t>8</w:t>
            </w:r>
            <w:r>
              <w:rPr>
                <w:spacing w:val="-2"/>
                <w:sz w:val="20"/>
                <w:vertAlign w:val="baseline"/>
              </w:rPr>
              <w:t>±10.97</w:t>
            </w:r>
            <w:r>
              <w:rPr>
                <w:spacing w:val="-2"/>
                <w:sz w:val="20"/>
                <w:vertAlign w:val="superscript"/>
              </w:rPr>
              <w:t>e</w:t>
            </w:r>
          </w:p>
        </w:tc>
        <w:tc>
          <w:tcPr>
            <w:tcW w:w="2253" w:type="dxa"/>
          </w:tcPr>
          <w:p>
            <w:pPr>
              <w:pStyle w:val="TableParagraph"/>
              <w:spacing w:before="117"/>
              <w:ind w:left="296"/>
              <w:rPr>
                <w:sz w:val="20"/>
              </w:rPr>
            </w:pPr>
            <w:r>
              <w:rPr>
                <w:sz w:val="20"/>
              </w:rPr>
              <w:t>2.2</w:t>
            </w:r>
            <w:r>
              <w:rPr>
                <w:spacing w:val="-1"/>
                <w:sz w:val="20"/>
              </w:rPr>
              <w:t> </w:t>
            </w:r>
            <w:r>
              <w:rPr>
                <w:spacing w:val="-2"/>
                <w:sz w:val="20"/>
              </w:rPr>
              <w:t>x10</w:t>
            </w:r>
            <w:r>
              <w:rPr>
                <w:spacing w:val="-2"/>
                <w:sz w:val="20"/>
                <w:vertAlign w:val="superscript"/>
              </w:rPr>
              <w:t>7</w:t>
            </w:r>
            <w:r>
              <w:rPr>
                <w:spacing w:val="-2"/>
                <w:sz w:val="20"/>
                <w:vertAlign w:val="baseline"/>
              </w:rPr>
              <w:t>±0.00</w:t>
            </w:r>
            <w:r>
              <w:rPr>
                <w:spacing w:val="-2"/>
                <w:sz w:val="20"/>
                <w:vertAlign w:val="superscript"/>
              </w:rPr>
              <w:t>c</w:t>
            </w:r>
          </w:p>
        </w:tc>
      </w:tr>
      <w:tr>
        <w:trPr>
          <w:trHeight w:val="587" w:hRule="atLeast"/>
        </w:trPr>
        <w:tc>
          <w:tcPr>
            <w:tcW w:w="2011" w:type="dxa"/>
            <w:tcBorders>
              <w:bottom w:val="single" w:sz="4" w:space="0" w:color="000000"/>
            </w:tcBorders>
          </w:tcPr>
          <w:p>
            <w:pPr>
              <w:pStyle w:val="TableParagraph"/>
              <w:spacing w:before="117"/>
              <w:ind w:left="115"/>
              <w:rPr>
                <w:sz w:val="20"/>
              </w:rPr>
            </w:pPr>
            <w:r>
              <w:rPr>
                <w:spacing w:val="-2"/>
                <w:sz w:val="20"/>
              </w:rPr>
              <w:t>Control</w:t>
            </w:r>
          </w:p>
        </w:tc>
        <w:tc>
          <w:tcPr>
            <w:tcW w:w="1797" w:type="dxa"/>
            <w:tcBorders>
              <w:bottom w:val="single" w:sz="4" w:space="0" w:color="000000"/>
            </w:tcBorders>
          </w:tcPr>
          <w:p>
            <w:pPr>
              <w:pStyle w:val="TableParagraph"/>
              <w:spacing w:before="117"/>
              <w:ind w:left="274"/>
              <w:rPr>
                <w:sz w:val="20"/>
              </w:rPr>
            </w:pPr>
            <w:r>
              <w:rPr>
                <w:sz w:val="20"/>
              </w:rPr>
              <w:t>4.2</w:t>
            </w:r>
            <w:r>
              <w:rPr>
                <w:spacing w:val="-1"/>
                <w:sz w:val="20"/>
              </w:rPr>
              <w:t> </w:t>
            </w:r>
            <w:r>
              <w:rPr>
                <w:spacing w:val="-2"/>
                <w:sz w:val="20"/>
              </w:rPr>
              <w:t>x10</w:t>
            </w:r>
            <w:r>
              <w:rPr>
                <w:spacing w:val="-2"/>
                <w:sz w:val="20"/>
                <w:vertAlign w:val="superscript"/>
              </w:rPr>
              <w:t>5</w:t>
            </w:r>
            <w:r>
              <w:rPr>
                <w:spacing w:val="-2"/>
                <w:sz w:val="20"/>
                <w:vertAlign w:val="baseline"/>
              </w:rPr>
              <w:t>±4.51</w:t>
            </w:r>
            <w:r>
              <w:rPr>
                <w:spacing w:val="-2"/>
                <w:sz w:val="20"/>
                <w:vertAlign w:val="superscript"/>
              </w:rPr>
              <w:t>a</w:t>
            </w:r>
          </w:p>
        </w:tc>
        <w:tc>
          <w:tcPr>
            <w:tcW w:w="1853" w:type="dxa"/>
            <w:tcBorders>
              <w:bottom w:val="single" w:sz="4" w:space="0" w:color="000000"/>
            </w:tcBorders>
          </w:tcPr>
          <w:p>
            <w:pPr>
              <w:pStyle w:val="TableParagraph"/>
              <w:spacing w:before="117"/>
              <w:ind w:left="238"/>
              <w:rPr>
                <w:sz w:val="20"/>
              </w:rPr>
            </w:pPr>
            <w:r>
              <w:rPr>
                <w:sz w:val="20"/>
              </w:rPr>
              <w:t>2.2</w:t>
            </w:r>
            <w:r>
              <w:rPr>
                <w:spacing w:val="-1"/>
                <w:sz w:val="20"/>
              </w:rPr>
              <w:t> </w:t>
            </w:r>
            <w:r>
              <w:rPr>
                <w:spacing w:val="-2"/>
                <w:sz w:val="20"/>
              </w:rPr>
              <w:t>x10</w:t>
            </w:r>
            <w:r>
              <w:rPr>
                <w:spacing w:val="-2"/>
                <w:sz w:val="20"/>
                <w:vertAlign w:val="superscript"/>
              </w:rPr>
              <w:t>6</w:t>
            </w:r>
            <w:r>
              <w:rPr>
                <w:spacing w:val="-2"/>
                <w:sz w:val="20"/>
                <w:vertAlign w:val="baseline"/>
              </w:rPr>
              <w:t>±20.00</w:t>
            </w:r>
            <w:r>
              <w:rPr>
                <w:spacing w:val="-2"/>
                <w:sz w:val="20"/>
                <w:vertAlign w:val="superscript"/>
              </w:rPr>
              <w:t>b</w:t>
            </w:r>
          </w:p>
        </w:tc>
        <w:tc>
          <w:tcPr>
            <w:tcW w:w="1861" w:type="dxa"/>
            <w:tcBorders>
              <w:bottom w:val="single" w:sz="4" w:space="0" w:color="000000"/>
            </w:tcBorders>
          </w:tcPr>
          <w:p>
            <w:pPr>
              <w:pStyle w:val="TableParagraph"/>
              <w:spacing w:before="117"/>
              <w:ind w:left="270"/>
              <w:rPr>
                <w:sz w:val="20"/>
              </w:rPr>
            </w:pPr>
            <w:r>
              <w:rPr>
                <w:sz w:val="20"/>
              </w:rPr>
              <w:t>4.0</w:t>
            </w:r>
            <w:r>
              <w:rPr>
                <w:spacing w:val="-1"/>
                <w:sz w:val="20"/>
              </w:rPr>
              <w:t> </w:t>
            </w:r>
            <w:r>
              <w:rPr>
                <w:spacing w:val="-2"/>
                <w:sz w:val="20"/>
              </w:rPr>
              <w:t>x10</w:t>
            </w:r>
            <w:r>
              <w:rPr>
                <w:spacing w:val="-2"/>
                <w:sz w:val="20"/>
                <w:vertAlign w:val="superscript"/>
              </w:rPr>
              <w:t>7</w:t>
            </w:r>
            <w:r>
              <w:rPr>
                <w:spacing w:val="-2"/>
                <w:sz w:val="20"/>
                <w:vertAlign w:val="baseline"/>
              </w:rPr>
              <w:t>±15.90</w:t>
            </w:r>
            <w:r>
              <w:rPr>
                <w:spacing w:val="-2"/>
                <w:sz w:val="20"/>
                <w:vertAlign w:val="superscript"/>
              </w:rPr>
              <w:t>c</w:t>
            </w:r>
          </w:p>
        </w:tc>
        <w:tc>
          <w:tcPr>
            <w:tcW w:w="1950" w:type="dxa"/>
            <w:tcBorders>
              <w:bottom w:val="single" w:sz="4" w:space="0" w:color="000000"/>
            </w:tcBorders>
          </w:tcPr>
          <w:p>
            <w:pPr>
              <w:pStyle w:val="TableParagraph"/>
              <w:spacing w:before="117"/>
              <w:ind w:left="296"/>
              <w:rPr>
                <w:sz w:val="20"/>
              </w:rPr>
            </w:pPr>
            <w:r>
              <w:rPr>
                <w:sz w:val="20"/>
              </w:rPr>
              <w:t>4.1</w:t>
            </w:r>
            <w:r>
              <w:rPr>
                <w:spacing w:val="-1"/>
                <w:sz w:val="20"/>
              </w:rPr>
              <w:t> </w:t>
            </w:r>
            <w:r>
              <w:rPr>
                <w:spacing w:val="-2"/>
                <w:sz w:val="20"/>
              </w:rPr>
              <w:t>x10</w:t>
            </w:r>
            <w:r>
              <w:rPr>
                <w:spacing w:val="-2"/>
                <w:sz w:val="20"/>
                <w:vertAlign w:val="superscript"/>
              </w:rPr>
              <w:t>8</w:t>
            </w:r>
            <w:r>
              <w:rPr>
                <w:spacing w:val="-2"/>
                <w:sz w:val="20"/>
                <w:vertAlign w:val="baseline"/>
              </w:rPr>
              <w:t>±42.54</w:t>
            </w:r>
            <w:r>
              <w:rPr>
                <w:spacing w:val="-2"/>
                <w:sz w:val="20"/>
                <w:vertAlign w:val="superscript"/>
              </w:rPr>
              <w:t>d</w:t>
            </w:r>
          </w:p>
        </w:tc>
        <w:tc>
          <w:tcPr>
            <w:tcW w:w="1946" w:type="dxa"/>
            <w:tcBorders>
              <w:bottom w:val="single" w:sz="4" w:space="0" w:color="000000"/>
            </w:tcBorders>
          </w:tcPr>
          <w:p>
            <w:pPr>
              <w:pStyle w:val="TableParagraph"/>
              <w:spacing w:before="117"/>
              <w:ind w:left="357"/>
              <w:rPr>
                <w:sz w:val="20"/>
              </w:rPr>
            </w:pPr>
            <w:r>
              <w:rPr>
                <w:sz w:val="20"/>
              </w:rPr>
              <w:t>4.9 </w:t>
            </w:r>
            <w:r>
              <w:rPr>
                <w:spacing w:val="-2"/>
                <w:sz w:val="20"/>
              </w:rPr>
              <w:t>x10</w:t>
            </w:r>
            <w:r>
              <w:rPr>
                <w:spacing w:val="-2"/>
                <w:sz w:val="20"/>
                <w:vertAlign w:val="superscript"/>
              </w:rPr>
              <w:t>8</w:t>
            </w:r>
            <w:r>
              <w:rPr>
                <w:spacing w:val="-2"/>
                <w:sz w:val="20"/>
                <w:vertAlign w:val="baseline"/>
              </w:rPr>
              <w:t>±61.52</w:t>
            </w:r>
            <w:r>
              <w:rPr>
                <w:spacing w:val="-2"/>
                <w:sz w:val="20"/>
                <w:vertAlign w:val="superscript"/>
              </w:rPr>
              <w:t>e</w:t>
            </w:r>
          </w:p>
        </w:tc>
        <w:tc>
          <w:tcPr>
            <w:tcW w:w="2253" w:type="dxa"/>
            <w:tcBorders>
              <w:bottom w:val="single" w:sz="4" w:space="0" w:color="000000"/>
            </w:tcBorders>
          </w:tcPr>
          <w:p>
            <w:pPr>
              <w:pStyle w:val="TableParagraph"/>
              <w:spacing w:before="117"/>
              <w:ind w:left="296"/>
              <w:rPr>
                <w:sz w:val="20"/>
              </w:rPr>
            </w:pPr>
            <w:r>
              <w:rPr>
                <w:sz w:val="20"/>
              </w:rPr>
              <w:t>5.8</w:t>
            </w:r>
            <w:r>
              <w:rPr>
                <w:spacing w:val="-1"/>
                <w:sz w:val="20"/>
              </w:rPr>
              <w:t> </w:t>
            </w:r>
            <w:r>
              <w:rPr>
                <w:spacing w:val="-2"/>
                <w:sz w:val="20"/>
              </w:rPr>
              <w:t>x10</w:t>
            </w:r>
            <w:r>
              <w:rPr>
                <w:spacing w:val="-2"/>
                <w:sz w:val="20"/>
                <w:vertAlign w:val="superscript"/>
              </w:rPr>
              <w:t>8</w:t>
            </w:r>
            <w:r>
              <w:rPr>
                <w:spacing w:val="-2"/>
                <w:sz w:val="20"/>
                <w:vertAlign w:val="baseline"/>
              </w:rPr>
              <w:t>±45.01</w:t>
            </w:r>
            <w:r>
              <w:rPr>
                <w:spacing w:val="-2"/>
                <w:sz w:val="20"/>
                <w:vertAlign w:val="superscript"/>
              </w:rPr>
              <w:t>f</w:t>
            </w:r>
          </w:p>
        </w:tc>
      </w:tr>
    </w:tbl>
    <w:p>
      <w:pPr>
        <w:spacing w:before="3"/>
        <w:ind w:left="580" w:right="0" w:firstLine="0"/>
        <w:jc w:val="left"/>
        <w:rPr>
          <w:sz w:val="22"/>
        </w:rPr>
      </w:pPr>
      <w:r>
        <w:rPr>
          <w:sz w:val="22"/>
        </w:rPr>
        <w:t>Mean</w:t>
      </w:r>
      <w:r>
        <w:rPr>
          <w:spacing w:val="-5"/>
          <w:sz w:val="22"/>
        </w:rPr>
        <w:t> </w:t>
      </w:r>
      <w:r>
        <w:rPr>
          <w:sz w:val="22"/>
        </w:rPr>
        <w:t>values</w:t>
      </w:r>
      <w:r>
        <w:rPr>
          <w:spacing w:val="-3"/>
          <w:sz w:val="22"/>
        </w:rPr>
        <w:t> </w:t>
      </w:r>
      <w:r>
        <w:rPr>
          <w:sz w:val="22"/>
        </w:rPr>
        <w:t>with</w:t>
      </w:r>
      <w:r>
        <w:rPr>
          <w:spacing w:val="-6"/>
          <w:sz w:val="22"/>
        </w:rPr>
        <w:t> </w:t>
      </w:r>
      <w:r>
        <w:rPr>
          <w:sz w:val="22"/>
        </w:rPr>
        <w:t>the</w:t>
      </w:r>
      <w:r>
        <w:rPr>
          <w:spacing w:val="-5"/>
          <w:sz w:val="22"/>
        </w:rPr>
        <w:t> </w:t>
      </w:r>
      <w:r>
        <w:rPr>
          <w:sz w:val="22"/>
        </w:rPr>
        <w:t>same</w:t>
      </w:r>
      <w:r>
        <w:rPr>
          <w:spacing w:val="-2"/>
          <w:sz w:val="22"/>
        </w:rPr>
        <w:t> </w:t>
      </w:r>
      <w:r>
        <w:rPr>
          <w:sz w:val="22"/>
        </w:rPr>
        <w:t>letter</w:t>
      </w:r>
      <w:r>
        <w:rPr>
          <w:spacing w:val="-3"/>
          <w:sz w:val="22"/>
        </w:rPr>
        <w:t> </w:t>
      </w:r>
      <w:r>
        <w:rPr>
          <w:sz w:val="22"/>
        </w:rPr>
        <w:t>in</w:t>
      </w:r>
      <w:r>
        <w:rPr>
          <w:spacing w:val="-6"/>
          <w:sz w:val="22"/>
        </w:rPr>
        <w:t> </w:t>
      </w:r>
      <w:r>
        <w:rPr>
          <w:sz w:val="22"/>
        </w:rPr>
        <w:t>the</w:t>
      </w:r>
      <w:r>
        <w:rPr>
          <w:spacing w:val="-3"/>
          <w:sz w:val="22"/>
        </w:rPr>
        <w:t> </w:t>
      </w:r>
      <w:r>
        <w:rPr>
          <w:sz w:val="22"/>
        </w:rPr>
        <w:t>same</w:t>
      </w:r>
      <w:r>
        <w:rPr>
          <w:spacing w:val="-3"/>
          <w:sz w:val="22"/>
        </w:rPr>
        <w:t> </w:t>
      </w:r>
      <w:r>
        <w:rPr>
          <w:sz w:val="22"/>
        </w:rPr>
        <w:t>row</w:t>
      </w:r>
      <w:r>
        <w:rPr>
          <w:spacing w:val="-3"/>
          <w:sz w:val="22"/>
        </w:rPr>
        <w:t> </w:t>
      </w:r>
      <w:r>
        <w:rPr>
          <w:sz w:val="22"/>
        </w:rPr>
        <w:t>do</w:t>
      </w:r>
      <w:r>
        <w:rPr>
          <w:spacing w:val="-3"/>
          <w:sz w:val="22"/>
        </w:rPr>
        <w:t> </w:t>
      </w:r>
      <w:r>
        <w:rPr>
          <w:sz w:val="22"/>
        </w:rPr>
        <w:t>not</w:t>
      </w:r>
      <w:r>
        <w:rPr>
          <w:spacing w:val="-2"/>
          <w:sz w:val="22"/>
        </w:rPr>
        <w:t> </w:t>
      </w:r>
      <w:r>
        <w:rPr>
          <w:sz w:val="22"/>
        </w:rPr>
        <w:t>differ</w:t>
      </w:r>
      <w:r>
        <w:rPr>
          <w:spacing w:val="-2"/>
          <w:sz w:val="22"/>
        </w:rPr>
        <w:t> </w:t>
      </w:r>
      <w:r>
        <w:rPr>
          <w:sz w:val="22"/>
        </w:rPr>
        <w:t>significantly</w:t>
      </w:r>
      <w:r>
        <w:rPr>
          <w:spacing w:val="-6"/>
          <w:sz w:val="22"/>
        </w:rPr>
        <w:t> </w:t>
      </w:r>
      <w:r>
        <w:rPr>
          <w:sz w:val="22"/>
        </w:rPr>
        <w:t>at</w:t>
      </w:r>
      <w:r>
        <w:rPr>
          <w:spacing w:val="-1"/>
          <w:sz w:val="22"/>
        </w:rPr>
        <w:t> </w:t>
      </w:r>
      <w:r>
        <w:rPr>
          <w:spacing w:val="-2"/>
          <w:sz w:val="22"/>
        </w:rPr>
        <w:t>P&lt;0.005</w:t>
      </w:r>
    </w:p>
    <w:p>
      <w:pPr>
        <w:pStyle w:val="BodyText"/>
        <w:spacing w:before="1"/>
        <w:rPr>
          <w:sz w:val="22"/>
        </w:rPr>
      </w:pPr>
    </w:p>
    <w:p>
      <w:pPr>
        <w:spacing w:line="480" w:lineRule="auto" w:before="0"/>
        <w:ind w:left="580" w:right="0" w:firstLine="0"/>
        <w:jc w:val="left"/>
        <w:rPr>
          <w:sz w:val="22"/>
        </w:rPr>
      </w:pPr>
      <w:r>
        <w:rPr>
          <w:sz w:val="22"/>
        </w:rPr>
        <w:t>CFU/g-</w:t>
      </w:r>
      <w:r>
        <w:rPr>
          <w:spacing w:val="-14"/>
          <w:sz w:val="22"/>
        </w:rPr>
        <w:t> </w:t>
      </w:r>
      <w:r>
        <w:rPr>
          <w:sz w:val="22"/>
        </w:rPr>
        <w:t>Colony</w:t>
      </w:r>
      <w:r>
        <w:rPr>
          <w:spacing w:val="-14"/>
          <w:sz w:val="22"/>
        </w:rPr>
        <w:t> </w:t>
      </w:r>
      <w:r>
        <w:rPr>
          <w:sz w:val="22"/>
        </w:rPr>
        <w:t>Forming</w:t>
      </w:r>
      <w:r>
        <w:rPr>
          <w:spacing w:val="-14"/>
          <w:sz w:val="22"/>
        </w:rPr>
        <w:t> </w:t>
      </w:r>
      <w:r>
        <w:rPr>
          <w:sz w:val="22"/>
        </w:rPr>
        <w:t>Unit</w:t>
      </w:r>
      <w:r>
        <w:rPr>
          <w:spacing w:val="-9"/>
          <w:sz w:val="22"/>
        </w:rPr>
        <w:t> </w:t>
      </w:r>
      <w:r>
        <w:rPr>
          <w:sz w:val="22"/>
        </w:rPr>
        <w:t>per</w:t>
      </w:r>
      <w:r>
        <w:rPr>
          <w:spacing w:val="-10"/>
          <w:sz w:val="22"/>
        </w:rPr>
        <w:t> </w:t>
      </w:r>
      <w:r>
        <w:rPr>
          <w:sz w:val="22"/>
        </w:rPr>
        <w:t>Gram,</w:t>
      </w:r>
      <w:r>
        <w:rPr>
          <w:spacing w:val="-11"/>
          <w:sz w:val="22"/>
        </w:rPr>
        <w:t> </w:t>
      </w:r>
      <w:r>
        <w:rPr>
          <w:sz w:val="22"/>
        </w:rPr>
        <w:t>NP-nanoparticles,</w:t>
      </w:r>
      <w:r>
        <w:rPr>
          <w:spacing w:val="-11"/>
          <w:sz w:val="22"/>
        </w:rPr>
        <w:t> </w:t>
      </w:r>
      <w:r>
        <w:rPr>
          <w:sz w:val="22"/>
        </w:rPr>
        <w:t>BS-Biosurfactant,</w:t>
      </w:r>
      <w:r>
        <w:rPr>
          <w:spacing w:val="-11"/>
          <w:sz w:val="22"/>
        </w:rPr>
        <w:t> </w:t>
      </w:r>
      <w:r>
        <w:rPr>
          <w:sz w:val="22"/>
        </w:rPr>
        <w:t>BC-Biochar,</w:t>
      </w:r>
      <w:r>
        <w:rPr>
          <w:spacing w:val="-11"/>
          <w:sz w:val="22"/>
        </w:rPr>
        <w:t> </w:t>
      </w:r>
      <w:r>
        <w:rPr>
          <w:sz w:val="22"/>
        </w:rPr>
        <w:t>a-</w:t>
      </w:r>
      <w:r>
        <w:rPr>
          <w:spacing w:val="-14"/>
          <w:sz w:val="22"/>
        </w:rPr>
        <w:t> </w:t>
      </w:r>
      <w:r>
        <w:rPr>
          <w:sz w:val="22"/>
        </w:rPr>
        <w:t>single</w:t>
      </w:r>
      <w:r>
        <w:rPr>
          <w:spacing w:val="-11"/>
          <w:sz w:val="22"/>
        </w:rPr>
        <w:t> </w:t>
      </w:r>
      <w:r>
        <w:rPr>
          <w:sz w:val="22"/>
        </w:rPr>
        <w:t>strength,</w:t>
      </w:r>
      <w:r>
        <w:rPr>
          <w:spacing w:val="-13"/>
          <w:sz w:val="22"/>
        </w:rPr>
        <w:t> </w:t>
      </w:r>
      <w:r>
        <w:rPr>
          <w:sz w:val="22"/>
        </w:rPr>
        <w:t>b-</w:t>
      </w:r>
      <w:r>
        <w:rPr>
          <w:spacing w:val="-14"/>
          <w:sz w:val="22"/>
        </w:rPr>
        <w:t> </w:t>
      </w:r>
      <w:r>
        <w:rPr>
          <w:sz w:val="22"/>
        </w:rPr>
        <w:t>double</w:t>
      </w:r>
      <w:r>
        <w:rPr>
          <w:spacing w:val="-11"/>
          <w:sz w:val="22"/>
        </w:rPr>
        <w:t> </w:t>
      </w:r>
      <w:r>
        <w:rPr>
          <w:sz w:val="22"/>
        </w:rPr>
        <w:t>strength,</w:t>
      </w:r>
      <w:r>
        <w:rPr>
          <w:spacing w:val="-11"/>
          <w:sz w:val="22"/>
        </w:rPr>
        <w:t> </w:t>
      </w:r>
      <w:r>
        <w:rPr>
          <w:sz w:val="22"/>
        </w:rPr>
        <w:t>control-soil</w:t>
      </w:r>
      <w:r>
        <w:rPr>
          <w:spacing w:val="-10"/>
          <w:sz w:val="22"/>
        </w:rPr>
        <w:t> </w:t>
      </w:r>
      <w:r>
        <w:rPr>
          <w:sz w:val="22"/>
        </w:rPr>
        <w:t>sample </w:t>
      </w:r>
      <w:r>
        <w:rPr>
          <w:spacing w:val="-2"/>
          <w:sz w:val="22"/>
        </w:rPr>
        <w:t>untreated</w:t>
      </w:r>
    </w:p>
    <w:p>
      <w:pPr>
        <w:spacing w:after="0" w:line="480" w:lineRule="auto"/>
        <w:jc w:val="left"/>
        <w:rPr>
          <w:sz w:val="22"/>
        </w:rPr>
        <w:sectPr>
          <w:footerReference w:type="default" r:id="rId25"/>
          <w:pgSz w:w="15840" w:h="12240" w:orient="landscape"/>
          <w:pgMar w:footer="1015" w:header="0" w:top="1360" w:bottom="1200" w:left="860" w:right="860"/>
        </w:sectPr>
      </w:pPr>
    </w:p>
    <w:p>
      <w:pPr>
        <w:pStyle w:val="Heading2"/>
        <w:spacing w:before="77"/>
        <w:ind w:left="580" w:firstLine="0"/>
        <w:jc w:val="left"/>
      </w:pPr>
      <w:r>
        <w:rPr/>
        <w:t>Table</w:t>
      </w:r>
      <w:r>
        <w:rPr>
          <w:spacing w:val="-4"/>
        </w:rPr>
        <w:t> </w:t>
      </w:r>
      <w:r>
        <w:rPr/>
        <w:t>4.4:</w:t>
      </w:r>
      <w:r>
        <w:rPr>
          <w:spacing w:val="-3"/>
        </w:rPr>
        <w:t> </w:t>
      </w:r>
      <w:r>
        <w:rPr/>
        <w:t>Total</w:t>
      </w:r>
      <w:r>
        <w:rPr>
          <w:spacing w:val="-3"/>
        </w:rPr>
        <w:t> </w:t>
      </w:r>
      <w:r>
        <w:rPr/>
        <w:t>fungal</w:t>
      </w:r>
      <w:r>
        <w:rPr>
          <w:spacing w:val="-5"/>
        </w:rPr>
        <w:t> </w:t>
      </w:r>
      <w:r>
        <w:rPr/>
        <w:t>count</w:t>
      </w:r>
      <w:r>
        <w:rPr>
          <w:spacing w:val="-4"/>
        </w:rPr>
        <w:t> </w:t>
      </w:r>
      <w:r>
        <w:rPr/>
        <w:t>(CFU/g)</w:t>
      </w:r>
      <w:r>
        <w:rPr>
          <w:spacing w:val="-3"/>
        </w:rPr>
        <w:t> </w:t>
      </w:r>
      <w:r>
        <w:rPr/>
        <w:t>of</w:t>
      </w:r>
      <w:r>
        <w:rPr>
          <w:spacing w:val="-3"/>
        </w:rPr>
        <w:t> </w:t>
      </w:r>
      <w:r>
        <w:rPr/>
        <w:t>bioremediated</w:t>
      </w:r>
      <w:r>
        <w:rPr>
          <w:spacing w:val="-3"/>
        </w:rPr>
        <w:t> </w:t>
      </w:r>
      <w:r>
        <w:rPr/>
        <w:t>soil</w:t>
      </w:r>
      <w:r>
        <w:rPr>
          <w:spacing w:val="-3"/>
        </w:rPr>
        <w:t> </w:t>
      </w:r>
      <w:r>
        <w:rPr/>
        <w:t>for</w:t>
      </w:r>
      <w:r>
        <w:rPr>
          <w:spacing w:val="-4"/>
        </w:rPr>
        <w:t> </w:t>
      </w:r>
      <w:r>
        <w:rPr/>
        <w:t>35</w:t>
      </w:r>
      <w:r>
        <w:rPr>
          <w:spacing w:val="-3"/>
        </w:rPr>
        <w:t> </w:t>
      </w:r>
      <w:r>
        <w:rPr/>
        <w:t>days</w:t>
      </w:r>
      <w:r>
        <w:rPr>
          <w:spacing w:val="-4"/>
        </w:rPr>
        <w:t> </w:t>
      </w:r>
      <w:r>
        <w:rPr/>
        <w:t>treatment</w:t>
      </w:r>
      <w:r>
        <w:rPr>
          <w:spacing w:val="-3"/>
        </w:rPr>
        <w:t> </w:t>
      </w:r>
      <w:r>
        <w:rPr>
          <w:spacing w:val="-2"/>
        </w:rPr>
        <w:t>period</w:t>
      </w:r>
    </w:p>
    <w:p>
      <w:pPr>
        <w:pStyle w:val="BodyText"/>
        <w:spacing w:before="3"/>
        <w:rPr>
          <w:b/>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4"/>
        <w:gridCol w:w="1985"/>
        <w:gridCol w:w="1902"/>
        <w:gridCol w:w="1886"/>
        <w:gridCol w:w="1893"/>
        <w:gridCol w:w="1956"/>
        <w:gridCol w:w="2210"/>
      </w:tblGrid>
      <w:tr>
        <w:trPr>
          <w:trHeight w:val="474" w:hRule="atLeast"/>
        </w:trPr>
        <w:tc>
          <w:tcPr>
            <w:tcW w:w="2064" w:type="dxa"/>
            <w:tcBorders>
              <w:top w:val="single" w:sz="4" w:space="0" w:color="000000"/>
              <w:bottom w:val="single" w:sz="4" w:space="0" w:color="000000"/>
            </w:tcBorders>
          </w:tcPr>
          <w:p>
            <w:pPr>
              <w:pStyle w:val="TableParagraph"/>
              <w:spacing w:line="270" w:lineRule="exact" w:before="0"/>
              <w:ind w:left="107"/>
              <w:rPr>
                <w:sz w:val="24"/>
              </w:rPr>
            </w:pPr>
            <w:r>
              <w:rPr>
                <w:spacing w:val="-2"/>
                <w:sz w:val="24"/>
              </w:rPr>
              <w:t>TREATMENT</w:t>
            </w:r>
          </w:p>
        </w:tc>
        <w:tc>
          <w:tcPr>
            <w:tcW w:w="1985" w:type="dxa"/>
            <w:tcBorders>
              <w:top w:val="single" w:sz="4" w:space="0" w:color="000000"/>
              <w:bottom w:val="single" w:sz="4" w:space="0" w:color="000000"/>
            </w:tcBorders>
          </w:tcPr>
          <w:p>
            <w:pPr>
              <w:pStyle w:val="TableParagraph"/>
              <w:spacing w:line="270" w:lineRule="exact" w:before="0"/>
              <w:ind w:left="333"/>
              <w:rPr>
                <w:sz w:val="24"/>
              </w:rPr>
            </w:pPr>
            <w:r>
              <w:rPr>
                <w:sz w:val="24"/>
              </w:rPr>
              <w:t>WEEK </w:t>
            </w:r>
            <w:r>
              <w:rPr>
                <w:spacing w:val="-10"/>
                <w:sz w:val="24"/>
              </w:rPr>
              <w:t>0</w:t>
            </w:r>
          </w:p>
        </w:tc>
        <w:tc>
          <w:tcPr>
            <w:tcW w:w="1902" w:type="dxa"/>
            <w:tcBorders>
              <w:top w:val="single" w:sz="4" w:space="0" w:color="000000"/>
              <w:bottom w:val="single" w:sz="4" w:space="0" w:color="000000"/>
            </w:tcBorders>
          </w:tcPr>
          <w:p>
            <w:pPr>
              <w:pStyle w:val="TableParagraph"/>
              <w:spacing w:line="270" w:lineRule="exact" w:before="0"/>
              <w:ind w:left="296"/>
              <w:rPr>
                <w:sz w:val="24"/>
              </w:rPr>
            </w:pPr>
            <w:r>
              <w:rPr>
                <w:sz w:val="24"/>
              </w:rPr>
              <w:t>WEEK </w:t>
            </w:r>
            <w:r>
              <w:rPr>
                <w:spacing w:val="-10"/>
                <w:sz w:val="24"/>
              </w:rPr>
              <w:t>1</w:t>
            </w:r>
          </w:p>
        </w:tc>
        <w:tc>
          <w:tcPr>
            <w:tcW w:w="1886" w:type="dxa"/>
            <w:tcBorders>
              <w:top w:val="single" w:sz="4" w:space="0" w:color="000000"/>
              <w:bottom w:val="single" w:sz="4" w:space="0" w:color="000000"/>
            </w:tcBorders>
          </w:tcPr>
          <w:p>
            <w:pPr>
              <w:pStyle w:val="TableParagraph"/>
              <w:spacing w:line="270" w:lineRule="exact" w:before="0"/>
              <w:ind w:left="354"/>
              <w:rPr>
                <w:sz w:val="24"/>
              </w:rPr>
            </w:pPr>
            <w:r>
              <w:rPr>
                <w:sz w:val="24"/>
              </w:rPr>
              <w:t>WEEK </w:t>
            </w:r>
            <w:r>
              <w:rPr>
                <w:spacing w:val="-10"/>
                <w:sz w:val="24"/>
              </w:rPr>
              <w:t>2</w:t>
            </w:r>
          </w:p>
        </w:tc>
        <w:tc>
          <w:tcPr>
            <w:tcW w:w="1893" w:type="dxa"/>
            <w:tcBorders>
              <w:top w:val="single" w:sz="4" w:space="0" w:color="000000"/>
              <w:bottom w:val="single" w:sz="4" w:space="0" w:color="000000"/>
            </w:tcBorders>
          </w:tcPr>
          <w:p>
            <w:pPr>
              <w:pStyle w:val="TableParagraph"/>
              <w:spacing w:line="270" w:lineRule="exact" w:before="0"/>
              <w:ind w:left="288"/>
              <w:rPr>
                <w:sz w:val="24"/>
              </w:rPr>
            </w:pPr>
            <w:r>
              <w:rPr>
                <w:sz w:val="24"/>
              </w:rPr>
              <w:t>WEEK </w:t>
            </w:r>
            <w:r>
              <w:rPr>
                <w:spacing w:val="-10"/>
                <w:sz w:val="24"/>
              </w:rPr>
              <w:t>3</w:t>
            </w:r>
          </w:p>
        </w:tc>
        <w:tc>
          <w:tcPr>
            <w:tcW w:w="1956" w:type="dxa"/>
            <w:tcBorders>
              <w:top w:val="single" w:sz="4" w:space="0" w:color="000000"/>
              <w:bottom w:val="single" w:sz="4" w:space="0" w:color="000000"/>
            </w:tcBorders>
          </w:tcPr>
          <w:p>
            <w:pPr>
              <w:pStyle w:val="TableParagraph"/>
              <w:spacing w:line="270" w:lineRule="exact" w:before="0"/>
              <w:ind w:left="353"/>
              <w:rPr>
                <w:sz w:val="24"/>
              </w:rPr>
            </w:pPr>
            <w:r>
              <w:rPr>
                <w:sz w:val="24"/>
              </w:rPr>
              <w:t>WEEK </w:t>
            </w:r>
            <w:r>
              <w:rPr>
                <w:spacing w:val="-10"/>
                <w:sz w:val="24"/>
              </w:rPr>
              <w:t>4</w:t>
            </w:r>
          </w:p>
        </w:tc>
        <w:tc>
          <w:tcPr>
            <w:tcW w:w="2210" w:type="dxa"/>
            <w:tcBorders>
              <w:top w:val="single" w:sz="4" w:space="0" w:color="000000"/>
              <w:bottom w:val="single" w:sz="4" w:space="0" w:color="000000"/>
            </w:tcBorders>
          </w:tcPr>
          <w:p>
            <w:pPr>
              <w:pStyle w:val="TableParagraph"/>
              <w:spacing w:line="270" w:lineRule="exact" w:before="0"/>
              <w:ind w:left="359"/>
              <w:rPr>
                <w:sz w:val="24"/>
              </w:rPr>
            </w:pPr>
            <w:r>
              <w:rPr>
                <w:sz w:val="24"/>
              </w:rPr>
              <w:t>WEEK </w:t>
            </w:r>
            <w:r>
              <w:rPr>
                <w:spacing w:val="-10"/>
                <w:sz w:val="24"/>
              </w:rPr>
              <w:t>5</w:t>
            </w:r>
          </w:p>
        </w:tc>
      </w:tr>
      <w:tr>
        <w:trPr>
          <w:trHeight w:val="328" w:hRule="atLeast"/>
        </w:trPr>
        <w:tc>
          <w:tcPr>
            <w:tcW w:w="2064" w:type="dxa"/>
            <w:tcBorders>
              <w:top w:val="single" w:sz="4" w:space="0" w:color="000000"/>
            </w:tcBorders>
          </w:tcPr>
          <w:p>
            <w:pPr>
              <w:pStyle w:val="TableParagraph"/>
              <w:spacing w:line="228" w:lineRule="exact" w:before="0"/>
              <w:ind w:left="107"/>
              <w:rPr>
                <w:sz w:val="20"/>
              </w:rPr>
            </w:pPr>
            <w:r>
              <w:rPr>
                <w:spacing w:val="-5"/>
                <w:sz w:val="20"/>
              </w:rPr>
              <w:t>NPa</w:t>
            </w:r>
          </w:p>
        </w:tc>
        <w:tc>
          <w:tcPr>
            <w:tcW w:w="1985" w:type="dxa"/>
            <w:tcBorders>
              <w:top w:val="single" w:sz="4" w:space="0" w:color="000000"/>
            </w:tcBorders>
          </w:tcPr>
          <w:p>
            <w:pPr>
              <w:pStyle w:val="TableParagraph"/>
              <w:spacing w:line="228" w:lineRule="exact" w:before="0"/>
              <w:ind w:left="333"/>
              <w:rPr>
                <w:sz w:val="20"/>
              </w:rPr>
            </w:pPr>
            <w:r>
              <w:rPr>
                <w:spacing w:val="-2"/>
                <w:sz w:val="20"/>
              </w:rPr>
              <w:t>2.0x10</w:t>
            </w:r>
            <w:r>
              <w:rPr>
                <w:spacing w:val="-2"/>
                <w:sz w:val="20"/>
                <w:vertAlign w:val="superscript"/>
              </w:rPr>
              <w:t>4</w:t>
            </w:r>
            <w:r>
              <w:rPr>
                <w:spacing w:val="-2"/>
                <w:sz w:val="20"/>
                <w:vertAlign w:val="baseline"/>
              </w:rPr>
              <w:t>±7.98</w:t>
            </w:r>
            <w:r>
              <w:rPr>
                <w:spacing w:val="-2"/>
                <w:sz w:val="20"/>
                <w:vertAlign w:val="superscript"/>
              </w:rPr>
              <w:t>b</w:t>
            </w:r>
          </w:p>
        </w:tc>
        <w:tc>
          <w:tcPr>
            <w:tcW w:w="1902" w:type="dxa"/>
            <w:tcBorders>
              <w:top w:val="single" w:sz="4" w:space="0" w:color="000000"/>
            </w:tcBorders>
          </w:tcPr>
          <w:p>
            <w:pPr>
              <w:pStyle w:val="TableParagraph"/>
              <w:spacing w:line="228" w:lineRule="exact" w:before="0"/>
              <w:ind w:left="296"/>
              <w:rPr>
                <w:sz w:val="20"/>
              </w:rPr>
            </w:pPr>
            <w:r>
              <w:rPr>
                <w:spacing w:val="-2"/>
                <w:sz w:val="20"/>
              </w:rPr>
              <w:t>8.0x10</w:t>
            </w:r>
            <w:r>
              <w:rPr>
                <w:spacing w:val="-2"/>
                <w:sz w:val="20"/>
                <w:vertAlign w:val="superscript"/>
              </w:rPr>
              <w:t>4</w:t>
            </w:r>
            <w:r>
              <w:rPr>
                <w:spacing w:val="-2"/>
                <w:sz w:val="20"/>
                <w:vertAlign w:val="baseline"/>
              </w:rPr>
              <w:t>±25.52</w:t>
            </w:r>
            <w:r>
              <w:rPr>
                <w:spacing w:val="-2"/>
                <w:sz w:val="20"/>
                <w:vertAlign w:val="superscript"/>
              </w:rPr>
              <w:t>d</w:t>
            </w:r>
          </w:p>
        </w:tc>
        <w:tc>
          <w:tcPr>
            <w:tcW w:w="1886" w:type="dxa"/>
            <w:tcBorders>
              <w:top w:val="single" w:sz="4" w:space="0" w:color="000000"/>
            </w:tcBorders>
          </w:tcPr>
          <w:p>
            <w:pPr>
              <w:pStyle w:val="TableParagraph"/>
              <w:spacing w:line="228" w:lineRule="exact" w:before="0"/>
              <w:ind w:left="354"/>
              <w:rPr>
                <w:sz w:val="20"/>
              </w:rPr>
            </w:pPr>
            <w:r>
              <w:rPr>
                <w:spacing w:val="-2"/>
                <w:sz w:val="20"/>
              </w:rPr>
              <w:t>1.0x10</w:t>
            </w:r>
            <w:r>
              <w:rPr>
                <w:spacing w:val="-2"/>
                <w:sz w:val="20"/>
                <w:vertAlign w:val="superscript"/>
              </w:rPr>
              <w:t>4</w:t>
            </w:r>
            <w:r>
              <w:rPr>
                <w:spacing w:val="-2"/>
                <w:sz w:val="20"/>
                <w:vertAlign w:val="baseline"/>
              </w:rPr>
              <w:t>±4.50</w:t>
            </w:r>
            <w:r>
              <w:rPr>
                <w:spacing w:val="-2"/>
                <w:sz w:val="20"/>
                <w:vertAlign w:val="superscript"/>
              </w:rPr>
              <w:t>a</w:t>
            </w:r>
          </w:p>
        </w:tc>
        <w:tc>
          <w:tcPr>
            <w:tcW w:w="1893" w:type="dxa"/>
            <w:tcBorders>
              <w:top w:val="single" w:sz="4" w:space="0" w:color="000000"/>
            </w:tcBorders>
          </w:tcPr>
          <w:p>
            <w:pPr>
              <w:pStyle w:val="TableParagraph"/>
              <w:spacing w:line="228" w:lineRule="exact" w:before="0"/>
              <w:ind w:left="288"/>
              <w:rPr>
                <w:sz w:val="20"/>
              </w:rPr>
            </w:pPr>
            <w:r>
              <w:rPr>
                <w:spacing w:val="-2"/>
                <w:sz w:val="20"/>
              </w:rPr>
              <w:t>2.0x10</w:t>
            </w:r>
            <w:r>
              <w:rPr>
                <w:spacing w:val="-2"/>
                <w:sz w:val="20"/>
                <w:vertAlign w:val="superscript"/>
              </w:rPr>
              <w:t>4</w:t>
            </w:r>
            <w:r>
              <w:rPr>
                <w:spacing w:val="-2"/>
                <w:sz w:val="20"/>
                <w:vertAlign w:val="baseline"/>
              </w:rPr>
              <w:t>±6.52</w:t>
            </w:r>
            <w:r>
              <w:rPr>
                <w:spacing w:val="-2"/>
                <w:sz w:val="20"/>
                <w:vertAlign w:val="superscript"/>
              </w:rPr>
              <w:t>b</w:t>
            </w:r>
          </w:p>
        </w:tc>
        <w:tc>
          <w:tcPr>
            <w:tcW w:w="1956" w:type="dxa"/>
            <w:tcBorders>
              <w:top w:val="single" w:sz="4" w:space="0" w:color="000000"/>
            </w:tcBorders>
          </w:tcPr>
          <w:p>
            <w:pPr>
              <w:pStyle w:val="TableParagraph"/>
              <w:spacing w:line="228" w:lineRule="exact" w:before="0"/>
              <w:ind w:left="353"/>
              <w:rPr>
                <w:sz w:val="20"/>
              </w:rPr>
            </w:pPr>
            <w:r>
              <w:rPr>
                <w:spacing w:val="-2"/>
                <w:sz w:val="20"/>
              </w:rPr>
              <w:t>2.0x10</w:t>
            </w:r>
            <w:r>
              <w:rPr>
                <w:spacing w:val="-2"/>
                <w:sz w:val="20"/>
                <w:vertAlign w:val="superscript"/>
              </w:rPr>
              <w:t>4</w:t>
            </w:r>
            <w:r>
              <w:rPr>
                <w:spacing w:val="-2"/>
                <w:sz w:val="20"/>
                <w:vertAlign w:val="baseline"/>
              </w:rPr>
              <w:t>±6.00</w:t>
            </w:r>
            <w:r>
              <w:rPr>
                <w:spacing w:val="-2"/>
                <w:sz w:val="20"/>
                <w:vertAlign w:val="superscript"/>
              </w:rPr>
              <w:t>b</w:t>
            </w:r>
          </w:p>
        </w:tc>
        <w:tc>
          <w:tcPr>
            <w:tcW w:w="2210" w:type="dxa"/>
            <w:tcBorders>
              <w:top w:val="single" w:sz="4" w:space="0" w:color="000000"/>
            </w:tcBorders>
          </w:tcPr>
          <w:p>
            <w:pPr>
              <w:pStyle w:val="TableParagraph"/>
              <w:spacing w:line="228" w:lineRule="exact" w:before="0"/>
              <w:ind w:left="359"/>
              <w:rPr>
                <w:sz w:val="20"/>
              </w:rPr>
            </w:pPr>
            <w:r>
              <w:rPr>
                <w:spacing w:val="-2"/>
                <w:sz w:val="20"/>
              </w:rPr>
              <w:t>3.0x10</w:t>
            </w:r>
            <w:r>
              <w:rPr>
                <w:spacing w:val="-2"/>
                <w:sz w:val="20"/>
                <w:vertAlign w:val="superscript"/>
              </w:rPr>
              <w:t>4</w:t>
            </w:r>
            <w:r>
              <w:rPr>
                <w:spacing w:val="-2"/>
                <w:sz w:val="20"/>
                <w:vertAlign w:val="baseline"/>
              </w:rPr>
              <w:t>±0.00</w:t>
            </w:r>
            <w:r>
              <w:rPr>
                <w:spacing w:val="-2"/>
                <w:sz w:val="20"/>
                <w:vertAlign w:val="superscript"/>
              </w:rPr>
              <w:t>c</w:t>
            </w:r>
          </w:p>
        </w:tc>
      </w:tr>
      <w:tr>
        <w:trPr>
          <w:trHeight w:val="429" w:hRule="atLeast"/>
        </w:trPr>
        <w:tc>
          <w:tcPr>
            <w:tcW w:w="2064" w:type="dxa"/>
          </w:tcPr>
          <w:p>
            <w:pPr>
              <w:pStyle w:val="TableParagraph"/>
              <w:ind w:left="107"/>
              <w:rPr>
                <w:sz w:val="20"/>
              </w:rPr>
            </w:pPr>
            <w:r>
              <w:rPr>
                <w:spacing w:val="-5"/>
                <w:sz w:val="20"/>
              </w:rPr>
              <w:t>NPb</w:t>
            </w:r>
          </w:p>
        </w:tc>
        <w:tc>
          <w:tcPr>
            <w:tcW w:w="1985" w:type="dxa"/>
          </w:tcPr>
          <w:p>
            <w:pPr>
              <w:pStyle w:val="TableParagraph"/>
              <w:ind w:left="333"/>
              <w:rPr>
                <w:sz w:val="20"/>
              </w:rPr>
            </w:pPr>
            <w:r>
              <w:rPr>
                <w:spacing w:val="-2"/>
                <w:sz w:val="20"/>
              </w:rPr>
              <w:t>1.0x10</w:t>
            </w:r>
            <w:r>
              <w:rPr>
                <w:spacing w:val="-2"/>
                <w:sz w:val="20"/>
                <w:vertAlign w:val="superscript"/>
              </w:rPr>
              <w:t>4</w:t>
            </w:r>
            <w:r>
              <w:rPr>
                <w:spacing w:val="-2"/>
                <w:sz w:val="20"/>
                <w:vertAlign w:val="baseline"/>
              </w:rPr>
              <w:t>±33.00</w:t>
            </w:r>
            <w:r>
              <w:rPr>
                <w:spacing w:val="-2"/>
                <w:sz w:val="20"/>
                <w:vertAlign w:val="superscript"/>
              </w:rPr>
              <w:t>a</w:t>
            </w:r>
          </w:p>
        </w:tc>
        <w:tc>
          <w:tcPr>
            <w:tcW w:w="1902" w:type="dxa"/>
          </w:tcPr>
          <w:p>
            <w:pPr>
              <w:pStyle w:val="TableParagraph"/>
              <w:ind w:left="296"/>
              <w:rPr>
                <w:sz w:val="20"/>
              </w:rPr>
            </w:pPr>
            <w:r>
              <w:rPr>
                <w:spacing w:val="-2"/>
                <w:sz w:val="20"/>
              </w:rPr>
              <w:t>2.0x10</w:t>
            </w:r>
            <w:r>
              <w:rPr>
                <w:spacing w:val="-2"/>
                <w:sz w:val="20"/>
                <w:vertAlign w:val="superscript"/>
              </w:rPr>
              <w:t>4</w:t>
            </w:r>
            <w:r>
              <w:rPr>
                <w:spacing w:val="-2"/>
                <w:sz w:val="20"/>
                <w:vertAlign w:val="baseline"/>
              </w:rPr>
              <w:t>±17.51</w:t>
            </w:r>
            <w:r>
              <w:rPr>
                <w:spacing w:val="-2"/>
                <w:sz w:val="20"/>
                <w:vertAlign w:val="superscript"/>
              </w:rPr>
              <w:t>b</w:t>
            </w:r>
          </w:p>
        </w:tc>
        <w:tc>
          <w:tcPr>
            <w:tcW w:w="1886" w:type="dxa"/>
          </w:tcPr>
          <w:p>
            <w:pPr>
              <w:pStyle w:val="TableParagraph"/>
              <w:ind w:left="354"/>
              <w:rPr>
                <w:sz w:val="20"/>
              </w:rPr>
            </w:pPr>
            <w:r>
              <w:rPr>
                <w:spacing w:val="-2"/>
                <w:sz w:val="20"/>
              </w:rPr>
              <w:t>1.9x10</w:t>
            </w:r>
            <w:r>
              <w:rPr>
                <w:spacing w:val="-2"/>
                <w:sz w:val="20"/>
                <w:vertAlign w:val="superscript"/>
              </w:rPr>
              <w:t>5</w:t>
            </w:r>
            <w:r>
              <w:rPr>
                <w:spacing w:val="-2"/>
                <w:sz w:val="20"/>
                <w:vertAlign w:val="baseline"/>
              </w:rPr>
              <w:t>±0.00</w:t>
            </w:r>
            <w:r>
              <w:rPr>
                <w:spacing w:val="-2"/>
                <w:sz w:val="20"/>
                <w:vertAlign w:val="superscript"/>
              </w:rPr>
              <w:t>f</w:t>
            </w:r>
          </w:p>
        </w:tc>
        <w:tc>
          <w:tcPr>
            <w:tcW w:w="1893" w:type="dxa"/>
          </w:tcPr>
          <w:p>
            <w:pPr>
              <w:pStyle w:val="TableParagraph"/>
              <w:ind w:left="288"/>
              <w:rPr>
                <w:sz w:val="20"/>
              </w:rPr>
            </w:pPr>
            <w:r>
              <w:rPr>
                <w:spacing w:val="-2"/>
                <w:sz w:val="20"/>
              </w:rPr>
              <w:t>1.2x10</w:t>
            </w:r>
            <w:r>
              <w:rPr>
                <w:spacing w:val="-2"/>
                <w:sz w:val="20"/>
                <w:vertAlign w:val="superscript"/>
              </w:rPr>
              <w:t>5</w:t>
            </w:r>
            <w:r>
              <w:rPr>
                <w:spacing w:val="-2"/>
                <w:sz w:val="20"/>
                <w:vertAlign w:val="baseline"/>
              </w:rPr>
              <w:t>±2.50</w:t>
            </w:r>
            <w:r>
              <w:rPr>
                <w:spacing w:val="-2"/>
                <w:sz w:val="20"/>
                <w:vertAlign w:val="superscript"/>
              </w:rPr>
              <w:t>e</w:t>
            </w:r>
          </w:p>
        </w:tc>
        <w:tc>
          <w:tcPr>
            <w:tcW w:w="1956" w:type="dxa"/>
          </w:tcPr>
          <w:p>
            <w:pPr>
              <w:pStyle w:val="TableParagraph"/>
              <w:ind w:left="353"/>
              <w:rPr>
                <w:sz w:val="20"/>
              </w:rPr>
            </w:pPr>
            <w:r>
              <w:rPr>
                <w:spacing w:val="-2"/>
                <w:sz w:val="20"/>
              </w:rPr>
              <w:t>6.0x10</w:t>
            </w:r>
            <w:r>
              <w:rPr>
                <w:spacing w:val="-2"/>
                <w:sz w:val="20"/>
                <w:vertAlign w:val="superscript"/>
              </w:rPr>
              <w:t>4</w:t>
            </w:r>
            <w:r>
              <w:rPr>
                <w:spacing w:val="-2"/>
                <w:sz w:val="20"/>
                <w:vertAlign w:val="baseline"/>
              </w:rPr>
              <w:t>±6.00</w:t>
            </w:r>
            <w:r>
              <w:rPr>
                <w:spacing w:val="-2"/>
                <w:sz w:val="20"/>
                <w:vertAlign w:val="superscript"/>
              </w:rPr>
              <w:t>d</w:t>
            </w:r>
          </w:p>
        </w:tc>
        <w:tc>
          <w:tcPr>
            <w:tcW w:w="2210" w:type="dxa"/>
          </w:tcPr>
          <w:p>
            <w:pPr>
              <w:pStyle w:val="TableParagraph"/>
              <w:ind w:left="359"/>
              <w:rPr>
                <w:sz w:val="20"/>
              </w:rPr>
            </w:pPr>
            <w:r>
              <w:rPr>
                <w:spacing w:val="-2"/>
                <w:sz w:val="20"/>
              </w:rPr>
              <w:t>3.0x10</w:t>
            </w:r>
            <w:r>
              <w:rPr>
                <w:spacing w:val="-2"/>
                <w:sz w:val="20"/>
                <w:vertAlign w:val="superscript"/>
              </w:rPr>
              <w:t>4</w:t>
            </w:r>
            <w:r>
              <w:rPr>
                <w:spacing w:val="-2"/>
                <w:sz w:val="20"/>
                <w:vertAlign w:val="baseline"/>
              </w:rPr>
              <w:t>±9.53</w:t>
            </w:r>
            <w:r>
              <w:rPr>
                <w:spacing w:val="-2"/>
                <w:sz w:val="20"/>
                <w:vertAlign w:val="superscript"/>
              </w:rPr>
              <w:t>c</w:t>
            </w:r>
          </w:p>
        </w:tc>
      </w:tr>
      <w:tr>
        <w:trPr>
          <w:trHeight w:val="429" w:hRule="atLeast"/>
        </w:trPr>
        <w:tc>
          <w:tcPr>
            <w:tcW w:w="2064" w:type="dxa"/>
          </w:tcPr>
          <w:p>
            <w:pPr>
              <w:pStyle w:val="TableParagraph"/>
              <w:ind w:left="107"/>
              <w:rPr>
                <w:sz w:val="20"/>
              </w:rPr>
            </w:pPr>
            <w:r>
              <w:rPr>
                <w:spacing w:val="-5"/>
                <w:sz w:val="20"/>
              </w:rPr>
              <w:t>BSa</w:t>
            </w:r>
          </w:p>
        </w:tc>
        <w:tc>
          <w:tcPr>
            <w:tcW w:w="1985" w:type="dxa"/>
          </w:tcPr>
          <w:p>
            <w:pPr>
              <w:pStyle w:val="TableParagraph"/>
              <w:ind w:left="333"/>
              <w:rPr>
                <w:sz w:val="20"/>
              </w:rPr>
            </w:pPr>
            <w:r>
              <w:rPr>
                <w:spacing w:val="-2"/>
                <w:sz w:val="20"/>
              </w:rPr>
              <w:t>1.0x10</w:t>
            </w:r>
            <w:r>
              <w:rPr>
                <w:spacing w:val="-2"/>
                <w:sz w:val="20"/>
                <w:vertAlign w:val="superscript"/>
              </w:rPr>
              <w:t>4</w:t>
            </w:r>
            <w:r>
              <w:rPr>
                <w:spacing w:val="-2"/>
                <w:sz w:val="20"/>
                <w:vertAlign w:val="baseline"/>
              </w:rPr>
              <w:t>±12.01</w:t>
            </w:r>
            <w:r>
              <w:rPr>
                <w:spacing w:val="-2"/>
                <w:sz w:val="20"/>
                <w:vertAlign w:val="superscript"/>
              </w:rPr>
              <w:t>a</w:t>
            </w:r>
          </w:p>
        </w:tc>
        <w:tc>
          <w:tcPr>
            <w:tcW w:w="1902" w:type="dxa"/>
          </w:tcPr>
          <w:p>
            <w:pPr>
              <w:pStyle w:val="TableParagraph"/>
              <w:ind w:left="296"/>
              <w:rPr>
                <w:sz w:val="20"/>
              </w:rPr>
            </w:pPr>
            <w:r>
              <w:rPr>
                <w:spacing w:val="-2"/>
                <w:sz w:val="20"/>
              </w:rPr>
              <w:t>4.0x10</w:t>
            </w:r>
            <w:r>
              <w:rPr>
                <w:spacing w:val="-2"/>
                <w:sz w:val="20"/>
                <w:vertAlign w:val="superscript"/>
              </w:rPr>
              <w:t>4</w:t>
            </w:r>
            <w:r>
              <w:rPr>
                <w:spacing w:val="-2"/>
                <w:sz w:val="20"/>
                <w:vertAlign w:val="baseline"/>
              </w:rPr>
              <w:t>±3.51</w:t>
            </w:r>
            <w:r>
              <w:rPr>
                <w:spacing w:val="-2"/>
                <w:sz w:val="20"/>
                <w:vertAlign w:val="superscript"/>
              </w:rPr>
              <w:t>c</w:t>
            </w:r>
          </w:p>
        </w:tc>
        <w:tc>
          <w:tcPr>
            <w:tcW w:w="1886" w:type="dxa"/>
          </w:tcPr>
          <w:p>
            <w:pPr>
              <w:pStyle w:val="TableParagraph"/>
              <w:ind w:left="354"/>
              <w:rPr>
                <w:sz w:val="20"/>
              </w:rPr>
            </w:pPr>
            <w:r>
              <w:rPr>
                <w:spacing w:val="-2"/>
                <w:sz w:val="20"/>
              </w:rPr>
              <w:t>2.5x10</w:t>
            </w:r>
            <w:r>
              <w:rPr>
                <w:spacing w:val="-2"/>
                <w:sz w:val="20"/>
                <w:vertAlign w:val="superscript"/>
              </w:rPr>
              <w:t>5</w:t>
            </w:r>
            <w:r>
              <w:rPr>
                <w:spacing w:val="-2"/>
                <w:sz w:val="20"/>
                <w:vertAlign w:val="baseline"/>
              </w:rPr>
              <w:t>±4.46</w:t>
            </w:r>
            <w:r>
              <w:rPr>
                <w:spacing w:val="-2"/>
                <w:sz w:val="20"/>
                <w:vertAlign w:val="superscript"/>
              </w:rPr>
              <w:t>e</w:t>
            </w:r>
          </w:p>
        </w:tc>
        <w:tc>
          <w:tcPr>
            <w:tcW w:w="1893" w:type="dxa"/>
          </w:tcPr>
          <w:p>
            <w:pPr>
              <w:pStyle w:val="TableParagraph"/>
              <w:ind w:left="288"/>
              <w:rPr>
                <w:sz w:val="20"/>
              </w:rPr>
            </w:pPr>
            <w:r>
              <w:rPr>
                <w:spacing w:val="-2"/>
                <w:sz w:val="20"/>
              </w:rPr>
              <w:t>1.8x10</w:t>
            </w:r>
            <w:r>
              <w:rPr>
                <w:spacing w:val="-2"/>
                <w:sz w:val="20"/>
                <w:vertAlign w:val="superscript"/>
              </w:rPr>
              <w:t>5</w:t>
            </w:r>
            <w:r>
              <w:rPr>
                <w:spacing w:val="-2"/>
                <w:sz w:val="20"/>
                <w:vertAlign w:val="baseline"/>
              </w:rPr>
              <w:t>±10.01</w:t>
            </w:r>
            <w:r>
              <w:rPr>
                <w:spacing w:val="-2"/>
                <w:sz w:val="20"/>
                <w:vertAlign w:val="superscript"/>
              </w:rPr>
              <w:t>d</w:t>
            </w:r>
          </w:p>
        </w:tc>
        <w:tc>
          <w:tcPr>
            <w:tcW w:w="1956" w:type="dxa"/>
          </w:tcPr>
          <w:p>
            <w:pPr>
              <w:pStyle w:val="TableParagraph"/>
              <w:ind w:left="353"/>
              <w:rPr>
                <w:sz w:val="20"/>
              </w:rPr>
            </w:pPr>
            <w:r>
              <w:rPr>
                <w:spacing w:val="-2"/>
                <w:sz w:val="20"/>
              </w:rPr>
              <w:t>2.0x10</w:t>
            </w:r>
            <w:r>
              <w:rPr>
                <w:spacing w:val="-2"/>
                <w:sz w:val="20"/>
                <w:vertAlign w:val="superscript"/>
              </w:rPr>
              <w:t>4</w:t>
            </w:r>
            <w:r>
              <w:rPr>
                <w:spacing w:val="-2"/>
                <w:sz w:val="20"/>
                <w:vertAlign w:val="baseline"/>
              </w:rPr>
              <w:t>±22.52</w:t>
            </w:r>
            <w:r>
              <w:rPr>
                <w:spacing w:val="-2"/>
                <w:sz w:val="20"/>
                <w:vertAlign w:val="superscript"/>
              </w:rPr>
              <w:t>b</w:t>
            </w:r>
          </w:p>
        </w:tc>
        <w:tc>
          <w:tcPr>
            <w:tcW w:w="2210" w:type="dxa"/>
          </w:tcPr>
          <w:p>
            <w:pPr>
              <w:pStyle w:val="TableParagraph"/>
              <w:ind w:left="359"/>
              <w:rPr>
                <w:sz w:val="20"/>
              </w:rPr>
            </w:pPr>
            <w:r>
              <w:rPr>
                <w:spacing w:val="-2"/>
                <w:sz w:val="20"/>
              </w:rPr>
              <w:t>2.0x10</w:t>
            </w:r>
            <w:r>
              <w:rPr>
                <w:spacing w:val="-2"/>
                <w:sz w:val="20"/>
                <w:vertAlign w:val="superscript"/>
              </w:rPr>
              <w:t>4</w:t>
            </w:r>
            <w:r>
              <w:rPr>
                <w:spacing w:val="-2"/>
                <w:sz w:val="20"/>
                <w:vertAlign w:val="baseline"/>
              </w:rPr>
              <w:t>±7.50</w:t>
            </w:r>
            <w:r>
              <w:rPr>
                <w:spacing w:val="-2"/>
                <w:sz w:val="20"/>
                <w:vertAlign w:val="superscript"/>
              </w:rPr>
              <w:t>b</w:t>
            </w:r>
          </w:p>
        </w:tc>
      </w:tr>
      <w:tr>
        <w:trPr>
          <w:trHeight w:val="429" w:hRule="atLeast"/>
        </w:trPr>
        <w:tc>
          <w:tcPr>
            <w:tcW w:w="2064" w:type="dxa"/>
          </w:tcPr>
          <w:p>
            <w:pPr>
              <w:pStyle w:val="TableParagraph"/>
              <w:ind w:left="107"/>
              <w:rPr>
                <w:sz w:val="20"/>
              </w:rPr>
            </w:pPr>
            <w:r>
              <w:rPr>
                <w:spacing w:val="-5"/>
                <w:sz w:val="20"/>
              </w:rPr>
              <w:t>BSb</w:t>
            </w:r>
          </w:p>
        </w:tc>
        <w:tc>
          <w:tcPr>
            <w:tcW w:w="1985" w:type="dxa"/>
          </w:tcPr>
          <w:p>
            <w:pPr>
              <w:pStyle w:val="TableParagraph"/>
              <w:ind w:left="333"/>
              <w:rPr>
                <w:sz w:val="20"/>
              </w:rPr>
            </w:pPr>
            <w:r>
              <w:rPr>
                <w:spacing w:val="-2"/>
                <w:sz w:val="20"/>
              </w:rPr>
              <w:t>1.0x10</w:t>
            </w:r>
            <w:r>
              <w:rPr>
                <w:spacing w:val="-2"/>
                <w:sz w:val="20"/>
                <w:vertAlign w:val="superscript"/>
              </w:rPr>
              <w:t>4</w:t>
            </w:r>
            <w:r>
              <w:rPr>
                <w:spacing w:val="-2"/>
                <w:sz w:val="20"/>
                <w:vertAlign w:val="baseline"/>
              </w:rPr>
              <w:t>±5.52</w:t>
            </w:r>
            <w:r>
              <w:rPr>
                <w:spacing w:val="-2"/>
                <w:sz w:val="20"/>
                <w:vertAlign w:val="superscript"/>
              </w:rPr>
              <w:t>a</w:t>
            </w:r>
          </w:p>
        </w:tc>
        <w:tc>
          <w:tcPr>
            <w:tcW w:w="1902" w:type="dxa"/>
          </w:tcPr>
          <w:p>
            <w:pPr>
              <w:pStyle w:val="TableParagraph"/>
              <w:ind w:left="296"/>
              <w:rPr>
                <w:sz w:val="20"/>
              </w:rPr>
            </w:pPr>
            <w:r>
              <w:rPr>
                <w:spacing w:val="-2"/>
                <w:sz w:val="20"/>
              </w:rPr>
              <w:t>3.0x10</w:t>
            </w:r>
            <w:r>
              <w:rPr>
                <w:spacing w:val="-2"/>
                <w:sz w:val="20"/>
                <w:vertAlign w:val="superscript"/>
              </w:rPr>
              <w:t>4</w:t>
            </w:r>
            <w:r>
              <w:rPr>
                <w:spacing w:val="-2"/>
                <w:sz w:val="20"/>
                <w:vertAlign w:val="baseline"/>
              </w:rPr>
              <w:t>±7.00</w:t>
            </w:r>
            <w:r>
              <w:rPr>
                <w:spacing w:val="-2"/>
                <w:sz w:val="20"/>
                <w:vertAlign w:val="superscript"/>
              </w:rPr>
              <w:t>b</w:t>
            </w:r>
          </w:p>
        </w:tc>
        <w:tc>
          <w:tcPr>
            <w:tcW w:w="1886" w:type="dxa"/>
          </w:tcPr>
          <w:p>
            <w:pPr>
              <w:pStyle w:val="TableParagraph"/>
              <w:ind w:left="354"/>
              <w:rPr>
                <w:sz w:val="20"/>
              </w:rPr>
            </w:pPr>
            <w:r>
              <w:rPr>
                <w:spacing w:val="-2"/>
                <w:sz w:val="20"/>
              </w:rPr>
              <w:t>1.9x10</w:t>
            </w:r>
            <w:r>
              <w:rPr>
                <w:spacing w:val="-2"/>
                <w:sz w:val="20"/>
                <w:vertAlign w:val="superscript"/>
              </w:rPr>
              <w:t>5</w:t>
            </w:r>
            <w:r>
              <w:rPr>
                <w:spacing w:val="-2"/>
                <w:sz w:val="20"/>
                <w:vertAlign w:val="baseline"/>
              </w:rPr>
              <w:t>±9.01</w:t>
            </w:r>
            <w:r>
              <w:rPr>
                <w:spacing w:val="-2"/>
                <w:sz w:val="20"/>
                <w:vertAlign w:val="superscript"/>
              </w:rPr>
              <w:t>d</w:t>
            </w:r>
          </w:p>
        </w:tc>
        <w:tc>
          <w:tcPr>
            <w:tcW w:w="1893" w:type="dxa"/>
          </w:tcPr>
          <w:p>
            <w:pPr>
              <w:pStyle w:val="TableParagraph"/>
              <w:ind w:left="288"/>
              <w:rPr>
                <w:sz w:val="20"/>
              </w:rPr>
            </w:pPr>
            <w:r>
              <w:rPr>
                <w:spacing w:val="-2"/>
                <w:sz w:val="20"/>
              </w:rPr>
              <w:t>9.0x10</w:t>
            </w:r>
            <w:r>
              <w:rPr>
                <w:spacing w:val="-2"/>
                <w:sz w:val="20"/>
                <w:vertAlign w:val="superscript"/>
              </w:rPr>
              <w:t>4</w:t>
            </w:r>
            <w:r>
              <w:rPr>
                <w:spacing w:val="-2"/>
                <w:sz w:val="20"/>
                <w:vertAlign w:val="baseline"/>
              </w:rPr>
              <w:t>±0.51</w:t>
            </w:r>
            <w:r>
              <w:rPr>
                <w:spacing w:val="-2"/>
                <w:sz w:val="20"/>
                <w:vertAlign w:val="superscript"/>
              </w:rPr>
              <w:t>c</w:t>
            </w:r>
          </w:p>
        </w:tc>
        <w:tc>
          <w:tcPr>
            <w:tcW w:w="1956" w:type="dxa"/>
          </w:tcPr>
          <w:p>
            <w:pPr>
              <w:pStyle w:val="TableParagraph"/>
              <w:ind w:left="353"/>
              <w:rPr>
                <w:sz w:val="20"/>
              </w:rPr>
            </w:pPr>
            <w:r>
              <w:rPr>
                <w:spacing w:val="-2"/>
                <w:sz w:val="20"/>
              </w:rPr>
              <w:t>3.0x10</w:t>
            </w:r>
            <w:r>
              <w:rPr>
                <w:spacing w:val="-2"/>
                <w:sz w:val="20"/>
                <w:vertAlign w:val="superscript"/>
              </w:rPr>
              <w:t>4</w:t>
            </w:r>
            <w:r>
              <w:rPr>
                <w:spacing w:val="-2"/>
                <w:sz w:val="20"/>
                <w:vertAlign w:val="baseline"/>
              </w:rPr>
              <w:t>±0.00</w:t>
            </w:r>
            <w:r>
              <w:rPr>
                <w:spacing w:val="-2"/>
                <w:sz w:val="20"/>
                <w:vertAlign w:val="superscript"/>
              </w:rPr>
              <w:t>b</w:t>
            </w:r>
          </w:p>
        </w:tc>
        <w:tc>
          <w:tcPr>
            <w:tcW w:w="2210" w:type="dxa"/>
          </w:tcPr>
          <w:p>
            <w:pPr>
              <w:pStyle w:val="TableParagraph"/>
              <w:ind w:left="359"/>
              <w:rPr>
                <w:sz w:val="20"/>
              </w:rPr>
            </w:pPr>
            <w:r>
              <w:rPr>
                <w:spacing w:val="-2"/>
                <w:sz w:val="20"/>
              </w:rPr>
              <w:t>3.0x10</w:t>
            </w:r>
            <w:r>
              <w:rPr>
                <w:spacing w:val="-2"/>
                <w:sz w:val="20"/>
                <w:vertAlign w:val="superscript"/>
              </w:rPr>
              <w:t>4</w:t>
            </w:r>
            <w:r>
              <w:rPr>
                <w:spacing w:val="-2"/>
                <w:sz w:val="20"/>
                <w:vertAlign w:val="baseline"/>
              </w:rPr>
              <w:t>±12.52</w:t>
            </w:r>
            <w:r>
              <w:rPr>
                <w:spacing w:val="-2"/>
                <w:sz w:val="20"/>
                <w:vertAlign w:val="superscript"/>
              </w:rPr>
              <w:t>b</w:t>
            </w:r>
          </w:p>
        </w:tc>
      </w:tr>
      <w:tr>
        <w:trPr>
          <w:trHeight w:val="429" w:hRule="atLeast"/>
        </w:trPr>
        <w:tc>
          <w:tcPr>
            <w:tcW w:w="2064" w:type="dxa"/>
          </w:tcPr>
          <w:p>
            <w:pPr>
              <w:pStyle w:val="TableParagraph"/>
              <w:ind w:left="107"/>
              <w:rPr>
                <w:sz w:val="20"/>
              </w:rPr>
            </w:pPr>
            <w:r>
              <w:rPr>
                <w:spacing w:val="-5"/>
                <w:sz w:val="20"/>
              </w:rPr>
              <w:t>BCa</w:t>
            </w:r>
          </w:p>
        </w:tc>
        <w:tc>
          <w:tcPr>
            <w:tcW w:w="1985" w:type="dxa"/>
          </w:tcPr>
          <w:p>
            <w:pPr>
              <w:pStyle w:val="TableParagraph"/>
              <w:ind w:left="333"/>
              <w:rPr>
                <w:sz w:val="20"/>
              </w:rPr>
            </w:pPr>
            <w:r>
              <w:rPr>
                <w:spacing w:val="-2"/>
                <w:sz w:val="20"/>
              </w:rPr>
              <w:t>4.0x10</w:t>
            </w:r>
            <w:r>
              <w:rPr>
                <w:spacing w:val="-2"/>
                <w:sz w:val="20"/>
                <w:vertAlign w:val="superscript"/>
              </w:rPr>
              <w:t>4</w:t>
            </w:r>
            <w:r>
              <w:rPr>
                <w:spacing w:val="-2"/>
                <w:sz w:val="20"/>
                <w:vertAlign w:val="baseline"/>
              </w:rPr>
              <w:t>±4.50</w:t>
            </w:r>
            <w:r>
              <w:rPr>
                <w:spacing w:val="-2"/>
                <w:sz w:val="20"/>
                <w:vertAlign w:val="superscript"/>
              </w:rPr>
              <w:t>c</w:t>
            </w:r>
          </w:p>
        </w:tc>
        <w:tc>
          <w:tcPr>
            <w:tcW w:w="1902" w:type="dxa"/>
          </w:tcPr>
          <w:p>
            <w:pPr>
              <w:pStyle w:val="TableParagraph"/>
              <w:ind w:left="296"/>
              <w:rPr>
                <w:sz w:val="20"/>
              </w:rPr>
            </w:pPr>
            <w:r>
              <w:rPr>
                <w:spacing w:val="-2"/>
                <w:sz w:val="20"/>
              </w:rPr>
              <w:t>1.2x10</w:t>
            </w:r>
            <w:r>
              <w:rPr>
                <w:spacing w:val="-2"/>
                <w:sz w:val="20"/>
                <w:vertAlign w:val="superscript"/>
              </w:rPr>
              <w:t>5</w:t>
            </w:r>
            <w:r>
              <w:rPr>
                <w:spacing w:val="-2"/>
                <w:sz w:val="20"/>
                <w:vertAlign w:val="baseline"/>
              </w:rPr>
              <w:t>±7.02</w:t>
            </w:r>
            <w:r>
              <w:rPr>
                <w:spacing w:val="-2"/>
                <w:sz w:val="20"/>
                <w:vertAlign w:val="superscript"/>
              </w:rPr>
              <w:t>d</w:t>
            </w:r>
          </w:p>
        </w:tc>
        <w:tc>
          <w:tcPr>
            <w:tcW w:w="1886" w:type="dxa"/>
          </w:tcPr>
          <w:p>
            <w:pPr>
              <w:pStyle w:val="TableParagraph"/>
              <w:ind w:left="354"/>
              <w:rPr>
                <w:sz w:val="20"/>
              </w:rPr>
            </w:pPr>
            <w:r>
              <w:rPr>
                <w:spacing w:val="-2"/>
                <w:sz w:val="20"/>
              </w:rPr>
              <w:t>2.5x10</w:t>
            </w:r>
            <w:r>
              <w:rPr>
                <w:spacing w:val="-2"/>
                <w:sz w:val="20"/>
                <w:vertAlign w:val="superscript"/>
              </w:rPr>
              <w:t>5</w:t>
            </w:r>
            <w:r>
              <w:rPr>
                <w:spacing w:val="-2"/>
                <w:sz w:val="20"/>
                <w:vertAlign w:val="baseline"/>
              </w:rPr>
              <w:t>±8.02</w:t>
            </w:r>
            <w:r>
              <w:rPr>
                <w:spacing w:val="-2"/>
                <w:sz w:val="20"/>
                <w:vertAlign w:val="superscript"/>
              </w:rPr>
              <w:t>f</w:t>
            </w:r>
          </w:p>
        </w:tc>
        <w:tc>
          <w:tcPr>
            <w:tcW w:w="1893" w:type="dxa"/>
          </w:tcPr>
          <w:p>
            <w:pPr>
              <w:pStyle w:val="TableParagraph"/>
              <w:ind w:left="288"/>
              <w:rPr>
                <w:sz w:val="20"/>
              </w:rPr>
            </w:pPr>
            <w:r>
              <w:rPr>
                <w:spacing w:val="-2"/>
                <w:sz w:val="20"/>
              </w:rPr>
              <w:t>1.8x10</w:t>
            </w:r>
            <w:r>
              <w:rPr>
                <w:spacing w:val="-2"/>
                <w:sz w:val="20"/>
                <w:vertAlign w:val="superscript"/>
              </w:rPr>
              <w:t>5</w:t>
            </w:r>
            <w:r>
              <w:rPr>
                <w:spacing w:val="-2"/>
                <w:sz w:val="20"/>
                <w:vertAlign w:val="baseline"/>
              </w:rPr>
              <w:t>±3.50</w:t>
            </w:r>
            <w:r>
              <w:rPr>
                <w:spacing w:val="-2"/>
                <w:sz w:val="20"/>
                <w:vertAlign w:val="superscript"/>
              </w:rPr>
              <w:t>e</w:t>
            </w:r>
          </w:p>
        </w:tc>
        <w:tc>
          <w:tcPr>
            <w:tcW w:w="1956" w:type="dxa"/>
          </w:tcPr>
          <w:p>
            <w:pPr>
              <w:pStyle w:val="TableParagraph"/>
              <w:ind w:left="353"/>
              <w:rPr>
                <w:sz w:val="20"/>
              </w:rPr>
            </w:pPr>
            <w:r>
              <w:rPr>
                <w:spacing w:val="-2"/>
                <w:sz w:val="20"/>
              </w:rPr>
              <w:t>3.0x10</w:t>
            </w:r>
            <w:r>
              <w:rPr>
                <w:spacing w:val="-2"/>
                <w:sz w:val="20"/>
                <w:vertAlign w:val="superscript"/>
              </w:rPr>
              <w:t>4</w:t>
            </w:r>
            <w:r>
              <w:rPr>
                <w:spacing w:val="-2"/>
                <w:sz w:val="20"/>
                <w:vertAlign w:val="baseline"/>
              </w:rPr>
              <w:t>±5.51</w:t>
            </w:r>
            <w:r>
              <w:rPr>
                <w:spacing w:val="-2"/>
                <w:sz w:val="20"/>
                <w:vertAlign w:val="superscript"/>
              </w:rPr>
              <w:t>b</w:t>
            </w:r>
          </w:p>
        </w:tc>
        <w:tc>
          <w:tcPr>
            <w:tcW w:w="2210" w:type="dxa"/>
          </w:tcPr>
          <w:p>
            <w:pPr>
              <w:pStyle w:val="TableParagraph"/>
              <w:ind w:left="359"/>
              <w:rPr>
                <w:sz w:val="20"/>
              </w:rPr>
            </w:pPr>
            <w:r>
              <w:rPr>
                <w:spacing w:val="-2"/>
                <w:sz w:val="20"/>
              </w:rPr>
              <w:t>2.0x10</w:t>
            </w:r>
            <w:r>
              <w:rPr>
                <w:spacing w:val="-2"/>
                <w:sz w:val="20"/>
                <w:vertAlign w:val="superscript"/>
              </w:rPr>
              <w:t>4</w:t>
            </w:r>
            <w:r>
              <w:rPr>
                <w:spacing w:val="-2"/>
                <w:sz w:val="20"/>
                <w:vertAlign w:val="baseline"/>
              </w:rPr>
              <w:t>±28.50</w:t>
            </w:r>
            <w:r>
              <w:rPr>
                <w:spacing w:val="-2"/>
                <w:sz w:val="20"/>
                <w:vertAlign w:val="superscript"/>
              </w:rPr>
              <w:t>a</w:t>
            </w:r>
          </w:p>
        </w:tc>
      </w:tr>
      <w:tr>
        <w:trPr>
          <w:trHeight w:val="430" w:hRule="atLeast"/>
        </w:trPr>
        <w:tc>
          <w:tcPr>
            <w:tcW w:w="2064" w:type="dxa"/>
          </w:tcPr>
          <w:p>
            <w:pPr>
              <w:pStyle w:val="TableParagraph"/>
              <w:ind w:left="107"/>
              <w:rPr>
                <w:sz w:val="20"/>
              </w:rPr>
            </w:pPr>
            <w:r>
              <w:rPr>
                <w:spacing w:val="-5"/>
                <w:sz w:val="20"/>
              </w:rPr>
              <w:t>BCb</w:t>
            </w:r>
          </w:p>
        </w:tc>
        <w:tc>
          <w:tcPr>
            <w:tcW w:w="1985" w:type="dxa"/>
          </w:tcPr>
          <w:p>
            <w:pPr>
              <w:pStyle w:val="TableParagraph"/>
              <w:ind w:left="333"/>
              <w:rPr>
                <w:sz w:val="20"/>
              </w:rPr>
            </w:pPr>
            <w:r>
              <w:rPr>
                <w:spacing w:val="-2"/>
                <w:sz w:val="20"/>
              </w:rPr>
              <w:t>6.0x10</w:t>
            </w:r>
            <w:r>
              <w:rPr>
                <w:spacing w:val="-2"/>
                <w:sz w:val="20"/>
                <w:vertAlign w:val="superscript"/>
              </w:rPr>
              <w:t>4</w:t>
            </w:r>
            <w:r>
              <w:rPr>
                <w:spacing w:val="-2"/>
                <w:sz w:val="20"/>
                <w:vertAlign w:val="baseline"/>
              </w:rPr>
              <w:t>±12.48</w:t>
            </w:r>
            <w:r>
              <w:rPr>
                <w:spacing w:val="-2"/>
                <w:sz w:val="20"/>
                <w:vertAlign w:val="superscript"/>
              </w:rPr>
              <w:t>a</w:t>
            </w:r>
          </w:p>
        </w:tc>
        <w:tc>
          <w:tcPr>
            <w:tcW w:w="1902" w:type="dxa"/>
          </w:tcPr>
          <w:p>
            <w:pPr>
              <w:pStyle w:val="TableParagraph"/>
              <w:ind w:left="296"/>
              <w:rPr>
                <w:sz w:val="20"/>
              </w:rPr>
            </w:pPr>
            <w:r>
              <w:rPr>
                <w:spacing w:val="-2"/>
                <w:sz w:val="20"/>
              </w:rPr>
              <w:t>1.5x10</w:t>
            </w:r>
            <w:r>
              <w:rPr>
                <w:spacing w:val="-2"/>
                <w:sz w:val="20"/>
                <w:vertAlign w:val="superscript"/>
              </w:rPr>
              <w:t>5</w:t>
            </w:r>
            <w:r>
              <w:rPr>
                <w:spacing w:val="-2"/>
                <w:sz w:val="20"/>
                <w:vertAlign w:val="baseline"/>
              </w:rPr>
              <w:t>±10.00</w:t>
            </w:r>
            <w:r>
              <w:rPr>
                <w:spacing w:val="-2"/>
                <w:sz w:val="20"/>
                <w:vertAlign w:val="superscript"/>
              </w:rPr>
              <w:t>e</w:t>
            </w:r>
          </w:p>
        </w:tc>
        <w:tc>
          <w:tcPr>
            <w:tcW w:w="1886" w:type="dxa"/>
          </w:tcPr>
          <w:p>
            <w:pPr>
              <w:pStyle w:val="TableParagraph"/>
              <w:ind w:left="354"/>
              <w:rPr>
                <w:sz w:val="20"/>
              </w:rPr>
            </w:pPr>
            <w:r>
              <w:rPr>
                <w:spacing w:val="-2"/>
                <w:sz w:val="20"/>
              </w:rPr>
              <w:t>1.2x10</w:t>
            </w:r>
            <w:r>
              <w:rPr>
                <w:spacing w:val="-2"/>
                <w:sz w:val="20"/>
                <w:vertAlign w:val="superscript"/>
              </w:rPr>
              <w:t>5</w:t>
            </w:r>
            <w:r>
              <w:rPr>
                <w:spacing w:val="-2"/>
                <w:sz w:val="20"/>
                <w:vertAlign w:val="baseline"/>
              </w:rPr>
              <w:t>±4.00</w:t>
            </w:r>
            <w:r>
              <w:rPr>
                <w:spacing w:val="-2"/>
                <w:sz w:val="20"/>
                <w:vertAlign w:val="superscript"/>
              </w:rPr>
              <w:t>d</w:t>
            </w:r>
          </w:p>
        </w:tc>
        <w:tc>
          <w:tcPr>
            <w:tcW w:w="1893" w:type="dxa"/>
          </w:tcPr>
          <w:p>
            <w:pPr>
              <w:pStyle w:val="TableParagraph"/>
              <w:ind w:left="288"/>
              <w:rPr>
                <w:sz w:val="20"/>
              </w:rPr>
            </w:pPr>
            <w:r>
              <w:rPr>
                <w:spacing w:val="-2"/>
                <w:sz w:val="20"/>
              </w:rPr>
              <w:t>1.1x10</w:t>
            </w:r>
            <w:r>
              <w:rPr>
                <w:spacing w:val="-2"/>
                <w:sz w:val="20"/>
                <w:vertAlign w:val="superscript"/>
              </w:rPr>
              <w:t>5</w:t>
            </w:r>
            <w:r>
              <w:rPr>
                <w:spacing w:val="-2"/>
                <w:sz w:val="20"/>
                <w:vertAlign w:val="baseline"/>
              </w:rPr>
              <w:t>±1.00</w:t>
            </w:r>
            <w:r>
              <w:rPr>
                <w:spacing w:val="-2"/>
                <w:sz w:val="20"/>
                <w:vertAlign w:val="superscript"/>
              </w:rPr>
              <w:t>c</w:t>
            </w:r>
          </w:p>
        </w:tc>
        <w:tc>
          <w:tcPr>
            <w:tcW w:w="1956" w:type="dxa"/>
          </w:tcPr>
          <w:p>
            <w:pPr>
              <w:pStyle w:val="TableParagraph"/>
              <w:ind w:left="353"/>
              <w:rPr>
                <w:sz w:val="20"/>
              </w:rPr>
            </w:pPr>
            <w:r>
              <w:rPr>
                <w:spacing w:val="-2"/>
                <w:sz w:val="20"/>
              </w:rPr>
              <w:t>1.0x10</w:t>
            </w:r>
            <w:r>
              <w:rPr>
                <w:spacing w:val="-2"/>
                <w:sz w:val="20"/>
                <w:vertAlign w:val="superscript"/>
              </w:rPr>
              <w:t>5</w:t>
            </w:r>
            <w:r>
              <w:rPr>
                <w:spacing w:val="-2"/>
                <w:sz w:val="20"/>
                <w:vertAlign w:val="baseline"/>
              </w:rPr>
              <w:t>±2.51</w:t>
            </w:r>
            <w:r>
              <w:rPr>
                <w:spacing w:val="-2"/>
                <w:sz w:val="20"/>
                <w:vertAlign w:val="superscript"/>
              </w:rPr>
              <w:t>b</w:t>
            </w:r>
          </w:p>
        </w:tc>
        <w:tc>
          <w:tcPr>
            <w:tcW w:w="2210" w:type="dxa"/>
          </w:tcPr>
          <w:p>
            <w:pPr>
              <w:pStyle w:val="TableParagraph"/>
              <w:ind w:left="359"/>
              <w:rPr>
                <w:sz w:val="20"/>
              </w:rPr>
            </w:pPr>
            <w:r>
              <w:rPr>
                <w:spacing w:val="-2"/>
                <w:sz w:val="20"/>
              </w:rPr>
              <w:t>6.0x10</w:t>
            </w:r>
            <w:r>
              <w:rPr>
                <w:spacing w:val="-2"/>
                <w:sz w:val="20"/>
                <w:vertAlign w:val="superscript"/>
              </w:rPr>
              <w:t>4</w:t>
            </w:r>
            <w:r>
              <w:rPr>
                <w:spacing w:val="-2"/>
                <w:sz w:val="20"/>
                <w:vertAlign w:val="baseline"/>
              </w:rPr>
              <w:t>±17.00</w:t>
            </w:r>
            <w:r>
              <w:rPr>
                <w:spacing w:val="-2"/>
                <w:sz w:val="20"/>
                <w:vertAlign w:val="superscript"/>
              </w:rPr>
              <w:t>a</w:t>
            </w:r>
          </w:p>
        </w:tc>
      </w:tr>
      <w:tr>
        <w:trPr>
          <w:trHeight w:val="430" w:hRule="atLeast"/>
        </w:trPr>
        <w:tc>
          <w:tcPr>
            <w:tcW w:w="2064" w:type="dxa"/>
          </w:tcPr>
          <w:p>
            <w:pPr>
              <w:pStyle w:val="TableParagraph"/>
              <w:spacing w:before="100"/>
              <w:ind w:left="107"/>
              <w:rPr>
                <w:sz w:val="20"/>
              </w:rPr>
            </w:pPr>
            <w:r>
              <w:rPr>
                <w:sz w:val="20"/>
              </w:rPr>
              <w:t>BS/NP/</w:t>
            </w:r>
            <w:r>
              <w:rPr>
                <w:spacing w:val="-6"/>
                <w:sz w:val="20"/>
              </w:rPr>
              <w:t> </w:t>
            </w:r>
            <w:r>
              <w:rPr>
                <w:spacing w:val="-2"/>
                <w:sz w:val="20"/>
              </w:rPr>
              <w:t>BC(1:1:1)a</w:t>
            </w:r>
          </w:p>
        </w:tc>
        <w:tc>
          <w:tcPr>
            <w:tcW w:w="1985" w:type="dxa"/>
          </w:tcPr>
          <w:p>
            <w:pPr>
              <w:pStyle w:val="TableParagraph"/>
              <w:spacing w:before="100"/>
              <w:ind w:left="333"/>
              <w:rPr>
                <w:sz w:val="20"/>
              </w:rPr>
            </w:pPr>
            <w:r>
              <w:rPr>
                <w:spacing w:val="-2"/>
                <w:sz w:val="20"/>
              </w:rPr>
              <w:t>6.0x10</w:t>
            </w:r>
            <w:r>
              <w:rPr>
                <w:spacing w:val="-2"/>
                <w:sz w:val="20"/>
                <w:vertAlign w:val="superscript"/>
              </w:rPr>
              <w:t>4</w:t>
            </w:r>
            <w:r>
              <w:rPr>
                <w:spacing w:val="-2"/>
                <w:sz w:val="20"/>
                <w:vertAlign w:val="baseline"/>
              </w:rPr>
              <w:t>±31.01</w:t>
            </w:r>
            <w:r>
              <w:rPr>
                <w:spacing w:val="-2"/>
                <w:sz w:val="20"/>
                <w:vertAlign w:val="superscript"/>
              </w:rPr>
              <w:t>c</w:t>
            </w:r>
          </w:p>
        </w:tc>
        <w:tc>
          <w:tcPr>
            <w:tcW w:w="1902" w:type="dxa"/>
          </w:tcPr>
          <w:p>
            <w:pPr>
              <w:pStyle w:val="TableParagraph"/>
              <w:spacing w:before="100"/>
              <w:ind w:left="296"/>
              <w:rPr>
                <w:sz w:val="20"/>
              </w:rPr>
            </w:pPr>
            <w:r>
              <w:rPr>
                <w:spacing w:val="-2"/>
                <w:sz w:val="20"/>
              </w:rPr>
              <w:t>1.9x10</w:t>
            </w:r>
            <w:r>
              <w:rPr>
                <w:spacing w:val="-2"/>
                <w:sz w:val="20"/>
                <w:vertAlign w:val="superscript"/>
              </w:rPr>
              <w:t>5</w:t>
            </w:r>
            <w:r>
              <w:rPr>
                <w:spacing w:val="-2"/>
                <w:sz w:val="20"/>
                <w:vertAlign w:val="baseline"/>
              </w:rPr>
              <w:t>±25.50</w:t>
            </w:r>
            <w:r>
              <w:rPr>
                <w:spacing w:val="-2"/>
                <w:sz w:val="20"/>
                <w:vertAlign w:val="superscript"/>
              </w:rPr>
              <w:t>e</w:t>
            </w:r>
          </w:p>
        </w:tc>
        <w:tc>
          <w:tcPr>
            <w:tcW w:w="1886" w:type="dxa"/>
          </w:tcPr>
          <w:p>
            <w:pPr>
              <w:pStyle w:val="TableParagraph"/>
              <w:spacing w:before="100"/>
              <w:ind w:left="354"/>
              <w:rPr>
                <w:sz w:val="20"/>
              </w:rPr>
            </w:pPr>
            <w:r>
              <w:rPr>
                <w:spacing w:val="-2"/>
                <w:sz w:val="20"/>
              </w:rPr>
              <w:t>1.5x10</w:t>
            </w:r>
            <w:r>
              <w:rPr>
                <w:spacing w:val="-2"/>
                <w:sz w:val="20"/>
                <w:vertAlign w:val="superscript"/>
              </w:rPr>
              <w:t>5</w:t>
            </w:r>
            <w:r>
              <w:rPr>
                <w:spacing w:val="-2"/>
                <w:sz w:val="20"/>
                <w:vertAlign w:val="baseline"/>
              </w:rPr>
              <w:t>±3.52</w:t>
            </w:r>
            <w:r>
              <w:rPr>
                <w:spacing w:val="-2"/>
                <w:sz w:val="20"/>
                <w:vertAlign w:val="superscript"/>
              </w:rPr>
              <w:t>d</w:t>
            </w:r>
          </w:p>
        </w:tc>
        <w:tc>
          <w:tcPr>
            <w:tcW w:w="1893" w:type="dxa"/>
          </w:tcPr>
          <w:p>
            <w:pPr>
              <w:pStyle w:val="TableParagraph"/>
              <w:spacing w:before="100"/>
              <w:ind w:left="288"/>
              <w:rPr>
                <w:sz w:val="20"/>
              </w:rPr>
            </w:pPr>
            <w:r>
              <w:rPr>
                <w:spacing w:val="-2"/>
                <w:sz w:val="20"/>
              </w:rPr>
              <w:t>6.0x10</w:t>
            </w:r>
            <w:r>
              <w:rPr>
                <w:spacing w:val="-2"/>
                <w:sz w:val="20"/>
                <w:vertAlign w:val="superscript"/>
              </w:rPr>
              <w:t>5</w:t>
            </w:r>
            <w:r>
              <w:rPr>
                <w:spacing w:val="-2"/>
                <w:sz w:val="20"/>
                <w:vertAlign w:val="baseline"/>
              </w:rPr>
              <w:t>±0.00</w:t>
            </w:r>
            <w:r>
              <w:rPr>
                <w:spacing w:val="-2"/>
                <w:sz w:val="20"/>
                <w:vertAlign w:val="superscript"/>
              </w:rPr>
              <w:t>f</w:t>
            </w:r>
          </w:p>
        </w:tc>
        <w:tc>
          <w:tcPr>
            <w:tcW w:w="1956" w:type="dxa"/>
          </w:tcPr>
          <w:p>
            <w:pPr>
              <w:pStyle w:val="TableParagraph"/>
              <w:spacing w:before="100"/>
              <w:ind w:left="353"/>
              <w:rPr>
                <w:sz w:val="20"/>
              </w:rPr>
            </w:pPr>
            <w:r>
              <w:rPr>
                <w:spacing w:val="-2"/>
                <w:sz w:val="20"/>
              </w:rPr>
              <w:t>4.0x10</w:t>
            </w:r>
            <w:r>
              <w:rPr>
                <w:spacing w:val="-2"/>
                <w:sz w:val="20"/>
                <w:vertAlign w:val="superscript"/>
              </w:rPr>
              <w:t>4</w:t>
            </w:r>
            <w:r>
              <w:rPr>
                <w:spacing w:val="-2"/>
                <w:sz w:val="20"/>
                <w:vertAlign w:val="baseline"/>
              </w:rPr>
              <w:t>±21.00</w:t>
            </w:r>
            <w:r>
              <w:rPr>
                <w:spacing w:val="-2"/>
                <w:sz w:val="20"/>
                <w:vertAlign w:val="superscript"/>
              </w:rPr>
              <w:t>b</w:t>
            </w:r>
          </w:p>
        </w:tc>
        <w:tc>
          <w:tcPr>
            <w:tcW w:w="2210" w:type="dxa"/>
          </w:tcPr>
          <w:p>
            <w:pPr>
              <w:pStyle w:val="TableParagraph"/>
              <w:spacing w:before="100"/>
              <w:ind w:left="359"/>
              <w:rPr>
                <w:sz w:val="20"/>
              </w:rPr>
            </w:pPr>
            <w:r>
              <w:rPr>
                <w:spacing w:val="-2"/>
                <w:sz w:val="20"/>
              </w:rPr>
              <w:t>2.0x10</w:t>
            </w:r>
            <w:r>
              <w:rPr>
                <w:spacing w:val="-2"/>
                <w:sz w:val="20"/>
                <w:vertAlign w:val="superscript"/>
              </w:rPr>
              <w:t>4</w:t>
            </w:r>
            <w:r>
              <w:rPr>
                <w:spacing w:val="-2"/>
                <w:sz w:val="20"/>
                <w:vertAlign w:val="baseline"/>
              </w:rPr>
              <w:t>±23.00</w:t>
            </w:r>
            <w:r>
              <w:rPr>
                <w:spacing w:val="-2"/>
                <w:sz w:val="20"/>
                <w:vertAlign w:val="superscript"/>
              </w:rPr>
              <w:t>a</w:t>
            </w:r>
          </w:p>
        </w:tc>
      </w:tr>
      <w:tr>
        <w:trPr>
          <w:trHeight w:val="429" w:hRule="atLeast"/>
        </w:trPr>
        <w:tc>
          <w:tcPr>
            <w:tcW w:w="2064" w:type="dxa"/>
          </w:tcPr>
          <w:p>
            <w:pPr>
              <w:pStyle w:val="TableParagraph"/>
              <w:ind w:left="107"/>
              <w:rPr>
                <w:sz w:val="20"/>
              </w:rPr>
            </w:pPr>
            <w:r>
              <w:rPr>
                <w:sz w:val="20"/>
              </w:rPr>
              <w:t>BS/</w:t>
            </w:r>
            <w:r>
              <w:rPr>
                <w:spacing w:val="-7"/>
                <w:sz w:val="20"/>
              </w:rPr>
              <w:t> </w:t>
            </w:r>
            <w:r>
              <w:rPr>
                <w:sz w:val="20"/>
              </w:rPr>
              <w:t>NP/BC(1:</w:t>
            </w:r>
            <w:r>
              <w:rPr>
                <w:spacing w:val="-4"/>
                <w:sz w:val="20"/>
              </w:rPr>
              <w:t> </w:t>
            </w:r>
            <w:r>
              <w:rPr>
                <w:spacing w:val="-2"/>
                <w:sz w:val="20"/>
              </w:rPr>
              <w:t>2:1)a</w:t>
            </w:r>
          </w:p>
        </w:tc>
        <w:tc>
          <w:tcPr>
            <w:tcW w:w="1985" w:type="dxa"/>
          </w:tcPr>
          <w:p>
            <w:pPr>
              <w:pStyle w:val="TableParagraph"/>
              <w:ind w:left="333"/>
              <w:rPr>
                <w:sz w:val="20"/>
              </w:rPr>
            </w:pPr>
            <w:r>
              <w:rPr>
                <w:spacing w:val="-2"/>
                <w:sz w:val="20"/>
              </w:rPr>
              <w:t>5.0x10</w:t>
            </w:r>
            <w:r>
              <w:rPr>
                <w:spacing w:val="-2"/>
                <w:sz w:val="20"/>
                <w:vertAlign w:val="superscript"/>
              </w:rPr>
              <w:t>4</w:t>
            </w:r>
            <w:r>
              <w:rPr>
                <w:spacing w:val="-2"/>
                <w:sz w:val="20"/>
                <w:vertAlign w:val="baseline"/>
              </w:rPr>
              <w:t>±7.00</w:t>
            </w:r>
            <w:r>
              <w:rPr>
                <w:spacing w:val="-2"/>
                <w:sz w:val="20"/>
                <w:vertAlign w:val="superscript"/>
              </w:rPr>
              <w:t>c</w:t>
            </w:r>
          </w:p>
        </w:tc>
        <w:tc>
          <w:tcPr>
            <w:tcW w:w="1902" w:type="dxa"/>
          </w:tcPr>
          <w:p>
            <w:pPr>
              <w:pStyle w:val="TableParagraph"/>
              <w:ind w:left="296"/>
              <w:rPr>
                <w:sz w:val="20"/>
              </w:rPr>
            </w:pPr>
            <w:r>
              <w:rPr>
                <w:spacing w:val="-2"/>
                <w:sz w:val="20"/>
              </w:rPr>
              <w:t>1.0x10</w:t>
            </w:r>
            <w:r>
              <w:rPr>
                <w:spacing w:val="-2"/>
                <w:sz w:val="20"/>
                <w:vertAlign w:val="superscript"/>
              </w:rPr>
              <w:t>5</w:t>
            </w:r>
            <w:r>
              <w:rPr>
                <w:spacing w:val="-2"/>
                <w:sz w:val="20"/>
                <w:vertAlign w:val="baseline"/>
              </w:rPr>
              <w:t>±3.00</w:t>
            </w:r>
            <w:r>
              <w:rPr>
                <w:spacing w:val="-2"/>
                <w:sz w:val="20"/>
                <w:vertAlign w:val="superscript"/>
              </w:rPr>
              <w:t>d</w:t>
            </w:r>
          </w:p>
        </w:tc>
        <w:tc>
          <w:tcPr>
            <w:tcW w:w="1886" w:type="dxa"/>
          </w:tcPr>
          <w:p>
            <w:pPr>
              <w:pStyle w:val="TableParagraph"/>
              <w:ind w:left="354"/>
              <w:rPr>
                <w:sz w:val="20"/>
              </w:rPr>
            </w:pPr>
            <w:r>
              <w:rPr>
                <w:spacing w:val="-2"/>
                <w:sz w:val="20"/>
              </w:rPr>
              <w:t>1.9x10</w:t>
            </w:r>
            <w:r>
              <w:rPr>
                <w:spacing w:val="-2"/>
                <w:sz w:val="20"/>
                <w:vertAlign w:val="superscript"/>
              </w:rPr>
              <w:t>5</w:t>
            </w:r>
            <w:r>
              <w:rPr>
                <w:spacing w:val="-2"/>
                <w:sz w:val="20"/>
                <w:vertAlign w:val="baseline"/>
              </w:rPr>
              <w:t>±3.50</w:t>
            </w:r>
            <w:r>
              <w:rPr>
                <w:spacing w:val="-2"/>
                <w:sz w:val="20"/>
                <w:vertAlign w:val="superscript"/>
              </w:rPr>
              <w:t>f</w:t>
            </w:r>
          </w:p>
        </w:tc>
        <w:tc>
          <w:tcPr>
            <w:tcW w:w="1893" w:type="dxa"/>
          </w:tcPr>
          <w:p>
            <w:pPr>
              <w:pStyle w:val="TableParagraph"/>
              <w:ind w:left="288"/>
              <w:rPr>
                <w:sz w:val="20"/>
              </w:rPr>
            </w:pPr>
            <w:r>
              <w:rPr>
                <w:spacing w:val="-2"/>
                <w:sz w:val="20"/>
              </w:rPr>
              <w:t>1.5x10</w:t>
            </w:r>
            <w:r>
              <w:rPr>
                <w:spacing w:val="-2"/>
                <w:sz w:val="20"/>
                <w:vertAlign w:val="superscript"/>
              </w:rPr>
              <w:t>5</w:t>
            </w:r>
            <w:r>
              <w:rPr>
                <w:spacing w:val="-2"/>
                <w:sz w:val="20"/>
                <w:vertAlign w:val="baseline"/>
              </w:rPr>
              <w:t>±0.00</w:t>
            </w:r>
            <w:r>
              <w:rPr>
                <w:spacing w:val="-2"/>
                <w:sz w:val="20"/>
                <w:vertAlign w:val="superscript"/>
              </w:rPr>
              <w:t>d</w:t>
            </w:r>
          </w:p>
        </w:tc>
        <w:tc>
          <w:tcPr>
            <w:tcW w:w="1956" w:type="dxa"/>
          </w:tcPr>
          <w:p>
            <w:pPr>
              <w:pStyle w:val="TableParagraph"/>
              <w:ind w:left="353"/>
              <w:rPr>
                <w:sz w:val="20"/>
              </w:rPr>
            </w:pPr>
            <w:r>
              <w:rPr>
                <w:spacing w:val="-2"/>
                <w:sz w:val="20"/>
              </w:rPr>
              <w:t>3.0x10</w:t>
            </w:r>
            <w:r>
              <w:rPr>
                <w:spacing w:val="-2"/>
                <w:sz w:val="20"/>
                <w:vertAlign w:val="superscript"/>
              </w:rPr>
              <w:t>4</w:t>
            </w:r>
            <w:r>
              <w:rPr>
                <w:spacing w:val="-2"/>
                <w:sz w:val="20"/>
                <w:vertAlign w:val="baseline"/>
              </w:rPr>
              <w:t>±4.50</w:t>
            </w:r>
            <w:r>
              <w:rPr>
                <w:spacing w:val="-2"/>
                <w:sz w:val="20"/>
                <w:vertAlign w:val="superscript"/>
              </w:rPr>
              <w:t>b</w:t>
            </w:r>
          </w:p>
        </w:tc>
        <w:tc>
          <w:tcPr>
            <w:tcW w:w="2210" w:type="dxa"/>
          </w:tcPr>
          <w:p>
            <w:pPr>
              <w:pStyle w:val="TableParagraph"/>
              <w:ind w:left="359"/>
              <w:rPr>
                <w:sz w:val="20"/>
              </w:rPr>
            </w:pPr>
            <w:r>
              <w:rPr>
                <w:spacing w:val="-2"/>
                <w:sz w:val="20"/>
              </w:rPr>
              <w:t>2.0x10</w:t>
            </w:r>
            <w:r>
              <w:rPr>
                <w:spacing w:val="-2"/>
                <w:sz w:val="20"/>
                <w:vertAlign w:val="superscript"/>
              </w:rPr>
              <w:t>4</w:t>
            </w:r>
            <w:r>
              <w:rPr>
                <w:spacing w:val="-2"/>
                <w:sz w:val="20"/>
                <w:vertAlign w:val="baseline"/>
              </w:rPr>
              <w:t>±9.00</w:t>
            </w:r>
            <w:r>
              <w:rPr>
                <w:spacing w:val="-2"/>
                <w:sz w:val="20"/>
                <w:vertAlign w:val="superscript"/>
              </w:rPr>
              <w:t>a</w:t>
            </w:r>
          </w:p>
        </w:tc>
      </w:tr>
      <w:tr>
        <w:trPr>
          <w:trHeight w:val="429" w:hRule="atLeast"/>
        </w:trPr>
        <w:tc>
          <w:tcPr>
            <w:tcW w:w="2064" w:type="dxa"/>
          </w:tcPr>
          <w:p>
            <w:pPr>
              <w:pStyle w:val="TableParagraph"/>
              <w:ind w:left="107"/>
              <w:rPr>
                <w:sz w:val="20"/>
              </w:rPr>
            </w:pPr>
            <w:r>
              <w:rPr>
                <w:sz w:val="20"/>
              </w:rPr>
              <w:t>BS/</w:t>
            </w:r>
            <w:r>
              <w:rPr>
                <w:spacing w:val="-5"/>
                <w:sz w:val="20"/>
              </w:rPr>
              <w:t> </w:t>
            </w:r>
            <w:r>
              <w:rPr>
                <w:spacing w:val="-2"/>
                <w:sz w:val="20"/>
              </w:rPr>
              <w:t>NP/BC(2:1:1)a</w:t>
            </w:r>
          </w:p>
        </w:tc>
        <w:tc>
          <w:tcPr>
            <w:tcW w:w="1985" w:type="dxa"/>
          </w:tcPr>
          <w:p>
            <w:pPr>
              <w:pStyle w:val="TableParagraph"/>
              <w:ind w:left="333"/>
              <w:rPr>
                <w:sz w:val="20"/>
              </w:rPr>
            </w:pPr>
            <w:r>
              <w:rPr>
                <w:spacing w:val="-2"/>
                <w:sz w:val="20"/>
              </w:rPr>
              <w:t>7.0x10</w:t>
            </w:r>
            <w:r>
              <w:rPr>
                <w:spacing w:val="-2"/>
                <w:sz w:val="20"/>
                <w:vertAlign w:val="superscript"/>
              </w:rPr>
              <w:t>4</w:t>
            </w:r>
            <w:r>
              <w:rPr>
                <w:spacing w:val="-2"/>
                <w:sz w:val="20"/>
                <w:vertAlign w:val="baseline"/>
              </w:rPr>
              <w:t>±6.52</w:t>
            </w:r>
            <w:r>
              <w:rPr>
                <w:spacing w:val="-2"/>
                <w:sz w:val="20"/>
                <w:vertAlign w:val="superscript"/>
              </w:rPr>
              <w:t>c</w:t>
            </w:r>
          </w:p>
        </w:tc>
        <w:tc>
          <w:tcPr>
            <w:tcW w:w="1902" w:type="dxa"/>
          </w:tcPr>
          <w:p>
            <w:pPr>
              <w:pStyle w:val="TableParagraph"/>
              <w:ind w:left="296"/>
              <w:rPr>
                <w:sz w:val="20"/>
              </w:rPr>
            </w:pPr>
            <w:r>
              <w:rPr>
                <w:spacing w:val="-2"/>
                <w:sz w:val="20"/>
              </w:rPr>
              <w:t>4.2x10</w:t>
            </w:r>
            <w:r>
              <w:rPr>
                <w:spacing w:val="-2"/>
                <w:sz w:val="20"/>
                <w:vertAlign w:val="superscript"/>
              </w:rPr>
              <w:t>5</w:t>
            </w:r>
            <w:r>
              <w:rPr>
                <w:spacing w:val="-2"/>
                <w:sz w:val="20"/>
                <w:vertAlign w:val="baseline"/>
              </w:rPr>
              <w:t>±3.51</w:t>
            </w:r>
            <w:r>
              <w:rPr>
                <w:spacing w:val="-2"/>
                <w:sz w:val="20"/>
                <w:vertAlign w:val="superscript"/>
              </w:rPr>
              <w:t>f</w:t>
            </w:r>
          </w:p>
        </w:tc>
        <w:tc>
          <w:tcPr>
            <w:tcW w:w="1886" w:type="dxa"/>
          </w:tcPr>
          <w:p>
            <w:pPr>
              <w:pStyle w:val="TableParagraph"/>
              <w:ind w:left="354"/>
              <w:rPr>
                <w:sz w:val="20"/>
              </w:rPr>
            </w:pPr>
            <w:r>
              <w:rPr>
                <w:spacing w:val="-2"/>
                <w:sz w:val="20"/>
              </w:rPr>
              <w:t>1.8x10</w:t>
            </w:r>
            <w:r>
              <w:rPr>
                <w:spacing w:val="-2"/>
                <w:sz w:val="20"/>
                <w:vertAlign w:val="superscript"/>
              </w:rPr>
              <w:t>5</w:t>
            </w:r>
            <w:r>
              <w:rPr>
                <w:spacing w:val="-2"/>
                <w:sz w:val="20"/>
                <w:vertAlign w:val="baseline"/>
              </w:rPr>
              <w:t>±1.00</w:t>
            </w:r>
            <w:r>
              <w:rPr>
                <w:spacing w:val="-2"/>
                <w:sz w:val="20"/>
                <w:vertAlign w:val="superscript"/>
              </w:rPr>
              <w:t>e</w:t>
            </w:r>
          </w:p>
        </w:tc>
        <w:tc>
          <w:tcPr>
            <w:tcW w:w="1893" w:type="dxa"/>
          </w:tcPr>
          <w:p>
            <w:pPr>
              <w:pStyle w:val="TableParagraph"/>
              <w:ind w:left="288"/>
              <w:rPr>
                <w:sz w:val="20"/>
              </w:rPr>
            </w:pPr>
            <w:r>
              <w:rPr>
                <w:spacing w:val="-2"/>
                <w:sz w:val="20"/>
              </w:rPr>
              <w:t>8.0x10</w:t>
            </w:r>
            <w:r>
              <w:rPr>
                <w:spacing w:val="-2"/>
                <w:sz w:val="20"/>
                <w:vertAlign w:val="superscript"/>
              </w:rPr>
              <w:t>4</w:t>
            </w:r>
            <w:r>
              <w:rPr>
                <w:spacing w:val="-2"/>
                <w:sz w:val="20"/>
                <w:vertAlign w:val="baseline"/>
              </w:rPr>
              <w:t>±4.52</w:t>
            </w:r>
            <w:r>
              <w:rPr>
                <w:spacing w:val="-2"/>
                <w:sz w:val="20"/>
                <w:vertAlign w:val="superscript"/>
              </w:rPr>
              <w:t>d</w:t>
            </w:r>
          </w:p>
        </w:tc>
        <w:tc>
          <w:tcPr>
            <w:tcW w:w="1956" w:type="dxa"/>
          </w:tcPr>
          <w:p>
            <w:pPr>
              <w:pStyle w:val="TableParagraph"/>
              <w:ind w:left="353"/>
              <w:rPr>
                <w:sz w:val="20"/>
              </w:rPr>
            </w:pPr>
            <w:r>
              <w:rPr>
                <w:spacing w:val="-2"/>
                <w:sz w:val="20"/>
              </w:rPr>
              <w:t>1.0x10</w:t>
            </w:r>
            <w:r>
              <w:rPr>
                <w:spacing w:val="-2"/>
                <w:sz w:val="20"/>
                <w:vertAlign w:val="superscript"/>
              </w:rPr>
              <w:t>4</w:t>
            </w:r>
            <w:r>
              <w:rPr>
                <w:spacing w:val="-2"/>
                <w:sz w:val="20"/>
                <w:vertAlign w:val="baseline"/>
              </w:rPr>
              <w:t>±11.00</w:t>
            </w:r>
            <w:r>
              <w:rPr>
                <w:spacing w:val="-2"/>
                <w:sz w:val="20"/>
                <w:vertAlign w:val="superscript"/>
              </w:rPr>
              <w:t>a</w:t>
            </w:r>
          </w:p>
        </w:tc>
        <w:tc>
          <w:tcPr>
            <w:tcW w:w="2210" w:type="dxa"/>
          </w:tcPr>
          <w:p>
            <w:pPr>
              <w:pStyle w:val="TableParagraph"/>
              <w:ind w:left="359"/>
              <w:rPr>
                <w:sz w:val="20"/>
              </w:rPr>
            </w:pPr>
            <w:r>
              <w:rPr>
                <w:spacing w:val="-2"/>
                <w:sz w:val="20"/>
              </w:rPr>
              <w:t>2.0x10</w:t>
            </w:r>
            <w:r>
              <w:rPr>
                <w:spacing w:val="-2"/>
                <w:sz w:val="20"/>
                <w:vertAlign w:val="superscript"/>
              </w:rPr>
              <w:t>4</w:t>
            </w:r>
            <w:r>
              <w:rPr>
                <w:spacing w:val="-2"/>
                <w:sz w:val="20"/>
                <w:vertAlign w:val="baseline"/>
              </w:rPr>
              <w:t>±0.00</w:t>
            </w:r>
            <w:r>
              <w:rPr>
                <w:spacing w:val="-2"/>
                <w:sz w:val="20"/>
                <w:vertAlign w:val="superscript"/>
              </w:rPr>
              <w:t>b</w:t>
            </w:r>
          </w:p>
        </w:tc>
      </w:tr>
      <w:tr>
        <w:trPr>
          <w:trHeight w:val="429" w:hRule="atLeast"/>
        </w:trPr>
        <w:tc>
          <w:tcPr>
            <w:tcW w:w="2064" w:type="dxa"/>
          </w:tcPr>
          <w:p>
            <w:pPr>
              <w:pStyle w:val="TableParagraph"/>
              <w:ind w:left="107"/>
              <w:rPr>
                <w:sz w:val="20"/>
              </w:rPr>
            </w:pPr>
            <w:r>
              <w:rPr>
                <w:sz w:val="20"/>
              </w:rPr>
              <w:t>BS/</w:t>
            </w:r>
            <w:r>
              <w:rPr>
                <w:spacing w:val="-5"/>
                <w:sz w:val="20"/>
              </w:rPr>
              <w:t> </w:t>
            </w:r>
            <w:r>
              <w:rPr>
                <w:spacing w:val="-2"/>
                <w:sz w:val="20"/>
              </w:rPr>
              <w:t>NP/BC(1:1:2)a</w:t>
            </w:r>
          </w:p>
        </w:tc>
        <w:tc>
          <w:tcPr>
            <w:tcW w:w="1985" w:type="dxa"/>
          </w:tcPr>
          <w:p>
            <w:pPr>
              <w:pStyle w:val="TableParagraph"/>
              <w:ind w:left="333"/>
              <w:rPr>
                <w:sz w:val="20"/>
              </w:rPr>
            </w:pPr>
            <w:r>
              <w:rPr>
                <w:spacing w:val="-2"/>
                <w:sz w:val="20"/>
              </w:rPr>
              <w:t>4.0x10</w:t>
            </w:r>
            <w:r>
              <w:rPr>
                <w:spacing w:val="-2"/>
                <w:sz w:val="20"/>
                <w:vertAlign w:val="superscript"/>
              </w:rPr>
              <w:t>4</w:t>
            </w:r>
            <w:r>
              <w:rPr>
                <w:spacing w:val="-2"/>
                <w:sz w:val="20"/>
                <w:vertAlign w:val="baseline"/>
              </w:rPr>
              <w:t>±7.51</w:t>
            </w:r>
            <w:r>
              <w:rPr>
                <w:spacing w:val="-2"/>
                <w:sz w:val="20"/>
                <w:vertAlign w:val="superscript"/>
              </w:rPr>
              <w:t>b</w:t>
            </w:r>
          </w:p>
        </w:tc>
        <w:tc>
          <w:tcPr>
            <w:tcW w:w="1902" w:type="dxa"/>
          </w:tcPr>
          <w:p>
            <w:pPr>
              <w:pStyle w:val="TableParagraph"/>
              <w:ind w:left="296"/>
              <w:rPr>
                <w:sz w:val="20"/>
              </w:rPr>
            </w:pPr>
            <w:r>
              <w:rPr>
                <w:spacing w:val="-2"/>
                <w:sz w:val="20"/>
              </w:rPr>
              <w:t>8.0x10</w:t>
            </w:r>
            <w:r>
              <w:rPr>
                <w:spacing w:val="-2"/>
                <w:sz w:val="20"/>
                <w:vertAlign w:val="superscript"/>
              </w:rPr>
              <w:t>4</w:t>
            </w:r>
            <w:r>
              <w:rPr>
                <w:spacing w:val="-2"/>
                <w:sz w:val="20"/>
                <w:vertAlign w:val="baseline"/>
              </w:rPr>
              <w:t>±3.51</w:t>
            </w:r>
            <w:r>
              <w:rPr>
                <w:spacing w:val="-2"/>
                <w:sz w:val="20"/>
                <w:vertAlign w:val="superscript"/>
              </w:rPr>
              <w:t>c</w:t>
            </w:r>
          </w:p>
        </w:tc>
        <w:tc>
          <w:tcPr>
            <w:tcW w:w="1886" w:type="dxa"/>
          </w:tcPr>
          <w:p>
            <w:pPr>
              <w:pStyle w:val="TableParagraph"/>
              <w:ind w:left="354"/>
              <w:rPr>
                <w:sz w:val="20"/>
              </w:rPr>
            </w:pPr>
            <w:r>
              <w:rPr>
                <w:spacing w:val="-2"/>
                <w:sz w:val="20"/>
              </w:rPr>
              <w:t>1.3x10</w:t>
            </w:r>
            <w:r>
              <w:rPr>
                <w:spacing w:val="-2"/>
                <w:sz w:val="20"/>
                <w:vertAlign w:val="superscript"/>
              </w:rPr>
              <w:t>5</w:t>
            </w:r>
            <w:r>
              <w:rPr>
                <w:spacing w:val="-2"/>
                <w:sz w:val="20"/>
                <w:vertAlign w:val="baseline"/>
              </w:rPr>
              <w:t>±5.41</w:t>
            </w:r>
            <w:r>
              <w:rPr>
                <w:spacing w:val="-2"/>
                <w:sz w:val="20"/>
                <w:vertAlign w:val="superscript"/>
              </w:rPr>
              <w:t>b</w:t>
            </w:r>
          </w:p>
        </w:tc>
        <w:tc>
          <w:tcPr>
            <w:tcW w:w="1893" w:type="dxa"/>
          </w:tcPr>
          <w:p>
            <w:pPr>
              <w:pStyle w:val="TableParagraph"/>
              <w:ind w:left="288"/>
              <w:rPr>
                <w:sz w:val="20"/>
              </w:rPr>
            </w:pPr>
            <w:r>
              <w:rPr>
                <w:spacing w:val="-2"/>
                <w:sz w:val="20"/>
              </w:rPr>
              <w:t>8.0x10</w:t>
            </w:r>
            <w:r>
              <w:rPr>
                <w:spacing w:val="-2"/>
                <w:sz w:val="20"/>
                <w:vertAlign w:val="superscript"/>
              </w:rPr>
              <w:t>4</w:t>
            </w:r>
            <w:r>
              <w:rPr>
                <w:spacing w:val="-2"/>
                <w:sz w:val="20"/>
                <w:vertAlign w:val="baseline"/>
              </w:rPr>
              <w:t>±4.00</w:t>
            </w:r>
            <w:r>
              <w:rPr>
                <w:spacing w:val="-2"/>
                <w:sz w:val="20"/>
                <w:vertAlign w:val="superscript"/>
              </w:rPr>
              <w:t>c</w:t>
            </w:r>
          </w:p>
        </w:tc>
        <w:tc>
          <w:tcPr>
            <w:tcW w:w="1956" w:type="dxa"/>
          </w:tcPr>
          <w:p>
            <w:pPr>
              <w:pStyle w:val="TableParagraph"/>
              <w:ind w:left="353"/>
              <w:rPr>
                <w:sz w:val="20"/>
              </w:rPr>
            </w:pPr>
            <w:r>
              <w:rPr>
                <w:spacing w:val="-2"/>
                <w:sz w:val="20"/>
              </w:rPr>
              <w:t>4.0x10</w:t>
            </w:r>
            <w:r>
              <w:rPr>
                <w:spacing w:val="-2"/>
                <w:sz w:val="20"/>
                <w:vertAlign w:val="superscript"/>
              </w:rPr>
              <w:t>4</w:t>
            </w:r>
            <w:r>
              <w:rPr>
                <w:spacing w:val="-2"/>
                <w:sz w:val="20"/>
                <w:vertAlign w:val="baseline"/>
              </w:rPr>
              <w:t>±4.01</w:t>
            </w:r>
            <w:r>
              <w:rPr>
                <w:spacing w:val="-2"/>
                <w:sz w:val="20"/>
                <w:vertAlign w:val="superscript"/>
              </w:rPr>
              <w:t>b</w:t>
            </w:r>
          </w:p>
        </w:tc>
        <w:tc>
          <w:tcPr>
            <w:tcW w:w="2210" w:type="dxa"/>
          </w:tcPr>
          <w:p>
            <w:pPr>
              <w:pStyle w:val="TableParagraph"/>
              <w:ind w:left="359"/>
              <w:rPr>
                <w:sz w:val="20"/>
              </w:rPr>
            </w:pPr>
            <w:r>
              <w:rPr>
                <w:spacing w:val="-2"/>
                <w:sz w:val="20"/>
              </w:rPr>
              <w:t>2.0x10</w:t>
            </w:r>
            <w:r>
              <w:rPr>
                <w:spacing w:val="-2"/>
                <w:sz w:val="20"/>
                <w:vertAlign w:val="superscript"/>
              </w:rPr>
              <w:t>4</w:t>
            </w:r>
            <w:r>
              <w:rPr>
                <w:spacing w:val="-2"/>
                <w:sz w:val="20"/>
                <w:vertAlign w:val="baseline"/>
              </w:rPr>
              <w:t>±0.00</w:t>
            </w:r>
            <w:r>
              <w:rPr>
                <w:spacing w:val="-2"/>
                <w:sz w:val="20"/>
                <w:vertAlign w:val="superscript"/>
              </w:rPr>
              <w:t>a</w:t>
            </w:r>
          </w:p>
        </w:tc>
      </w:tr>
      <w:tr>
        <w:trPr>
          <w:trHeight w:val="429" w:hRule="atLeast"/>
        </w:trPr>
        <w:tc>
          <w:tcPr>
            <w:tcW w:w="2064" w:type="dxa"/>
          </w:tcPr>
          <w:p>
            <w:pPr>
              <w:pStyle w:val="TableParagraph"/>
              <w:ind w:left="107"/>
              <w:rPr>
                <w:sz w:val="20"/>
              </w:rPr>
            </w:pPr>
            <w:r>
              <w:rPr>
                <w:sz w:val="20"/>
              </w:rPr>
              <w:t>BS/</w:t>
            </w:r>
            <w:r>
              <w:rPr>
                <w:spacing w:val="-5"/>
                <w:sz w:val="20"/>
              </w:rPr>
              <w:t> </w:t>
            </w:r>
            <w:r>
              <w:rPr>
                <w:spacing w:val="-2"/>
                <w:sz w:val="20"/>
              </w:rPr>
              <w:t>NP/BC(1:1:1)b</w:t>
            </w:r>
          </w:p>
        </w:tc>
        <w:tc>
          <w:tcPr>
            <w:tcW w:w="1985" w:type="dxa"/>
          </w:tcPr>
          <w:p>
            <w:pPr>
              <w:pStyle w:val="TableParagraph"/>
              <w:ind w:left="333"/>
              <w:rPr>
                <w:sz w:val="20"/>
              </w:rPr>
            </w:pPr>
            <w:r>
              <w:rPr>
                <w:spacing w:val="-2"/>
                <w:sz w:val="20"/>
              </w:rPr>
              <w:t>3.0x10</w:t>
            </w:r>
            <w:r>
              <w:rPr>
                <w:spacing w:val="-2"/>
                <w:sz w:val="20"/>
                <w:vertAlign w:val="superscript"/>
              </w:rPr>
              <w:t>4</w:t>
            </w:r>
            <w:r>
              <w:rPr>
                <w:spacing w:val="-2"/>
                <w:sz w:val="20"/>
                <w:vertAlign w:val="baseline"/>
              </w:rPr>
              <w:t>±7.00</w:t>
            </w:r>
            <w:r>
              <w:rPr>
                <w:spacing w:val="-2"/>
                <w:sz w:val="20"/>
                <w:vertAlign w:val="superscript"/>
              </w:rPr>
              <w:t>b</w:t>
            </w:r>
          </w:p>
        </w:tc>
        <w:tc>
          <w:tcPr>
            <w:tcW w:w="1902" w:type="dxa"/>
          </w:tcPr>
          <w:p>
            <w:pPr>
              <w:pStyle w:val="TableParagraph"/>
              <w:ind w:left="296"/>
              <w:rPr>
                <w:sz w:val="20"/>
              </w:rPr>
            </w:pPr>
            <w:r>
              <w:rPr>
                <w:spacing w:val="-2"/>
                <w:sz w:val="20"/>
              </w:rPr>
              <w:t>8.0x10</w:t>
            </w:r>
            <w:r>
              <w:rPr>
                <w:spacing w:val="-2"/>
                <w:sz w:val="20"/>
                <w:vertAlign w:val="superscript"/>
              </w:rPr>
              <w:t>4</w:t>
            </w:r>
            <w:r>
              <w:rPr>
                <w:spacing w:val="-2"/>
                <w:sz w:val="20"/>
                <w:vertAlign w:val="baseline"/>
              </w:rPr>
              <w:t>±0.52</w:t>
            </w:r>
            <w:r>
              <w:rPr>
                <w:spacing w:val="-2"/>
                <w:sz w:val="20"/>
                <w:vertAlign w:val="superscript"/>
              </w:rPr>
              <w:t>d</w:t>
            </w:r>
          </w:p>
        </w:tc>
        <w:tc>
          <w:tcPr>
            <w:tcW w:w="1886" w:type="dxa"/>
          </w:tcPr>
          <w:p>
            <w:pPr>
              <w:pStyle w:val="TableParagraph"/>
              <w:ind w:left="354"/>
              <w:rPr>
                <w:sz w:val="20"/>
              </w:rPr>
            </w:pPr>
            <w:r>
              <w:rPr>
                <w:spacing w:val="-2"/>
                <w:sz w:val="20"/>
              </w:rPr>
              <w:t>1.5x10</w:t>
            </w:r>
            <w:r>
              <w:rPr>
                <w:spacing w:val="-2"/>
                <w:sz w:val="20"/>
                <w:vertAlign w:val="superscript"/>
              </w:rPr>
              <w:t>5</w:t>
            </w:r>
            <w:r>
              <w:rPr>
                <w:spacing w:val="-2"/>
                <w:sz w:val="20"/>
                <w:vertAlign w:val="baseline"/>
              </w:rPr>
              <w:t>±2.50</w:t>
            </w:r>
            <w:r>
              <w:rPr>
                <w:spacing w:val="-2"/>
                <w:sz w:val="20"/>
                <w:vertAlign w:val="superscript"/>
              </w:rPr>
              <w:t>e</w:t>
            </w:r>
          </w:p>
        </w:tc>
        <w:tc>
          <w:tcPr>
            <w:tcW w:w="1893" w:type="dxa"/>
          </w:tcPr>
          <w:p>
            <w:pPr>
              <w:pStyle w:val="TableParagraph"/>
              <w:ind w:left="288"/>
              <w:rPr>
                <w:sz w:val="20"/>
              </w:rPr>
            </w:pPr>
            <w:r>
              <w:rPr>
                <w:spacing w:val="-2"/>
                <w:sz w:val="20"/>
              </w:rPr>
              <w:t>1.0x10</w:t>
            </w:r>
            <w:r>
              <w:rPr>
                <w:spacing w:val="-2"/>
                <w:sz w:val="20"/>
                <w:vertAlign w:val="superscript"/>
              </w:rPr>
              <w:t>5</w:t>
            </w:r>
            <w:r>
              <w:rPr>
                <w:spacing w:val="-2"/>
                <w:sz w:val="20"/>
                <w:vertAlign w:val="baseline"/>
              </w:rPr>
              <w:t>±0.00</w:t>
            </w:r>
            <w:r>
              <w:rPr>
                <w:spacing w:val="-2"/>
                <w:sz w:val="20"/>
                <w:vertAlign w:val="superscript"/>
              </w:rPr>
              <w:t>e</w:t>
            </w:r>
          </w:p>
        </w:tc>
        <w:tc>
          <w:tcPr>
            <w:tcW w:w="1956" w:type="dxa"/>
          </w:tcPr>
          <w:p>
            <w:pPr>
              <w:pStyle w:val="TableParagraph"/>
              <w:ind w:left="353"/>
              <w:rPr>
                <w:sz w:val="20"/>
              </w:rPr>
            </w:pPr>
            <w:r>
              <w:rPr>
                <w:spacing w:val="-2"/>
                <w:sz w:val="20"/>
              </w:rPr>
              <w:t>6.0x10</w:t>
            </w:r>
            <w:r>
              <w:rPr>
                <w:spacing w:val="-2"/>
                <w:sz w:val="20"/>
                <w:vertAlign w:val="superscript"/>
              </w:rPr>
              <w:t>4</w:t>
            </w:r>
            <w:r>
              <w:rPr>
                <w:spacing w:val="-2"/>
                <w:sz w:val="20"/>
                <w:vertAlign w:val="baseline"/>
              </w:rPr>
              <w:t>±12.52</w:t>
            </w:r>
            <w:r>
              <w:rPr>
                <w:spacing w:val="-2"/>
                <w:sz w:val="20"/>
                <w:vertAlign w:val="superscript"/>
              </w:rPr>
              <w:t>c</w:t>
            </w:r>
          </w:p>
        </w:tc>
        <w:tc>
          <w:tcPr>
            <w:tcW w:w="2210" w:type="dxa"/>
          </w:tcPr>
          <w:p>
            <w:pPr>
              <w:pStyle w:val="TableParagraph"/>
              <w:ind w:left="359"/>
              <w:rPr>
                <w:sz w:val="20"/>
              </w:rPr>
            </w:pPr>
            <w:r>
              <w:rPr>
                <w:spacing w:val="-2"/>
                <w:sz w:val="20"/>
              </w:rPr>
              <w:t>2.0x10</w:t>
            </w:r>
            <w:r>
              <w:rPr>
                <w:spacing w:val="-2"/>
                <w:sz w:val="20"/>
                <w:vertAlign w:val="superscript"/>
              </w:rPr>
              <w:t>4</w:t>
            </w:r>
            <w:r>
              <w:rPr>
                <w:spacing w:val="-2"/>
                <w:sz w:val="20"/>
                <w:vertAlign w:val="baseline"/>
              </w:rPr>
              <w:t>±0.50</w:t>
            </w:r>
            <w:r>
              <w:rPr>
                <w:spacing w:val="-2"/>
                <w:sz w:val="20"/>
                <w:vertAlign w:val="superscript"/>
              </w:rPr>
              <w:t>a</w:t>
            </w:r>
          </w:p>
        </w:tc>
      </w:tr>
      <w:tr>
        <w:trPr>
          <w:trHeight w:val="430" w:hRule="atLeast"/>
        </w:trPr>
        <w:tc>
          <w:tcPr>
            <w:tcW w:w="2064" w:type="dxa"/>
          </w:tcPr>
          <w:p>
            <w:pPr>
              <w:pStyle w:val="TableParagraph"/>
              <w:ind w:left="107"/>
              <w:rPr>
                <w:sz w:val="20"/>
              </w:rPr>
            </w:pPr>
            <w:r>
              <w:rPr>
                <w:sz w:val="20"/>
              </w:rPr>
              <w:t>BS/</w:t>
            </w:r>
            <w:r>
              <w:rPr>
                <w:spacing w:val="-7"/>
                <w:sz w:val="20"/>
              </w:rPr>
              <w:t> </w:t>
            </w:r>
            <w:r>
              <w:rPr>
                <w:sz w:val="20"/>
              </w:rPr>
              <w:t>NP/BC(1:</w:t>
            </w:r>
            <w:r>
              <w:rPr>
                <w:spacing w:val="-4"/>
                <w:sz w:val="20"/>
              </w:rPr>
              <w:t> </w:t>
            </w:r>
            <w:r>
              <w:rPr>
                <w:spacing w:val="-2"/>
                <w:sz w:val="20"/>
              </w:rPr>
              <w:t>2:1)b</w:t>
            </w:r>
          </w:p>
        </w:tc>
        <w:tc>
          <w:tcPr>
            <w:tcW w:w="1985" w:type="dxa"/>
          </w:tcPr>
          <w:p>
            <w:pPr>
              <w:pStyle w:val="TableParagraph"/>
              <w:ind w:left="333"/>
              <w:rPr>
                <w:sz w:val="20"/>
              </w:rPr>
            </w:pPr>
            <w:r>
              <w:rPr>
                <w:spacing w:val="-2"/>
                <w:sz w:val="20"/>
              </w:rPr>
              <w:t>1.5x10</w:t>
            </w:r>
            <w:r>
              <w:rPr>
                <w:spacing w:val="-2"/>
                <w:sz w:val="20"/>
                <w:vertAlign w:val="superscript"/>
              </w:rPr>
              <w:t>5</w:t>
            </w:r>
            <w:r>
              <w:rPr>
                <w:spacing w:val="-2"/>
                <w:sz w:val="20"/>
                <w:vertAlign w:val="baseline"/>
              </w:rPr>
              <w:t>±10.53</w:t>
            </w:r>
            <w:r>
              <w:rPr>
                <w:spacing w:val="-2"/>
                <w:sz w:val="20"/>
                <w:vertAlign w:val="superscript"/>
              </w:rPr>
              <w:t>c</w:t>
            </w:r>
          </w:p>
        </w:tc>
        <w:tc>
          <w:tcPr>
            <w:tcW w:w="1902" w:type="dxa"/>
          </w:tcPr>
          <w:p>
            <w:pPr>
              <w:pStyle w:val="TableParagraph"/>
              <w:ind w:left="296"/>
              <w:rPr>
                <w:sz w:val="20"/>
              </w:rPr>
            </w:pPr>
            <w:r>
              <w:rPr>
                <w:spacing w:val="-2"/>
                <w:sz w:val="20"/>
              </w:rPr>
              <w:t>3.4x10</w:t>
            </w:r>
            <w:r>
              <w:rPr>
                <w:spacing w:val="-2"/>
                <w:sz w:val="20"/>
                <w:vertAlign w:val="superscript"/>
              </w:rPr>
              <w:t>5</w:t>
            </w:r>
            <w:r>
              <w:rPr>
                <w:spacing w:val="-2"/>
                <w:sz w:val="20"/>
                <w:vertAlign w:val="baseline"/>
              </w:rPr>
              <w:t>±2.50</w:t>
            </w:r>
            <w:r>
              <w:rPr>
                <w:spacing w:val="-2"/>
                <w:sz w:val="20"/>
                <w:vertAlign w:val="superscript"/>
              </w:rPr>
              <w:t>e</w:t>
            </w:r>
          </w:p>
        </w:tc>
        <w:tc>
          <w:tcPr>
            <w:tcW w:w="1886" w:type="dxa"/>
          </w:tcPr>
          <w:p>
            <w:pPr>
              <w:pStyle w:val="TableParagraph"/>
              <w:ind w:left="354"/>
              <w:rPr>
                <w:sz w:val="20"/>
              </w:rPr>
            </w:pPr>
            <w:r>
              <w:rPr>
                <w:spacing w:val="-2"/>
                <w:sz w:val="20"/>
              </w:rPr>
              <w:t>4.7x10</w:t>
            </w:r>
            <w:r>
              <w:rPr>
                <w:spacing w:val="-2"/>
                <w:sz w:val="20"/>
                <w:vertAlign w:val="superscript"/>
              </w:rPr>
              <w:t>5</w:t>
            </w:r>
            <w:r>
              <w:rPr>
                <w:spacing w:val="-2"/>
                <w:sz w:val="20"/>
                <w:vertAlign w:val="baseline"/>
              </w:rPr>
              <w:t>±6.00</w:t>
            </w:r>
            <w:r>
              <w:rPr>
                <w:spacing w:val="-2"/>
                <w:sz w:val="20"/>
                <w:vertAlign w:val="superscript"/>
              </w:rPr>
              <w:t>f</w:t>
            </w:r>
          </w:p>
        </w:tc>
        <w:tc>
          <w:tcPr>
            <w:tcW w:w="1893" w:type="dxa"/>
          </w:tcPr>
          <w:p>
            <w:pPr>
              <w:pStyle w:val="TableParagraph"/>
              <w:ind w:left="288"/>
              <w:rPr>
                <w:sz w:val="20"/>
              </w:rPr>
            </w:pPr>
            <w:r>
              <w:rPr>
                <w:spacing w:val="-2"/>
                <w:sz w:val="20"/>
              </w:rPr>
              <w:t>1.7x10</w:t>
            </w:r>
            <w:r>
              <w:rPr>
                <w:spacing w:val="-2"/>
                <w:sz w:val="20"/>
                <w:vertAlign w:val="superscript"/>
              </w:rPr>
              <w:t>5</w:t>
            </w:r>
            <w:r>
              <w:rPr>
                <w:spacing w:val="-2"/>
                <w:sz w:val="20"/>
                <w:vertAlign w:val="baseline"/>
              </w:rPr>
              <w:t>±3.00</w:t>
            </w:r>
            <w:r>
              <w:rPr>
                <w:spacing w:val="-2"/>
                <w:sz w:val="20"/>
                <w:vertAlign w:val="superscript"/>
              </w:rPr>
              <w:t>d</w:t>
            </w:r>
          </w:p>
        </w:tc>
        <w:tc>
          <w:tcPr>
            <w:tcW w:w="1956" w:type="dxa"/>
          </w:tcPr>
          <w:p>
            <w:pPr>
              <w:pStyle w:val="TableParagraph"/>
              <w:ind w:left="353"/>
              <w:rPr>
                <w:sz w:val="20"/>
              </w:rPr>
            </w:pPr>
            <w:r>
              <w:rPr>
                <w:spacing w:val="-2"/>
                <w:sz w:val="20"/>
              </w:rPr>
              <w:t>1.4x10</w:t>
            </w:r>
            <w:r>
              <w:rPr>
                <w:spacing w:val="-2"/>
                <w:sz w:val="20"/>
                <w:vertAlign w:val="superscript"/>
              </w:rPr>
              <w:t>5</w:t>
            </w:r>
            <w:r>
              <w:rPr>
                <w:spacing w:val="-2"/>
                <w:sz w:val="20"/>
                <w:vertAlign w:val="baseline"/>
              </w:rPr>
              <w:t>±4.00</w:t>
            </w:r>
            <w:r>
              <w:rPr>
                <w:spacing w:val="-2"/>
                <w:sz w:val="20"/>
                <w:vertAlign w:val="superscript"/>
              </w:rPr>
              <w:t>b</w:t>
            </w:r>
          </w:p>
        </w:tc>
        <w:tc>
          <w:tcPr>
            <w:tcW w:w="2210" w:type="dxa"/>
          </w:tcPr>
          <w:p>
            <w:pPr>
              <w:pStyle w:val="TableParagraph"/>
              <w:ind w:left="359"/>
              <w:rPr>
                <w:sz w:val="20"/>
              </w:rPr>
            </w:pPr>
            <w:r>
              <w:rPr>
                <w:spacing w:val="-2"/>
                <w:sz w:val="20"/>
              </w:rPr>
              <w:t>6.0x10</w:t>
            </w:r>
            <w:r>
              <w:rPr>
                <w:spacing w:val="-2"/>
                <w:sz w:val="20"/>
                <w:vertAlign w:val="superscript"/>
              </w:rPr>
              <w:t>4</w:t>
            </w:r>
            <w:r>
              <w:rPr>
                <w:spacing w:val="-2"/>
                <w:sz w:val="20"/>
                <w:vertAlign w:val="baseline"/>
              </w:rPr>
              <w:t>±1.47</w:t>
            </w:r>
            <w:r>
              <w:rPr>
                <w:spacing w:val="-2"/>
                <w:sz w:val="20"/>
                <w:vertAlign w:val="superscript"/>
              </w:rPr>
              <w:t>a</w:t>
            </w:r>
          </w:p>
        </w:tc>
      </w:tr>
      <w:tr>
        <w:trPr>
          <w:trHeight w:val="429" w:hRule="atLeast"/>
        </w:trPr>
        <w:tc>
          <w:tcPr>
            <w:tcW w:w="2064" w:type="dxa"/>
          </w:tcPr>
          <w:p>
            <w:pPr>
              <w:pStyle w:val="TableParagraph"/>
              <w:spacing w:before="100"/>
              <w:ind w:left="107"/>
              <w:rPr>
                <w:sz w:val="20"/>
              </w:rPr>
            </w:pPr>
            <w:r>
              <w:rPr>
                <w:sz w:val="20"/>
              </w:rPr>
              <w:t>BS/</w:t>
            </w:r>
            <w:r>
              <w:rPr>
                <w:spacing w:val="-7"/>
                <w:sz w:val="20"/>
              </w:rPr>
              <w:t> </w:t>
            </w:r>
            <w:r>
              <w:rPr>
                <w:sz w:val="20"/>
              </w:rPr>
              <w:t>NP/BC(2:</w:t>
            </w:r>
            <w:r>
              <w:rPr>
                <w:spacing w:val="-4"/>
                <w:sz w:val="20"/>
              </w:rPr>
              <w:t> </w:t>
            </w:r>
            <w:r>
              <w:rPr>
                <w:spacing w:val="-2"/>
                <w:sz w:val="20"/>
              </w:rPr>
              <w:t>1:1)b</w:t>
            </w:r>
          </w:p>
        </w:tc>
        <w:tc>
          <w:tcPr>
            <w:tcW w:w="1985" w:type="dxa"/>
          </w:tcPr>
          <w:p>
            <w:pPr>
              <w:pStyle w:val="TableParagraph"/>
              <w:spacing w:before="100"/>
              <w:ind w:left="333"/>
              <w:rPr>
                <w:sz w:val="20"/>
              </w:rPr>
            </w:pPr>
            <w:r>
              <w:rPr>
                <w:spacing w:val="-2"/>
                <w:sz w:val="20"/>
              </w:rPr>
              <w:t>4.0x10</w:t>
            </w:r>
            <w:r>
              <w:rPr>
                <w:spacing w:val="-2"/>
                <w:sz w:val="20"/>
                <w:vertAlign w:val="superscript"/>
              </w:rPr>
              <w:t>4</w:t>
            </w:r>
            <w:r>
              <w:rPr>
                <w:spacing w:val="-2"/>
                <w:sz w:val="20"/>
                <w:vertAlign w:val="baseline"/>
              </w:rPr>
              <w:t>±40.50</w:t>
            </w:r>
            <w:r>
              <w:rPr>
                <w:spacing w:val="-2"/>
                <w:sz w:val="20"/>
                <w:vertAlign w:val="superscript"/>
              </w:rPr>
              <w:t>c</w:t>
            </w:r>
          </w:p>
        </w:tc>
        <w:tc>
          <w:tcPr>
            <w:tcW w:w="1902" w:type="dxa"/>
          </w:tcPr>
          <w:p>
            <w:pPr>
              <w:pStyle w:val="TableParagraph"/>
              <w:spacing w:before="100"/>
              <w:ind w:left="296"/>
              <w:rPr>
                <w:sz w:val="20"/>
              </w:rPr>
            </w:pPr>
            <w:r>
              <w:rPr>
                <w:spacing w:val="-2"/>
                <w:sz w:val="20"/>
              </w:rPr>
              <w:t>6.0x10</w:t>
            </w:r>
            <w:r>
              <w:rPr>
                <w:spacing w:val="-2"/>
                <w:sz w:val="20"/>
                <w:vertAlign w:val="superscript"/>
              </w:rPr>
              <w:t>4</w:t>
            </w:r>
            <w:r>
              <w:rPr>
                <w:spacing w:val="-2"/>
                <w:sz w:val="20"/>
                <w:vertAlign w:val="baseline"/>
              </w:rPr>
              <w:t>±0.00</w:t>
            </w:r>
            <w:r>
              <w:rPr>
                <w:spacing w:val="-2"/>
                <w:sz w:val="20"/>
                <w:vertAlign w:val="superscript"/>
              </w:rPr>
              <w:t>d</w:t>
            </w:r>
          </w:p>
        </w:tc>
        <w:tc>
          <w:tcPr>
            <w:tcW w:w="1886" w:type="dxa"/>
          </w:tcPr>
          <w:p>
            <w:pPr>
              <w:pStyle w:val="TableParagraph"/>
              <w:spacing w:before="100"/>
              <w:ind w:left="354"/>
              <w:rPr>
                <w:sz w:val="20"/>
              </w:rPr>
            </w:pPr>
            <w:r>
              <w:rPr>
                <w:spacing w:val="-2"/>
                <w:sz w:val="20"/>
              </w:rPr>
              <w:t>2.1x10</w:t>
            </w:r>
            <w:r>
              <w:rPr>
                <w:spacing w:val="-2"/>
                <w:sz w:val="20"/>
                <w:vertAlign w:val="superscript"/>
              </w:rPr>
              <w:t>5</w:t>
            </w:r>
            <w:r>
              <w:rPr>
                <w:spacing w:val="-2"/>
                <w:sz w:val="20"/>
                <w:vertAlign w:val="baseline"/>
              </w:rPr>
              <w:t>±4.00</w:t>
            </w:r>
            <w:r>
              <w:rPr>
                <w:spacing w:val="-2"/>
                <w:sz w:val="20"/>
                <w:vertAlign w:val="superscript"/>
              </w:rPr>
              <w:t>f</w:t>
            </w:r>
          </w:p>
        </w:tc>
        <w:tc>
          <w:tcPr>
            <w:tcW w:w="1893" w:type="dxa"/>
          </w:tcPr>
          <w:p>
            <w:pPr>
              <w:pStyle w:val="TableParagraph"/>
              <w:spacing w:before="100"/>
              <w:ind w:left="288"/>
              <w:rPr>
                <w:sz w:val="20"/>
              </w:rPr>
            </w:pPr>
            <w:r>
              <w:rPr>
                <w:spacing w:val="-2"/>
                <w:sz w:val="20"/>
              </w:rPr>
              <w:t>1.5x10</w:t>
            </w:r>
            <w:r>
              <w:rPr>
                <w:spacing w:val="-2"/>
                <w:sz w:val="20"/>
                <w:vertAlign w:val="superscript"/>
              </w:rPr>
              <w:t>5</w:t>
            </w:r>
            <w:r>
              <w:rPr>
                <w:spacing w:val="-2"/>
                <w:sz w:val="20"/>
                <w:vertAlign w:val="baseline"/>
              </w:rPr>
              <w:t>±4.51</w:t>
            </w:r>
            <w:r>
              <w:rPr>
                <w:spacing w:val="-2"/>
                <w:sz w:val="20"/>
                <w:vertAlign w:val="superscript"/>
              </w:rPr>
              <w:t>e</w:t>
            </w:r>
          </w:p>
        </w:tc>
        <w:tc>
          <w:tcPr>
            <w:tcW w:w="1956" w:type="dxa"/>
          </w:tcPr>
          <w:p>
            <w:pPr>
              <w:pStyle w:val="TableParagraph"/>
              <w:spacing w:before="100"/>
              <w:ind w:left="353"/>
              <w:rPr>
                <w:sz w:val="20"/>
              </w:rPr>
            </w:pPr>
            <w:r>
              <w:rPr>
                <w:spacing w:val="-2"/>
                <w:sz w:val="20"/>
              </w:rPr>
              <w:t>3.0x10</w:t>
            </w:r>
            <w:r>
              <w:rPr>
                <w:spacing w:val="-2"/>
                <w:sz w:val="20"/>
                <w:vertAlign w:val="superscript"/>
              </w:rPr>
              <w:t>4</w:t>
            </w:r>
            <w:r>
              <w:rPr>
                <w:spacing w:val="-2"/>
                <w:sz w:val="20"/>
                <w:vertAlign w:val="baseline"/>
              </w:rPr>
              <w:t>±7.50</w:t>
            </w:r>
            <w:r>
              <w:rPr>
                <w:spacing w:val="-2"/>
                <w:sz w:val="20"/>
                <w:vertAlign w:val="superscript"/>
              </w:rPr>
              <w:t>b</w:t>
            </w:r>
          </w:p>
        </w:tc>
        <w:tc>
          <w:tcPr>
            <w:tcW w:w="2210" w:type="dxa"/>
          </w:tcPr>
          <w:p>
            <w:pPr>
              <w:pStyle w:val="TableParagraph"/>
              <w:spacing w:before="100"/>
              <w:ind w:left="359"/>
              <w:rPr>
                <w:sz w:val="20"/>
              </w:rPr>
            </w:pPr>
            <w:r>
              <w:rPr>
                <w:spacing w:val="-2"/>
                <w:sz w:val="20"/>
              </w:rPr>
              <w:t>1.0x10</w:t>
            </w:r>
            <w:r>
              <w:rPr>
                <w:spacing w:val="-2"/>
                <w:sz w:val="20"/>
                <w:vertAlign w:val="superscript"/>
              </w:rPr>
              <w:t>4</w:t>
            </w:r>
            <w:r>
              <w:rPr>
                <w:spacing w:val="-2"/>
                <w:sz w:val="20"/>
                <w:vertAlign w:val="baseline"/>
              </w:rPr>
              <w:t>±4.51</w:t>
            </w:r>
            <w:r>
              <w:rPr>
                <w:spacing w:val="-2"/>
                <w:sz w:val="20"/>
                <w:vertAlign w:val="superscript"/>
              </w:rPr>
              <w:t>a</w:t>
            </w:r>
          </w:p>
        </w:tc>
      </w:tr>
      <w:tr>
        <w:trPr>
          <w:trHeight w:val="583" w:hRule="atLeast"/>
        </w:trPr>
        <w:tc>
          <w:tcPr>
            <w:tcW w:w="2064" w:type="dxa"/>
          </w:tcPr>
          <w:p>
            <w:pPr>
              <w:pStyle w:val="TableParagraph"/>
              <w:spacing w:before="98"/>
              <w:ind w:left="107"/>
              <w:rPr>
                <w:sz w:val="20"/>
              </w:rPr>
            </w:pPr>
            <w:r>
              <w:rPr>
                <w:sz w:val="20"/>
              </w:rPr>
              <w:t>BS/</w:t>
            </w:r>
            <w:r>
              <w:rPr>
                <w:spacing w:val="-4"/>
                <w:sz w:val="20"/>
              </w:rPr>
              <w:t> </w:t>
            </w:r>
            <w:r>
              <w:rPr>
                <w:spacing w:val="-2"/>
                <w:sz w:val="20"/>
              </w:rPr>
              <w:t>NP/BC(1:1:2)b</w:t>
            </w:r>
          </w:p>
        </w:tc>
        <w:tc>
          <w:tcPr>
            <w:tcW w:w="1985" w:type="dxa"/>
          </w:tcPr>
          <w:p>
            <w:pPr>
              <w:pStyle w:val="TableParagraph"/>
              <w:spacing w:before="98"/>
              <w:ind w:left="333"/>
              <w:rPr>
                <w:sz w:val="20"/>
              </w:rPr>
            </w:pPr>
            <w:r>
              <w:rPr>
                <w:spacing w:val="-2"/>
                <w:sz w:val="20"/>
              </w:rPr>
              <w:t>6.0x10</w:t>
            </w:r>
            <w:r>
              <w:rPr>
                <w:spacing w:val="-2"/>
                <w:sz w:val="20"/>
                <w:vertAlign w:val="superscript"/>
              </w:rPr>
              <w:t>4</w:t>
            </w:r>
            <w:r>
              <w:rPr>
                <w:spacing w:val="-2"/>
                <w:sz w:val="20"/>
                <w:vertAlign w:val="baseline"/>
              </w:rPr>
              <w:t>±5.52</w:t>
            </w:r>
            <w:r>
              <w:rPr>
                <w:spacing w:val="-2"/>
                <w:sz w:val="20"/>
                <w:vertAlign w:val="superscript"/>
              </w:rPr>
              <w:t>b</w:t>
            </w:r>
          </w:p>
        </w:tc>
        <w:tc>
          <w:tcPr>
            <w:tcW w:w="1902" w:type="dxa"/>
          </w:tcPr>
          <w:p>
            <w:pPr>
              <w:pStyle w:val="TableParagraph"/>
              <w:spacing w:before="98"/>
              <w:ind w:left="296"/>
              <w:rPr>
                <w:sz w:val="20"/>
              </w:rPr>
            </w:pPr>
            <w:r>
              <w:rPr>
                <w:spacing w:val="-2"/>
                <w:sz w:val="20"/>
              </w:rPr>
              <w:t>2.5x10</w:t>
            </w:r>
            <w:r>
              <w:rPr>
                <w:spacing w:val="-2"/>
                <w:sz w:val="20"/>
                <w:vertAlign w:val="superscript"/>
              </w:rPr>
              <w:t>5</w:t>
            </w:r>
            <w:r>
              <w:rPr>
                <w:spacing w:val="-2"/>
                <w:sz w:val="20"/>
                <w:vertAlign w:val="baseline"/>
              </w:rPr>
              <w:t>±0.00</w:t>
            </w:r>
            <w:r>
              <w:rPr>
                <w:spacing w:val="-2"/>
                <w:sz w:val="20"/>
                <w:vertAlign w:val="superscript"/>
              </w:rPr>
              <w:t>f</w:t>
            </w:r>
          </w:p>
        </w:tc>
        <w:tc>
          <w:tcPr>
            <w:tcW w:w="1886" w:type="dxa"/>
          </w:tcPr>
          <w:p>
            <w:pPr>
              <w:pStyle w:val="TableParagraph"/>
              <w:spacing w:before="98"/>
              <w:ind w:left="354"/>
              <w:rPr>
                <w:sz w:val="20"/>
              </w:rPr>
            </w:pPr>
            <w:r>
              <w:rPr>
                <w:spacing w:val="-2"/>
                <w:sz w:val="20"/>
              </w:rPr>
              <w:t>2.2x10</w:t>
            </w:r>
            <w:r>
              <w:rPr>
                <w:spacing w:val="-2"/>
                <w:sz w:val="20"/>
                <w:vertAlign w:val="superscript"/>
              </w:rPr>
              <w:t>5</w:t>
            </w:r>
            <w:r>
              <w:rPr>
                <w:spacing w:val="-2"/>
                <w:sz w:val="20"/>
                <w:vertAlign w:val="baseline"/>
              </w:rPr>
              <w:t>±3.00</w:t>
            </w:r>
            <w:r>
              <w:rPr>
                <w:spacing w:val="-2"/>
                <w:sz w:val="20"/>
                <w:vertAlign w:val="superscript"/>
              </w:rPr>
              <w:t>e</w:t>
            </w:r>
          </w:p>
        </w:tc>
        <w:tc>
          <w:tcPr>
            <w:tcW w:w="1893" w:type="dxa"/>
          </w:tcPr>
          <w:p>
            <w:pPr>
              <w:pStyle w:val="TableParagraph"/>
              <w:spacing w:before="98"/>
              <w:ind w:left="288"/>
              <w:rPr>
                <w:sz w:val="20"/>
              </w:rPr>
            </w:pPr>
            <w:r>
              <w:rPr>
                <w:spacing w:val="-2"/>
                <w:sz w:val="20"/>
              </w:rPr>
              <w:t>7.0x10</w:t>
            </w:r>
            <w:r>
              <w:rPr>
                <w:spacing w:val="-2"/>
                <w:sz w:val="20"/>
                <w:vertAlign w:val="superscript"/>
              </w:rPr>
              <w:t>4</w:t>
            </w:r>
            <w:r>
              <w:rPr>
                <w:spacing w:val="-2"/>
                <w:sz w:val="20"/>
                <w:vertAlign w:val="baseline"/>
              </w:rPr>
              <w:t>±2.50</w:t>
            </w:r>
            <w:r>
              <w:rPr>
                <w:spacing w:val="-2"/>
                <w:sz w:val="20"/>
                <w:vertAlign w:val="superscript"/>
              </w:rPr>
              <w:t>c</w:t>
            </w:r>
          </w:p>
        </w:tc>
        <w:tc>
          <w:tcPr>
            <w:tcW w:w="1956" w:type="dxa"/>
          </w:tcPr>
          <w:p>
            <w:pPr>
              <w:pStyle w:val="TableParagraph"/>
              <w:spacing w:before="98"/>
              <w:ind w:left="353"/>
              <w:rPr>
                <w:sz w:val="20"/>
              </w:rPr>
            </w:pPr>
            <w:r>
              <w:rPr>
                <w:spacing w:val="-2"/>
                <w:sz w:val="20"/>
              </w:rPr>
              <w:t>1.0x10</w:t>
            </w:r>
            <w:r>
              <w:rPr>
                <w:spacing w:val="-2"/>
                <w:sz w:val="20"/>
                <w:vertAlign w:val="superscript"/>
              </w:rPr>
              <w:t>5</w:t>
            </w:r>
            <w:r>
              <w:rPr>
                <w:spacing w:val="-2"/>
                <w:sz w:val="20"/>
                <w:vertAlign w:val="baseline"/>
              </w:rPr>
              <w:t>±17.00</w:t>
            </w:r>
            <w:r>
              <w:rPr>
                <w:spacing w:val="-2"/>
                <w:sz w:val="20"/>
                <w:vertAlign w:val="superscript"/>
              </w:rPr>
              <w:t>d</w:t>
            </w:r>
          </w:p>
        </w:tc>
        <w:tc>
          <w:tcPr>
            <w:tcW w:w="2210" w:type="dxa"/>
          </w:tcPr>
          <w:p>
            <w:pPr>
              <w:pStyle w:val="TableParagraph"/>
              <w:spacing w:before="98"/>
              <w:ind w:left="359"/>
              <w:rPr>
                <w:sz w:val="20"/>
              </w:rPr>
            </w:pPr>
            <w:r>
              <w:rPr>
                <w:spacing w:val="-2"/>
                <w:sz w:val="20"/>
              </w:rPr>
              <w:t>3.0x10</w:t>
            </w:r>
            <w:r>
              <w:rPr>
                <w:spacing w:val="-2"/>
                <w:sz w:val="20"/>
                <w:vertAlign w:val="superscript"/>
              </w:rPr>
              <w:t>4</w:t>
            </w:r>
            <w:r>
              <w:rPr>
                <w:spacing w:val="-2"/>
                <w:sz w:val="20"/>
                <w:vertAlign w:val="baseline"/>
              </w:rPr>
              <w:t>±4.49</w:t>
            </w:r>
            <w:r>
              <w:rPr>
                <w:spacing w:val="-2"/>
                <w:sz w:val="20"/>
                <w:vertAlign w:val="superscript"/>
              </w:rPr>
              <w:t>a</w:t>
            </w:r>
          </w:p>
        </w:tc>
      </w:tr>
      <w:tr>
        <w:trPr>
          <w:trHeight w:val="507" w:hRule="atLeast"/>
        </w:trPr>
        <w:tc>
          <w:tcPr>
            <w:tcW w:w="2064" w:type="dxa"/>
          </w:tcPr>
          <w:p>
            <w:pPr>
              <w:pStyle w:val="TableParagraph"/>
              <w:spacing w:before="0"/>
              <w:ind w:left="0"/>
              <w:rPr>
                <w:b/>
                <w:sz w:val="22"/>
              </w:rPr>
            </w:pPr>
          </w:p>
          <w:p>
            <w:pPr>
              <w:pStyle w:val="TableParagraph"/>
              <w:spacing w:line="233" w:lineRule="exact" w:before="1"/>
              <w:ind w:left="107"/>
              <w:rPr>
                <w:sz w:val="22"/>
              </w:rPr>
            </w:pPr>
            <w:r>
              <w:rPr>
                <w:spacing w:val="-2"/>
                <w:sz w:val="22"/>
              </w:rPr>
              <w:t>Control</w:t>
            </w:r>
          </w:p>
        </w:tc>
        <w:tc>
          <w:tcPr>
            <w:tcW w:w="1985" w:type="dxa"/>
          </w:tcPr>
          <w:p>
            <w:pPr>
              <w:pStyle w:val="TableParagraph"/>
              <w:spacing w:before="0"/>
              <w:ind w:left="0"/>
              <w:rPr>
                <w:b/>
                <w:sz w:val="22"/>
              </w:rPr>
            </w:pPr>
          </w:p>
          <w:p>
            <w:pPr>
              <w:pStyle w:val="TableParagraph"/>
              <w:spacing w:line="233" w:lineRule="exact" w:before="1"/>
              <w:ind w:left="333"/>
              <w:rPr>
                <w:sz w:val="22"/>
              </w:rPr>
            </w:pPr>
            <w:r>
              <w:rPr>
                <w:spacing w:val="-2"/>
                <w:sz w:val="22"/>
              </w:rPr>
              <w:t>2.0x10</w:t>
            </w:r>
            <w:r>
              <w:rPr>
                <w:spacing w:val="-2"/>
                <w:sz w:val="22"/>
                <w:vertAlign w:val="superscript"/>
              </w:rPr>
              <w:t>4</w:t>
            </w:r>
            <w:r>
              <w:rPr>
                <w:spacing w:val="-2"/>
                <w:sz w:val="22"/>
                <w:vertAlign w:val="baseline"/>
              </w:rPr>
              <w:t>±42.01</w:t>
            </w:r>
            <w:r>
              <w:rPr>
                <w:spacing w:val="-2"/>
                <w:sz w:val="22"/>
                <w:vertAlign w:val="superscript"/>
              </w:rPr>
              <w:t>a</w:t>
            </w:r>
          </w:p>
        </w:tc>
        <w:tc>
          <w:tcPr>
            <w:tcW w:w="1902" w:type="dxa"/>
          </w:tcPr>
          <w:p>
            <w:pPr>
              <w:pStyle w:val="TableParagraph"/>
              <w:spacing w:before="0"/>
              <w:ind w:left="0"/>
              <w:rPr>
                <w:b/>
                <w:sz w:val="22"/>
              </w:rPr>
            </w:pPr>
          </w:p>
          <w:p>
            <w:pPr>
              <w:pStyle w:val="TableParagraph"/>
              <w:spacing w:line="233" w:lineRule="exact" w:before="1"/>
              <w:ind w:left="296"/>
              <w:rPr>
                <w:sz w:val="22"/>
              </w:rPr>
            </w:pPr>
            <w:r>
              <w:rPr>
                <w:spacing w:val="-2"/>
                <w:sz w:val="22"/>
              </w:rPr>
              <w:t>2.4x10</w:t>
            </w:r>
            <w:r>
              <w:rPr>
                <w:spacing w:val="-2"/>
                <w:sz w:val="22"/>
                <w:vertAlign w:val="superscript"/>
              </w:rPr>
              <w:t>4</w:t>
            </w:r>
            <w:r>
              <w:rPr>
                <w:spacing w:val="-2"/>
                <w:sz w:val="22"/>
                <w:vertAlign w:val="baseline"/>
              </w:rPr>
              <w:t>±4.00</w:t>
            </w:r>
            <w:r>
              <w:rPr>
                <w:spacing w:val="-2"/>
                <w:sz w:val="22"/>
                <w:vertAlign w:val="superscript"/>
              </w:rPr>
              <w:t>b</w:t>
            </w:r>
          </w:p>
        </w:tc>
        <w:tc>
          <w:tcPr>
            <w:tcW w:w="1886" w:type="dxa"/>
          </w:tcPr>
          <w:p>
            <w:pPr>
              <w:pStyle w:val="TableParagraph"/>
              <w:spacing w:before="0"/>
              <w:ind w:left="0"/>
              <w:rPr>
                <w:b/>
                <w:sz w:val="22"/>
              </w:rPr>
            </w:pPr>
          </w:p>
          <w:p>
            <w:pPr>
              <w:pStyle w:val="TableParagraph"/>
              <w:spacing w:line="233" w:lineRule="exact" w:before="1"/>
              <w:ind w:left="354"/>
              <w:rPr>
                <w:sz w:val="22"/>
              </w:rPr>
            </w:pPr>
            <w:r>
              <w:rPr>
                <w:spacing w:val="-2"/>
                <w:sz w:val="22"/>
              </w:rPr>
              <w:t>2.8x10</w:t>
            </w:r>
            <w:r>
              <w:rPr>
                <w:spacing w:val="-2"/>
                <w:sz w:val="22"/>
                <w:vertAlign w:val="superscript"/>
              </w:rPr>
              <w:t>4</w:t>
            </w:r>
            <w:r>
              <w:rPr>
                <w:spacing w:val="-2"/>
                <w:sz w:val="22"/>
                <w:vertAlign w:val="baseline"/>
              </w:rPr>
              <w:t>±0.00</w:t>
            </w:r>
            <w:r>
              <w:rPr>
                <w:spacing w:val="-2"/>
                <w:sz w:val="22"/>
                <w:vertAlign w:val="superscript"/>
              </w:rPr>
              <w:t>c</w:t>
            </w:r>
          </w:p>
        </w:tc>
        <w:tc>
          <w:tcPr>
            <w:tcW w:w="1893" w:type="dxa"/>
          </w:tcPr>
          <w:p>
            <w:pPr>
              <w:pStyle w:val="TableParagraph"/>
              <w:spacing w:before="0"/>
              <w:ind w:left="0"/>
              <w:rPr>
                <w:b/>
                <w:sz w:val="22"/>
              </w:rPr>
            </w:pPr>
          </w:p>
          <w:p>
            <w:pPr>
              <w:pStyle w:val="TableParagraph"/>
              <w:spacing w:line="233" w:lineRule="exact" w:before="1"/>
              <w:ind w:left="288"/>
              <w:rPr>
                <w:sz w:val="22"/>
              </w:rPr>
            </w:pPr>
            <w:r>
              <w:rPr>
                <w:spacing w:val="-2"/>
                <w:sz w:val="22"/>
              </w:rPr>
              <w:t>3.0x10</w:t>
            </w:r>
            <w:r>
              <w:rPr>
                <w:spacing w:val="-2"/>
                <w:sz w:val="22"/>
                <w:vertAlign w:val="superscript"/>
              </w:rPr>
              <w:t>4</w:t>
            </w:r>
            <w:r>
              <w:rPr>
                <w:spacing w:val="-2"/>
                <w:sz w:val="22"/>
                <w:vertAlign w:val="baseline"/>
              </w:rPr>
              <w:t>±1.00</w:t>
            </w:r>
            <w:r>
              <w:rPr>
                <w:spacing w:val="-2"/>
                <w:sz w:val="22"/>
                <w:vertAlign w:val="superscript"/>
              </w:rPr>
              <w:t>d</w:t>
            </w:r>
          </w:p>
        </w:tc>
        <w:tc>
          <w:tcPr>
            <w:tcW w:w="1956" w:type="dxa"/>
          </w:tcPr>
          <w:p>
            <w:pPr>
              <w:pStyle w:val="TableParagraph"/>
              <w:spacing w:before="0"/>
              <w:ind w:left="0"/>
              <w:rPr>
                <w:b/>
                <w:sz w:val="22"/>
              </w:rPr>
            </w:pPr>
          </w:p>
          <w:p>
            <w:pPr>
              <w:pStyle w:val="TableParagraph"/>
              <w:spacing w:line="233" w:lineRule="exact" w:before="1"/>
              <w:ind w:left="353"/>
              <w:rPr>
                <w:sz w:val="22"/>
              </w:rPr>
            </w:pPr>
            <w:r>
              <w:rPr>
                <w:spacing w:val="-2"/>
                <w:sz w:val="22"/>
              </w:rPr>
              <w:t>4.0x10</w:t>
            </w:r>
            <w:r>
              <w:rPr>
                <w:spacing w:val="-2"/>
                <w:sz w:val="22"/>
                <w:vertAlign w:val="superscript"/>
              </w:rPr>
              <w:t>4</w:t>
            </w:r>
            <w:r>
              <w:rPr>
                <w:spacing w:val="-2"/>
                <w:sz w:val="22"/>
                <w:vertAlign w:val="baseline"/>
              </w:rPr>
              <w:t>±0.50</w:t>
            </w:r>
            <w:r>
              <w:rPr>
                <w:spacing w:val="-2"/>
                <w:sz w:val="22"/>
                <w:vertAlign w:val="superscript"/>
              </w:rPr>
              <w:t>e</w:t>
            </w:r>
          </w:p>
        </w:tc>
        <w:tc>
          <w:tcPr>
            <w:tcW w:w="2210" w:type="dxa"/>
          </w:tcPr>
          <w:p>
            <w:pPr>
              <w:pStyle w:val="TableParagraph"/>
              <w:spacing w:before="0"/>
              <w:ind w:left="0"/>
              <w:rPr>
                <w:b/>
                <w:sz w:val="22"/>
              </w:rPr>
            </w:pPr>
          </w:p>
          <w:p>
            <w:pPr>
              <w:pStyle w:val="TableParagraph"/>
              <w:spacing w:line="233" w:lineRule="exact" w:before="1"/>
              <w:ind w:left="359"/>
              <w:rPr>
                <w:sz w:val="22"/>
              </w:rPr>
            </w:pPr>
            <w:r>
              <w:rPr>
                <w:spacing w:val="-2"/>
                <w:sz w:val="22"/>
              </w:rPr>
              <w:t>4.0x10</w:t>
            </w:r>
            <w:r>
              <w:rPr>
                <w:spacing w:val="-2"/>
                <w:sz w:val="22"/>
                <w:vertAlign w:val="superscript"/>
              </w:rPr>
              <w:t>5</w:t>
            </w:r>
            <w:r>
              <w:rPr>
                <w:spacing w:val="-2"/>
                <w:sz w:val="22"/>
                <w:vertAlign w:val="baseline"/>
              </w:rPr>
              <w:t>±5.00</w:t>
            </w:r>
            <w:r>
              <w:rPr>
                <w:spacing w:val="-2"/>
                <w:sz w:val="22"/>
                <w:vertAlign w:val="superscript"/>
              </w:rPr>
              <w:t>e</w:t>
            </w:r>
          </w:p>
        </w:tc>
      </w:tr>
    </w:tbl>
    <w:p>
      <w:pPr>
        <w:pStyle w:val="BodyText"/>
        <w:rPr>
          <w:b/>
          <w:sz w:val="20"/>
        </w:rPr>
      </w:pPr>
    </w:p>
    <w:p>
      <w:pPr>
        <w:pStyle w:val="BodyText"/>
        <w:rPr>
          <w:b/>
          <w:sz w:val="20"/>
        </w:rPr>
      </w:pPr>
    </w:p>
    <w:p>
      <w:pPr>
        <w:pStyle w:val="BodyText"/>
        <w:rPr>
          <w:b/>
          <w:sz w:val="20"/>
        </w:rPr>
      </w:pPr>
    </w:p>
    <w:p>
      <w:pPr>
        <w:pStyle w:val="BodyText"/>
        <w:rPr>
          <w:b/>
          <w:sz w:val="14"/>
        </w:rPr>
      </w:pPr>
      <w:r>
        <w:rPr/>
        <w:pict>
          <v:rect style="position:absolute;margin-left:47.880001pt;margin-top:9.250291pt;width:695.620033pt;height:.479pt;mso-position-horizontal-relative:page;mso-position-vertical-relative:paragraph;z-index:-15718400;mso-wrap-distance-left:0;mso-wrap-distance-right:0" id="docshape54" filled="true" fillcolor="#000000" stroked="false">
            <v:fill type="solid"/>
            <w10:wrap type="topAndBottom"/>
          </v:rect>
        </w:pict>
      </w:r>
    </w:p>
    <w:p>
      <w:pPr>
        <w:pStyle w:val="BodyText"/>
        <w:ind w:left="580"/>
      </w:pPr>
      <w:r>
        <w:rPr/>
        <w:t>Mean</w:t>
      </w:r>
      <w:r>
        <w:rPr>
          <w:spacing w:val="-2"/>
        </w:rPr>
        <w:t> </w:t>
      </w:r>
      <w:r>
        <w:rPr/>
        <w:t>values</w:t>
      </w:r>
      <w:r>
        <w:rPr>
          <w:spacing w:val="-1"/>
        </w:rPr>
        <w:t> </w:t>
      </w:r>
      <w:r>
        <w:rPr/>
        <w:t>with</w:t>
      </w:r>
      <w:r>
        <w:rPr>
          <w:spacing w:val="-2"/>
        </w:rPr>
        <w:t> </w:t>
      </w:r>
      <w:r>
        <w:rPr/>
        <w:t>the</w:t>
      </w:r>
      <w:r>
        <w:rPr>
          <w:spacing w:val="-1"/>
        </w:rPr>
        <w:t> </w:t>
      </w:r>
      <w:r>
        <w:rPr/>
        <w:t>same</w:t>
      </w:r>
      <w:r>
        <w:rPr>
          <w:spacing w:val="-2"/>
        </w:rPr>
        <w:t> </w:t>
      </w:r>
      <w:r>
        <w:rPr/>
        <w:t>letter</w:t>
      </w:r>
      <w:r>
        <w:rPr>
          <w:spacing w:val="-3"/>
        </w:rPr>
        <w:t> </w:t>
      </w:r>
      <w:r>
        <w:rPr/>
        <w:t>in</w:t>
      </w:r>
      <w:r>
        <w:rPr>
          <w:spacing w:val="-1"/>
        </w:rPr>
        <w:t> </w:t>
      </w:r>
      <w:r>
        <w:rPr/>
        <w:t>the</w:t>
      </w:r>
      <w:r>
        <w:rPr>
          <w:spacing w:val="-3"/>
        </w:rPr>
        <w:t> </w:t>
      </w:r>
      <w:r>
        <w:rPr/>
        <w:t>same</w:t>
      </w:r>
      <w:r>
        <w:rPr>
          <w:spacing w:val="-1"/>
        </w:rPr>
        <w:t> </w:t>
      </w:r>
      <w:r>
        <w:rPr/>
        <w:t>row</w:t>
      </w:r>
      <w:r>
        <w:rPr>
          <w:spacing w:val="-1"/>
        </w:rPr>
        <w:t> </w:t>
      </w:r>
      <w:r>
        <w:rPr/>
        <w:t>do</w:t>
      </w:r>
      <w:r>
        <w:rPr>
          <w:spacing w:val="-1"/>
        </w:rPr>
        <w:t> </w:t>
      </w:r>
      <w:r>
        <w:rPr/>
        <w:t>not</w:t>
      </w:r>
      <w:r>
        <w:rPr>
          <w:spacing w:val="-2"/>
        </w:rPr>
        <w:t> </w:t>
      </w:r>
      <w:r>
        <w:rPr/>
        <w:t>differ</w:t>
      </w:r>
      <w:r>
        <w:rPr>
          <w:spacing w:val="-1"/>
        </w:rPr>
        <w:t> </w:t>
      </w:r>
      <w:r>
        <w:rPr/>
        <w:t>significantly</w:t>
      </w:r>
      <w:r>
        <w:rPr>
          <w:spacing w:val="-4"/>
        </w:rPr>
        <w:t> </w:t>
      </w:r>
      <w:r>
        <w:rPr/>
        <w:t>at</w:t>
      </w:r>
      <w:r>
        <w:rPr>
          <w:spacing w:val="-2"/>
        </w:rPr>
        <w:t> P&lt;0.05.</w:t>
      </w:r>
    </w:p>
    <w:p>
      <w:pPr>
        <w:spacing w:after="0"/>
        <w:sectPr>
          <w:pgSz w:w="15840" w:h="12240" w:orient="landscape"/>
          <w:pgMar w:header="0" w:footer="1015" w:top="1360" w:bottom="1200" w:left="860" w:right="860"/>
        </w:sectPr>
      </w:pPr>
    </w:p>
    <w:p>
      <w:pPr>
        <w:pStyle w:val="BodyText"/>
        <w:spacing w:line="480" w:lineRule="auto" w:before="72"/>
        <w:ind w:left="580" w:right="576"/>
      </w:pPr>
      <w:r>
        <w:rPr/>
        <w:t>CFU/g- Colony Forming Unit per Gram, NP- nanoparticles, BS- Biosurfactants, BC- Biochar, a- Single Strength, b- Double Strength, Control- Sample Untreated</w:t>
      </w:r>
    </w:p>
    <w:p>
      <w:pPr>
        <w:spacing w:after="0" w:line="480" w:lineRule="auto"/>
        <w:sectPr>
          <w:pgSz w:w="15840" w:h="12240" w:orient="landscape"/>
          <w:pgMar w:header="0" w:footer="1015" w:top="1360" w:bottom="1200" w:left="860" w:right="860"/>
        </w:sectPr>
      </w:pPr>
    </w:p>
    <w:p>
      <w:pPr>
        <w:pStyle w:val="ListParagraph"/>
        <w:numPr>
          <w:ilvl w:val="2"/>
          <w:numId w:val="5"/>
        </w:numPr>
        <w:tabs>
          <w:tab w:pos="922" w:val="left" w:leader="none"/>
        </w:tabs>
        <w:spacing w:line="480" w:lineRule="auto" w:before="69" w:after="0"/>
        <w:ind w:left="202" w:right="116" w:firstLine="0"/>
        <w:jc w:val="both"/>
        <w:rPr>
          <w:sz w:val="24"/>
        </w:rPr>
      </w:pPr>
      <w:r>
        <w:rPr>
          <w:b/>
          <w:sz w:val="24"/>
        </w:rPr>
        <w:t>Rate</w:t>
      </w:r>
      <w:r>
        <w:rPr>
          <w:b/>
          <w:spacing w:val="-9"/>
          <w:sz w:val="24"/>
        </w:rPr>
        <w:t> </w:t>
      </w:r>
      <w:r>
        <w:rPr>
          <w:b/>
          <w:sz w:val="24"/>
        </w:rPr>
        <w:t>of</w:t>
      </w:r>
      <w:r>
        <w:rPr>
          <w:b/>
          <w:spacing w:val="-7"/>
          <w:sz w:val="24"/>
        </w:rPr>
        <w:t> </w:t>
      </w:r>
      <w:r>
        <w:rPr>
          <w:b/>
          <w:sz w:val="24"/>
        </w:rPr>
        <w:t>biodegradation:</w:t>
      </w:r>
      <w:r>
        <w:rPr>
          <w:b/>
          <w:spacing w:val="-12"/>
          <w:sz w:val="24"/>
        </w:rPr>
        <w:t> </w:t>
      </w:r>
      <w:r>
        <w:rPr>
          <w:sz w:val="24"/>
        </w:rPr>
        <w:t>Total</w:t>
      </w:r>
      <w:r>
        <w:rPr>
          <w:spacing w:val="-9"/>
          <w:sz w:val="24"/>
        </w:rPr>
        <w:t> </w:t>
      </w:r>
      <w:r>
        <w:rPr>
          <w:sz w:val="24"/>
        </w:rPr>
        <w:t>petroleum</w:t>
      </w:r>
      <w:r>
        <w:rPr>
          <w:spacing w:val="-9"/>
          <w:sz w:val="24"/>
        </w:rPr>
        <w:t> </w:t>
      </w:r>
      <w:r>
        <w:rPr>
          <w:sz w:val="24"/>
        </w:rPr>
        <w:t>hydrocarbon</w:t>
      </w:r>
      <w:r>
        <w:rPr>
          <w:spacing w:val="-9"/>
          <w:sz w:val="24"/>
        </w:rPr>
        <w:t> </w:t>
      </w:r>
      <w:r>
        <w:rPr>
          <w:sz w:val="24"/>
        </w:rPr>
        <w:t>of</w:t>
      </w:r>
      <w:r>
        <w:rPr>
          <w:spacing w:val="-10"/>
          <w:sz w:val="24"/>
        </w:rPr>
        <w:t> </w:t>
      </w:r>
      <w:r>
        <w:rPr>
          <w:sz w:val="24"/>
        </w:rPr>
        <w:t>crude</w:t>
      </w:r>
      <w:r>
        <w:rPr>
          <w:spacing w:val="-11"/>
          <w:sz w:val="24"/>
        </w:rPr>
        <w:t> </w:t>
      </w:r>
      <w:r>
        <w:rPr>
          <w:sz w:val="24"/>
        </w:rPr>
        <w:t>oil</w:t>
      </w:r>
      <w:r>
        <w:rPr>
          <w:spacing w:val="-9"/>
          <w:sz w:val="24"/>
        </w:rPr>
        <w:t> </w:t>
      </w:r>
      <w:r>
        <w:rPr>
          <w:sz w:val="24"/>
        </w:rPr>
        <w:t>contaminated soil</w:t>
      </w:r>
      <w:r>
        <w:rPr>
          <w:spacing w:val="-9"/>
          <w:sz w:val="24"/>
        </w:rPr>
        <w:t> </w:t>
      </w:r>
      <w:r>
        <w:rPr>
          <w:sz w:val="24"/>
        </w:rPr>
        <w:t>treated</w:t>
      </w:r>
      <w:r>
        <w:rPr>
          <w:spacing w:val="-11"/>
          <w:sz w:val="24"/>
        </w:rPr>
        <w:t> </w:t>
      </w:r>
      <w:r>
        <w:rPr>
          <w:sz w:val="24"/>
        </w:rPr>
        <w:t>with</w:t>
      </w:r>
      <w:r>
        <w:rPr>
          <w:spacing w:val="-10"/>
          <w:sz w:val="24"/>
        </w:rPr>
        <w:t> </w:t>
      </w:r>
      <w:r>
        <w:rPr>
          <w:sz w:val="24"/>
        </w:rPr>
        <w:t>BS,</w:t>
      </w:r>
      <w:r>
        <w:rPr>
          <w:spacing w:val="-10"/>
          <w:sz w:val="24"/>
        </w:rPr>
        <w:t> </w:t>
      </w:r>
      <w:r>
        <w:rPr>
          <w:sz w:val="24"/>
        </w:rPr>
        <w:t>NP,</w:t>
      </w:r>
      <w:r>
        <w:rPr>
          <w:spacing w:val="-10"/>
          <w:sz w:val="24"/>
        </w:rPr>
        <w:t> </w:t>
      </w:r>
      <w:r>
        <w:rPr>
          <w:sz w:val="24"/>
        </w:rPr>
        <w:t>BC</w:t>
      </w:r>
      <w:r>
        <w:rPr>
          <w:spacing w:val="-9"/>
          <w:sz w:val="24"/>
        </w:rPr>
        <w:t> </w:t>
      </w:r>
      <w:r>
        <w:rPr>
          <w:sz w:val="24"/>
        </w:rPr>
        <w:t>and</w:t>
      </w:r>
      <w:r>
        <w:rPr>
          <w:spacing w:val="-10"/>
          <w:sz w:val="24"/>
        </w:rPr>
        <w:t> </w:t>
      </w:r>
      <w:r>
        <w:rPr>
          <w:sz w:val="24"/>
        </w:rPr>
        <w:t>the</w:t>
      </w:r>
      <w:r>
        <w:rPr>
          <w:spacing w:val="-10"/>
          <w:sz w:val="24"/>
        </w:rPr>
        <w:t> </w:t>
      </w:r>
      <w:r>
        <w:rPr>
          <w:sz w:val="24"/>
        </w:rPr>
        <w:t>combinations</w:t>
      </w:r>
      <w:r>
        <w:rPr>
          <w:spacing w:val="-9"/>
          <w:sz w:val="24"/>
        </w:rPr>
        <w:t> </w:t>
      </w:r>
      <w:r>
        <w:rPr>
          <w:sz w:val="24"/>
        </w:rPr>
        <w:t>for</w:t>
      </w:r>
      <w:r>
        <w:rPr>
          <w:spacing w:val="-11"/>
          <w:sz w:val="24"/>
        </w:rPr>
        <w:t> </w:t>
      </w:r>
      <w:r>
        <w:rPr>
          <w:sz w:val="24"/>
        </w:rPr>
        <w:t>35</w:t>
      </w:r>
      <w:r>
        <w:rPr>
          <w:spacing w:val="-10"/>
          <w:sz w:val="24"/>
        </w:rPr>
        <w:t> </w:t>
      </w:r>
      <w:r>
        <w:rPr>
          <w:sz w:val="24"/>
        </w:rPr>
        <w:t>days</w:t>
      </w:r>
      <w:r>
        <w:rPr>
          <w:spacing w:val="-9"/>
          <w:sz w:val="24"/>
        </w:rPr>
        <w:t> </w:t>
      </w:r>
      <w:r>
        <w:rPr>
          <w:sz w:val="24"/>
        </w:rPr>
        <w:t>is</w:t>
      </w:r>
      <w:r>
        <w:rPr>
          <w:spacing w:val="-9"/>
          <w:sz w:val="24"/>
        </w:rPr>
        <w:t> </w:t>
      </w:r>
      <w:r>
        <w:rPr>
          <w:sz w:val="24"/>
        </w:rPr>
        <w:t>shown</w:t>
      </w:r>
      <w:r>
        <w:rPr>
          <w:spacing w:val="-10"/>
          <w:sz w:val="24"/>
        </w:rPr>
        <w:t> </w:t>
      </w:r>
      <w:r>
        <w:rPr>
          <w:sz w:val="24"/>
        </w:rPr>
        <w:t>in</w:t>
      </w:r>
      <w:r>
        <w:rPr>
          <w:spacing w:val="-9"/>
          <w:sz w:val="24"/>
        </w:rPr>
        <w:t> </w:t>
      </w:r>
      <w:r>
        <w:rPr>
          <w:sz w:val="24"/>
        </w:rPr>
        <w:t>Table</w:t>
      </w:r>
      <w:r>
        <w:rPr>
          <w:spacing w:val="-10"/>
          <w:sz w:val="24"/>
        </w:rPr>
        <w:t> </w:t>
      </w:r>
      <w:r>
        <w:rPr>
          <w:sz w:val="24"/>
        </w:rPr>
        <w:t>4.5.</w:t>
      </w:r>
      <w:r>
        <w:rPr>
          <w:spacing w:val="-10"/>
          <w:sz w:val="24"/>
        </w:rPr>
        <w:t> </w:t>
      </w:r>
      <w:r>
        <w:rPr>
          <w:sz w:val="24"/>
        </w:rPr>
        <w:t>The contaminated untreated soil (control) had the highest hydrocarbon concentrations (830 mg) and least percentage hydrocarbon reduction (17%</w:t>
      </w:r>
      <w:r>
        <w:rPr>
          <w:sz w:val="24"/>
          <w:vertAlign w:val="superscript"/>
        </w:rPr>
        <w:t>)</w:t>
      </w:r>
      <w:r>
        <w:rPr>
          <w:spacing w:val="-15"/>
          <w:sz w:val="24"/>
          <w:vertAlign w:val="baseline"/>
        </w:rPr>
        <w:t> </w:t>
      </w:r>
      <w:r>
        <w:rPr>
          <w:sz w:val="24"/>
          <w:vertAlign w:val="baseline"/>
        </w:rPr>
        <w:t>when compared with the treated samples</w:t>
      </w:r>
      <w:r>
        <w:rPr>
          <w:spacing w:val="-11"/>
          <w:sz w:val="24"/>
          <w:vertAlign w:val="baseline"/>
        </w:rPr>
        <w:t> </w:t>
      </w:r>
      <w:r>
        <w:rPr>
          <w:sz w:val="24"/>
          <w:vertAlign w:val="baseline"/>
        </w:rPr>
        <w:t>(Table</w:t>
      </w:r>
      <w:r>
        <w:rPr>
          <w:spacing w:val="-11"/>
          <w:sz w:val="24"/>
          <w:vertAlign w:val="baseline"/>
        </w:rPr>
        <w:t> </w:t>
      </w:r>
      <w:r>
        <w:rPr>
          <w:sz w:val="24"/>
          <w:vertAlign w:val="baseline"/>
        </w:rPr>
        <w:t>4.5).</w:t>
      </w:r>
      <w:r>
        <w:rPr>
          <w:spacing w:val="-11"/>
          <w:sz w:val="24"/>
          <w:vertAlign w:val="baseline"/>
        </w:rPr>
        <w:t> </w:t>
      </w:r>
      <w:r>
        <w:rPr>
          <w:sz w:val="24"/>
          <w:vertAlign w:val="baseline"/>
        </w:rPr>
        <w:t>Biodegradation</w:t>
      </w:r>
      <w:r>
        <w:rPr>
          <w:spacing w:val="-11"/>
          <w:sz w:val="24"/>
          <w:vertAlign w:val="baseline"/>
        </w:rPr>
        <w:t> </w:t>
      </w:r>
      <w:r>
        <w:rPr>
          <w:sz w:val="24"/>
          <w:vertAlign w:val="baseline"/>
        </w:rPr>
        <w:t>rate</w:t>
      </w:r>
      <w:r>
        <w:rPr>
          <w:spacing w:val="-12"/>
          <w:sz w:val="24"/>
          <w:vertAlign w:val="baseline"/>
        </w:rPr>
        <w:t> </w:t>
      </w:r>
      <w:r>
        <w:rPr>
          <w:sz w:val="24"/>
          <w:vertAlign w:val="baseline"/>
        </w:rPr>
        <w:t>using</w:t>
      </w:r>
      <w:r>
        <w:rPr>
          <w:spacing w:val="-11"/>
          <w:sz w:val="24"/>
          <w:vertAlign w:val="baseline"/>
        </w:rPr>
        <w:t> </w:t>
      </w:r>
      <w:r>
        <w:rPr>
          <w:sz w:val="24"/>
          <w:vertAlign w:val="baseline"/>
        </w:rPr>
        <w:t>gravimetric</w:t>
      </w:r>
      <w:r>
        <w:rPr>
          <w:spacing w:val="-11"/>
          <w:sz w:val="24"/>
          <w:vertAlign w:val="baseline"/>
        </w:rPr>
        <w:t> </w:t>
      </w:r>
      <w:r>
        <w:rPr>
          <w:sz w:val="24"/>
          <w:vertAlign w:val="baseline"/>
        </w:rPr>
        <w:t>analysis</w:t>
      </w:r>
      <w:r>
        <w:rPr>
          <w:spacing w:val="-11"/>
          <w:sz w:val="24"/>
          <w:vertAlign w:val="baseline"/>
        </w:rPr>
        <w:t> </w:t>
      </w:r>
      <w:r>
        <w:rPr>
          <w:sz w:val="24"/>
          <w:vertAlign w:val="baseline"/>
        </w:rPr>
        <w:t>revealed</w:t>
      </w:r>
      <w:r>
        <w:rPr>
          <w:spacing w:val="-11"/>
          <w:sz w:val="24"/>
          <w:vertAlign w:val="baseline"/>
        </w:rPr>
        <w:t> </w:t>
      </w:r>
      <w:r>
        <w:rPr>
          <w:sz w:val="24"/>
          <w:vertAlign w:val="baseline"/>
        </w:rPr>
        <w:t>that</w:t>
      </w:r>
      <w:r>
        <w:rPr>
          <w:spacing w:val="-11"/>
          <w:sz w:val="24"/>
          <w:vertAlign w:val="baseline"/>
        </w:rPr>
        <w:t> </w:t>
      </w:r>
      <w:r>
        <w:rPr>
          <w:sz w:val="24"/>
          <w:vertAlign w:val="baseline"/>
        </w:rPr>
        <w:t>the</w:t>
      </w:r>
      <w:r>
        <w:rPr>
          <w:spacing w:val="-11"/>
          <w:sz w:val="24"/>
          <w:vertAlign w:val="baseline"/>
        </w:rPr>
        <w:t> </w:t>
      </w:r>
      <w:r>
        <w:rPr>
          <w:sz w:val="24"/>
          <w:vertAlign w:val="baseline"/>
        </w:rPr>
        <w:t>best biodegradation was 75% obtained using 1:1:1a combination ratio of 100 mg each of biosurfactant-iron oxide nanoparticles-biochar formulation as shown in Table 4.5</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2"/>
        <w:spacing w:line="480" w:lineRule="auto" w:before="169"/>
        <w:ind w:left="202" w:firstLine="0"/>
        <w:jc w:val="left"/>
      </w:pPr>
      <w:r>
        <w:rPr/>
        <w:t>Table 4.5: Percentage (%) of total hydrocarbon degraded after treatment of crude oil polluted soil with BS, BC, NP and the combinations for 35 days.</w:t>
      </w:r>
    </w:p>
    <w:p>
      <w:pPr>
        <w:spacing w:after="0" w:line="480" w:lineRule="auto"/>
        <w:jc w:val="left"/>
        <w:sectPr>
          <w:footerReference w:type="default" r:id="rId26"/>
          <w:pgSz w:w="11910" w:h="16840"/>
          <w:pgMar w:footer="1002" w:header="0" w:top="1320" w:bottom="1200" w:left="1500" w:right="1580"/>
        </w:sectPr>
      </w:pPr>
    </w:p>
    <w:tbl>
      <w:tblPr>
        <w:tblW w:w="0" w:type="auto"/>
        <w:jc w:val="left"/>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8"/>
        <w:gridCol w:w="2148"/>
        <w:gridCol w:w="1894"/>
        <w:gridCol w:w="2372"/>
      </w:tblGrid>
      <w:tr>
        <w:trPr>
          <w:trHeight w:val="1029" w:hRule="atLeast"/>
        </w:trPr>
        <w:tc>
          <w:tcPr>
            <w:tcW w:w="2098" w:type="dxa"/>
            <w:tcBorders>
              <w:top w:val="single" w:sz="8" w:space="0" w:color="000000"/>
              <w:bottom w:val="single" w:sz="8" w:space="0" w:color="000000"/>
            </w:tcBorders>
          </w:tcPr>
          <w:p>
            <w:pPr>
              <w:pStyle w:val="TableParagraph"/>
              <w:spacing w:before="0"/>
              <w:ind w:left="115" w:right="152"/>
              <w:rPr>
                <w:b/>
                <w:sz w:val="24"/>
              </w:rPr>
            </w:pPr>
            <w:r>
              <w:rPr>
                <w:b/>
                <w:spacing w:val="-2"/>
                <w:sz w:val="24"/>
              </w:rPr>
              <w:t>Treatment concentration </w:t>
            </w:r>
            <w:r>
              <w:rPr>
                <w:b/>
                <w:spacing w:val="-4"/>
                <w:sz w:val="24"/>
              </w:rPr>
              <w:t>(mg)</w:t>
            </w:r>
          </w:p>
        </w:tc>
        <w:tc>
          <w:tcPr>
            <w:tcW w:w="2148" w:type="dxa"/>
            <w:tcBorders>
              <w:top w:val="single" w:sz="8" w:space="0" w:color="000000"/>
              <w:bottom w:val="single" w:sz="8" w:space="0" w:color="000000"/>
            </w:tcBorders>
          </w:tcPr>
          <w:p>
            <w:pPr>
              <w:pStyle w:val="TableParagraph"/>
              <w:spacing w:before="0"/>
              <w:ind w:left="156" w:right="106"/>
              <w:jc w:val="both"/>
              <w:rPr>
                <w:b/>
                <w:sz w:val="24"/>
              </w:rPr>
            </w:pPr>
            <w:r>
              <w:rPr>
                <w:b/>
                <w:sz w:val="24"/>
              </w:rPr>
              <w:t>Weight of </w:t>
            </w:r>
            <w:r>
              <w:rPr>
                <w:b/>
                <w:sz w:val="24"/>
              </w:rPr>
              <w:t>crude oil added (mg/10g of soil)</w:t>
            </w:r>
          </w:p>
        </w:tc>
        <w:tc>
          <w:tcPr>
            <w:tcW w:w="1894" w:type="dxa"/>
            <w:tcBorders>
              <w:top w:val="single" w:sz="8" w:space="0" w:color="000000"/>
              <w:bottom w:val="single" w:sz="8" w:space="0" w:color="000000"/>
            </w:tcBorders>
          </w:tcPr>
          <w:p>
            <w:pPr>
              <w:pStyle w:val="TableParagraph"/>
              <w:spacing w:before="0"/>
              <w:ind w:right="106"/>
              <w:jc w:val="both"/>
              <w:rPr>
                <w:b/>
                <w:sz w:val="24"/>
              </w:rPr>
            </w:pPr>
            <w:r>
              <w:rPr>
                <w:b/>
                <w:sz w:val="24"/>
              </w:rPr>
              <w:t>Weight</w:t>
            </w:r>
            <w:r>
              <w:rPr>
                <w:b/>
                <w:spacing w:val="-8"/>
                <w:sz w:val="24"/>
              </w:rPr>
              <w:t> </w:t>
            </w:r>
            <w:r>
              <w:rPr>
                <w:b/>
                <w:sz w:val="24"/>
              </w:rPr>
              <w:t>of</w:t>
            </w:r>
            <w:r>
              <w:rPr>
                <w:b/>
                <w:spacing w:val="-6"/>
                <w:sz w:val="24"/>
              </w:rPr>
              <w:t> </w:t>
            </w:r>
            <w:r>
              <w:rPr>
                <w:b/>
                <w:sz w:val="24"/>
              </w:rPr>
              <w:t>crude oil recovered </w:t>
            </w:r>
            <w:r>
              <w:rPr>
                <w:b/>
                <w:spacing w:val="-4"/>
                <w:sz w:val="24"/>
              </w:rPr>
              <w:t>(mg)</w:t>
            </w:r>
          </w:p>
        </w:tc>
        <w:tc>
          <w:tcPr>
            <w:tcW w:w="2372" w:type="dxa"/>
            <w:tcBorders>
              <w:top w:val="single" w:sz="8" w:space="0" w:color="000000"/>
              <w:bottom w:val="single" w:sz="8" w:space="0" w:color="000000"/>
            </w:tcBorders>
          </w:tcPr>
          <w:p>
            <w:pPr>
              <w:pStyle w:val="TableParagraph"/>
              <w:tabs>
                <w:tab w:pos="973" w:val="left" w:leader="none"/>
                <w:tab w:pos="1799" w:val="left" w:leader="none"/>
              </w:tabs>
              <w:spacing w:before="0"/>
              <w:ind w:right="105"/>
              <w:rPr>
                <w:b/>
                <w:sz w:val="24"/>
              </w:rPr>
            </w:pPr>
            <w:r>
              <w:rPr>
                <w:b/>
                <w:spacing w:val="-10"/>
                <w:sz w:val="24"/>
              </w:rPr>
              <w:t>%</w:t>
            </w:r>
            <w:r>
              <w:rPr>
                <w:b/>
                <w:sz w:val="24"/>
              </w:rPr>
              <w:tab/>
            </w:r>
            <w:r>
              <w:rPr>
                <w:b/>
                <w:spacing w:val="-6"/>
                <w:sz w:val="24"/>
              </w:rPr>
              <w:t>of</w:t>
            </w:r>
            <w:r>
              <w:rPr>
                <w:b/>
                <w:sz w:val="24"/>
              </w:rPr>
              <w:tab/>
            </w:r>
            <w:r>
              <w:rPr>
                <w:b/>
                <w:spacing w:val="-4"/>
                <w:sz w:val="24"/>
              </w:rPr>
              <w:t>total </w:t>
            </w:r>
            <w:r>
              <w:rPr>
                <w:b/>
                <w:spacing w:val="-2"/>
                <w:sz w:val="24"/>
              </w:rPr>
              <w:t>hydrocarbon </w:t>
            </w:r>
            <w:r>
              <w:rPr>
                <w:b/>
                <w:sz w:val="24"/>
              </w:rPr>
              <w:t>degraded (%)</w:t>
            </w:r>
          </w:p>
        </w:tc>
      </w:tr>
      <w:tr>
        <w:trPr>
          <w:trHeight w:val="375" w:hRule="atLeast"/>
        </w:trPr>
        <w:tc>
          <w:tcPr>
            <w:tcW w:w="2098" w:type="dxa"/>
            <w:tcBorders>
              <w:top w:val="single" w:sz="8" w:space="0" w:color="000000"/>
            </w:tcBorders>
          </w:tcPr>
          <w:p>
            <w:pPr>
              <w:pStyle w:val="TableParagraph"/>
              <w:spacing w:line="270" w:lineRule="exact" w:before="0"/>
              <w:ind w:left="115"/>
              <w:rPr>
                <w:sz w:val="24"/>
              </w:rPr>
            </w:pPr>
            <w:r>
              <w:rPr>
                <w:spacing w:val="-5"/>
                <w:sz w:val="24"/>
              </w:rPr>
              <w:t>NPa</w:t>
            </w:r>
          </w:p>
        </w:tc>
        <w:tc>
          <w:tcPr>
            <w:tcW w:w="2148" w:type="dxa"/>
            <w:tcBorders>
              <w:top w:val="single" w:sz="8" w:space="0" w:color="000000"/>
            </w:tcBorders>
          </w:tcPr>
          <w:p>
            <w:pPr>
              <w:pStyle w:val="TableParagraph"/>
              <w:spacing w:line="270" w:lineRule="exact" w:before="0"/>
              <w:ind w:left="156"/>
              <w:rPr>
                <w:sz w:val="24"/>
              </w:rPr>
            </w:pPr>
            <w:r>
              <w:rPr>
                <w:spacing w:val="-4"/>
                <w:sz w:val="24"/>
              </w:rPr>
              <w:t>1000</w:t>
            </w:r>
          </w:p>
        </w:tc>
        <w:tc>
          <w:tcPr>
            <w:tcW w:w="1894" w:type="dxa"/>
            <w:tcBorders>
              <w:top w:val="single" w:sz="8" w:space="0" w:color="000000"/>
            </w:tcBorders>
          </w:tcPr>
          <w:p>
            <w:pPr>
              <w:pStyle w:val="TableParagraph"/>
              <w:spacing w:line="270" w:lineRule="exact" w:before="0"/>
              <w:rPr>
                <w:sz w:val="24"/>
              </w:rPr>
            </w:pPr>
            <w:r>
              <w:rPr>
                <w:spacing w:val="-5"/>
                <w:sz w:val="24"/>
              </w:rPr>
              <w:t>660</w:t>
            </w:r>
          </w:p>
        </w:tc>
        <w:tc>
          <w:tcPr>
            <w:tcW w:w="2372" w:type="dxa"/>
            <w:tcBorders>
              <w:top w:val="single" w:sz="8" w:space="0" w:color="000000"/>
            </w:tcBorders>
          </w:tcPr>
          <w:p>
            <w:pPr>
              <w:pStyle w:val="TableParagraph"/>
              <w:spacing w:line="270" w:lineRule="exact" w:before="0"/>
              <w:rPr>
                <w:sz w:val="24"/>
              </w:rPr>
            </w:pPr>
            <w:r>
              <w:rPr>
                <w:spacing w:val="-5"/>
                <w:sz w:val="24"/>
              </w:rPr>
              <w:t>34</w:t>
            </w:r>
          </w:p>
        </w:tc>
      </w:tr>
      <w:tr>
        <w:trPr>
          <w:trHeight w:val="476" w:hRule="atLeast"/>
        </w:trPr>
        <w:tc>
          <w:tcPr>
            <w:tcW w:w="2098" w:type="dxa"/>
          </w:tcPr>
          <w:p>
            <w:pPr>
              <w:pStyle w:val="TableParagraph"/>
              <w:spacing w:before="95"/>
              <w:ind w:left="115"/>
              <w:rPr>
                <w:sz w:val="24"/>
              </w:rPr>
            </w:pPr>
            <w:r>
              <w:rPr>
                <w:spacing w:val="-5"/>
                <w:sz w:val="24"/>
              </w:rPr>
              <w:t>NPb</w:t>
            </w:r>
          </w:p>
        </w:tc>
        <w:tc>
          <w:tcPr>
            <w:tcW w:w="2148" w:type="dxa"/>
          </w:tcPr>
          <w:p>
            <w:pPr>
              <w:pStyle w:val="TableParagraph"/>
              <w:spacing w:before="95"/>
              <w:ind w:left="156"/>
              <w:rPr>
                <w:sz w:val="24"/>
              </w:rPr>
            </w:pPr>
            <w:r>
              <w:rPr>
                <w:spacing w:val="-4"/>
                <w:sz w:val="24"/>
              </w:rPr>
              <w:t>1000</w:t>
            </w:r>
          </w:p>
        </w:tc>
        <w:tc>
          <w:tcPr>
            <w:tcW w:w="1894" w:type="dxa"/>
          </w:tcPr>
          <w:p>
            <w:pPr>
              <w:pStyle w:val="TableParagraph"/>
              <w:spacing w:before="95"/>
              <w:rPr>
                <w:sz w:val="24"/>
              </w:rPr>
            </w:pPr>
            <w:r>
              <w:rPr>
                <w:spacing w:val="-5"/>
                <w:sz w:val="24"/>
              </w:rPr>
              <w:t>690</w:t>
            </w:r>
          </w:p>
        </w:tc>
        <w:tc>
          <w:tcPr>
            <w:tcW w:w="2372" w:type="dxa"/>
          </w:tcPr>
          <w:p>
            <w:pPr>
              <w:pStyle w:val="TableParagraph"/>
              <w:spacing w:before="95"/>
              <w:rPr>
                <w:sz w:val="24"/>
              </w:rPr>
            </w:pPr>
            <w:r>
              <w:rPr>
                <w:spacing w:val="-5"/>
                <w:sz w:val="24"/>
              </w:rPr>
              <w:t>31</w:t>
            </w:r>
          </w:p>
        </w:tc>
      </w:tr>
      <w:tr>
        <w:trPr>
          <w:trHeight w:val="475" w:hRule="atLeast"/>
        </w:trPr>
        <w:tc>
          <w:tcPr>
            <w:tcW w:w="2098" w:type="dxa"/>
          </w:tcPr>
          <w:p>
            <w:pPr>
              <w:pStyle w:val="TableParagraph"/>
              <w:spacing w:before="94"/>
              <w:ind w:left="115"/>
              <w:rPr>
                <w:sz w:val="24"/>
              </w:rPr>
            </w:pPr>
            <w:r>
              <w:rPr>
                <w:spacing w:val="-5"/>
                <w:sz w:val="24"/>
              </w:rPr>
              <w:t>BSa</w:t>
            </w:r>
          </w:p>
        </w:tc>
        <w:tc>
          <w:tcPr>
            <w:tcW w:w="2148" w:type="dxa"/>
          </w:tcPr>
          <w:p>
            <w:pPr>
              <w:pStyle w:val="TableParagraph"/>
              <w:spacing w:before="94"/>
              <w:ind w:left="156"/>
              <w:rPr>
                <w:sz w:val="24"/>
              </w:rPr>
            </w:pPr>
            <w:r>
              <w:rPr>
                <w:spacing w:val="-4"/>
                <w:sz w:val="24"/>
              </w:rPr>
              <w:t>1000</w:t>
            </w:r>
          </w:p>
        </w:tc>
        <w:tc>
          <w:tcPr>
            <w:tcW w:w="1894" w:type="dxa"/>
          </w:tcPr>
          <w:p>
            <w:pPr>
              <w:pStyle w:val="TableParagraph"/>
              <w:spacing w:before="94"/>
              <w:rPr>
                <w:sz w:val="24"/>
              </w:rPr>
            </w:pPr>
            <w:r>
              <w:rPr>
                <w:spacing w:val="-5"/>
                <w:sz w:val="24"/>
              </w:rPr>
              <w:t>650</w:t>
            </w:r>
          </w:p>
        </w:tc>
        <w:tc>
          <w:tcPr>
            <w:tcW w:w="2372" w:type="dxa"/>
          </w:tcPr>
          <w:p>
            <w:pPr>
              <w:pStyle w:val="TableParagraph"/>
              <w:spacing w:before="94"/>
              <w:rPr>
                <w:sz w:val="24"/>
              </w:rPr>
            </w:pPr>
            <w:r>
              <w:rPr>
                <w:spacing w:val="-5"/>
                <w:sz w:val="24"/>
              </w:rPr>
              <w:t>35</w:t>
            </w:r>
          </w:p>
        </w:tc>
      </w:tr>
      <w:tr>
        <w:trPr>
          <w:trHeight w:val="476" w:hRule="atLeast"/>
        </w:trPr>
        <w:tc>
          <w:tcPr>
            <w:tcW w:w="2098" w:type="dxa"/>
          </w:tcPr>
          <w:p>
            <w:pPr>
              <w:pStyle w:val="TableParagraph"/>
              <w:spacing w:before="94"/>
              <w:ind w:left="115"/>
              <w:rPr>
                <w:sz w:val="24"/>
              </w:rPr>
            </w:pPr>
            <w:r>
              <w:rPr>
                <w:spacing w:val="-5"/>
                <w:sz w:val="24"/>
              </w:rPr>
              <w:t>BSb</w:t>
            </w:r>
          </w:p>
        </w:tc>
        <w:tc>
          <w:tcPr>
            <w:tcW w:w="2148" w:type="dxa"/>
          </w:tcPr>
          <w:p>
            <w:pPr>
              <w:pStyle w:val="TableParagraph"/>
              <w:spacing w:before="94"/>
              <w:ind w:left="156"/>
              <w:rPr>
                <w:sz w:val="24"/>
              </w:rPr>
            </w:pPr>
            <w:r>
              <w:rPr>
                <w:spacing w:val="-4"/>
                <w:sz w:val="24"/>
              </w:rPr>
              <w:t>1000</w:t>
            </w:r>
          </w:p>
        </w:tc>
        <w:tc>
          <w:tcPr>
            <w:tcW w:w="1894" w:type="dxa"/>
          </w:tcPr>
          <w:p>
            <w:pPr>
              <w:pStyle w:val="TableParagraph"/>
              <w:spacing w:before="94"/>
              <w:rPr>
                <w:sz w:val="24"/>
              </w:rPr>
            </w:pPr>
            <w:r>
              <w:rPr>
                <w:spacing w:val="-5"/>
                <w:sz w:val="24"/>
              </w:rPr>
              <w:t>500</w:t>
            </w:r>
          </w:p>
        </w:tc>
        <w:tc>
          <w:tcPr>
            <w:tcW w:w="2372" w:type="dxa"/>
          </w:tcPr>
          <w:p>
            <w:pPr>
              <w:pStyle w:val="TableParagraph"/>
              <w:spacing w:before="94"/>
              <w:rPr>
                <w:sz w:val="24"/>
              </w:rPr>
            </w:pPr>
            <w:r>
              <w:rPr>
                <w:spacing w:val="-5"/>
                <w:sz w:val="24"/>
              </w:rPr>
              <w:t>45</w:t>
            </w:r>
          </w:p>
        </w:tc>
      </w:tr>
      <w:tr>
        <w:trPr>
          <w:trHeight w:val="476" w:hRule="atLeast"/>
        </w:trPr>
        <w:tc>
          <w:tcPr>
            <w:tcW w:w="2098" w:type="dxa"/>
          </w:tcPr>
          <w:p>
            <w:pPr>
              <w:pStyle w:val="TableParagraph"/>
              <w:spacing w:before="95"/>
              <w:ind w:left="115"/>
              <w:rPr>
                <w:sz w:val="24"/>
              </w:rPr>
            </w:pPr>
            <w:r>
              <w:rPr>
                <w:spacing w:val="-5"/>
                <w:sz w:val="24"/>
              </w:rPr>
              <w:t>BCa</w:t>
            </w:r>
          </w:p>
        </w:tc>
        <w:tc>
          <w:tcPr>
            <w:tcW w:w="2148" w:type="dxa"/>
          </w:tcPr>
          <w:p>
            <w:pPr>
              <w:pStyle w:val="TableParagraph"/>
              <w:spacing w:before="95"/>
              <w:ind w:left="156"/>
              <w:rPr>
                <w:sz w:val="24"/>
              </w:rPr>
            </w:pPr>
            <w:r>
              <w:rPr>
                <w:spacing w:val="-4"/>
                <w:sz w:val="24"/>
              </w:rPr>
              <w:t>1000</w:t>
            </w:r>
          </w:p>
        </w:tc>
        <w:tc>
          <w:tcPr>
            <w:tcW w:w="1894" w:type="dxa"/>
          </w:tcPr>
          <w:p>
            <w:pPr>
              <w:pStyle w:val="TableParagraph"/>
              <w:spacing w:before="95"/>
              <w:rPr>
                <w:sz w:val="24"/>
              </w:rPr>
            </w:pPr>
            <w:r>
              <w:rPr>
                <w:spacing w:val="-5"/>
                <w:sz w:val="24"/>
              </w:rPr>
              <w:t>530</w:t>
            </w:r>
          </w:p>
        </w:tc>
        <w:tc>
          <w:tcPr>
            <w:tcW w:w="2372" w:type="dxa"/>
          </w:tcPr>
          <w:p>
            <w:pPr>
              <w:pStyle w:val="TableParagraph"/>
              <w:spacing w:before="95"/>
              <w:rPr>
                <w:sz w:val="24"/>
              </w:rPr>
            </w:pPr>
            <w:r>
              <w:rPr>
                <w:spacing w:val="-5"/>
                <w:sz w:val="24"/>
              </w:rPr>
              <w:t>47</w:t>
            </w:r>
          </w:p>
        </w:tc>
      </w:tr>
      <w:tr>
        <w:trPr>
          <w:trHeight w:val="475" w:hRule="atLeast"/>
        </w:trPr>
        <w:tc>
          <w:tcPr>
            <w:tcW w:w="2098" w:type="dxa"/>
          </w:tcPr>
          <w:p>
            <w:pPr>
              <w:pStyle w:val="TableParagraph"/>
              <w:spacing w:before="95"/>
              <w:ind w:left="115"/>
              <w:rPr>
                <w:sz w:val="24"/>
              </w:rPr>
            </w:pPr>
            <w:r>
              <w:rPr>
                <w:spacing w:val="-5"/>
                <w:sz w:val="24"/>
              </w:rPr>
              <w:t>BCb</w:t>
            </w:r>
          </w:p>
        </w:tc>
        <w:tc>
          <w:tcPr>
            <w:tcW w:w="2148" w:type="dxa"/>
          </w:tcPr>
          <w:p>
            <w:pPr>
              <w:pStyle w:val="TableParagraph"/>
              <w:spacing w:before="95"/>
              <w:ind w:left="156"/>
              <w:rPr>
                <w:sz w:val="24"/>
              </w:rPr>
            </w:pPr>
            <w:r>
              <w:rPr>
                <w:spacing w:val="-4"/>
                <w:sz w:val="24"/>
              </w:rPr>
              <w:t>1000</w:t>
            </w:r>
          </w:p>
        </w:tc>
        <w:tc>
          <w:tcPr>
            <w:tcW w:w="1894" w:type="dxa"/>
          </w:tcPr>
          <w:p>
            <w:pPr>
              <w:pStyle w:val="TableParagraph"/>
              <w:spacing w:before="95"/>
              <w:rPr>
                <w:sz w:val="24"/>
              </w:rPr>
            </w:pPr>
            <w:r>
              <w:rPr>
                <w:spacing w:val="-5"/>
                <w:sz w:val="24"/>
              </w:rPr>
              <w:t>590</w:t>
            </w:r>
          </w:p>
        </w:tc>
        <w:tc>
          <w:tcPr>
            <w:tcW w:w="2372" w:type="dxa"/>
          </w:tcPr>
          <w:p>
            <w:pPr>
              <w:pStyle w:val="TableParagraph"/>
              <w:spacing w:before="95"/>
              <w:rPr>
                <w:sz w:val="24"/>
              </w:rPr>
            </w:pPr>
            <w:r>
              <w:rPr>
                <w:spacing w:val="-5"/>
                <w:sz w:val="24"/>
              </w:rPr>
              <w:t>42</w:t>
            </w:r>
          </w:p>
        </w:tc>
      </w:tr>
      <w:tr>
        <w:trPr>
          <w:trHeight w:val="476" w:hRule="atLeast"/>
        </w:trPr>
        <w:tc>
          <w:tcPr>
            <w:tcW w:w="2098" w:type="dxa"/>
          </w:tcPr>
          <w:p>
            <w:pPr>
              <w:pStyle w:val="TableParagraph"/>
              <w:spacing w:before="94"/>
              <w:ind w:left="115"/>
              <w:rPr>
                <w:sz w:val="24"/>
              </w:rPr>
            </w:pPr>
            <w:r>
              <w:rPr>
                <w:spacing w:val="-2"/>
                <w:sz w:val="24"/>
              </w:rPr>
              <w:t>BS/NP/BC(1:1:1)a</w:t>
            </w:r>
          </w:p>
        </w:tc>
        <w:tc>
          <w:tcPr>
            <w:tcW w:w="2148" w:type="dxa"/>
          </w:tcPr>
          <w:p>
            <w:pPr>
              <w:pStyle w:val="TableParagraph"/>
              <w:spacing w:before="94"/>
              <w:ind w:left="156"/>
              <w:rPr>
                <w:sz w:val="24"/>
              </w:rPr>
            </w:pPr>
            <w:r>
              <w:rPr>
                <w:spacing w:val="-4"/>
                <w:sz w:val="24"/>
              </w:rPr>
              <w:t>1000</w:t>
            </w:r>
          </w:p>
        </w:tc>
        <w:tc>
          <w:tcPr>
            <w:tcW w:w="1894" w:type="dxa"/>
          </w:tcPr>
          <w:p>
            <w:pPr>
              <w:pStyle w:val="TableParagraph"/>
              <w:spacing w:before="94"/>
              <w:rPr>
                <w:sz w:val="24"/>
              </w:rPr>
            </w:pPr>
            <w:r>
              <w:rPr>
                <w:spacing w:val="-5"/>
                <w:sz w:val="24"/>
              </w:rPr>
              <w:t>250</w:t>
            </w:r>
          </w:p>
        </w:tc>
        <w:tc>
          <w:tcPr>
            <w:tcW w:w="2372" w:type="dxa"/>
          </w:tcPr>
          <w:p>
            <w:pPr>
              <w:pStyle w:val="TableParagraph"/>
              <w:spacing w:before="94"/>
              <w:rPr>
                <w:sz w:val="24"/>
              </w:rPr>
            </w:pPr>
            <w:r>
              <w:rPr>
                <w:spacing w:val="-5"/>
                <w:sz w:val="24"/>
              </w:rPr>
              <w:t>75</w:t>
            </w:r>
          </w:p>
        </w:tc>
      </w:tr>
      <w:tr>
        <w:trPr>
          <w:trHeight w:val="476" w:hRule="atLeast"/>
        </w:trPr>
        <w:tc>
          <w:tcPr>
            <w:tcW w:w="2098" w:type="dxa"/>
          </w:tcPr>
          <w:p>
            <w:pPr>
              <w:pStyle w:val="TableParagraph"/>
              <w:spacing w:before="95"/>
              <w:ind w:left="115"/>
              <w:rPr>
                <w:sz w:val="24"/>
              </w:rPr>
            </w:pPr>
            <w:r>
              <w:rPr>
                <w:spacing w:val="-2"/>
                <w:sz w:val="24"/>
              </w:rPr>
              <w:t>BS/NP/BC(1:1:1)b</w:t>
            </w:r>
          </w:p>
        </w:tc>
        <w:tc>
          <w:tcPr>
            <w:tcW w:w="2148" w:type="dxa"/>
          </w:tcPr>
          <w:p>
            <w:pPr>
              <w:pStyle w:val="TableParagraph"/>
              <w:spacing w:before="95"/>
              <w:ind w:left="156"/>
              <w:rPr>
                <w:sz w:val="24"/>
              </w:rPr>
            </w:pPr>
            <w:r>
              <w:rPr>
                <w:spacing w:val="-4"/>
                <w:sz w:val="24"/>
              </w:rPr>
              <w:t>1000</w:t>
            </w:r>
          </w:p>
        </w:tc>
        <w:tc>
          <w:tcPr>
            <w:tcW w:w="1894" w:type="dxa"/>
          </w:tcPr>
          <w:p>
            <w:pPr>
              <w:pStyle w:val="TableParagraph"/>
              <w:spacing w:before="95"/>
              <w:rPr>
                <w:sz w:val="24"/>
              </w:rPr>
            </w:pPr>
            <w:r>
              <w:rPr>
                <w:spacing w:val="-5"/>
                <w:sz w:val="24"/>
              </w:rPr>
              <w:t>330</w:t>
            </w:r>
          </w:p>
        </w:tc>
        <w:tc>
          <w:tcPr>
            <w:tcW w:w="2372" w:type="dxa"/>
          </w:tcPr>
          <w:p>
            <w:pPr>
              <w:pStyle w:val="TableParagraph"/>
              <w:spacing w:before="95"/>
              <w:rPr>
                <w:sz w:val="24"/>
              </w:rPr>
            </w:pPr>
            <w:r>
              <w:rPr>
                <w:spacing w:val="-5"/>
                <w:sz w:val="24"/>
              </w:rPr>
              <w:t>67</w:t>
            </w:r>
          </w:p>
        </w:tc>
      </w:tr>
      <w:tr>
        <w:trPr>
          <w:trHeight w:val="475" w:hRule="atLeast"/>
        </w:trPr>
        <w:tc>
          <w:tcPr>
            <w:tcW w:w="2098" w:type="dxa"/>
          </w:tcPr>
          <w:p>
            <w:pPr>
              <w:pStyle w:val="TableParagraph"/>
              <w:spacing w:before="94"/>
              <w:ind w:left="115"/>
              <w:rPr>
                <w:sz w:val="24"/>
              </w:rPr>
            </w:pPr>
            <w:r>
              <w:rPr>
                <w:spacing w:val="-2"/>
                <w:sz w:val="24"/>
              </w:rPr>
              <w:t>BS/NP/BC(1:2:1)a</w:t>
            </w:r>
          </w:p>
        </w:tc>
        <w:tc>
          <w:tcPr>
            <w:tcW w:w="2148" w:type="dxa"/>
          </w:tcPr>
          <w:p>
            <w:pPr>
              <w:pStyle w:val="TableParagraph"/>
              <w:spacing w:before="94"/>
              <w:ind w:left="156"/>
              <w:rPr>
                <w:sz w:val="24"/>
              </w:rPr>
            </w:pPr>
            <w:r>
              <w:rPr>
                <w:spacing w:val="-4"/>
                <w:sz w:val="24"/>
              </w:rPr>
              <w:t>1000</w:t>
            </w:r>
          </w:p>
        </w:tc>
        <w:tc>
          <w:tcPr>
            <w:tcW w:w="1894" w:type="dxa"/>
          </w:tcPr>
          <w:p>
            <w:pPr>
              <w:pStyle w:val="TableParagraph"/>
              <w:spacing w:before="94"/>
              <w:rPr>
                <w:sz w:val="24"/>
              </w:rPr>
            </w:pPr>
            <w:r>
              <w:rPr>
                <w:spacing w:val="-5"/>
                <w:sz w:val="24"/>
              </w:rPr>
              <w:t>470</w:t>
            </w:r>
          </w:p>
        </w:tc>
        <w:tc>
          <w:tcPr>
            <w:tcW w:w="2372" w:type="dxa"/>
          </w:tcPr>
          <w:p>
            <w:pPr>
              <w:pStyle w:val="TableParagraph"/>
              <w:spacing w:before="94"/>
              <w:rPr>
                <w:sz w:val="24"/>
              </w:rPr>
            </w:pPr>
            <w:r>
              <w:rPr>
                <w:spacing w:val="-5"/>
                <w:sz w:val="24"/>
              </w:rPr>
              <w:t>53</w:t>
            </w:r>
          </w:p>
        </w:tc>
      </w:tr>
      <w:tr>
        <w:trPr>
          <w:trHeight w:val="476" w:hRule="atLeast"/>
        </w:trPr>
        <w:tc>
          <w:tcPr>
            <w:tcW w:w="2098" w:type="dxa"/>
          </w:tcPr>
          <w:p>
            <w:pPr>
              <w:pStyle w:val="TableParagraph"/>
              <w:spacing w:before="94"/>
              <w:ind w:left="115"/>
              <w:rPr>
                <w:sz w:val="24"/>
              </w:rPr>
            </w:pPr>
            <w:r>
              <w:rPr>
                <w:spacing w:val="-2"/>
                <w:sz w:val="24"/>
              </w:rPr>
              <w:t>BS/NP/BC(1:2:1)b</w:t>
            </w:r>
          </w:p>
        </w:tc>
        <w:tc>
          <w:tcPr>
            <w:tcW w:w="2148" w:type="dxa"/>
          </w:tcPr>
          <w:p>
            <w:pPr>
              <w:pStyle w:val="TableParagraph"/>
              <w:spacing w:before="94"/>
              <w:ind w:left="156"/>
              <w:rPr>
                <w:sz w:val="24"/>
              </w:rPr>
            </w:pPr>
            <w:r>
              <w:rPr>
                <w:spacing w:val="-4"/>
                <w:sz w:val="24"/>
              </w:rPr>
              <w:t>1000</w:t>
            </w:r>
          </w:p>
        </w:tc>
        <w:tc>
          <w:tcPr>
            <w:tcW w:w="1894" w:type="dxa"/>
          </w:tcPr>
          <w:p>
            <w:pPr>
              <w:pStyle w:val="TableParagraph"/>
              <w:spacing w:before="94"/>
              <w:rPr>
                <w:sz w:val="24"/>
              </w:rPr>
            </w:pPr>
            <w:r>
              <w:rPr>
                <w:spacing w:val="-5"/>
                <w:sz w:val="24"/>
              </w:rPr>
              <w:t>530</w:t>
            </w:r>
          </w:p>
        </w:tc>
        <w:tc>
          <w:tcPr>
            <w:tcW w:w="2372" w:type="dxa"/>
          </w:tcPr>
          <w:p>
            <w:pPr>
              <w:pStyle w:val="TableParagraph"/>
              <w:spacing w:before="94"/>
              <w:rPr>
                <w:sz w:val="24"/>
              </w:rPr>
            </w:pPr>
            <w:r>
              <w:rPr>
                <w:spacing w:val="-5"/>
                <w:sz w:val="24"/>
              </w:rPr>
              <w:t>47</w:t>
            </w:r>
          </w:p>
        </w:tc>
      </w:tr>
      <w:tr>
        <w:trPr>
          <w:trHeight w:val="476" w:hRule="atLeast"/>
        </w:trPr>
        <w:tc>
          <w:tcPr>
            <w:tcW w:w="2098" w:type="dxa"/>
          </w:tcPr>
          <w:p>
            <w:pPr>
              <w:pStyle w:val="TableParagraph"/>
              <w:spacing w:before="95"/>
              <w:ind w:left="115"/>
              <w:rPr>
                <w:sz w:val="24"/>
              </w:rPr>
            </w:pPr>
            <w:r>
              <w:rPr>
                <w:spacing w:val="-2"/>
                <w:sz w:val="24"/>
              </w:rPr>
              <w:t>BS/NP/BC(2:1:1)a</w:t>
            </w:r>
          </w:p>
        </w:tc>
        <w:tc>
          <w:tcPr>
            <w:tcW w:w="2148" w:type="dxa"/>
          </w:tcPr>
          <w:p>
            <w:pPr>
              <w:pStyle w:val="TableParagraph"/>
              <w:spacing w:before="95"/>
              <w:ind w:left="156"/>
              <w:rPr>
                <w:sz w:val="24"/>
              </w:rPr>
            </w:pPr>
            <w:r>
              <w:rPr>
                <w:spacing w:val="-4"/>
                <w:sz w:val="24"/>
              </w:rPr>
              <w:t>1000</w:t>
            </w:r>
          </w:p>
        </w:tc>
        <w:tc>
          <w:tcPr>
            <w:tcW w:w="1894" w:type="dxa"/>
          </w:tcPr>
          <w:p>
            <w:pPr>
              <w:pStyle w:val="TableParagraph"/>
              <w:spacing w:before="95"/>
              <w:rPr>
                <w:sz w:val="24"/>
              </w:rPr>
            </w:pPr>
            <w:r>
              <w:rPr>
                <w:spacing w:val="-5"/>
                <w:sz w:val="24"/>
              </w:rPr>
              <w:t>440</w:t>
            </w:r>
          </w:p>
        </w:tc>
        <w:tc>
          <w:tcPr>
            <w:tcW w:w="2372" w:type="dxa"/>
          </w:tcPr>
          <w:p>
            <w:pPr>
              <w:pStyle w:val="TableParagraph"/>
              <w:spacing w:before="95"/>
              <w:rPr>
                <w:sz w:val="24"/>
              </w:rPr>
            </w:pPr>
            <w:r>
              <w:rPr>
                <w:spacing w:val="-5"/>
                <w:sz w:val="24"/>
              </w:rPr>
              <w:t>56</w:t>
            </w:r>
          </w:p>
        </w:tc>
      </w:tr>
      <w:tr>
        <w:trPr>
          <w:trHeight w:val="475" w:hRule="atLeast"/>
        </w:trPr>
        <w:tc>
          <w:tcPr>
            <w:tcW w:w="2098" w:type="dxa"/>
          </w:tcPr>
          <w:p>
            <w:pPr>
              <w:pStyle w:val="TableParagraph"/>
              <w:spacing w:before="94"/>
              <w:ind w:left="115"/>
              <w:rPr>
                <w:sz w:val="24"/>
              </w:rPr>
            </w:pPr>
            <w:r>
              <w:rPr>
                <w:spacing w:val="-2"/>
                <w:sz w:val="24"/>
              </w:rPr>
              <w:t>BS/NP/BC(2:1:1)b</w:t>
            </w:r>
          </w:p>
        </w:tc>
        <w:tc>
          <w:tcPr>
            <w:tcW w:w="2148" w:type="dxa"/>
          </w:tcPr>
          <w:p>
            <w:pPr>
              <w:pStyle w:val="TableParagraph"/>
              <w:spacing w:before="94"/>
              <w:ind w:left="156"/>
              <w:rPr>
                <w:sz w:val="24"/>
              </w:rPr>
            </w:pPr>
            <w:r>
              <w:rPr>
                <w:spacing w:val="-4"/>
                <w:sz w:val="24"/>
              </w:rPr>
              <w:t>1000</w:t>
            </w:r>
          </w:p>
        </w:tc>
        <w:tc>
          <w:tcPr>
            <w:tcW w:w="1894" w:type="dxa"/>
          </w:tcPr>
          <w:p>
            <w:pPr>
              <w:pStyle w:val="TableParagraph"/>
              <w:spacing w:before="94"/>
              <w:rPr>
                <w:sz w:val="24"/>
              </w:rPr>
            </w:pPr>
            <w:r>
              <w:rPr>
                <w:spacing w:val="-5"/>
                <w:sz w:val="24"/>
              </w:rPr>
              <w:t>500</w:t>
            </w:r>
          </w:p>
        </w:tc>
        <w:tc>
          <w:tcPr>
            <w:tcW w:w="2372" w:type="dxa"/>
          </w:tcPr>
          <w:p>
            <w:pPr>
              <w:pStyle w:val="TableParagraph"/>
              <w:spacing w:before="94"/>
              <w:rPr>
                <w:sz w:val="24"/>
              </w:rPr>
            </w:pPr>
            <w:r>
              <w:rPr>
                <w:spacing w:val="-5"/>
                <w:sz w:val="24"/>
              </w:rPr>
              <w:t>50</w:t>
            </w:r>
          </w:p>
        </w:tc>
      </w:tr>
      <w:tr>
        <w:trPr>
          <w:trHeight w:val="476" w:hRule="atLeast"/>
        </w:trPr>
        <w:tc>
          <w:tcPr>
            <w:tcW w:w="2098" w:type="dxa"/>
          </w:tcPr>
          <w:p>
            <w:pPr>
              <w:pStyle w:val="TableParagraph"/>
              <w:spacing w:before="94"/>
              <w:ind w:left="115"/>
              <w:rPr>
                <w:sz w:val="24"/>
              </w:rPr>
            </w:pPr>
            <w:r>
              <w:rPr>
                <w:spacing w:val="-2"/>
                <w:sz w:val="24"/>
              </w:rPr>
              <w:t>BS/NP/BC(1:1:2)a</w:t>
            </w:r>
          </w:p>
        </w:tc>
        <w:tc>
          <w:tcPr>
            <w:tcW w:w="2148" w:type="dxa"/>
          </w:tcPr>
          <w:p>
            <w:pPr>
              <w:pStyle w:val="TableParagraph"/>
              <w:spacing w:before="94"/>
              <w:ind w:left="156"/>
              <w:rPr>
                <w:sz w:val="24"/>
              </w:rPr>
            </w:pPr>
            <w:r>
              <w:rPr>
                <w:spacing w:val="-4"/>
                <w:sz w:val="24"/>
              </w:rPr>
              <w:t>1000</w:t>
            </w:r>
          </w:p>
        </w:tc>
        <w:tc>
          <w:tcPr>
            <w:tcW w:w="1894" w:type="dxa"/>
          </w:tcPr>
          <w:p>
            <w:pPr>
              <w:pStyle w:val="TableParagraph"/>
              <w:spacing w:before="94"/>
              <w:rPr>
                <w:sz w:val="24"/>
              </w:rPr>
            </w:pPr>
            <w:r>
              <w:rPr>
                <w:spacing w:val="-5"/>
                <w:sz w:val="24"/>
              </w:rPr>
              <w:t>360</w:t>
            </w:r>
          </w:p>
        </w:tc>
        <w:tc>
          <w:tcPr>
            <w:tcW w:w="2372" w:type="dxa"/>
          </w:tcPr>
          <w:p>
            <w:pPr>
              <w:pStyle w:val="TableParagraph"/>
              <w:spacing w:before="94"/>
              <w:rPr>
                <w:sz w:val="24"/>
              </w:rPr>
            </w:pPr>
            <w:r>
              <w:rPr>
                <w:spacing w:val="-5"/>
                <w:sz w:val="24"/>
              </w:rPr>
              <w:t>64</w:t>
            </w:r>
          </w:p>
        </w:tc>
      </w:tr>
      <w:tr>
        <w:trPr>
          <w:trHeight w:val="476" w:hRule="atLeast"/>
        </w:trPr>
        <w:tc>
          <w:tcPr>
            <w:tcW w:w="2098" w:type="dxa"/>
          </w:tcPr>
          <w:p>
            <w:pPr>
              <w:pStyle w:val="TableParagraph"/>
              <w:spacing w:before="95"/>
              <w:ind w:left="115"/>
              <w:rPr>
                <w:sz w:val="24"/>
              </w:rPr>
            </w:pPr>
            <w:r>
              <w:rPr>
                <w:spacing w:val="-2"/>
                <w:sz w:val="24"/>
              </w:rPr>
              <w:t>BS/NP/BC(1:1:2)b</w:t>
            </w:r>
          </w:p>
        </w:tc>
        <w:tc>
          <w:tcPr>
            <w:tcW w:w="2148" w:type="dxa"/>
          </w:tcPr>
          <w:p>
            <w:pPr>
              <w:pStyle w:val="TableParagraph"/>
              <w:spacing w:before="95"/>
              <w:ind w:left="156"/>
              <w:rPr>
                <w:sz w:val="24"/>
              </w:rPr>
            </w:pPr>
            <w:r>
              <w:rPr>
                <w:spacing w:val="-4"/>
                <w:sz w:val="24"/>
              </w:rPr>
              <w:t>1000</w:t>
            </w:r>
          </w:p>
        </w:tc>
        <w:tc>
          <w:tcPr>
            <w:tcW w:w="1894" w:type="dxa"/>
          </w:tcPr>
          <w:p>
            <w:pPr>
              <w:pStyle w:val="TableParagraph"/>
              <w:spacing w:before="95"/>
              <w:rPr>
                <w:sz w:val="24"/>
              </w:rPr>
            </w:pPr>
            <w:r>
              <w:rPr>
                <w:spacing w:val="-5"/>
                <w:sz w:val="24"/>
              </w:rPr>
              <w:t>540</w:t>
            </w:r>
          </w:p>
        </w:tc>
        <w:tc>
          <w:tcPr>
            <w:tcW w:w="2372" w:type="dxa"/>
          </w:tcPr>
          <w:p>
            <w:pPr>
              <w:pStyle w:val="TableParagraph"/>
              <w:spacing w:before="95"/>
              <w:rPr>
                <w:sz w:val="24"/>
              </w:rPr>
            </w:pPr>
            <w:r>
              <w:rPr>
                <w:spacing w:val="-5"/>
                <w:sz w:val="24"/>
              </w:rPr>
              <w:t>46</w:t>
            </w:r>
          </w:p>
        </w:tc>
      </w:tr>
      <w:tr>
        <w:trPr>
          <w:trHeight w:val="577" w:hRule="atLeast"/>
        </w:trPr>
        <w:tc>
          <w:tcPr>
            <w:tcW w:w="2098" w:type="dxa"/>
            <w:tcBorders>
              <w:bottom w:val="single" w:sz="8" w:space="0" w:color="000000"/>
            </w:tcBorders>
          </w:tcPr>
          <w:p>
            <w:pPr>
              <w:pStyle w:val="TableParagraph"/>
              <w:spacing w:before="94"/>
              <w:ind w:left="115"/>
              <w:rPr>
                <w:sz w:val="24"/>
              </w:rPr>
            </w:pPr>
            <w:r>
              <w:rPr>
                <w:spacing w:val="-2"/>
                <w:sz w:val="24"/>
              </w:rPr>
              <w:t>Control</w:t>
            </w:r>
          </w:p>
        </w:tc>
        <w:tc>
          <w:tcPr>
            <w:tcW w:w="2148" w:type="dxa"/>
            <w:tcBorders>
              <w:bottom w:val="single" w:sz="8" w:space="0" w:color="000000"/>
            </w:tcBorders>
          </w:tcPr>
          <w:p>
            <w:pPr>
              <w:pStyle w:val="TableParagraph"/>
              <w:spacing w:before="94"/>
              <w:ind w:left="156"/>
              <w:rPr>
                <w:sz w:val="24"/>
              </w:rPr>
            </w:pPr>
            <w:r>
              <w:rPr>
                <w:spacing w:val="-4"/>
                <w:sz w:val="24"/>
              </w:rPr>
              <w:t>1000</w:t>
            </w:r>
          </w:p>
        </w:tc>
        <w:tc>
          <w:tcPr>
            <w:tcW w:w="1894" w:type="dxa"/>
            <w:tcBorders>
              <w:bottom w:val="single" w:sz="8" w:space="0" w:color="000000"/>
            </w:tcBorders>
          </w:tcPr>
          <w:p>
            <w:pPr>
              <w:pStyle w:val="TableParagraph"/>
              <w:spacing w:before="94"/>
              <w:rPr>
                <w:sz w:val="24"/>
              </w:rPr>
            </w:pPr>
            <w:r>
              <w:rPr>
                <w:spacing w:val="-5"/>
                <w:sz w:val="24"/>
              </w:rPr>
              <w:t>830</w:t>
            </w:r>
          </w:p>
        </w:tc>
        <w:tc>
          <w:tcPr>
            <w:tcW w:w="2372" w:type="dxa"/>
            <w:tcBorders>
              <w:bottom w:val="single" w:sz="8" w:space="0" w:color="000000"/>
            </w:tcBorders>
          </w:tcPr>
          <w:p>
            <w:pPr>
              <w:pStyle w:val="TableParagraph"/>
              <w:spacing w:before="94"/>
              <w:rPr>
                <w:sz w:val="24"/>
              </w:rPr>
            </w:pPr>
            <w:r>
              <w:rPr>
                <w:spacing w:val="-5"/>
                <w:sz w:val="24"/>
              </w:rPr>
              <w:t>17</w:t>
            </w:r>
          </w:p>
        </w:tc>
      </w:tr>
    </w:tbl>
    <w:p>
      <w:pPr>
        <w:pStyle w:val="BodyText"/>
        <w:spacing w:line="480" w:lineRule="auto" w:before="15"/>
        <w:ind w:left="202" w:right="114"/>
        <w:jc w:val="both"/>
      </w:pPr>
      <w:r>
        <w:rPr/>
        <w:t>NP-</w:t>
      </w:r>
      <w:r>
        <w:rPr/>
        <w:t> nanoparticles,</w:t>
      </w:r>
      <w:r>
        <w:rPr/>
        <w:t> BS-</w:t>
      </w:r>
      <w:r>
        <w:rPr/>
        <w:t> Biosurfactants,</w:t>
      </w:r>
      <w:r>
        <w:rPr/>
        <w:t> BC-</w:t>
      </w:r>
      <w:r>
        <w:rPr/>
        <w:t> Biochar,</w:t>
      </w:r>
      <w:r>
        <w:rPr/>
        <w:t> a-</w:t>
      </w:r>
      <w:r>
        <w:rPr/>
        <w:t> single strength, b- double strength, Control- soil sample untreated</w:t>
      </w:r>
    </w:p>
    <w:p>
      <w:pPr>
        <w:pStyle w:val="BodyText"/>
        <w:rPr>
          <w:sz w:val="26"/>
        </w:rPr>
      </w:pPr>
    </w:p>
    <w:p>
      <w:pPr>
        <w:pStyle w:val="BodyText"/>
        <w:spacing w:before="6"/>
        <w:rPr>
          <w:sz w:val="22"/>
        </w:rPr>
      </w:pPr>
    </w:p>
    <w:p>
      <w:pPr>
        <w:pStyle w:val="Heading2"/>
        <w:numPr>
          <w:ilvl w:val="1"/>
          <w:numId w:val="5"/>
        </w:numPr>
        <w:tabs>
          <w:tab w:pos="922" w:val="left" w:leader="none"/>
        </w:tabs>
        <w:spacing w:line="240" w:lineRule="auto" w:before="0" w:after="0"/>
        <w:ind w:left="922" w:right="0" w:hanging="720"/>
        <w:jc w:val="both"/>
      </w:pPr>
      <w:r>
        <w:rPr>
          <w:spacing w:val="-2"/>
        </w:rPr>
        <w:t>Discussion</w:t>
      </w:r>
    </w:p>
    <w:p>
      <w:pPr>
        <w:pStyle w:val="BodyText"/>
        <w:spacing w:before="4"/>
        <w:rPr>
          <w:b/>
          <w:sz w:val="23"/>
        </w:rPr>
      </w:pPr>
    </w:p>
    <w:p>
      <w:pPr>
        <w:pStyle w:val="BodyText"/>
        <w:spacing w:line="480" w:lineRule="auto"/>
        <w:ind w:left="202" w:right="116"/>
        <w:jc w:val="both"/>
      </w:pPr>
      <w:r>
        <w:rPr/>
        <w:t>Due to the high quest by the oil and gas industries for the clean up of polluted environment, there is need to search for a more effective agent that could help manage this menace. This has led to the development of this research idea.</w:t>
      </w:r>
      <w:r>
        <w:rPr>
          <w:spacing w:val="40"/>
        </w:rPr>
        <w:t> </w:t>
      </w:r>
      <w:r>
        <w:rPr>
          <w:i/>
        </w:rPr>
        <w:t>Alcaligenes faecalis </w:t>
      </w:r>
      <w:r>
        <w:rPr/>
        <w:t>strain ADY25 was used in this research and it passed the oil displacement test (Plate II) and oil drop collapse assay (Plate III) for biosurfactant activity. This report is similar to that</w:t>
      </w:r>
      <w:r>
        <w:rPr>
          <w:spacing w:val="-7"/>
        </w:rPr>
        <w:t> </w:t>
      </w:r>
      <w:r>
        <w:rPr/>
        <w:t>of</w:t>
      </w:r>
      <w:r>
        <w:rPr>
          <w:spacing w:val="-5"/>
        </w:rPr>
        <w:t> </w:t>
      </w:r>
      <w:r>
        <w:rPr/>
        <w:t>Bharali</w:t>
      </w:r>
      <w:r>
        <w:rPr>
          <w:spacing w:val="-5"/>
        </w:rPr>
        <w:t> </w:t>
      </w:r>
      <w:r>
        <w:rPr>
          <w:i/>
        </w:rPr>
        <w:t>et</w:t>
      </w:r>
      <w:r>
        <w:rPr>
          <w:i/>
          <w:spacing w:val="-6"/>
        </w:rPr>
        <w:t> </w:t>
      </w:r>
      <w:r>
        <w:rPr>
          <w:i/>
        </w:rPr>
        <w:t>al</w:t>
      </w:r>
      <w:r>
        <w:rPr/>
        <w:t>.</w:t>
      </w:r>
      <w:r>
        <w:rPr>
          <w:spacing w:val="-4"/>
        </w:rPr>
        <w:t> </w:t>
      </w:r>
      <w:r>
        <w:rPr/>
        <w:t>(2011)</w:t>
      </w:r>
      <w:r>
        <w:rPr>
          <w:spacing w:val="-7"/>
        </w:rPr>
        <w:t> </w:t>
      </w:r>
      <w:r>
        <w:rPr/>
        <w:t>and</w:t>
      </w:r>
      <w:r>
        <w:rPr>
          <w:spacing w:val="-6"/>
        </w:rPr>
        <w:t> </w:t>
      </w:r>
      <w:r>
        <w:rPr/>
        <w:t>it</w:t>
      </w:r>
      <w:r>
        <w:rPr>
          <w:spacing w:val="-2"/>
        </w:rPr>
        <w:t> </w:t>
      </w:r>
      <w:r>
        <w:rPr/>
        <w:t>could</w:t>
      </w:r>
      <w:r>
        <w:rPr>
          <w:spacing w:val="-7"/>
        </w:rPr>
        <w:t> </w:t>
      </w:r>
      <w:r>
        <w:rPr/>
        <w:t>be</w:t>
      </w:r>
      <w:r>
        <w:rPr>
          <w:spacing w:val="-5"/>
        </w:rPr>
        <w:t> </w:t>
      </w:r>
      <w:r>
        <w:rPr/>
        <w:t>attributed</w:t>
      </w:r>
      <w:r>
        <w:rPr>
          <w:spacing w:val="-6"/>
        </w:rPr>
        <w:t> </w:t>
      </w:r>
      <w:r>
        <w:rPr/>
        <w:t>to</w:t>
      </w:r>
      <w:r>
        <w:rPr>
          <w:spacing w:val="-6"/>
        </w:rPr>
        <w:t> </w:t>
      </w:r>
      <w:r>
        <w:rPr/>
        <w:t>the</w:t>
      </w:r>
      <w:r>
        <w:rPr>
          <w:spacing w:val="-7"/>
        </w:rPr>
        <w:t> </w:t>
      </w:r>
      <w:r>
        <w:rPr/>
        <w:t>decrease</w:t>
      </w:r>
      <w:r>
        <w:rPr>
          <w:spacing w:val="-7"/>
        </w:rPr>
        <w:t> </w:t>
      </w:r>
      <w:r>
        <w:rPr/>
        <w:t>in</w:t>
      </w:r>
      <w:r>
        <w:rPr>
          <w:spacing w:val="-6"/>
        </w:rPr>
        <w:t> </w:t>
      </w:r>
      <w:r>
        <w:rPr/>
        <w:t>surface</w:t>
      </w:r>
      <w:r>
        <w:rPr>
          <w:spacing w:val="-6"/>
        </w:rPr>
        <w:t> </w:t>
      </w:r>
      <w:r>
        <w:rPr/>
        <w:t>tension</w:t>
      </w:r>
      <w:r>
        <w:rPr>
          <w:spacing w:val="-6"/>
        </w:rPr>
        <w:t> </w:t>
      </w:r>
      <w:r>
        <w:rPr>
          <w:spacing w:val="-5"/>
        </w:rPr>
        <w:t>in</w:t>
      </w:r>
    </w:p>
    <w:p>
      <w:pPr>
        <w:spacing w:after="0" w:line="480" w:lineRule="auto"/>
        <w:jc w:val="both"/>
        <w:sectPr>
          <w:pgSz w:w="11910" w:h="16840"/>
          <w:pgMar w:header="0" w:footer="1002" w:top="1380" w:bottom="1200" w:left="1500" w:right="1580"/>
        </w:sectPr>
      </w:pPr>
    </w:p>
    <w:p>
      <w:pPr>
        <w:pStyle w:val="BodyText"/>
        <w:spacing w:line="480" w:lineRule="auto" w:before="69"/>
        <w:ind w:left="202" w:right="118"/>
        <w:jc w:val="both"/>
      </w:pPr>
      <w:r>
        <w:rPr/>
        <w:t>the liquid-liquid interface. These two screening assays were utilized because it has been reported that in sometimes, some effective producers of biosurfactant do not show positive</w:t>
      </w:r>
      <w:r>
        <w:rPr>
          <w:spacing w:val="-9"/>
        </w:rPr>
        <w:t> </w:t>
      </w:r>
      <w:r>
        <w:rPr/>
        <w:t>to</w:t>
      </w:r>
      <w:r>
        <w:rPr>
          <w:spacing w:val="-8"/>
        </w:rPr>
        <w:t> </w:t>
      </w:r>
      <w:r>
        <w:rPr/>
        <w:t>hemolysis</w:t>
      </w:r>
      <w:r>
        <w:rPr>
          <w:spacing w:val="-8"/>
        </w:rPr>
        <w:t> </w:t>
      </w:r>
      <w:r>
        <w:rPr/>
        <w:t>test</w:t>
      </w:r>
      <w:r>
        <w:rPr>
          <w:spacing w:val="-6"/>
        </w:rPr>
        <w:t> </w:t>
      </w:r>
      <w:r>
        <w:rPr/>
        <w:t>and</w:t>
      </w:r>
      <w:r>
        <w:rPr>
          <w:spacing w:val="-8"/>
        </w:rPr>
        <w:t> </w:t>
      </w:r>
      <w:r>
        <w:rPr/>
        <w:t>they</w:t>
      </w:r>
      <w:r>
        <w:rPr>
          <w:spacing w:val="-12"/>
        </w:rPr>
        <w:t> </w:t>
      </w:r>
      <w:r>
        <w:rPr/>
        <w:t>are</w:t>
      </w:r>
      <w:r>
        <w:rPr>
          <w:spacing w:val="-9"/>
        </w:rPr>
        <w:t> </w:t>
      </w:r>
      <w:r>
        <w:rPr/>
        <w:t>therefore</w:t>
      </w:r>
      <w:r>
        <w:rPr>
          <w:spacing w:val="-9"/>
        </w:rPr>
        <w:t> </w:t>
      </w:r>
      <w:r>
        <w:rPr/>
        <w:t>eliminated</w:t>
      </w:r>
      <w:r>
        <w:rPr>
          <w:spacing w:val="-9"/>
        </w:rPr>
        <w:t> </w:t>
      </w:r>
      <w:r>
        <w:rPr/>
        <w:t>(Youssef</w:t>
      </w:r>
      <w:r>
        <w:rPr>
          <w:spacing w:val="-3"/>
        </w:rPr>
        <w:t> </w:t>
      </w:r>
      <w:r>
        <w:rPr>
          <w:i/>
        </w:rPr>
        <w:t>et</w:t>
      </w:r>
      <w:r>
        <w:rPr>
          <w:i/>
          <w:spacing w:val="-8"/>
        </w:rPr>
        <w:t> </w:t>
      </w:r>
      <w:r>
        <w:rPr>
          <w:i/>
        </w:rPr>
        <w:t>al</w:t>
      </w:r>
      <w:r>
        <w:rPr/>
        <w:t>.,</w:t>
      </w:r>
      <w:r>
        <w:rPr>
          <w:spacing w:val="-8"/>
        </w:rPr>
        <w:t> </w:t>
      </w:r>
      <w:r>
        <w:rPr/>
        <w:t>2004;</w:t>
      </w:r>
      <w:r>
        <w:rPr>
          <w:spacing w:val="-8"/>
        </w:rPr>
        <w:t> </w:t>
      </w:r>
      <w:r>
        <w:rPr/>
        <w:t>Bharali </w:t>
      </w:r>
      <w:r>
        <w:rPr>
          <w:i/>
        </w:rPr>
        <w:t>et al</w:t>
      </w:r>
      <w:r>
        <w:rPr/>
        <w:t>., 2011). Cultural, biochemical and molecular analyses on the isolate revealed that the bacterium belong to </w:t>
      </w:r>
      <w:r>
        <w:rPr>
          <w:i/>
        </w:rPr>
        <w:t>Alcaligenes faecalis </w:t>
      </w:r>
      <w:r>
        <w:rPr/>
        <w:t>strain ADY25 with 99 % homology. The phylogenetic tree as shown in figure 4.2, revealed that this strain is related to </w:t>
      </w:r>
      <w:r>
        <w:rPr>
          <w:i/>
        </w:rPr>
        <w:t>Pseudomonas</w:t>
      </w:r>
      <w:r>
        <w:rPr>
          <w:i/>
          <w:spacing w:val="-3"/>
        </w:rPr>
        <w:t> </w:t>
      </w:r>
      <w:r>
        <w:rPr>
          <w:i/>
        </w:rPr>
        <w:t>aeruginosa</w:t>
      </w:r>
      <w:r>
        <w:rPr>
          <w:i/>
          <w:spacing w:val="-2"/>
        </w:rPr>
        <w:t> </w:t>
      </w:r>
      <w:r>
        <w:rPr/>
        <w:t>strain</w:t>
      </w:r>
      <w:r>
        <w:rPr>
          <w:spacing w:val="-3"/>
        </w:rPr>
        <w:t> </w:t>
      </w:r>
      <w:r>
        <w:rPr/>
        <w:t>DSM.50071</w:t>
      </w:r>
      <w:r>
        <w:rPr>
          <w:spacing w:val="-3"/>
        </w:rPr>
        <w:t> </w:t>
      </w:r>
      <w:r>
        <w:rPr/>
        <w:t>and</w:t>
      </w:r>
      <w:r>
        <w:rPr>
          <w:spacing w:val="-4"/>
        </w:rPr>
        <w:t> </w:t>
      </w:r>
      <w:r>
        <w:rPr/>
        <w:t>other</w:t>
      </w:r>
      <w:r>
        <w:rPr>
          <w:spacing w:val="-4"/>
        </w:rPr>
        <w:t> </w:t>
      </w:r>
      <w:r>
        <w:rPr/>
        <w:t>biosurfactant</w:t>
      </w:r>
      <w:r>
        <w:rPr>
          <w:spacing w:val="-3"/>
        </w:rPr>
        <w:t> </w:t>
      </w:r>
      <w:r>
        <w:rPr/>
        <w:t>producing</w:t>
      </w:r>
      <w:r>
        <w:rPr>
          <w:spacing w:val="-4"/>
        </w:rPr>
        <w:t> </w:t>
      </w:r>
      <w:r>
        <w:rPr/>
        <w:t>bacteria. This may be the reason why this particular organism has so much similarity in biochemical tests result.</w:t>
      </w:r>
    </w:p>
    <w:p>
      <w:pPr>
        <w:pStyle w:val="BodyText"/>
        <w:spacing w:line="480" w:lineRule="auto" w:before="203"/>
        <w:ind w:left="202" w:right="117"/>
        <w:jc w:val="both"/>
      </w:pPr>
      <w:r>
        <w:rPr/>
        <w:t>This</w:t>
      </w:r>
      <w:r>
        <w:rPr/>
        <w:t> study</w:t>
      </w:r>
      <w:r>
        <w:rPr/>
        <w:t> revealed</w:t>
      </w:r>
      <w:r>
        <w:rPr/>
        <w:t> that</w:t>
      </w:r>
      <w:r>
        <w:rPr/>
        <w:t> </w:t>
      </w:r>
      <w:r>
        <w:rPr>
          <w:i/>
        </w:rPr>
        <w:t>Alcaligenes faecalis </w:t>
      </w:r>
      <w:r>
        <w:rPr/>
        <w:t>strain ADY25 was able to produce extracellular</w:t>
      </w:r>
      <w:r>
        <w:rPr>
          <w:spacing w:val="-15"/>
        </w:rPr>
        <w:t> </w:t>
      </w:r>
      <w:r>
        <w:rPr/>
        <w:t>biosurfactant</w:t>
      </w:r>
      <w:r>
        <w:rPr>
          <w:spacing w:val="-15"/>
        </w:rPr>
        <w:t> </w:t>
      </w:r>
      <w:r>
        <w:rPr/>
        <w:t>by</w:t>
      </w:r>
      <w:r>
        <w:rPr>
          <w:spacing w:val="-15"/>
        </w:rPr>
        <w:t> </w:t>
      </w:r>
      <w:r>
        <w:rPr/>
        <w:t>utilizing</w:t>
      </w:r>
      <w:r>
        <w:rPr>
          <w:spacing w:val="-15"/>
        </w:rPr>
        <w:t> </w:t>
      </w:r>
      <w:r>
        <w:rPr/>
        <w:t>crude</w:t>
      </w:r>
      <w:r>
        <w:rPr>
          <w:spacing w:val="-15"/>
        </w:rPr>
        <w:t> </w:t>
      </w:r>
      <w:r>
        <w:rPr/>
        <w:t>oil</w:t>
      </w:r>
      <w:r>
        <w:rPr>
          <w:spacing w:val="-15"/>
        </w:rPr>
        <w:t> </w:t>
      </w:r>
      <w:r>
        <w:rPr/>
        <w:t>as</w:t>
      </w:r>
      <w:r>
        <w:rPr>
          <w:spacing w:val="-15"/>
        </w:rPr>
        <w:t> </w:t>
      </w:r>
      <w:r>
        <w:rPr/>
        <w:t>the</w:t>
      </w:r>
      <w:r>
        <w:rPr>
          <w:spacing w:val="-15"/>
        </w:rPr>
        <w:t> </w:t>
      </w:r>
      <w:r>
        <w:rPr/>
        <w:t>sole</w:t>
      </w:r>
      <w:r>
        <w:rPr>
          <w:spacing w:val="-15"/>
        </w:rPr>
        <w:t> </w:t>
      </w:r>
      <w:r>
        <w:rPr/>
        <w:t>source</w:t>
      </w:r>
      <w:r>
        <w:rPr>
          <w:spacing w:val="-15"/>
        </w:rPr>
        <w:t> </w:t>
      </w:r>
      <w:r>
        <w:rPr/>
        <w:t>of</w:t>
      </w:r>
      <w:r>
        <w:rPr>
          <w:spacing w:val="-15"/>
        </w:rPr>
        <w:t> </w:t>
      </w:r>
      <w:r>
        <w:rPr/>
        <w:t>carbon</w:t>
      </w:r>
      <w:r>
        <w:rPr>
          <w:spacing w:val="-15"/>
        </w:rPr>
        <w:t> </w:t>
      </w:r>
      <w:r>
        <w:rPr/>
        <w:t>in</w:t>
      </w:r>
      <w:r>
        <w:rPr>
          <w:spacing w:val="-15"/>
        </w:rPr>
        <w:t> </w:t>
      </w:r>
      <w:r>
        <w:rPr/>
        <w:t>the</w:t>
      </w:r>
      <w:r>
        <w:rPr>
          <w:spacing w:val="-15"/>
        </w:rPr>
        <w:t> </w:t>
      </w:r>
      <w:r>
        <w:rPr/>
        <w:t>mineral salt medium. According to Shahaby (2015), bacteria able to metabolize hydrocarbon as sole source of carbon are mostly capable of producing biosurfactant. The ability to produce biosurfactants by </w:t>
      </w:r>
      <w:r>
        <w:rPr>
          <w:i/>
        </w:rPr>
        <w:t>Alcaligenes faecalis </w:t>
      </w:r>
      <w:r>
        <w:rPr/>
        <w:t>ADY25 could be due to the presence of genes that regulate biosurfactant production in the bacteria. The report of Singha </w:t>
      </w:r>
      <w:r>
        <w:rPr>
          <w:i/>
        </w:rPr>
        <w:t>et al. </w:t>
      </w:r>
      <w:r>
        <w:rPr/>
        <w:t>(2017)</w:t>
      </w:r>
      <w:r>
        <w:rPr>
          <w:spacing w:val="-15"/>
        </w:rPr>
        <w:t> </w:t>
      </w:r>
      <w:r>
        <w:rPr/>
        <w:t>showed</w:t>
      </w:r>
      <w:r>
        <w:rPr>
          <w:spacing w:val="-15"/>
        </w:rPr>
        <w:t> </w:t>
      </w:r>
      <w:r>
        <w:rPr/>
        <w:t>that</w:t>
      </w:r>
      <w:r>
        <w:rPr>
          <w:spacing w:val="-15"/>
        </w:rPr>
        <w:t> </w:t>
      </w:r>
      <w:r>
        <w:rPr/>
        <w:t>the</w:t>
      </w:r>
      <w:r>
        <w:rPr>
          <w:spacing w:val="-15"/>
        </w:rPr>
        <w:t> </w:t>
      </w:r>
      <w:r>
        <w:rPr/>
        <w:t>genomic</w:t>
      </w:r>
      <w:r>
        <w:rPr>
          <w:spacing w:val="-15"/>
        </w:rPr>
        <w:t> </w:t>
      </w:r>
      <w:r>
        <w:rPr/>
        <w:t>sequence</w:t>
      </w:r>
      <w:r>
        <w:rPr>
          <w:spacing w:val="-15"/>
        </w:rPr>
        <w:t> </w:t>
      </w:r>
      <w:r>
        <w:rPr/>
        <w:t>of</w:t>
      </w:r>
      <w:r>
        <w:rPr>
          <w:spacing w:val="-15"/>
        </w:rPr>
        <w:t> </w:t>
      </w:r>
      <w:r>
        <w:rPr>
          <w:i/>
        </w:rPr>
        <w:t>A</w:t>
      </w:r>
      <w:r>
        <w:rPr/>
        <w:t>.</w:t>
      </w:r>
      <w:r>
        <w:rPr>
          <w:spacing w:val="-15"/>
        </w:rPr>
        <w:t> </w:t>
      </w:r>
      <w:r>
        <w:rPr>
          <w:i/>
        </w:rPr>
        <w:t>faecalis</w:t>
      </w:r>
      <w:r>
        <w:rPr>
          <w:i/>
          <w:spacing w:val="-15"/>
        </w:rPr>
        <w:t> </w:t>
      </w:r>
      <w:r>
        <w:rPr/>
        <w:t>BDB4</w:t>
      </w:r>
      <w:r>
        <w:rPr>
          <w:spacing w:val="-15"/>
        </w:rPr>
        <w:t> </w:t>
      </w:r>
      <w:r>
        <w:rPr/>
        <w:t>is</w:t>
      </w:r>
      <w:r>
        <w:rPr>
          <w:spacing w:val="-15"/>
        </w:rPr>
        <w:t> </w:t>
      </w:r>
      <w:r>
        <w:rPr/>
        <w:t>loaded</w:t>
      </w:r>
      <w:r>
        <w:rPr>
          <w:spacing w:val="-15"/>
        </w:rPr>
        <w:t> </w:t>
      </w:r>
      <w:r>
        <w:rPr/>
        <w:t>with</w:t>
      </w:r>
      <w:r>
        <w:rPr>
          <w:spacing w:val="-15"/>
        </w:rPr>
        <w:t> </w:t>
      </w:r>
      <w:r>
        <w:rPr/>
        <w:t>the</w:t>
      </w:r>
      <w:r>
        <w:rPr>
          <w:spacing w:val="-15"/>
        </w:rPr>
        <w:t> </w:t>
      </w:r>
      <w:r>
        <w:rPr/>
        <w:t>potential to completely mineralize polyaromatic hydrocarbons (PAHs) because it contains the genes that help to metabolize PAHs as well as other related functions like formation of biofilm, membrane transport and chemotaxis.</w:t>
      </w:r>
    </w:p>
    <w:p>
      <w:pPr>
        <w:pStyle w:val="BodyText"/>
        <w:spacing w:line="480" w:lineRule="auto" w:before="201"/>
        <w:ind w:left="202" w:right="117"/>
        <w:jc w:val="both"/>
      </w:pPr>
      <w:r>
        <w:rPr/>
        <w:t>The report of Nitschke and Pastore (2006) revealed that microorganisms are capable of producing biosurfactants particularly when they are cultured in substrates that are water immiscible. According to Jeph and Mathur (2015), </w:t>
      </w:r>
      <w:r>
        <w:rPr>
          <w:i/>
        </w:rPr>
        <w:t>Alcaligenes faecalis </w:t>
      </w:r>
      <w:r>
        <w:rPr/>
        <w:t>have been reported</w:t>
      </w:r>
      <w:r>
        <w:rPr>
          <w:spacing w:val="-6"/>
        </w:rPr>
        <w:t> </w:t>
      </w:r>
      <w:r>
        <w:rPr/>
        <w:t>for</w:t>
      </w:r>
      <w:r>
        <w:rPr>
          <w:spacing w:val="-10"/>
        </w:rPr>
        <w:t> </w:t>
      </w:r>
      <w:r>
        <w:rPr/>
        <w:t>biosurfactant</w:t>
      </w:r>
      <w:r>
        <w:rPr>
          <w:spacing w:val="-8"/>
        </w:rPr>
        <w:t> </w:t>
      </w:r>
      <w:r>
        <w:rPr/>
        <w:t>production.</w:t>
      </w:r>
      <w:r>
        <w:rPr>
          <w:spacing w:val="-6"/>
        </w:rPr>
        <w:t> </w:t>
      </w:r>
      <w:r>
        <w:rPr>
          <w:i/>
        </w:rPr>
        <w:t>A.</w:t>
      </w:r>
      <w:r>
        <w:rPr>
          <w:i/>
          <w:spacing w:val="-8"/>
        </w:rPr>
        <w:t> </w:t>
      </w:r>
      <w:r>
        <w:rPr>
          <w:i/>
        </w:rPr>
        <w:t>faecalis</w:t>
      </w:r>
      <w:r>
        <w:rPr>
          <w:i/>
          <w:spacing w:val="-7"/>
        </w:rPr>
        <w:t> </w:t>
      </w:r>
      <w:r>
        <w:rPr/>
        <w:t>produced</w:t>
      </w:r>
      <w:r>
        <w:rPr>
          <w:spacing w:val="-8"/>
        </w:rPr>
        <w:t> </w:t>
      </w:r>
      <w:r>
        <w:rPr/>
        <w:t>biosurfactant</w:t>
      </w:r>
      <w:r>
        <w:rPr>
          <w:spacing w:val="-7"/>
        </w:rPr>
        <w:t> </w:t>
      </w:r>
      <w:r>
        <w:rPr/>
        <w:t>in</w:t>
      </w:r>
      <w:r>
        <w:rPr>
          <w:spacing w:val="-5"/>
        </w:rPr>
        <w:t> </w:t>
      </w:r>
      <w:r>
        <w:rPr/>
        <w:t>a</w:t>
      </w:r>
      <w:r>
        <w:rPr>
          <w:spacing w:val="-9"/>
        </w:rPr>
        <w:t> </w:t>
      </w:r>
      <w:r>
        <w:rPr/>
        <w:t>mineral</w:t>
      </w:r>
      <w:r>
        <w:rPr>
          <w:spacing w:val="-8"/>
        </w:rPr>
        <w:t> </w:t>
      </w:r>
      <w:r>
        <w:rPr/>
        <w:t>salt medium with different hydrophobic substrates such as diesel, kerosene, and crude oil as sole</w:t>
      </w:r>
      <w:r>
        <w:rPr>
          <w:spacing w:val="16"/>
        </w:rPr>
        <w:t> </w:t>
      </w:r>
      <w:r>
        <w:rPr/>
        <w:t>carbon</w:t>
      </w:r>
      <w:r>
        <w:rPr>
          <w:spacing w:val="17"/>
        </w:rPr>
        <w:t> </w:t>
      </w:r>
      <w:r>
        <w:rPr/>
        <w:t>source</w:t>
      </w:r>
      <w:r>
        <w:rPr>
          <w:spacing w:val="16"/>
        </w:rPr>
        <w:t> </w:t>
      </w:r>
      <w:r>
        <w:rPr/>
        <w:t>(Wokem</w:t>
      </w:r>
      <w:r>
        <w:rPr>
          <w:spacing w:val="20"/>
        </w:rPr>
        <w:t> </w:t>
      </w:r>
      <w:r>
        <w:rPr>
          <w:i/>
        </w:rPr>
        <w:t>et</w:t>
      </w:r>
      <w:r>
        <w:rPr>
          <w:i/>
          <w:spacing w:val="17"/>
        </w:rPr>
        <w:t> </w:t>
      </w:r>
      <w:r>
        <w:rPr>
          <w:i/>
        </w:rPr>
        <w:t>al.</w:t>
      </w:r>
      <w:r>
        <w:rPr/>
        <w:t>,</w:t>
      </w:r>
      <w:r>
        <w:rPr>
          <w:spacing w:val="17"/>
        </w:rPr>
        <w:t> </w:t>
      </w:r>
      <w:r>
        <w:rPr/>
        <w:t>2017).</w:t>
      </w:r>
      <w:r>
        <w:rPr>
          <w:spacing w:val="16"/>
        </w:rPr>
        <w:t> </w:t>
      </w:r>
      <w:r>
        <w:rPr/>
        <w:t>Crude</w:t>
      </w:r>
      <w:r>
        <w:rPr>
          <w:spacing w:val="16"/>
        </w:rPr>
        <w:t> </w:t>
      </w:r>
      <w:r>
        <w:rPr/>
        <w:t>oil</w:t>
      </w:r>
      <w:r>
        <w:rPr>
          <w:spacing w:val="17"/>
        </w:rPr>
        <w:t> </w:t>
      </w:r>
      <w:r>
        <w:rPr/>
        <w:t>was</w:t>
      </w:r>
      <w:r>
        <w:rPr>
          <w:spacing w:val="20"/>
        </w:rPr>
        <w:t> </w:t>
      </w:r>
      <w:r>
        <w:rPr/>
        <w:t>utilized</w:t>
      </w:r>
      <w:r>
        <w:rPr>
          <w:spacing w:val="17"/>
        </w:rPr>
        <w:t> </w:t>
      </w:r>
      <w:r>
        <w:rPr/>
        <w:t>as</w:t>
      </w:r>
      <w:r>
        <w:rPr>
          <w:spacing w:val="18"/>
        </w:rPr>
        <w:t> </w:t>
      </w:r>
      <w:r>
        <w:rPr/>
        <w:t>sole</w:t>
      </w:r>
      <w:r>
        <w:rPr>
          <w:spacing w:val="16"/>
        </w:rPr>
        <w:t> </w:t>
      </w:r>
      <w:r>
        <w:rPr/>
        <w:t>carbon</w:t>
      </w:r>
      <w:r>
        <w:rPr>
          <w:spacing w:val="17"/>
        </w:rPr>
        <w:t> </w:t>
      </w:r>
      <w:r>
        <w:rPr>
          <w:spacing w:val="-2"/>
        </w:rPr>
        <w:t>source</w:t>
      </w:r>
    </w:p>
    <w:p>
      <w:pPr>
        <w:spacing w:after="0" w:line="480" w:lineRule="auto"/>
        <w:jc w:val="both"/>
        <w:sectPr>
          <w:pgSz w:w="11910" w:h="16840"/>
          <w:pgMar w:header="0" w:footer="1002" w:top="1320" w:bottom="1200" w:left="1500" w:right="1580"/>
        </w:sectPr>
      </w:pPr>
    </w:p>
    <w:p>
      <w:pPr>
        <w:pStyle w:val="BodyText"/>
        <w:spacing w:line="480" w:lineRule="auto" w:before="69"/>
        <w:ind w:left="202" w:right="119"/>
        <w:jc w:val="both"/>
      </w:pPr>
      <w:r>
        <w:rPr/>
        <w:t>and energy source in this study to produce biosurfactant from </w:t>
      </w:r>
      <w:r>
        <w:rPr>
          <w:i/>
        </w:rPr>
        <w:t>A. faecalis </w:t>
      </w:r>
      <w:r>
        <w:rPr/>
        <w:t>ADY25. The ability to utilize this water immiscible substrate was due to the ability to emulsify this substrate thereby reducing both the surface and interfacial tensions between substrates, thereby increasing the availability of the hydrophobic substrate (Calvo </w:t>
      </w:r>
      <w:r>
        <w:rPr>
          <w:i/>
        </w:rPr>
        <w:t>et al., </w:t>
      </w:r>
      <w:r>
        <w:rPr/>
        <w:t>2004).</w:t>
      </w:r>
    </w:p>
    <w:p>
      <w:pPr>
        <w:pStyle w:val="BodyText"/>
        <w:spacing w:line="480" w:lineRule="auto" w:before="202"/>
        <w:ind w:left="202" w:right="114"/>
        <w:jc w:val="both"/>
      </w:pPr>
      <w:r>
        <w:rPr>
          <w:i/>
        </w:rPr>
        <w:t>A. faecalis </w:t>
      </w:r>
      <w:r>
        <w:rPr/>
        <w:t>ADY25 produced 4.5 ± 0.1 g/L of biosurfactants in a mineral salt medium with crude oil as the sole carbon source. The yield was high as compared to 1.2 g/L reported by Salehizadeh and Mohammadizad (2009) when </w:t>
      </w:r>
      <w:r>
        <w:rPr>
          <w:i/>
        </w:rPr>
        <w:t>Alcaligenes </w:t>
      </w:r>
      <w:r>
        <w:rPr/>
        <w:t>sp. MS-103 isolated from oil sample of the Aghajari oil field in the south of Iran was used in the production</w:t>
      </w:r>
      <w:r>
        <w:rPr>
          <w:spacing w:val="-10"/>
        </w:rPr>
        <w:t> </w:t>
      </w:r>
      <w:r>
        <w:rPr/>
        <w:t>of</w:t>
      </w:r>
      <w:r>
        <w:rPr>
          <w:spacing w:val="-10"/>
        </w:rPr>
        <w:t> </w:t>
      </w:r>
      <w:r>
        <w:rPr/>
        <w:t>biosurfactant</w:t>
      </w:r>
      <w:r>
        <w:rPr>
          <w:spacing w:val="-9"/>
        </w:rPr>
        <w:t> </w:t>
      </w:r>
      <w:r>
        <w:rPr/>
        <w:t>with</w:t>
      </w:r>
      <w:r>
        <w:rPr>
          <w:spacing w:val="-10"/>
        </w:rPr>
        <w:t> </w:t>
      </w:r>
      <w:r>
        <w:rPr/>
        <w:t>molasses</w:t>
      </w:r>
      <w:r>
        <w:rPr>
          <w:spacing w:val="-10"/>
        </w:rPr>
        <w:t> </w:t>
      </w:r>
      <w:r>
        <w:rPr/>
        <w:t>as</w:t>
      </w:r>
      <w:r>
        <w:rPr>
          <w:spacing w:val="-9"/>
        </w:rPr>
        <w:t> </w:t>
      </w:r>
      <w:r>
        <w:rPr/>
        <w:t>carbon</w:t>
      </w:r>
      <w:r>
        <w:rPr>
          <w:spacing w:val="-10"/>
        </w:rPr>
        <w:t> </w:t>
      </w:r>
      <w:r>
        <w:rPr/>
        <w:t>source.</w:t>
      </w:r>
      <w:r>
        <w:rPr>
          <w:spacing w:val="-10"/>
        </w:rPr>
        <w:t> </w:t>
      </w:r>
      <w:r>
        <w:rPr/>
        <w:t>The</w:t>
      </w:r>
      <w:r>
        <w:rPr>
          <w:spacing w:val="-11"/>
        </w:rPr>
        <w:t> </w:t>
      </w:r>
      <w:r>
        <w:rPr/>
        <w:t>difference</w:t>
      </w:r>
      <w:r>
        <w:rPr>
          <w:spacing w:val="-11"/>
        </w:rPr>
        <w:t> </w:t>
      </w:r>
      <w:r>
        <w:rPr/>
        <w:t>in</w:t>
      </w:r>
      <w:r>
        <w:rPr>
          <w:spacing w:val="-8"/>
        </w:rPr>
        <w:t> </w:t>
      </w:r>
      <w:r>
        <w:rPr/>
        <w:t>yield</w:t>
      </w:r>
      <w:r>
        <w:rPr>
          <w:spacing w:val="-10"/>
        </w:rPr>
        <w:t> </w:t>
      </w:r>
      <w:r>
        <w:rPr/>
        <w:t>could be the difference in carbon source, which suggests that carbon source and extraction solvent</w:t>
      </w:r>
      <w:r>
        <w:rPr>
          <w:spacing w:val="-2"/>
        </w:rPr>
        <w:t> </w:t>
      </w:r>
      <w:r>
        <w:rPr/>
        <w:t>may</w:t>
      </w:r>
      <w:r>
        <w:rPr>
          <w:spacing w:val="-7"/>
        </w:rPr>
        <w:t> </w:t>
      </w:r>
      <w:r>
        <w:rPr/>
        <w:t>influence</w:t>
      </w:r>
      <w:r>
        <w:rPr>
          <w:spacing w:val="-3"/>
        </w:rPr>
        <w:t> </w:t>
      </w:r>
      <w:r>
        <w:rPr/>
        <w:t>the</w:t>
      </w:r>
      <w:r>
        <w:rPr>
          <w:spacing w:val="-3"/>
        </w:rPr>
        <w:t> </w:t>
      </w:r>
      <w:r>
        <w:rPr/>
        <w:t>quantity</w:t>
      </w:r>
      <w:r>
        <w:rPr>
          <w:spacing w:val="-7"/>
        </w:rPr>
        <w:t> </w:t>
      </w:r>
      <w:r>
        <w:rPr/>
        <w:t>of</w:t>
      </w:r>
      <w:r>
        <w:rPr>
          <w:spacing w:val="-2"/>
        </w:rPr>
        <w:t> </w:t>
      </w:r>
      <w:r>
        <w:rPr/>
        <w:t>biosurfactant</w:t>
      </w:r>
      <w:r>
        <w:rPr>
          <w:spacing w:val="-2"/>
        </w:rPr>
        <w:t> </w:t>
      </w:r>
      <w:r>
        <w:rPr/>
        <w:t>production.</w:t>
      </w:r>
      <w:r>
        <w:rPr>
          <w:spacing w:val="-2"/>
        </w:rPr>
        <w:t> </w:t>
      </w:r>
      <w:r>
        <w:rPr/>
        <w:t>Bharali</w:t>
      </w:r>
      <w:r>
        <w:rPr>
          <w:spacing w:val="-1"/>
        </w:rPr>
        <w:t> </w:t>
      </w:r>
      <w:r>
        <w:rPr>
          <w:i/>
        </w:rPr>
        <w:t>et al</w:t>
      </w:r>
      <w:r>
        <w:rPr/>
        <w:t>.</w:t>
      </w:r>
      <w:r>
        <w:rPr>
          <w:spacing w:val="-2"/>
        </w:rPr>
        <w:t> </w:t>
      </w:r>
      <w:r>
        <w:rPr/>
        <w:t>(2011)</w:t>
      </w:r>
      <w:r>
        <w:rPr>
          <w:spacing w:val="-2"/>
        </w:rPr>
        <w:t> </w:t>
      </w:r>
      <w:r>
        <w:rPr/>
        <w:t>also reported a yield of 5.4 g/L when crude oil was used. Bharali </w:t>
      </w:r>
      <w:r>
        <w:rPr>
          <w:i/>
        </w:rPr>
        <w:t>et al</w:t>
      </w:r>
      <w:r>
        <w:rPr/>
        <w:t>. (2011) reported that hydrophobic substrates such as diesel, kerosene, waste lubricating oil and crude oil are able to stimulate higher production of biosurfactant when compared to glucose and glycerol. The production of biosurfactants by different strains of microorganisms have been reported by</w:t>
      </w:r>
      <w:r>
        <w:rPr>
          <w:spacing w:val="-5"/>
        </w:rPr>
        <w:t> </w:t>
      </w:r>
      <w:r>
        <w:rPr/>
        <w:t>many</w:t>
      </w:r>
      <w:r>
        <w:rPr>
          <w:spacing w:val="-5"/>
        </w:rPr>
        <w:t> </w:t>
      </w:r>
      <w:r>
        <w:rPr/>
        <w:t>researchers (Jeph </w:t>
      </w:r>
      <w:r>
        <w:rPr>
          <w:i/>
        </w:rPr>
        <w:t>et al.</w:t>
      </w:r>
      <w:r>
        <w:rPr/>
        <w:t>, 2015; Nwaguma </w:t>
      </w:r>
      <w:r>
        <w:rPr>
          <w:i/>
        </w:rPr>
        <w:t>et al., </w:t>
      </w:r>
      <w:r>
        <w:rPr/>
        <w:t>2016; Ogunmola and Aboaba, 2016; Wokem </w:t>
      </w:r>
      <w:r>
        <w:rPr>
          <w:i/>
        </w:rPr>
        <w:t>et al.</w:t>
      </w:r>
      <w:r>
        <w:rPr/>
        <w:t>, 2017).</w:t>
      </w:r>
    </w:p>
    <w:p>
      <w:pPr>
        <w:pStyle w:val="BodyText"/>
        <w:spacing w:line="480" w:lineRule="auto" w:before="201"/>
        <w:ind w:left="202" w:right="117"/>
        <w:jc w:val="both"/>
      </w:pPr>
      <w:r>
        <w:rPr/>
        <w:t>The crude extract was able to form an emulsion layer when mixed with crude oil. This suggests the presence of biosurfactant in the extract and this could be due to emulsion forming characteristic of biosurfactant. This was supported by the report of Danyelle </w:t>
      </w:r>
      <w:r>
        <w:rPr>
          <w:i/>
        </w:rPr>
        <w:t>et al</w:t>
      </w:r>
      <w:r>
        <w:rPr/>
        <w:t>.</w:t>
      </w:r>
      <w:r>
        <w:rPr>
          <w:spacing w:val="-10"/>
        </w:rPr>
        <w:t> </w:t>
      </w:r>
      <w:r>
        <w:rPr/>
        <w:t>(2016)</w:t>
      </w:r>
      <w:r>
        <w:rPr>
          <w:spacing w:val="-10"/>
        </w:rPr>
        <w:t> </w:t>
      </w:r>
      <w:r>
        <w:rPr/>
        <w:t>which</w:t>
      </w:r>
      <w:r>
        <w:rPr>
          <w:spacing w:val="-10"/>
        </w:rPr>
        <w:t> </w:t>
      </w:r>
      <w:r>
        <w:rPr/>
        <w:t>stated</w:t>
      </w:r>
      <w:r>
        <w:rPr>
          <w:spacing w:val="-10"/>
        </w:rPr>
        <w:t> </w:t>
      </w:r>
      <w:r>
        <w:rPr/>
        <w:t>that</w:t>
      </w:r>
      <w:r>
        <w:rPr>
          <w:spacing w:val="-9"/>
        </w:rPr>
        <w:t> </w:t>
      </w:r>
      <w:r>
        <w:rPr/>
        <w:t>biosurfactants</w:t>
      </w:r>
      <w:r>
        <w:rPr>
          <w:spacing w:val="-9"/>
        </w:rPr>
        <w:t> </w:t>
      </w:r>
      <w:r>
        <w:rPr/>
        <w:t>are</w:t>
      </w:r>
      <w:r>
        <w:rPr>
          <w:spacing w:val="-11"/>
        </w:rPr>
        <w:t> </w:t>
      </w:r>
      <w:r>
        <w:rPr/>
        <w:t>capable</w:t>
      </w:r>
      <w:r>
        <w:rPr>
          <w:spacing w:val="-10"/>
        </w:rPr>
        <w:t> </w:t>
      </w:r>
      <w:r>
        <w:rPr/>
        <w:t>of</w:t>
      </w:r>
      <w:r>
        <w:rPr>
          <w:spacing w:val="-10"/>
        </w:rPr>
        <w:t> </w:t>
      </w:r>
      <w:r>
        <w:rPr/>
        <w:t>forming</w:t>
      </w:r>
      <w:r>
        <w:rPr>
          <w:spacing w:val="-9"/>
        </w:rPr>
        <w:t> </w:t>
      </w:r>
      <w:r>
        <w:rPr/>
        <w:t>and</w:t>
      </w:r>
      <w:r>
        <w:rPr>
          <w:spacing w:val="-10"/>
        </w:rPr>
        <w:t> </w:t>
      </w:r>
      <w:r>
        <w:rPr/>
        <w:t>breaking</w:t>
      </w:r>
      <w:r>
        <w:rPr>
          <w:spacing w:val="-10"/>
        </w:rPr>
        <w:t> </w:t>
      </w:r>
      <w:r>
        <w:rPr/>
        <w:t>emulsion. Emulsification</w:t>
      </w:r>
      <w:r>
        <w:rPr>
          <w:spacing w:val="-1"/>
        </w:rPr>
        <w:t> </w:t>
      </w:r>
      <w:r>
        <w:rPr/>
        <w:t>index calculated</w:t>
      </w:r>
      <w:r>
        <w:rPr>
          <w:spacing w:val="-1"/>
        </w:rPr>
        <w:t> </w:t>
      </w:r>
      <w:r>
        <w:rPr/>
        <w:t>after</w:t>
      </w:r>
      <w:r>
        <w:rPr>
          <w:spacing w:val="-2"/>
        </w:rPr>
        <w:t> </w:t>
      </w:r>
      <w:r>
        <w:rPr/>
        <w:t>24</w:t>
      </w:r>
      <w:r>
        <w:rPr>
          <w:spacing w:val="-1"/>
        </w:rPr>
        <w:t> </w:t>
      </w:r>
      <w:r>
        <w:rPr/>
        <w:t>hours</w:t>
      </w:r>
      <w:r>
        <w:rPr>
          <w:spacing w:val="-2"/>
        </w:rPr>
        <w:t> </w:t>
      </w:r>
      <w:r>
        <w:rPr/>
        <w:t>was</w:t>
      </w:r>
      <w:r>
        <w:rPr>
          <w:spacing w:val="-1"/>
        </w:rPr>
        <w:t> </w:t>
      </w:r>
      <w:r>
        <w:rPr/>
        <w:t>low</w:t>
      </w:r>
      <w:r>
        <w:rPr>
          <w:spacing w:val="-1"/>
        </w:rPr>
        <w:t> </w:t>
      </w:r>
      <w:r>
        <w:rPr/>
        <w:t>(7.41 %)</w:t>
      </w:r>
      <w:r>
        <w:rPr>
          <w:spacing w:val="-2"/>
        </w:rPr>
        <w:t> </w:t>
      </w:r>
      <w:r>
        <w:rPr/>
        <w:t>for</w:t>
      </w:r>
      <w:r>
        <w:rPr>
          <w:spacing w:val="-2"/>
        </w:rPr>
        <w:t> </w:t>
      </w:r>
      <w:r>
        <w:rPr>
          <w:i/>
        </w:rPr>
        <w:t>A.</w:t>
      </w:r>
      <w:r>
        <w:rPr>
          <w:i/>
          <w:spacing w:val="-2"/>
        </w:rPr>
        <w:t> </w:t>
      </w:r>
      <w:r>
        <w:rPr>
          <w:i/>
        </w:rPr>
        <w:t>faecalis </w:t>
      </w:r>
      <w:r>
        <w:rPr/>
        <w:t>ADY25. In</w:t>
      </w:r>
      <w:r>
        <w:rPr>
          <w:spacing w:val="45"/>
        </w:rPr>
        <w:t> </w:t>
      </w:r>
      <w:r>
        <w:rPr/>
        <w:t>a</w:t>
      </w:r>
      <w:r>
        <w:rPr>
          <w:spacing w:val="45"/>
        </w:rPr>
        <w:t> </w:t>
      </w:r>
      <w:r>
        <w:rPr/>
        <w:t>study</w:t>
      </w:r>
      <w:r>
        <w:rPr>
          <w:spacing w:val="42"/>
        </w:rPr>
        <w:t> </w:t>
      </w:r>
      <w:r>
        <w:rPr/>
        <w:t>conducted</w:t>
      </w:r>
      <w:r>
        <w:rPr>
          <w:spacing w:val="44"/>
        </w:rPr>
        <w:t> </w:t>
      </w:r>
      <w:r>
        <w:rPr/>
        <w:t>by</w:t>
      </w:r>
      <w:r>
        <w:rPr>
          <w:spacing w:val="44"/>
        </w:rPr>
        <w:t> </w:t>
      </w:r>
      <w:r>
        <w:rPr/>
        <w:t>Ogunmola</w:t>
      </w:r>
      <w:r>
        <w:rPr>
          <w:spacing w:val="46"/>
        </w:rPr>
        <w:t> </w:t>
      </w:r>
      <w:r>
        <w:rPr/>
        <w:t>and</w:t>
      </w:r>
      <w:r>
        <w:rPr>
          <w:spacing w:val="48"/>
        </w:rPr>
        <w:t> </w:t>
      </w:r>
      <w:r>
        <w:rPr/>
        <w:t>Aboaba</w:t>
      </w:r>
      <w:r>
        <w:rPr>
          <w:spacing w:val="46"/>
        </w:rPr>
        <w:t> </w:t>
      </w:r>
      <w:r>
        <w:rPr/>
        <w:t>(2016),</w:t>
      </w:r>
      <w:r>
        <w:rPr>
          <w:spacing w:val="47"/>
        </w:rPr>
        <w:t> </w:t>
      </w:r>
      <w:r>
        <w:rPr/>
        <w:t>an</w:t>
      </w:r>
      <w:r>
        <w:rPr>
          <w:spacing w:val="47"/>
        </w:rPr>
        <w:t> </w:t>
      </w:r>
      <w:r>
        <w:rPr/>
        <w:t>emulsification</w:t>
      </w:r>
      <w:r>
        <w:rPr>
          <w:spacing w:val="48"/>
        </w:rPr>
        <w:t> </w:t>
      </w:r>
      <w:r>
        <w:rPr/>
        <w:t>index</w:t>
      </w:r>
      <w:r>
        <w:rPr>
          <w:spacing w:val="46"/>
        </w:rPr>
        <w:t> </w:t>
      </w:r>
      <w:r>
        <w:rPr>
          <w:spacing w:val="-5"/>
        </w:rPr>
        <w:t>of</w:t>
      </w:r>
    </w:p>
    <w:p>
      <w:pPr>
        <w:pStyle w:val="BodyText"/>
        <w:spacing w:line="480" w:lineRule="auto" w:before="2"/>
        <w:ind w:left="202" w:right="118"/>
        <w:jc w:val="both"/>
      </w:pPr>
      <w:r>
        <w:rPr/>
        <w:t>21.43</w:t>
      </w:r>
      <w:r>
        <w:rPr>
          <w:spacing w:val="-7"/>
        </w:rPr>
        <w:t> </w:t>
      </w:r>
      <w:r>
        <w:rPr/>
        <w:t>%</w:t>
      </w:r>
      <w:r>
        <w:rPr>
          <w:spacing w:val="-8"/>
        </w:rPr>
        <w:t> </w:t>
      </w:r>
      <w:r>
        <w:rPr/>
        <w:t>(on</w:t>
      </w:r>
      <w:r>
        <w:rPr>
          <w:spacing w:val="-6"/>
        </w:rPr>
        <w:t> </w:t>
      </w:r>
      <w:r>
        <w:rPr/>
        <w:t>kerosene)</w:t>
      </w:r>
      <w:r>
        <w:rPr>
          <w:spacing w:val="-6"/>
        </w:rPr>
        <w:t> </w:t>
      </w:r>
      <w:r>
        <w:rPr/>
        <w:t>and</w:t>
      </w:r>
      <w:r>
        <w:rPr>
          <w:spacing w:val="-7"/>
        </w:rPr>
        <w:t> </w:t>
      </w:r>
      <w:r>
        <w:rPr/>
        <w:t>17.91</w:t>
      </w:r>
      <w:r>
        <w:rPr>
          <w:spacing w:val="-6"/>
        </w:rPr>
        <w:t> </w:t>
      </w:r>
      <w:r>
        <w:rPr/>
        <w:t>%</w:t>
      </w:r>
      <w:r>
        <w:rPr>
          <w:spacing w:val="-6"/>
        </w:rPr>
        <w:t> </w:t>
      </w:r>
      <w:r>
        <w:rPr/>
        <w:t>(on</w:t>
      </w:r>
      <w:r>
        <w:rPr>
          <w:spacing w:val="-8"/>
        </w:rPr>
        <w:t> </w:t>
      </w:r>
      <w:r>
        <w:rPr/>
        <w:t>vegetable</w:t>
      </w:r>
      <w:r>
        <w:rPr>
          <w:spacing w:val="-6"/>
        </w:rPr>
        <w:t> </w:t>
      </w:r>
      <w:r>
        <w:rPr/>
        <w:t>oil)</w:t>
      </w:r>
      <w:r>
        <w:rPr>
          <w:spacing w:val="-8"/>
        </w:rPr>
        <w:t> </w:t>
      </w:r>
      <w:r>
        <w:rPr/>
        <w:t>was</w:t>
      </w:r>
      <w:r>
        <w:rPr>
          <w:spacing w:val="-7"/>
        </w:rPr>
        <w:t> </w:t>
      </w:r>
      <w:r>
        <w:rPr/>
        <w:t>obtained</w:t>
      </w:r>
      <w:r>
        <w:rPr>
          <w:spacing w:val="-5"/>
        </w:rPr>
        <w:t> </w:t>
      </w:r>
      <w:r>
        <w:rPr/>
        <w:t>with</w:t>
      </w:r>
      <w:r>
        <w:rPr>
          <w:spacing w:val="-5"/>
        </w:rPr>
        <w:t> </w:t>
      </w:r>
      <w:r>
        <w:rPr>
          <w:i/>
        </w:rPr>
        <w:t>A.</w:t>
      </w:r>
      <w:r>
        <w:rPr>
          <w:i/>
          <w:spacing w:val="-5"/>
        </w:rPr>
        <w:t> </w:t>
      </w:r>
      <w:r>
        <w:rPr>
          <w:i/>
        </w:rPr>
        <w:t>faecalis.</w:t>
      </w:r>
      <w:r>
        <w:rPr>
          <w:i/>
          <w:spacing w:val="-6"/>
        </w:rPr>
        <w:t> </w:t>
      </w:r>
      <w:r>
        <w:rPr/>
        <w:t>The difference</w:t>
      </w:r>
      <w:r>
        <w:rPr>
          <w:spacing w:val="48"/>
        </w:rPr>
        <w:t> </w:t>
      </w:r>
      <w:r>
        <w:rPr/>
        <w:t>in</w:t>
      </w:r>
      <w:r>
        <w:rPr>
          <w:spacing w:val="53"/>
        </w:rPr>
        <w:t> </w:t>
      </w:r>
      <w:r>
        <w:rPr/>
        <w:t>emulsification</w:t>
      </w:r>
      <w:r>
        <w:rPr>
          <w:spacing w:val="51"/>
        </w:rPr>
        <w:t> </w:t>
      </w:r>
      <w:r>
        <w:rPr/>
        <w:t>index</w:t>
      </w:r>
      <w:r>
        <w:rPr>
          <w:spacing w:val="56"/>
        </w:rPr>
        <w:t> </w:t>
      </w:r>
      <w:r>
        <w:rPr/>
        <w:t>could</w:t>
      </w:r>
      <w:r>
        <w:rPr>
          <w:spacing w:val="53"/>
        </w:rPr>
        <w:t> </w:t>
      </w:r>
      <w:r>
        <w:rPr/>
        <w:t>be</w:t>
      </w:r>
      <w:r>
        <w:rPr>
          <w:spacing w:val="50"/>
        </w:rPr>
        <w:t> </w:t>
      </w:r>
      <w:r>
        <w:rPr/>
        <w:t>due</w:t>
      </w:r>
      <w:r>
        <w:rPr>
          <w:spacing w:val="51"/>
        </w:rPr>
        <w:t> </w:t>
      </w:r>
      <w:r>
        <w:rPr/>
        <w:t>to</w:t>
      </w:r>
      <w:r>
        <w:rPr>
          <w:spacing w:val="52"/>
        </w:rPr>
        <w:t> </w:t>
      </w:r>
      <w:r>
        <w:rPr/>
        <w:t>the</w:t>
      </w:r>
      <w:r>
        <w:rPr>
          <w:spacing w:val="52"/>
        </w:rPr>
        <w:t> </w:t>
      </w:r>
      <w:r>
        <w:rPr/>
        <w:t>difference</w:t>
      </w:r>
      <w:r>
        <w:rPr>
          <w:spacing w:val="51"/>
        </w:rPr>
        <w:t> </w:t>
      </w:r>
      <w:r>
        <w:rPr/>
        <w:t>in</w:t>
      </w:r>
      <w:r>
        <w:rPr>
          <w:spacing w:val="52"/>
        </w:rPr>
        <w:t> </w:t>
      </w:r>
      <w:r>
        <w:rPr/>
        <w:t>carbon</w:t>
      </w:r>
      <w:r>
        <w:rPr>
          <w:spacing w:val="51"/>
        </w:rPr>
        <w:t> </w:t>
      </w:r>
      <w:r>
        <w:rPr>
          <w:spacing w:val="-2"/>
        </w:rPr>
        <w:t>source.</w:t>
      </w:r>
    </w:p>
    <w:p>
      <w:pPr>
        <w:spacing w:after="0" w:line="480" w:lineRule="auto"/>
        <w:jc w:val="both"/>
        <w:sectPr>
          <w:pgSz w:w="11910" w:h="16840"/>
          <w:pgMar w:header="0" w:footer="1002" w:top="1320" w:bottom="1200" w:left="1500" w:right="1580"/>
        </w:sectPr>
      </w:pPr>
    </w:p>
    <w:p>
      <w:pPr>
        <w:pStyle w:val="BodyText"/>
        <w:spacing w:line="482" w:lineRule="auto" w:before="69"/>
        <w:ind w:left="202" w:right="122"/>
        <w:jc w:val="both"/>
      </w:pPr>
      <w:r>
        <w:rPr/>
        <w:t>Ogunmola and Aboaba (2016) reported that variations in emulsification could be due to bacterial growth phase, bacterial interactions and hydrophobic compounds tested.</w:t>
      </w:r>
    </w:p>
    <w:p>
      <w:pPr>
        <w:pStyle w:val="BodyText"/>
        <w:spacing w:line="480" w:lineRule="auto" w:before="197"/>
        <w:ind w:left="202" w:right="116"/>
        <w:jc w:val="both"/>
      </w:pPr>
      <w:r>
        <w:rPr/>
        <w:t>The Raman spectroscopy of the produced biosurfactant is shown in Plate V. It revealed the composition of</w:t>
      </w:r>
      <w:r>
        <w:rPr>
          <w:spacing w:val="-2"/>
        </w:rPr>
        <w:t> </w:t>
      </w:r>
      <w:r>
        <w:rPr/>
        <w:t>the biosurfactant. Peaks at 424 cm</w:t>
      </w:r>
      <w:r>
        <w:rPr>
          <w:vertAlign w:val="superscript"/>
        </w:rPr>
        <w:t>-1</w:t>
      </w:r>
      <w:r>
        <w:rPr>
          <w:vertAlign w:val="baseline"/>
        </w:rPr>
        <w:t> and 644</w:t>
      </w:r>
      <w:r>
        <w:rPr>
          <w:spacing w:val="-1"/>
          <w:vertAlign w:val="baseline"/>
        </w:rPr>
        <w:t> </w:t>
      </w:r>
      <w:r>
        <w:rPr>
          <w:vertAlign w:val="baseline"/>
        </w:rPr>
        <w:t>cm</w:t>
      </w:r>
      <w:r>
        <w:rPr>
          <w:vertAlign w:val="superscript"/>
        </w:rPr>
        <w:t>-1</w:t>
      </w:r>
      <w:r>
        <w:rPr>
          <w:vertAlign w:val="baseline"/>
        </w:rPr>
        <w:t>,</w:t>
      </w:r>
      <w:r>
        <w:rPr>
          <w:spacing w:val="-1"/>
          <w:vertAlign w:val="baseline"/>
        </w:rPr>
        <w:t> </w:t>
      </w:r>
      <w:r>
        <w:rPr>
          <w:vertAlign w:val="baseline"/>
        </w:rPr>
        <w:t>indicate (S-S) and (C-S)</w:t>
      </w:r>
      <w:r>
        <w:rPr>
          <w:spacing w:val="-10"/>
          <w:vertAlign w:val="baseline"/>
        </w:rPr>
        <w:t> </w:t>
      </w:r>
      <w:r>
        <w:rPr>
          <w:vertAlign w:val="baseline"/>
        </w:rPr>
        <w:t>vibrations</w:t>
      </w:r>
      <w:r>
        <w:rPr>
          <w:spacing w:val="-4"/>
          <w:vertAlign w:val="baseline"/>
        </w:rPr>
        <w:t> </w:t>
      </w:r>
      <w:r>
        <w:rPr>
          <w:vertAlign w:val="baseline"/>
        </w:rPr>
        <w:t>of</w:t>
      </w:r>
      <w:r>
        <w:rPr>
          <w:spacing w:val="-4"/>
          <w:vertAlign w:val="baseline"/>
        </w:rPr>
        <w:t> </w:t>
      </w:r>
      <w:r>
        <w:rPr>
          <w:vertAlign w:val="baseline"/>
        </w:rPr>
        <w:t>aliphatic</w:t>
      </w:r>
      <w:r>
        <w:rPr>
          <w:spacing w:val="-5"/>
          <w:vertAlign w:val="baseline"/>
        </w:rPr>
        <w:t> </w:t>
      </w:r>
      <w:r>
        <w:rPr>
          <w:vertAlign w:val="baseline"/>
        </w:rPr>
        <w:t>chains</w:t>
      </w:r>
      <w:r>
        <w:rPr>
          <w:spacing w:val="-4"/>
          <w:vertAlign w:val="baseline"/>
        </w:rPr>
        <w:t> </w:t>
      </w:r>
      <w:r>
        <w:rPr>
          <w:vertAlign w:val="baseline"/>
        </w:rPr>
        <w:t>respectively.</w:t>
      </w:r>
      <w:r>
        <w:rPr>
          <w:spacing w:val="-4"/>
          <w:vertAlign w:val="baseline"/>
        </w:rPr>
        <w:t> </w:t>
      </w:r>
      <w:r>
        <w:rPr>
          <w:vertAlign w:val="baseline"/>
        </w:rPr>
        <w:t>The</w:t>
      </w:r>
      <w:r>
        <w:rPr>
          <w:spacing w:val="-6"/>
          <w:vertAlign w:val="baseline"/>
        </w:rPr>
        <w:t> </w:t>
      </w:r>
      <w:r>
        <w:rPr>
          <w:vertAlign w:val="baseline"/>
        </w:rPr>
        <w:t>1010</w:t>
      </w:r>
      <w:r>
        <w:rPr>
          <w:spacing w:val="-4"/>
          <w:vertAlign w:val="baseline"/>
        </w:rPr>
        <w:t> </w:t>
      </w:r>
      <w:r>
        <w:rPr>
          <w:vertAlign w:val="baseline"/>
        </w:rPr>
        <w:t>cm</w:t>
      </w:r>
      <w:r>
        <w:rPr>
          <w:vertAlign w:val="superscript"/>
        </w:rPr>
        <w:t>-1</w:t>
      </w:r>
      <w:r>
        <w:rPr>
          <w:spacing w:val="-15"/>
          <w:vertAlign w:val="baseline"/>
        </w:rPr>
        <w:t> </w:t>
      </w:r>
      <w:r>
        <w:rPr>
          <w:vertAlign w:val="baseline"/>
        </w:rPr>
        <w:t>peak</w:t>
      </w:r>
      <w:r>
        <w:rPr>
          <w:spacing w:val="-4"/>
          <w:vertAlign w:val="baseline"/>
        </w:rPr>
        <w:t> </w:t>
      </w:r>
      <w:r>
        <w:rPr>
          <w:vertAlign w:val="baseline"/>
        </w:rPr>
        <w:t>shows</w:t>
      </w:r>
      <w:r>
        <w:rPr>
          <w:spacing w:val="-7"/>
          <w:vertAlign w:val="baseline"/>
        </w:rPr>
        <w:t> </w:t>
      </w:r>
      <w:r>
        <w:rPr>
          <w:vertAlign w:val="baseline"/>
        </w:rPr>
        <w:t>the</w:t>
      </w:r>
      <w:r>
        <w:rPr>
          <w:spacing w:val="-4"/>
          <w:vertAlign w:val="baseline"/>
        </w:rPr>
        <w:t> </w:t>
      </w:r>
      <w:r>
        <w:rPr>
          <w:vertAlign w:val="baseline"/>
        </w:rPr>
        <w:t>presence of</w:t>
      </w:r>
      <w:r>
        <w:rPr>
          <w:spacing w:val="-14"/>
          <w:vertAlign w:val="baseline"/>
        </w:rPr>
        <w:t> </w:t>
      </w:r>
      <w:r>
        <w:rPr>
          <w:vertAlign w:val="baseline"/>
        </w:rPr>
        <w:t>(C-C)</w:t>
      </w:r>
      <w:r>
        <w:rPr>
          <w:spacing w:val="-7"/>
          <w:vertAlign w:val="baseline"/>
        </w:rPr>
        <w:t> </w:t>
      </w:r>
      <w:r>
        <w:rPr>
          <w:vertAlign w:val="baseline"/>
        </w:rPr>
        <w:t>vibration,</w:t>
      </w:r>
      <w:r>
        <w:rPr>
          <w:spacing w:val="-6"/>
          <w:vertAlign w:val="baseline"/>
        </w:rPr>
        <w:t> </w:t>
      </w:r>
      <w:r>
        <w:rPr>
          <w:vertAlign w:val="baseline"/>
        </w:rPr>
        <w:t>indicating</w:t>
      </w:r>
      <w:r>
        <w:rPr>
          <w:spacing w:val="-6"/>
          <w:vertAlign w:val="baseline"/>
        </w:rPr>
        <w:t> </w:t>
      </w:r>
      <w:r>
        <w:rPr>
          <w:vertAlign w:val="baseline"/>
        </w:rPr>
        <w:t>the</w:t>
      </w:r>
      <w:r>
        <w:rPr>
          <w:spacing w:val="-6"/>
          <w:vertAlign w:val="baseline"/>
        </w:rPr>
        <w:t> </w:t>
      </w:r>
      <w:r>
        <w:rPr>
          <w:vertAlign w:val="baseline"/>
        </w:rPr>
        <w:t>presence</w:t>
      </w:r>
      <w:r>
        <w:rPr>
          <w:spacing w:val="-7"/>
          <w:vertAlign w:val="baseline"/>
        </w:rPr>
        <w:t> </w:t>
      </w:r>
      <w:r>
        <w:rPr>
          <w:vertAlign w:val="baseline"/>
        </w:rPr>
        <w:t>of</w:t>
      </w:r>
      <w:r>
        <w:rPr>
          <w:spacing w:val="-7"/>
          <w:vertAlign w:val="baseline"/>
        </w:rPr>
        <w:t> </w:t>
      </w:r>
      <w:r>
        <w:rPr>
          <w:vertAlign w:val="baseline"/>
        </w:rPr>
        <w:t>lipid.</w:t>
      </w:r>
      <w:r>
        <w:rPr>
          <w:spacing w:val="-3"/>
          <w:vertAlign w:val="baseline"/>
        </w:rPr>
        <w:t> </w:t>
      </w:r>
      <w:r>
        <w:rPr>
          <w:vertAlign w:val="baseline"/>
        </w:rPr>
        <w:t>The</w:t>
      </w:r>
      <w:r>
        <w:rPr>
          <w:spacing w:val="-7"/>
          <w:vertAlign w:val="baseline"/>
        </w:rPr>
        <w:t> </w:t>
      </w:r>
      <w:r>
        <w:rPr>
          <w:vertAlign w:val="baseline"/>
        </w:rPr>
        <w:t>peak</w:t>
      </w:r>
      <w:r>
        <w:rPr>
          <w:spacing w:val="-6"/>
          <w:vertAlign w:val="baseline"/>
        </w:rPr>
        <w:t> </w:t>
      </w:r>
      <w:r>
        <w:rPr>
          <w:vertAlign w:val="baseline"/>
        </w:rPr>
        <w:t>at</w:t>
      </w:r>
      <w:r>
        <w:rPr>
          <w:spacing w:val="-5"/>
          <w:vertAlign w:val="baseline"/>
        </w:rPr>
        <w:t> </w:t>
      </w:r>
      <w:r>
        <w:rPr>
          <w:vertAlign w:val="baseline"/>
        </w:rPr>
        <w:t>874</w:t>
      </w:r>
      <w:r>
        <w:rPr>
          <w:spacing w:val="-6"/>
          <w:vertAlign w:val="baseline"/>
        </w:rPr>
        <w:t> </w:t>
      </w:r>
      <w:r>
        <w:rPr>
          <w:vertAlign w:val="baseline"/>
        </w:rPr>
        <w:t>cm</w:t>
      </w:r>
      <w:r>
        <w:rPr>
          <w:vertAlign w:val="superscript"/>
        </w:rPr>
        <w:t>-1</w:t>
      </w:r>
      <w:r>
        <w:rPr>
          <w:spacing w:val="-15"/>
          <w:vertAlign w:val="baseline"/>
        </w:rPr>
        <w:t> </w:t>
      </w:r>
      <w:r>
        <w:rPr>
          <w:vertAlign w:val="baseline"/>
        </w:rPr>
        <w:t>is</w:t>
      </w:r>
      <w:r>
        <w:rPr>
          <w:spacing w:val="-5"/>
          <w:vertAlign w:val="baseline"/>
        </w:rPr>
        <w:t> </w:t>
      </w:r>
      <w:r>
        <w:rPr>
          <w:vertAlign w:val="baseline"/>
        </w:rPr>
        <w:t>interpreted</w:t>
      </w:r>
      <w:r>
        <w:rPr>
          <w:spacing w:val="-3"/>
          <w:vertAlign w:val="baseline"/>
        </w:rPr>
        <w:t> </w:t>
      </w:r>
      <w:r>
        <w:rPr>
          <w:vertAlign w:val="baseline"/>
        </w:rPr>
        <w:t>as (O-O) stretching vibration and the peak at 1790 cm</w:t>
      </w:r>
      <w:r>
        <w:rPr>
          <w:vertAlign w:val="superscript"/>
        </w:rPr>
        <w:t>-1</w:t>
      </w:r>
      <w:r>
        <w:rPr>
          <w:vertAlign w:val="baseline"/>
        </w:rPr>
        <w:t> is an indicator of protein vibration associated with nitrogen bonds, which corresponds to amide 1. The peak at 2878 cm</w:t>
      </w:r>
      <w:r>
        <w:rPr>
          <w:vertAlign w:val="superscript"/>
        </w:rPr>
        <w:t>-1</w:t>
      </w:r>
      <w:r>
        <w:rPr>
          <w:vertAlign w:val="baseline"/>
        </w:rPr>
        <w:t> indicates (C-H)</w:t>
      </w:r>
      <w:r>
        <w:rPr>
          <w:vertAlign w:val="baseline"/>
        </w:rPr>
        <w:t> vibration.</w:t>
      </w:r>
      <w:r>
        <w:rPr>
          <w:vertAlign w:val="baseline"/>
        </w:rPr>
        <w:t> These functional groups indicate that the produced biosurfactant</w:t>
      </w:r>
      <w:r>
        <w:rPr>
          <w:spacing w:val="-8"/>
          <w:vertAlign w:val="baseline"/>
        </w:rPr>
        <w:t> </w:t>
      </w:r>
      <w:r>
        <w:rPr>
          <w:vertAlign w:val="baseline"/>
        </w:rPr>
        <w:t>is</w:t>
      </w:r>
      <w:r>
        <w:rPr>
          <w:spacing w:val="-8"/>
          <w:vertAlign w:val="baseline"/>
        </w:rPr>
        <w:t> </w:t>
      </w:r>
      <w:r>
        <w:rPr>
          <w:vertAlign w:val="baseline"/>
        </w:rPr>
        <w:t>a</w:t>
      </w:r>
      <w:r>
        <w:rPr>
          <w:spacing w:val="-9"/>
          <w:vertAlign w:val="baseline"/>
        </w:rPr>
        <w:t> </w:t>
      </w:r>
      <w:r>
        <w:rPr>
          <w:vertAlign w:val="baseline"/>
        </w:rPr>
        <w:t>lipoprotein</w:t>
      </w:r>
      <w:r>
        <w:rPr>
          <w:spacing w:val="-8"/>
          <w:vertAlign w:val="baseline"/>
        </w:rPr>
        <w:t> </w:t>
      </w:r>
      <w:r>
        <w:rPr>
          <w:vertAlign w:val="baseline"/>
        </w:rPr>
        <w:t>biosurfactant</w:t>
      </w:r>
      <w:r>
        <w:rPr>
          <w:spacing w:val="-8"/>
          <w:vertAlign w:val="baseline"/>
        </w:rPr>
        <w:t> </w:t>
      </w:r>
      <w:r>
        <w:rPr>
          <w:vertAlign w:val="baseline"/>
        </w:rPr>
        <w:t>(San-Keskin</w:t>
      </w:r>
      <w:r>
        <w:rPr>
          <w:spacing w:val="-7"/>
          <w:vertAlign w:val="baseline"/>
        </w:rPr>
        <w:t> </w:t>
      </w:r>
      <w:r>
        <w:rPr>
          <w:i/>
          <w:vertAlign w:val="baseline"/>
        </w:rPr>
        <w:t>et</w:t>
      </w:r>
      <w:r>
        <w:rPr>
          <w:i/>
          <w:spacing w:val="-8"/>
          <w:vertAlign w:val="baseline"/>
        </w:rPr>
        <w:t> </w:t>
      </w:r>
      <w:r>
        <w:rPr>
          <w:i/>
          <w:vertAlign w:val="baseline"/>
        </w:rPr>
        <w:t>al</w:t>
      </w:r>
      <w:r>
        <w:rPr>
          <w:vertAlign w:val="baseline"/>
        </w:rPr>
        <w:t>.,</w:t>
      </w:r>
      <w:r>
        <w:rPr>
          <w:spacing w:val="-8"/>
          <w:vertAlign w:val="baseline"/>
        </w:rPr>
        <w:t> </w:t>
      </w:r>
      <w:r>
        <w:rPr>
          <w:vertAlign w:val="baseline"/>
        </w:rPr>
        <w:t>2015).</w:t>
      </w:r>
      <w:r>
        <w:rPr>
          <w:spacing w:val="-8"/>
          <w:vertAlign w:val="baseline"/>
        </w:rPr>
        <w:t> </w:t>
      </w:r>
      <w:r>
        <w:rPr>
          <w:vertAlign w:val="baseline"/>
        </w:rPr>
        <w:t>The</w:t>
      </w:r>
      <w:r>
        <w:rPr>
          <w:spacing w:val="-9"/>
          <w:vertAlign w:val="baseline"/>
        </w:rPr>
        <w:t> </w:t>
      </w:r>
      <w:r>
        <w:rPr>
          <w:vertAlign w:val="baseline"/>
        </w:rPr>
        <w:t>involvement</w:t>
      </w:r>
      <w:r>
        <w:rPr>
          <w:spacing w:val="-8"/>
          <w:vertAlign w:val="baseline"/>
        </w:rPr>
        <w:t> </w:t>
      </w:r>
      <w:r>
        <w:rPr>
          <w:vertAlign w:val="baseline"/>
        </w:rPr>
        <w:t>of lipoprotein in the metabolism of hydrophobic substrates such as naphthalene, phenanthrene, octadecane or hexadecane has been reported (Bharali </w:t>
      </w:r>
      <w:r>
        <w:rPr>
          <w:i/>
          <w:vertAlign w:val="baseline"/>
        </w:rPr>
        <w:t>et al</w:t>
      </w:r>
      <w:r>
        <w:rPr>
          <w:vertAlign w:val="baseline"/>
        </w:rPr>
        <w:t>., 2011). The present research suggests that a similar mechanism could increase the solubility of the crude</w:t>
      </w:r>
      <w:r>
        <w:rPr>
          <w:spacing w:val="-4"/>
          <w:vertAlign w:val="baseline"/>
        </w:rPr>
        <w:t> </w:t>
      </w:r>
      <w:r>
        <w:rPr>
          <w:vertAlign w:val="baseline"/>
        </w:rPr>
        <w:t>oil</w:t>
      </w:r>
      <w:r>
        <w:rPr>
          <w:spacing w:val="-2"/>
          <w:vertAlign w:val="baseline"/>
        </w:rPr>
        <w:t> </w:t>
      </w:r>
      <w:r>
        <w:rPr>
          <w:vertAlign w:val="baseline"/>
        </w:rPr>
        <w:t>on</w:t>
      </w:r>
      <w:r>
        <w:rPr>
          <w:spacing w:val="-2"/>
          <w:vertAlign w:val="baseline"/>
        </w:rPr>
        <w:t> </w:t>
      </w:r>
      <w:r>
        <w:rPr>
          <w:vertAlign w:val="baseline"/>
        </w:rPr>
        <w:t>the</w:t>
      </w:r>
      <w:r>
        <w:rPr>
          <w:spacing w:val="-1"/>
          <w:vertAlign w:val="baseline"/>
        </w:rPr>
        <w:t> </w:t>
      </w:r>
      <w:r>
        <w:rPr>
          <w:vertAlign w:val="baseline"/>
        </w:rPr>
        <w:t>cell</w:t>
      </w:r>
      <w:r>
        <w:rPr>
          <w:spacing w:val="-2"/>
          <w:vertAlign w:val="baseline"/>
        </w:rPr>
        <w:t> </w:t>
      </w:r>
      <w:r>
        <w:rPr>
          <w:vertAlign w:val="baseline"/>
        </w:rPr>
        <w:t>surface</w:t>
      </w:r>
      <w:r>
        <w:rPr>
          <w:spacing w:val="-4"/>
          <w:vertAlign w:val="baseline"/>
        </w:rPr>
        <w:t> </w:t>
      </w:r>
      <w:r>
        <w:rPr>
          <w:vertAlign w:val="baseline"/>
        </w:rPr>
        <w:t>during</w:t>
      </w:r>
      <w:r>
        <w:rPr>
          <w:spacing w:val="-6"/>
          <w:vertAlign w:val="baseline"/>
        </w:rPr>
        <w:t> </w:t>
      </w:r>
      <w:r>
        <w:rPr>
          <w:vertAlign w:val="baseline"/>
        </w:rPr>
        <w:t>the growth</w:t>
      </w:r>
      <w:r>
        <w:rPr>
          <w:spacing w:val="-2"/>
          <w:vertAlign w:val="baseline"/>
        </w:rPr>
        <w:t> </w:t>
      </w:r>
      <w:r>
        <w:rPr>
          <w:vertAlign w:val="baseline"/>
        </w:rPr>
        <w:t>of</w:t>
      </w:r>
      <w:r>
        <w:rPr>
          <w:spacing w:val="-1"/>
          <w:vertAlign w:val="baseline"/>
        </w:rPr>
        <w:t> </w:t>
      </w:r>
      <w:r>
        <w:rPr>
          <w:vertAlign w:val="baseline"/>
        </w:rPr>
        <w:t>the</w:t>
      </w:r>
      <w:r>
        <w:rPr>
          <w:spacing w:val="-2"/>
          <w:vertAlign w:val="baseline"/>
        </w:rPr>
        <w:t> </w:t>
      </w:r>
      <w:r>
        <w:rPr>
          <w:vertAlign w:val="baseline"/>
        </w:rPr>
        <w:t>organism</w:t>
      </w:r>
      <w:r>
        <w:rPr>
          <w:spacing w:val="-2"/>
          <w:vertAlign w:val="baseline"/>
        </w:rPr>
        <w:t> </w:t>
      </w:r>
      <w:r>
        <w:rPr>
          <w:vertAlign w:val="baseline"/>
        </w:rPr>
        <w:t>and enables the</w:t>
      </w:r>
      <w:r>
        <w:rPr>
          <w:spacing w:val="-2"/>
          <w:vertAlign w:val="baseline"/>
        </w:rPr>
        <w:t> </w:t>
      </w:r>
      <w:r>
        <w:rPr>
          <w:vertAlign w:val="baseline"/>
        </w:rPr>
        <w:t>organism to metabolize and break down the crude oil components.</w:t>
      </w:r>
    </w:p>
    <w:p>
      <w:pPr>
        <w:pStyle w:val="BodyText"/>
        <w:spacing w:line="480" w:lineRule="auto" w:before="201"/>
        <w:ind w:left="202" w:right="112"/>
        <w:jc w:val="both"/>
      </w:pPr>
      <w:r>
        <w:rPr/>
        <w:t>UV spectrophotometry result of the iron oxide nanoparticles was between the range of 262-269 nm as shown in figure 4.3</w:t>
      </w:r>
      <w:r>
        <w:rPr>
          <w:spacing w:val="40"/>
        </w:rPr>
        <w:t> </w:t>
      </w:r>
      <w:r>
        <w:rPr/>
        <w:t>, which a characteristic UV range that has been reported for iron oxide nanoparticles. The nanosize result revealed a polydispersed particles</w:t>
      </w:r>
      <w:r>
        <w:rPr>
          <w:spacing w:val="-1"/>
        </w:rPr>
        <w:t> </w:t>
      </w:r>
      <w:r>
        <w:rPr/>
        <w:t>size. This differs from those</w:t>
      </w:r>
      <w:r>
        <w:rPr>
          <w:spacing w:val="-1"/>
        </w:rPr>
        <w:t> </w:t>
      </w:r>
      <w:r>
        <w:rPr/>
        <w:t>iron</w:t>
      </w:r>
      <w:r>
        <w:rPr>
          <w:spacing w:val="-1"/>
        </w:rPr>
        <w:t> </w:t>
      </w:r>
      <w:r>
        <w:rPr/>
        <w:t>oxide</w:t>
      </w:r>
      <w:r>
        <w:rPr>
          <w:spacing w:val="-1"/>
        </w:rPr>
        <w:t> </w:t>
      </w:r>
      <w:r>
        <w:rPr/>
        <w:t>nanoparticles</w:t>
      </w:r>
      <w:r>
        <w:rPr>
          <w:spacing w:val="-1"/>
        </w:rPr>
        <w:t> </w:t>
      </w:r>
      <w:r>
        <w:rPr/>
        <w:t>synthesized using</w:t>
      </w:r>
      <w:r>
        <w:rPr>
          <w:spacing w:val="-2"/>
        </w:rPr>
        <w:t> </w:t>
      </w:r>
      <w:r>
        <w:rPr/>
        <w:t>sodium borohydride as a reducing agent, which is likely to have a size that is homogeneously distributed (Wang </w:t>
      </w:r>
      <w:r>
        <w:rPr>
          <w:i/>
        </w:rPr>
        <w:t>et al</w:t>
      </w:r>
      <w:r>
        <w:rPr/>
        <w:t>., 2014). It is likely because the corn silk extract contains some different phytochemicals with different reducing properties (Roy </w:t>
      </w:r>
      <w:r>
        <w:rPr>
          <w:i/>
        </w:rPr>
        <w:t>et al</w:t>
      </w:r>
      <w:r>
        <w:rPr/>
        <w:t>., 2010; Wang </w:t>
      </w:r>
      <w:r>
        <w:rPr>
          <w:i/>
        </w:rPr>
        <w:t>et al</w:t>
      </w:r>
      <w:r>
        <w:rPr/>
        <w:t>., 2014). The corn silk with high antioxidant capacity and phenolic contents could be suitable substance that can be used in the synthesis of different metal nanoparticles.</w:t>
      </w:r>
    </w:p>
    <w:p>
      <w:pPr>
        <w:spacing w:after="0" w:line="480" w:lineRule="auto"/>
        <w:jc w:val="both"/>
        <w:sectPr>
          <w:pgSz w:w="11910" w:h="16840"/>
          <w:pgMar w:header="0" w:footer="1002" w:top="1320" w:bottom="1200" w:left="1500" w:right="1580"/>
        </w:sectPr>
      </w:pPr>
    </w:p>
    <w:p>
      <w:pPr>
        <w:pStyle w:val="BodyText"/>
        <w:spacing w:line="480" w:lineRule="auto" w:before="69"/>
        <w:ind w:left="202" w:right="116"/>
        <w:jc w:val="both"/>
      </w:pPr>
      <w:r>
        <w:rPr/>
        <w:t>The pyrolysis of dried plantain trunk at 550°C resulted in a fine black powder known as biochar.</w:t>
      </w:r>
      <w:r>
        <w:rPr>
          <w:spacing w:val="-10"/>
        </w:rPr>
        <w:t> </w:t>
      </w:r>
      <w:r>
        <w:rPr/>
        <w:t>The</w:t>
      </w:r>
      <w:r>
        <w:rPr>
          <w:spacing w:val="-11"/>
        </w:rPr>
        <w:t> </w:t>
      </w:r>
      <w:r>
        <w:rPr/>
        <w:t>pyrolysis</w:t>
      </w:r>
      <w:r>
        <w:rPr>
          <w:spacing w:val="-7"/>
        </w:rPr>
        <w:t> </w:t>
      </w:r>
      <w:r>
        <w:rPr/>
        <w:t>was</w:t>
      </w:r>
      <w:r>
        <w:rPr>
          <w:spacing w:val="-9"/>
        </w:rPr>
        <w:t> </w:t>
      </w:r>
      <w:r>
        <w:rPr/>
        <w:t>carried</w:t>
      </w:r>
      <w:r>
        <w:rPr>
          <w:spacing w:val="-8"/>
        </w:rPr>
        <w:t> </w:t>
      </w:r>
      <w:r>
        <w:rPr/>
        <w:t>out</w:t>
      </w:r>
      <w:r>
        <w:rPr>
          <w:spacing w:val="-9"/>
        </w:rPr>
        <w:t> </w:t>
      </w:r>
      <w:r>
        <w:rPr/>
        <w:t>at</w:t>
      </w:r>
      <w:r>
        <w:rPr>
          <w:spacing w:val="-7"/>
        </w:rPr>
        <w:t> </w:t>
      </w:r>
      <w:r>
        <w:rPr/>
        <w:t>this</w:t>
      </w:r>
      <w:r>
        <w:rPr>
          <w:spacing w:val="-9"/>
        </w:rPr>
        <w:t> </w:t>
      </w:r>
      <w:r>
        <w:rPr/>
        <w:t>temperature</w:t>
      </w:r>
      <w:r>
        <w:rPr>
          <w:spacing w:val="-11"/>
        </w:rPr>
        <w:t> </w:t>
      </w:r>
      <w:r>
        <w:rPr/>
        <w:t>because</w:t>
      </w:r>
      <w:r>
        <w:rPr>
          <w:spacing w:val="-8"/>
        </w:rPr>
        <w:t> </w:t>
      </w:r>
      <w:r>
        <w:rPr/>
        <w:t>it</w:t>
      </w:r>
      <w:r>
        <w:rPr>
          <w:spacing w:val="-9"/>
        </w:rPr>
        <w:t> </w:t>
      </w:r>
      <w:r>
        <w:rPr/>
        <w:t>has</w:t>
      </w:r>
      <w:r>
        <w:rPr>
          <w:spacing w:val="-7"/>
        </w:rPr>
        <w:t> </w:t>
      </w:r>
      <w:r>
        <w:rPr/>
        <w:t>been</w:t>
      </w:r>
      <w:r>
        <w:rPr>
          <w:spacing w:val="-10"/>
        </w:rPr>
        <w:t> </w:t>
      </w:r>
      <w:r>
        <w:rPr/>
        <w:t>reported</w:t>
      </w:r>
      <w:r>
        <w:rPr>
          <w:spacing w:val="-10"/>
        </w:rPr>
        <w:t> </w:t>
      </w:r>
      <w:r>
        <w:rPr/>
        <w:t>by Ahmad </w:t>
      </w:r>
      <w:r>
        <w:rPr>
          <w:i/>
        </w:rPr>
        <w:t>et al. </w:t>
      </w:r>
      <w:r>
        <w:rPr/>
        <w:t>(2014) that fully carbonized biochar that is produced at pyrolysis temperature higher than 500 °C has greater surface</w:t>
      </w:r>
      <w:r>
        <w:rPr>
          <w:spacing w:val="-1"/>
        </w:rPr>
        <w:t> </w:t>
      </w:r>
      <w:r>
        <w:rPr/>
        <w:t>area, microporosity, hydrophobicity, high C/N ratio, high pH and low dissolved organic carbon resulting in more affinity for organic pollutants necessitating the use in the bioremediation of crude oil contaminated soil.</w:t>
      </w:r>
      <w:r>
        <w:rPr>
          <w:spacing w:val="-8"/>
        </w:rPr>
        <w:t> </w:t>
      </w:r>
      <w:r>
        <w:rPr/>
        <w:t>There</w:t>
      </w:r>
      <w:r>
        <w:rPr>
          <w:spacing w:val="-10"/>
        </w:rPr>
        <w:t> </w:t>
      </w:r>
      <w:r>
        <w:rPr/>
        <w:t>has</w:t>
      </w:r>
      <w:r>
        <w:rPr>
          <w:spacing w:val="-8"/>
        </w:rPr>
        <w:t> </w:t>
      </w:r>
      <w:r>
        <w:rPr/>
        <w:t>been</w:t>
      </w:r>
      <w:r>
        <w:rPr>
          <w:spacing w:val="-8"/>
        </w:rPr>
        <w:t> </w:t>
      </w:r>
      <w:r>
        <w:rPr/>
        <w:t>a</w:t>
      </w:r>
      <w:r>
        <w:rPr>
          <w:spacing w:val="-7"/>
        </w:rPr>
        <w:t> </w:t>
      </w:r>
      <w:r>
        <w:rPr/>
        <w:t>report</w:t>
      </w:r>
      <w:r>
        <w:rPr>
          <w:spacing w:val="-7"/>
        </w:rPr>
        <w:t> </w:t>
      </w:r>
      <w:r>
        <w:rPr/>
        <w:t>(Olubukola,</w:t>
      </w:r>
      <w:r>
        <w:rPr>
          <w:spacing w:val="-8"/>
        </w:rPr>
        <w:t> </w:t>
      </w:r>
      <w:r>
        <w:rPr/>
        <w:t>2019)</w:t>
      </w:r>
      <w:r>
        <w:rPr>
          <w:spacing w:val="-9"/>
        </w:rPr>
        <w:t> </w:t>
      </w:r>
      <w:r>
        <w:rPr/>
        <w:t>that</w:t>
      </w:r>
      <w:r>
        <w:rPr>
          <w:spacing w:val="-8"/>
        </w:rPr>
        <w:t> </w:t>
      </w:r>
      <w:r>
        <w:rPr/>
        <w:t>biochar</w:t>
      </w:r>
      <w:r>
        <w:rPr>
          <w:spacing w:val="-9"/>
        </w:rPr>
        <w:t> </w:t>
      </w:r>
      <w:r>
        <w:rPr/>
        <w:t>obtained</w:t>
      </w:r>
      <w:r>
        <w:rPr>
          <w:spacing w:val="-6"/>
        </w:rPr>
        <w:t> </w:t>
      </w:r>
      <w:r>
        <w:rPr/>
        <w:t>from</w:t>
      </w:r>
      <w:r>
        <w:rPr>
          <w:spacing w:val="-8"/>
        </w:rPr>
        <w:t> </w:t>
      </w:r>
      <w:r>
        <w:rPr/>
        <w:t>plantain</w:t>
      </w:r>
      <w:r>
        <w:rPr>
          <w:spacing w:val="-8"/>
        </w:rPr>
        <w:t> </w:t>
      </w:r>
      <w:r>
        <w:rPr/>
        <w:t>trunk is more effective in the bioremediation of organic pollutant. Lehmann </w:t>
      </w:r>
      <w:r>
        <w:rPr>
          <w:i/>
        </w:rPr>
        <w:t>et al</w:t>
      </w:r>
      <w:r>
        <w:rPr/>
        <w:t>. (2011) reported that biochar enhance soil biological community and microbial biomass.</w:t>
      </w:r>
    </w:p>
    <w:p>
      <w:pPr>
        <w:pStyle w:val="BodyText"/>
        <w:spacing w:line="480" w:lineRule="auto" w:before="203"/>
        <w:ind w:left="202" w:right="115"/>
        <w:jc w:val="both"/>
      </w:pPr>
      <w:r>
        <w:rPr/>
        <w:t>It</w:t>
      </w:r>
      <w:r>
        <w:rPr>
          <w:spacing w:val="-2"/>
        </w:rPr>
        <w:t> </w:t>
      </w:r>
      <w:r>
        <w:rPr/>
        <w:t>has</w:t>
      </w:r>
      <w:r>
        <w:rPr>
          <w:spacing w:val="-2"/>
        </w:rPr>
        <w:t> </w:t>
      </w:r>
      <w:r>
        <w:rPr/>
        <w:t>been</w:t>
      </w:r>
      <w:r>
        <w:rPr>
          <w:spacing w:val="-2"/>
        </w:rPr>
        <w:t> </w:t>
      </w:r>
      <w:r>
        <w:rPr/>
        <w:t>reported</w:t>
      </w:r>
      <w:r>
        <w:rPr>
          <w:spacing w:val="-2"/>
        </w:rPr>
        <w:t> </w:t>
      </w:r>
      <w:r>
        <w:rPr/>
        <w:t>that</w:t>
      </w:r>
      <w:r>
        <w:rPr>
          <w:spacing w:val="-2"/>
        </w:rPr>
        <w:t> </w:t>
      </w:r>
      <w:r>
        <w:rPr/>
        <w:t>biochar</w:t>
      </w:r>
      <w:r>
        <w:rPr>
          <w:spacing w:val="-2"/>
        </w:rPr>
        <w:t> </w:t>
      </w:r>
      <w:r>
        <w:rPr/>
        <w:t>improves</w:t>
      </w:r>
      <w:r>
        <w:rPr>
          <w:spacing w:val="-2"/>
        </w:rPr>
        <w:t> </w:t>
      </w:r>
      <w:r>
        <w:rPr/>
        <w:t>the</w:t>
      </w:r>
      <w:r>
        <w:rPr>
          <w:spacing w:val="-2"/>
        </w:rPr>
        <w:t> </w:t>
      </w:r>
      <w:r>
        <w:rPr/>
        <w:t>quality</w:t>
      </w:r>
      <w:r>
        <w:rPr>
          <w:spacing w:val="-9"/>
        </w:rPr>
        <w:t> </w:t>
      </w:r>
      <w:r>
        <w:rPr/>
        <w:t>of</w:t>
      </w:r>
      <w:r>
        <w:rPr>
          <w:spacing w:val="-2"/>
        </w:rPr>
        <w:t> </w:t>
      </w:r>
      <w:r>
        <w:rPr/>
        <w:t>soil</w:t>
      </w:r>
      <w:r>
        <w:rPr>
          <w:spacing w:val="-2"/>
        </w:rPr>
        <w:t> </w:t>
      </w:r>
      <w:r>
        <w:rPr/>
        <w:t>by</w:t>
      </w:r>
      <w:r>
        <w:rPr>
          <w:spacing w:val="-7"/>
        </w:rPr>
        <w:t> </w:t>
      </w:r>
      <w:r>
        <w:rPr/>
        <w:t>increasing</w:t>
      </w:r>
      <w:r>
        <w:rPr>
          <w:spacing w:val="-3"/>
        </w:rPr>
        <w:t> </w:t>
      </w:r>
      <w:r>
        <w:rPr/>
        <w:t>the</w:t>
      </w:r>
      <w:r>
        <w:rPr>
          <w:spacing w:val="-2"/>
        </w:rPr>
        <w:t> </w:t>
      </w:r>
      <w:r>
        <w:rPr/>
        <w:t>pH,</w:t>
      </w:r>
      <w:r>
        <w:rPr>
          <w:spacing w:val="-2"/>
        </w:rPr>
        <w:t> </w:t>
      </w:r>
      <w:r>
        <w:rPr/>
        <w:t>water holding</w:t>
      </w:r>
      <w:r>
        <w:rPr>
          <w:spacing w:val="-5"/>
        </w:rPr>
        <w:t> </w:t>
      </w:r>
      <w:r>
        <w:rPr/>
        <w:t>capacity</w:t>
      </w:r>
      <w:r>
        <w:rPr>
          <w:spacing w:val="-5"/>
        </w:rPr>
        <w:t> </w:t>
      </w:r>
      <w:r>
        <w:rPr/>
        <w:t>and</w:t>
      </w:r>
      <w:r>
        <w:rPr>
          <w:spacing w:val="-2"/>
        </w:rPr>
        <w:t> </w:t>
      </w:r>
      <w:r>
        <w:rPr/>
        <w:t>nutrients</w:t>
      </w:r>
      <w:r>
        <w:rPr>
          <w:spacing w:val="-2"/>
        </w:rPr>
        <w:t> </w:t>
      </w:r>
      <w:r>
        <w:rPr/>
        <w:t>retention</w:t>
      </w:r>
      <w:r>
        <w:rPr>
          <w:spacing w:val="-2"/>
        </w:rPr>
        <w:t> </w:t>
      </w:r>
      <w:r>
        <w:rPr/>
        <w:t>(Laird </w:t>
      </w:r>
      <w:r>
        <w:rPr>
          <w:i/>
        </w:rPr>
        <w:t>et</w:t>
      </w:r>
      <w:r>
        <w:rPr>
          <w:i/>
          <w:spacing w:val="-2"/>
        </w:rPr>
        <w:t> </w:t>
      </w:r>
      <w:r>
        <w:rPr>
          <w:i/>
        </w:rPr>
        <w:t>al</w:t>
      </w:r>
      <w:r>
        <w:rPr/>
        <w:t>.,</w:t>
      </w:r>
      <w:r>
        <w:rPr>
          <w:spacing w:val="-2"/>
        </w:rPr>
        <w:t> </w:t>
      </w:r>
      <w:r>
        <w:rPr/>
        <w:t>2010).</w:t>
      </w:r>
      <w:r>
        <w:rPr>
          <w:spacing w:val="-2"/>
        </w:rPr>
        <w:t> </w:t>
      </w:r>
      <w:r>
        <w:rPr/>
        <w:t>As a result</w:t>
      </w:r>
      <w:r>
        <w:rPr>
          <w:spacing w:val="-1"/>
        </w:rPr>
        <w:t> </w:t>
      </w:r>
      <w:r>
        <w:rPr/>
        <w:t>of</w:t>
      </w:r>
      <w:r>
        <w:rPr>
          <w:spacing w:val="-1"/>
        </w:rPr>
        <w:t> </w:t>
      </w:r>
      <w:r>
        <w:rPr/>
        <w:t>these, biochar is known to be a good candidate for indigenous soil fungal and bacterial colonization (Quilliam</w:t>
      </w:r>
      <w:r>
        <w:rPr>
          <w:spacing w:val="-1"/>
        </w:rPr>
        <w:t> </w:t>
      </w:r>
      <w:r>
        <w:rPr>
          <w:i/>
        </w:rPr>
        <w:t>et</w:t>
      </w:r>
      <w:r>
        <w:rPr>
          <w:i/>
          <w:spacing w:val="-2"/>
        </w:rPr>
        <w:t> </w:t>
      </w:r>
      <w:r>
        <w:rPr>
          <w:i/>
        </w:rPr>
        <w:t>al</w:t>
      </w:r>
      <w:r>
        <w:rPr/>
        <w:t>.,</w:t>
      </w:r>
      <w:r>
        <w:rPr>
          <w:spacing w:val="-2"/>
        </w:rPr>
        <w:t> </w:t>
      </w:r>
      <w:r>
        <w:rPr/>
        <w:t>2013;</w:t>
      </w:r>
      <w:r>
        <w:rPr>
          <w:spacing w:val="-2"/>
        </w:rPr>
        <w:t> </w:t>
      </w:r>
      <w:r>
        <w:rPr/>
        <w:t>Brown</w:t>
      </w:r>
      <w:r>
        <w:rPr>
          <w:spacing w:val="-2"/>
        </w:rPr>
        <w:t> </w:t>
      </w:r>
      <w:r>
        <w:rPr>
          <w:i/>
        </w:rPr>
        <w:t>et</w:t>
      </w:r>
      <w:r>
        <w:rPr>
          <w:i/>
          <w:spacing w:val="-2"/>
        </w:rPr>
        <w:t> </w:t>
      </w:r>
      <w:r>
        <w:rPr>
          <w:i/>
        </w:rPr>
        <w:t>al.,</w:t>
      </w:r>
      <w:r>
        <w:rPr>
          <w:i/>
          <w:spacing w:val="-2"/>
        </w:rPr>
        <w:t> </w:t>
      </w:r>
      <w:r>
        <w:rPr/>
        <w:t>2017).</w:t>
      </w:r>
      <w:r>
        <w:rPr>
          <w:spacing w:val="-2"/>
        </w:rPr>
        <w:t> </w:t>
      </w:r>
      <w:r>
        <w:rPr/>
        <w:t>The</w:t>
      </w:r>
      <w:r>
        <w:rPr>
          <w:spacing w:val="-3"/>
        </w:rPr>
        <w:t> </w:t>
      </w:r>
      <w:r>
        <w:rPr/>
        <w:t>mechanism</w:t>
      </w:r>
      <w:r>
        <w:rPr>
          <w:spacing w:val="-2"/>
        </w:rPr>
        <w:t> </w:t>
      </w:r>
      <w:r>
        <w:rPr/>
        <w:t>of</w:t>
      </w:r>
      <w:r>
        <w:rPr>
          <w:spacing w:val="-2"/>
        </w:rPr>
        <w:t> </w:t>
      </w:r>
      <w:r>
        <w:rPr/>
        <w:t>biochar</w:t>
      </w:r>
      <w:r>
        <w:rPr>
          <w:spacing w:val="-1"/>
        </w:rPr>
        <w:t> </w:t>
      </w:r>
      <w:r>
        <w:rPr/>
        <w:t>adsorbance</w:t>
      </w:r>
      <w:r>
        <w:rPr>
          <w:spacing w:val="-2"/>
        </w:rPr>
        <w:t> </w:t>
      </w:r>
      <w:r>
        <w:rPr/>
        <w:t>to</w:t>
      </w:r>
      <w:r>
        <w:rPr>
          <w:spacing w:val="-3"/>
        </w:rPr>
        <w:t> </w:t>
      </w:r>
      <w:r>
        <w:rPr/>
        <w:t>the surfaces of organic substances is dependent on the type and source of the biochar (Domene </w:t>
      </w:r>
      <w:r>
        <w:rPr>
          <w:i/>
        </w:rPr>
        <w:t>et al</w:t>
      </w:r>
      <w:r>
        <w:rPr/>
        <w:t>., 2015; Brown </w:t>
      </w:r>
      <w:r>
        <w:rPr>
          <w:i/>
        </w:rPr>
        <w:t>et al., </w:t>
      </w:r>
      <w:r>
        <w:rPr/>
        <w:t>2017). According to Brown </w:t>
      </w:r>
      <w:r>
        <w:rPr>
          <w:i/>
        </w:rPr>
        <w:t>et al. </w:t>
      </w:r>
      <w:r>
        <w:rPr/>
        <w:t>(2017) during the biodegradation of</w:t>
      </w:r>
      <w:r>
        <w:rPr>
          <w:spacing w:val="-1"/>
        </w:rPr>
        <w:t> </w:t>
      </w:r>
      <w:r>
        <w:rPr/>
        <w:t>organic</w:t>
      </w:r>
      <w:r>
        <w:rPr>
          <w:spacing w:val="-1"/>
        </w:rPr>
        <w:t> </w:t>
      </w:r>
      <w:r>
        <w:rPr/>
        <w:t>compounds by</w:t>
      </w:r>
      <w:r>
        <w:rPr>
          <w:spacing w:val="-6"/>
        </w:rPr>
        <w:t> </w:t>
      </w:r>
      <w:r>
        <w:rPr/>
        <w:t>biochar, an increase</w:t>
      </w:r>
      <w:r>
        <w:rPr>
          <w:spacing w:val="-1"/>
        </w:rPr>
        <w:t> </w:t>
      </w:r>
      <w:r>
        <w:rPr/>
        <w:t>in degradation rate results from</w:t>
      </w:r>
      <w:r>
        <w:rPr/>
        <w:t> the</w:t>
      </w:r>
      <w:r>
        <w:rPr/>
        <w:t> sorption</w:t>
      </w:r>
      <w:r>
        <w:rPr/>
        <w:t> of</w:t>
      </w:r>
      <w:r>
        <w:rPr/>
        <w:t> both</w:t>
      </w:r>
      <w:r>
        <w:rPr/>
        <w:t> organic</w:t>
      </w:r>
      <w:r>
        <w:rPr/>
        <w:t> compounds</w:t>
      </w:r>
      <w:r>
        <w:rPr/>
        <w:t> and</w:t>
      </w:r>
      <w:r>
        <w:rPr/>
        <w:t> microorganisms to the surface of biochar giving rise to a higher concentration of the compounds around the colonizing microorganisms.</w:t>
      </w:r>
      <w:r>
        <w:rPr>
          <w:spacing w:val="-7"/>
        </w:rPr>
        <w:t> </w:t>
      </w:r>
      <w:r>
        <w:rPr/>
        <w:t>The</w:t>
      </w:r>
      <w:r>
        <w:rPr>
          <w:spacing w:val="-8"/>
        </w:rPr>
        <w:t> </w:t>
      </w:r>
      <w:r>
        <w:rPr/>
        <w:t>use</w:t>
      </w:r>
      <w:r>
        <w:rPr>
          <w:spacing w:val="-6"/>
        </w:rPr>
        <w:t> </w:t>
      </w:r>
      <w:r>
        <w:rPr/>
        <w:t>of</w:t>
      </w:r>
      <w:r>
        <w:rPr>
          <w:spacing w:val="-8"/>
        </w:rPr>
        <w:t> </w:t>
      </w:r>
      <w:r>
        <w:rPr/>
        <w:t>biochar</w:t>
      </w:r>
      <w:r>
        <w:rPr>
          <w:spacing w:val="-8"/>
        </w:rPr>
        <w:t> </w:t>
      </w:r>
      <w:r>
        <w:rPr/>
        <w:t>obtained</w:t>
      </w:r>
      <w:r>
        <w:rPr>
          <w:spacing w:val="-5"/>
        </w:rPr>
        <w:t> </w:t>
      </w:r>
      <w:r>
        <w:rPr/>
        <w:t>from</w:t>
      </w:r>
      <w:r>
        <w:rPr>
          <w:spacing w:val="-5"/>
        </w:rPr>
        <w:t> </w:t>
      </w:r>
      <w:r>
        <w:rPr/>
        <w:t>plantain</w:t>
      </w:r>
      <w:r>
        <w:rPr>
          <w:spacing w:val="-7"/>
        </w:rPr>
        <w:t> </w:t>
      </w:r>
      <w:r>
        <w:rPr/>
        <w:t>trunk</w:t>
      </w:r>
      <w:r>
        <w:rPr>
          <w:spacing w:val="-7"/>
        </w:rPr>
        <w:t> </w:t>
      </w:r>
      <w:r>
        <w:rPr/>
        <w:t>in</w:t>
      </w:r>
      <w:r>
        <w:rPr>
          <w:spacing w:val="-7"/>
        </w:rPr>
        <w:t> </w:t>
      </w:r>
      <w:r>
        <w:rPr/>
        <w:t>this</w:t>
      </w:r>
      <w:r>
        <w:rPr>
          <w:spacing w:val="-7"/>
        </w:rPr>
        <w:t> </w:t>
      </w:r>
      <w:r>
        <w:rPr/>
        <w:t>study</w:t>
      </w:r>
      <w:r>
        <w:rPr>
          <w:spacing w:val="-12"/>
        </w:rPr>
        <w:t> </w:t>
      </w:r>
      <w:r>
        <w:rPr/>
        <w:t>was</w:t>
      </w:r>
      <w:r>
        <w:rPr>
          <w:spacing w:val="-7"/>
        </w:rPr>
        <w:t> </w:t>
      </w:r>
      <w:r>
        <w:rPr/>
        <w:t>found to be the best treatment to remove hydrocarbons from soils when compared to biosurfactant and iron oxide nanoparticles individually as shown in Table 4.5 where biochar gave the highest degradation rate of 47 %.</w:t>
      </w:r>
    </w:p>
    <w:p>
      <w:pPr>
        <w:pStyle w:val="BodyText"/>
        <w:spacing w:line="480" w:lineRule="auto" w:before="201"/>
        <w:ind w:left="202" w:right="118"/>
        <w:jc w:val="both"/>
      </w:pPr>
      <w:r>
        <w:rPr/>
        <w:t>In</w:t>
      </w:r>
      <w:r>
        <w:rPr>
          <w:spacing w:val="-10"/>
        </w:rPr>
        <w:t> </w:t>
      </w:r>
      <w:r>
        <w:rPr/>
        <w:t>other</w:t>
      </w:r>
      <w:r>
        <w:rPr>
          <w:spacing w:val="-10"/>
        </w:rPr>
        <w:t> </w:t>
      </w:r>
      <w:r>
        <w:rPr/>
        <w:t>to</w:t>
      </w:r>
      <w:r>
        <w:rPr>
          <w:spacing w:val="-9"/>
        </w:rPr>
        <w:t> </w:t>
      </w:r>
      <w:r>
        <w:rPr/>
        <w:t>further</w:t>
      </w:r>
      <w:r>
        <w:rPr>
          <w:spacing w:val="-10"/>
        </w:rPr>
        <w:t> </w:t>
      </w:r>
      <w:r>
        <w:rPr/>
        <w:t>assess</w:t>
      </w:r>
      <w:r>
        <w:rPr>
          <w:spacing w:val="-10"/>
        </w:rPr>
        <w:t> </w:t>
      </w:r>
      <w:r>
        <w:rPr/>
        <w:t>the</w:t>
      </w:r>
      <w:r>
        <w:rPr>
          <w:spacing w:val="-11"/>
        </w:rPr>
        <w:t> </w:t>
      </w:r>
      <w:r>
        <w:rPr/>
        <w:t>efficiency</w:t>
      </w:r>
      <w:r>
        <w:rPr>
          <w:spacing w:val="-14"/>
        </w:rPr>
        <w:t> </w:t>
      </w:r>
      <w:r>
        <w:rPr/>
        <w:t>of</w:t>
      </w:r>
      <w:r>
        <w:rPr>
          <w:spacing w:val="-10"/>
        </w:rPr>
        <w:t> </w:t>
      </w:r>
      <w:r>
        <w:rPr/>
        <w:t>biochar,</w:t>
      </w:r>
      <w:r>
        <w:rPr>
          <w:spacing w:val="-10"/>
        </w:rPr>
        <w:t> </w:t>
      </w:r>
      <w:r>
        <w:rPr/>
        <w:t>it</w:t>
      </w:r>
      <w:r>
        <w:rPr>
          <w:spacing w:val="-9"/>
        </w:rPr>
        <w:t> </w:t>
      </w:r>
      <w:r>
        <w:rPr/>
        <w:t>was</w:t>
      </w:r>
      <w:r>
        <w:rPr>
          <w:spacing w:val="-9"/>
        </w:rPr>
        <w:t> </w:t>
      </w:r>
      <w:r>
        <w:rPr/>
        <w:t>used</w:t>
      </w:r>
      <w:r>
        <w:rPr>
          <w:spacing w:val="-10"/>
        </w:rPr>
        <w:t> </w:t>
      </w:r>
      <w:r>
        <w:rPr/>
        <w:t>with</w:t>
      </w:r>
      <w:r>
        <w:rPr>
          <w:spacing w:val="-9"/>
        </w:rPr>
        <w:t> </w:t>
      </w:r>
      <w:r>
        <w:rPr/>
        <w:t>biosurfactant</w:t>
      </w:r>
      <w:r>
        <w:rPr>
          <w:spacing w:val="-10"/>
        </w:rPr>
        <w:t> </w:t>
      </w:r>
      <w:r>
        <w:rPr/>
        <w:t>and</w:t>
      </w:r>
      <w:r>
        <w:rPr>
          <w:spacing w:val="-10"/>
        </w:rPr>
        <w:t> </w:t>
      </w:r>
      <w:r>
        <w:rPr/>
        <w:t>iron oxide nanoparticles. Combination of the three products was found to have synergetic effect</w:t>
      </w:r>
      <w:r>
        <w:rPr>
          <w:spacing w:val="12"/>
        </w:rPr>
        <w:t> </w:t>
      </w:r>
      <w:r>
        <w:rPr/>
        <w:t>and</w:t>
      </w:r>
      <w:r>
        <w:rPr>
          <w:spacing w:val="13"/>
        </w:rPr>
        <w:t> </w:t>
      </w:r>
      <w:r>
        <w:rPr/>
        <w:t>improve</w:t>
      </w:r>
      <w:r>
        <w:rPr>
          <w:spacing w:val="10"/>
        </w:rPr>
        <w:t> </w:t>
      </w:r>
      <w:r>
        <w:rPr/>
        <w:t>the</w:t>
      </w:r>
      <w:r>
        <w:rPr>
          <w:spacing w:val="12"/>
        </w:rPr>
        <w:t> </w:t>
      </w:r>
      <w:r>
        <w:rPr/>
        <w:t>removal</w:t>
      </w:r>
      <w:r>
        <w:rPr>
          <w:spacing w:val="12"/>
        </w:rPr>
        <w:t> </w:t>
      </w:r>
      <w:r>
        <w:rPr/>
        <w:t>of</w:t>
      </w:r>
      <w:r>
        <w:rPr>
          <w:spacing w:val="12"/>
        </w:rPr>
        <w:t> </w:t>
      </w:r>
      <w:r>
        <w:rPr/>
        <w:t>hydrocarbon</w:t>
      </w:r>
      <w:r>
        <w:rPr>
          <w:spacing w:val="11"/>
        </w:rPr>
        <w:t> </w:t>
      </w:r>
      <w:r>
        <w:rPr/>
        <w:t>from</w:t>
      </w:r>
      <w:r>
        <w:rPr>
          <w:spacing w:val="17"/>
        </w:rPr>
        <w:t> </w:t>
      </w:r>
      <w:r>
        <w:rPr/>
        <w:t>the</w:t>
      </w:r>
      <w:r>
        <w:rPr>
          <w:spacing w:val="11"/>
        </w:rPr>
        <w:t> </w:t>
      </w:r>
      <w:r>
        <w:rPr/>
        <w:t>soil</w:t>
      </w:r>
      <w:r>
        <w:rPr>
          <w:spacing w:val="11"/>
        </w:rPr>
        <w:t> </w:t>
      </w:r>
      <w:r>
        <w:rPr/>
        <w:t>(Table</w:t>
      </w:r>
      <w:r>
        <w:rPr>
          <w:spacing w:val="11"/>
        </w:rPr>
        <w:t> </w:t>
      </w:r>
      <w:r>
        <w:rPr/>
        <w:t>4.5).</w:t>
      </w:r>
      <w:r>
        <w:rPr>
          <w:spacing w:val="12"/>
        </w:rPr>
        <w:t> </w:t>
      </w:r>
      <w:r>
        <w:rPr/>
        <w:t>Based</w:t>
      </w:r>
      <w:r>
        <w:rPr>
          <w:spacing w:val="13"/>
        </w:rPr>
        <w:t> </w:t>
      </w:r>
      <w:r>
        <w:rPr/>
        <w:t>on</w:t>
      </w:r>
      <w:r>
        <w:rPr>
          <w:spacing w:val="12"/>
        </w:rPr>
        <w:t> </w:t>
      </w:r>
      <w:r>
        <w:rPr>
          <w:spacing w:val="-5"/>
        </w:rPr>
        <w:t>the</w:t>
      </w:r>
    </w:p>
    <w:p>
      <w:pPr>
        <w:spacing w:after="0" w:line="480" w:lineRule="auto"/>
        <w:jc w:val="both"/>
        <w:sectPr>
          <w:pgSz w:w="11910" w:h="16840"/>
          <w:pgMar w:header="0" w:footer="1002" w:top="1320" w:bottom="1200" w:left="1500" w:right="1580"/>
        </w:sectPr>
      </w:pPr>
    </w:p>
    <w:p>
      <w:pPr>
        <w:pStyle w:val="BodyText"/>
        <w:spacing w:line="480" w:lineRule="auto" w:before="69"/>
        <w:ind w:left="202" w:right="113"/>
        <w:jc w:val="both"/>
      </w:pPr>
      <w:r>
        <w:rPr/>
        <w:t>evaluation</w:t>
      </w:r>
      <w:r>
        <w:rPr>
          <w:spacing w:val="-2"/>
        </w:rPr>
        <w:t> </w:t>
      </w:r>
      <w:r>
        <w:rPr/>
        <w:t>of</w:t>
      </w:r>
      <w:r>
        <w:rPr>
          <w:spacing w:val="-1"/>
        </w:rPr>
        <w:t> </w:t>
      </w:r>
      <w:r>
        <w:rPr/>
        <w:t>total</w:t>
      </w:r>
      <w:r>
        <w:rPr>
          <w:spacing w:val="-2"/>
        </w:rPr>
        <w:t> </w:t>
      </w:r>
      <w:r>
        <w:rPr/>
        <w:t>petroleum</w:t>
      </w:r>
      <w:r>
        <w:rPr>
          <w:spacing w:val="-2"/>
        </w:rPr>
        <w:t> </w:t>
      </w:r>
      <w:r>
        <w:rPr/>
        <w:t>hydrocarbon</w:t>
      </w:r>
      <w:r>
        <w:rPr>
          <w:spacing w:val="-1"/>
        </w:rPr>
        <w:t> </w:t>
      </w:r>
      <w:r>
        <w:rPr/>
        <w:t>(TPH)</w:t>
      </w:r>
      <w:r>
        <w:rPr>
          <w:spacing w:val="-2"/>
        </w:rPr>
        <w:t> </w:t>
      </w:r>
      <w:r>
        <w:rPr/>
        <w:t>of</w:t>
      </w:r>
      <w:r>
        <w:rPr>
          <w:spacing w:val="-2"/>
        </w:rPr>
        <w:t> </w:t>
      </w:r>
      <w:r>
        <w:rPr/>
        <w:t>the</w:t>
      </w:r>
      <w:r>
        <w:rPr>
          <w:spacing w:val="-2"/>
        </w:rPr>
        <w:t> </w:t>
      </w:r>
      <w:r>
        <w:rPr/>
        <w:t>contaminated</w:t>
      </w:r>
      <w:r>
        <w:rPr>
          <w:spacing w:val="-2"/>
        </w:rPr>
        <w:t> </w:t>
      </w:r>
      <w:r>
        <w:rPr/>
        <w:t>soil, 75 %</w:t>
      </w:r>
      <w:r>
        <w:rPr>
          <w:spacing w:val="-3"/>
        </w:rPr>
        <w:t> </w:t>
      </w:r>
      <w:r>
        <w:rPr/>
        <w:t>of</w:t>
      </w:r>
      <w:r>
        <w:rPr>
          <w:spacing w:val="-1"/>
        </w:rPr>
        <w:t> </w:t>
      </w:r>
      <w:r>
        <w:rPr/>
        <w:t>TPH in soil was removed when biosurfactant-iron oxide nanoparticles-biochar (1:1:1) were used at 100 mg each compared to other combination ratios used. This appears to be the first report that demonstrates an enhanced biodegradation of crude oil contaminated soil through the synergestic action of biochar, biosurfactant and iron oxide nanoparticles. Biochar-biosurfactant-iron oxide nanoparticles combination ratios at 200 mg</w:t>
      </w:r>
      <w:r>
        <w:rPr>
          <w:spacing w:val="-1"/>
        </w:rPr>
        <w:t> </w:t>
      </w:r>
      <w:r>
        <w:rPr/>
        <w:t>showed no considereable</w:t>
      </w:r>
      <w:r>
        <w:rPr>
          <w:spacing w:val="-5"/>
        </w:rPr>
        <w:t> </w:t>
      </w:r>
      <w:r>
        <w:rPr/>
        <w:t>difference</w:t>
      </w:r>
      <w:r>
        <w:rPr>
          <w:spacing w:val="-3"/>
        </w:rPr>
        <w:t> </w:t>
      </w:r>
      <w:r>
        <w:rPr/>
        <w:t>with</w:t>
      </w:r>
      <w:r>
        <w:rPr>
          <w:spacing w:val="-4"/>
        </w:rPr>
        <w:t> </w:t>
      </w:r>
      <w:r>
        <w:rPr/>
        <w:t>that</w:t>
      </w:r>
      <w:r>
        <w:rPr>
          <w:spacing w:val="-5"/>
        </w:rPr>
        <w:t> </w:t>
      </w:r>
      <w:r>
        <w:rPr/>
        <w:t>of</w:t>
      </w:r>
      <w:r>
        <w:rPr>
          <w:spacing w:val="-6"/>
        </w:rPr>
        <w:t> </w:t>
      </w:r>
      <w:r>
        <w:rPr/>
        <w:t>100</w:t>
      </w:r>
      <w:r>
        <w:rPr>
          <w:spacing w:val="-5"/>
        </w:rPr>
        <w:t> </w:t>
      </w:r>
      <w:r>
        <w:rPr/>
        <w:t>mg</w:t>
      </w:r>
      <w:r>
        <w:rPr>
          <w:spacing w:val="-4"/>
        </w:rPr>
        <w:t> </w:t>
      </w:r>
      <w:r>
        <w:rPr/>
        <w:t>concentration,</w:t>
      </w:r>
      <w:r>
        <w:rPr>
          <w:spacing w:val="-5"/>
        </w:rPr>
        <w:t> </w:t>
      </w:r>
      <w:r>
        <w:rPr/>
        <w:t>which</w:t>
      </w:r>
      <w:r>
        <w:rPr>
          <w:spacing w:val="-5"/>
        </w:rPr>
        <w:t> </w:t>
      </w:r>
      <w:r>
        <w:rPr/>
        <w:t>is</w:t>
      </w:r>
      <w:r>
        <w:rPr>
          <w:spacing w:val="-4"/>
        </w:rPr>
        <w:t> </w:t>
      </w:r>
      <w:r>
        <w:rPr/>
        <w:t>the</w:t>
      </w:r>
      <w:r>
        <w:rPr>
          <w:spacing w:val="-2"/>
        </w:rPr>
        <w:t> </w:t>
      </w:r>
      <w:r>
        <w:rPr/>
        <w:t>reason</w:t>
      </w:r>
      <w:r>
        <w:rPr>
          <w:spacing w:val="-5"/>
        </w:rPr>
        <w:t> </w:t>
      </w:r>
      <w:r>
        <w:rPr/>
        <w:t>why</w:t>
      </w:r>
      <w:r>
        <w:rPr>
          <w:spacing w:val="-10"/>
        </w:rPr>
        <w:t> </w:t>
      </w:r>
      <w:r>
        <w:rPr/>
        <w:t>100 mg concentration of 1:1:1 combination ratio was considered the best. Biochar has been reported</w:t>
      </w:r>
      <w:r>
        <w:rPr>
          <w:spacing w:val="-6"/>
        </w:rPr>
        <w:t> </w:t>
      </w:r>
      <w:r>
        <w:rPr/>
        <w:t>to</w:t>
      </w:r>
      <w:r>
        <w:rPr>
          <w:spacing w:val="-3"/>
        </w:rPr>
        <w:t> </w:t>
      </w:r>
      <w:r>
        <w:rPr/>
        <w:t>reduce</w:t>
      </w:r>
      <w:r>
        <w:rPr>
          <w:spacing w:val="-7"/>
        </w:rPr>
        <w:t> </w:t>
      </w:r>
      <w:r>
        <w:rPr/>
        <w:t>mobility</w:t>
      </w:r>
      <w:r>
        <w:rPr>
          <w:spacing w:val="-10"/>
        </w:rPr>
        <w:t> </w:t>
      </w:r>
      <w:r>
        <w:rPr/>
        <w:t>of</w:t>
      </w:r>
      <w:r>
        <w:rPr>
          <w:spacing w:val="-7"/>
        </w:rPr>
        <w:t> </w:t>
      </w:r>
      <w:r>
        <w:rPr/>
        <w:t>biosurfactants</w:t>
      </w:r>
      <w:r>
        <w:rPr>
          <w:spacing w:val="-5"/>
        </w:rPr>
        <w:t> </w:t>
      </w:r>
      <w:r>
        <w:rPr/>
        <w:t>in</w:t>
      </w:r>
      <w:r>
        <w:rPr>
          <w:spacing w:val="-5"/>
        </w:rPr>
        <w:t> </w:t>
      </w:r>
      <w:r>
        <w:rPr/>
        <w:t>soil</w:t>
      </w:r>
      <w:r>
        <w:rPr>
          <w:spacing w:val="-5"/>
        </w:rPr>
        <w:t> </w:t>
      </w:r>
      <w:r>
        <w:rPr/>
        <w:t>through</w:t>
      </w:r>
      <w:r>
        <w:rPr>
          <w:spacing w:val="-3"/>
        </w:rPr>
        <w:t> </w:t>
      </w:r>
      <w:r>
        <w:rPr/>
        <w:t>adsorption</w:t>
      </w:r>
      <w:r>
        <w:rPr>
          <w:spacing w:val="-5"/>
        </w:rPr>
        <w:t> </w:t>
      </w:r>
      <w:r>
        <w:rPr/>
        <w:t>(Vu </w:t>
      </w:r>
      <w:r>
        <w:rPr>
          <w:i/>
        </w:rPr>
        <w:t>et</w:t>
      </w:r>
      <w:r>
        <w:rPr>
          <w:i/>
          <w:spacing w:val="-5"/>
        </w:rPr>
        <w:t> </w:t>
      </w:r>
      <w:r>
        <w:rPr>
          <w:i/>
        </w:rPr>
        <w:t>al</w:t>
      </w:r>
      <w:r>
        <w:rPr/>
        <w:t>.,</w:t>
      </w:r>
      <w:r>
        <w:rPr>
          <w:spacing w:val="-6"/>
        </w:rPr>
        <w:t> </w:t>
      </w:r>
      <w:r>
        <w:rPr/>
        <w:t>2015). Slow</w:t>
      </w:r>
      <w:r>
        <w:rPr>
          <w:spacing w:val="-2"/>
        </w:rPr>
        <w:t> </w:t>
      </w:r>
      <w:r>
        <w:rPr/>
        <w:t>diffusion</w:t>
      </w:r>
      <w:r>
        <w:rPr>
          <w:spacing w:val="-2"/>
        </w:rPr>
        <w:t> </w:t>
      </w:r>
      <w:r>
        <w:rPr/>
        <w:t>of</w:t>
      </w:r>
      <w:r>
        <w:rPr>
          <w:spacing w:val="-2"/>
        </w:rPr>
        <w:t> </w:t>
      </w:r>
      <w:r>
        <w:rPr/>
        <w:t>the</w:t>
      </w:r>
      <w:r>
        <w:rPr>
          <w:spacing w:val="-4"/>
        </w:rPr>
        <w:t> </w:t>
      </w:r>
      <w:r>
        <w:rPr/>
        <w:t>biosurfactants and</w:t>
      </w:r>
      <w:r>
        <w:rPr>
          <w:spacing w:val="-2"/>
        </w:rPr>
        <w:t> </w:t>
      </w:r>
      <w:r>
        <w:rPr/>
        <w:t>iron</w:t>
      </w:r>
      <w:r>
        <w:rPr>
          <w:spacing w:val="-2"/>
        </w:rPr>
        <w:t> </w:t>
      </w:r>
      <w:r>
        <w:rPr/>
        <w:t>oxide</w:t>
      </w:r>
      <w:r>
        <w:rPr>
          <w:spacing w:val="-2"/>
        </w:rPr>
        <w:t> </w:t>
      </w:r>
      <w:r>
        <w:rPr/>
        <w:t>nanoparticles</w:t>
      </w:r>
      <w:r>
        <w:rPr>
          <w:spacing w:val="-2"/>
        </w:rPr>
        <w:t> </w:t>
      </w:r>
      <w:r>
        <w:rPr/>
        <w:t>into</w:t>
      </w:r>
      <w:r>
        <w:rPr>
          <w:spacing w:val="-2"/>
        </w:rPr>
        <w:t> </w:t>
      </w:r>
      <w:r>
        <w:rPr/>
        <w:t>the</w:t>
      </w:r>
      <w:r>
        <w:rPr>
          <w:spacing w:val="-2"/>
        </w:rPr>
        <w:t> </w:t>
      </w:r>
      <w:r>
        <w:rPr/>
        <w:t>soil</w:t>
      </w:r>
      <w:r>
        <w:rPr>
          <w:spacing w:val="-2"/>
        </w:rPr>
        <w:t> </w:t>
      </w:r>
      <w:r>
        <w:rPr/>
        <w:t>pore</w:t>
      </w:r>
      <w:r>
        <w:rPr>
          <w:spacing w:val="-4"/>
        </w:rPr>
        <w:t> </w:t>
      </w:r>
      <w:r>
        <w:rPr/>
        <w:t>water may</w:t>
      </w:r>
      <w:r>
        <w:rPr>
          <w:spacing w:val="-5"/>
        </w:rPr>
        <w:t> </w:t>
      </w:r>
      <w:r>
        <w:rPr/>
        <w:t>result in a</w:t>
      </w:r>
      <w:r>
        <w:rPr>
          <w:spacing w:val="-1"/>
        </w:rPr>
        <w:t> </w:t>
      </w:r>
      <w:r>
        <w:rPr/>
        <w:t>long</w:t>
      </w:r>
      <w:r>
        <w:rPr>
          <w:spacing w:val="-2"/>
        </w:rPr>
        <w:t> </w:t>
      </w:r>
      <w:r>
        <w:rPr/>
        <w:t>term but low concentration that negates</w:t>
      </w:r>
      <w:r>
        <w:rPr>
          <w:spacing w:val="-1"/>
        </w:rPr>
        <w:t> </w:t>
      </w:r>
      <w:r>
        <w:rPr/>
        <w:t>possible</w:t>
      </w:r>
      <w:r>
        <w:rPr>
          <w:spacing w:val="-1"/>
        </w:rPr>
        <w:t> </w:t>
      </w:r>
      <w:r>
        <w:rPr/>
        <w:t>effects observed in this</w:t>
      </w:r>
      <w:r>
        <w:rPr>
          <w:spacing w:val="-10"/>
        </w:rPr>
        <w:t> </w:t>
      </w:r>
      <w:r>
        <w:rPr/>
        <w:t>study.</w:t>
      </w:r>
      <w:r>
        <w:rPr>
          <w:spacing w:val="-11"/>
        </w:rPr>
        <w:t> </w:t>
      </w:r>
      <w:r>
        <w:rPr/>
        <w:t>Alternatively,</w:t>
      </w:r>
      <w:r>
        <w:rPr>
          <w:spacing w:val="-8"/>
        </w:rPr>
        <w:t> </w:t>
      </w:r>
      <w:r>
        <w:rPr/>
        <w:t>a</w:t>
      </w:r>
      <w:r>
        <w:rPr>
          <w:spacing w:val="-12"/>
        </w:rPr>
        <w:t> </w:t>
      </w:r>
      <w:r>
        <w:rPr/>
        <w:t>mechanism</w:t>
      </w:r>
      <w:r>
        <w:rPr>
          <w:spacing w:val="-10"/>
        </w:rPr>
        <w:t> </w:t>
      </w:r>
      <w:r>
        <w:rPr/>
        <w:t>of</w:t>
      </w:r>
      <w:r>
        <w:rPr>
          <w:spacing w:val="-11"/>
        </w:rPr>
        <w:t> </w:t>
      </w:r>
      <w:r>
        <w:rPr/>
        <w:t>oil</w:t>
      </w:r>
      <w:r>
        <w:rPr>
          <w:spacing w:val="-10"/>
        </w:rPr>
        <w:t> </w:t>
      </w:r>
      <w:r>
        <w:rPr/>
        <w:t>mobilization</w:t>
      </w:r>
      <w:r>
        <w:rPr>
          <w:spacing w:val="-11"/>
        </w:rPr>
        <w:t> </w:t>
      </w:r>
      <w:r>
        <w:rPr/>
        <w:t>and</w:t>
      </w:r>
      <w:r>
        <w:rPr>
          <w:spacing w:val="-11"/>
        </w:rPr>
        <w:t> </w:t>
      </w:r>
      <w:r>
        <w:rPr/>
        <w:t>adsorption</w:t>
      </w:r>
      <w:r>
        <w:rPr>
          <w:spacing w:val="-10"/>
        </w:rPr>
        <w:t> </w:t>
      </w:r>
      <w:r>
        <w:rPr/>
        <w:t>from</w:t>
      </w:r>
      <w:r>
        <w:rPr>
          <w:spacing w:val="-10"/>
        </w:rPr>
        <w:t> </w:t>
      </w:r>
      <w:r>
        <w:rPr/>
        <w:t>the</w:t>
      </w:r>
      <w:r>
        <w:rPr>
          <w:spacing w:val="-11"/>
        </w:rPr>
        <w:t> </w:t>
      </w:r>
      <w:r>
        <w:rPr/>
        <w:t>soil</w:t>
      </w:r>
      <w:r>
        <w:rPr>
          <w:spacing w:val="-10"/>
        </w:rPr>
        <w:t> </w:t>
      </w:r>
      <w:r>
        <w:rPr/>
        <w:t>on the</w:t>
      </w:r>
      <w:r>
        <w:rPr>
          <w:spacing w:val="-8"/>
        </w:rPr>
        <w:t> </w:t>
      </w:r>
      <w:r>
        <w:rPr/>
        <w:t>surface</w:t>
      </w:r>
      <w:r>
        <w:rPr>
          <w:spacing w:val="-6"/>
        </w:rPr>
        <w:t> </w:t>
      </w:r>
      <w:r>
        <w:rPr/>
        <w:t>of</w:t>
      </w:r>
      <w:r>
        <w:rPr>
          <w:spacing w:val="-8"/>
        </w:rPr>
        <w:t> </w:t>
      </w:r>
      <w:r>
        <w:rPr/>
        <w:t>the</w:t>
      </w:r>
      <w:r>
        <w:rPr>
          <w:spacing w:val="-6"/>
        </w:rPr>
        <w:t> </w:t>
      </w:r>
      <w:r>
        <w:rPr/>
        <w:t>biochar</w:t>
      </w:r>
      <w:r>
        <w:rPr>
          <w:spacing w:val="-6"/>
        </w:rPr>
        <w:t> </w:t>
      </w:r>
      <w:r>
        <w:rPr/>
        <w:t>may</w:t>
      </w:r>
      <w:r>
        <w:rPr>
          <w:spacing w:val="-10"/>
        </w:rPr>
        <w:t> </w:t>
      </w:r>
      <w:r>
        <w:rPr/>
        <w:t>have</w:t>
      </w:r>
      <w:r>
        <w:rPr>
          <w:spacing w:val="-8"/>
        </w:rPr>
        <w:t> </w:t>
      </w:r>
      <w:r>
        <w:rPr/>
        <w:t>occured,</w:t>
      </w:r>
      <w:r>
        <w:rPr>
          <w:spacing w:val="-5"/>
        </w:rPr>
        <w:t> </w:t>
      </w:r>
      <w:r>
        <w:rPr/>
        <w:t>which</w:t>
      </w:r>
      <w:r>
        <w:rPr>
          <w:spacing w:val="-7"/>
        </w:rPr>
        <w:t> </w:t>
      </w:r>
      <w:r>
        <w:rPr/>
        <w:t>result</w:t>
      </w:r>
      <w:r>
        <w:rPr>
          <w:spacing w:val="-6"/>
        </w:rPr>
        <w:t> </w:t>
      </w:r>
      <w:r>
        <w:rPr/>
        <w:t>in</w:t>
      </w:r>
      <w:r>
        <w:rPr>
          <w:spacing w:val="-7"/>
        </w:rPr>
        <w:t> </w:t>
      </w:r>
      <w:r>
        <w:rPr/>
        <w:t>enhanced</w:t>
      </w:r>
      <w:r>
        <w:rPr>
          <w:spacing w:val="-5"/>
        </w:rPr>
        <w:t> </w:t>
      </w:r>
      <w:r>
        <w:rPr/>
        <w:t>biodegradation</w:t>
      </w:r>
      <w:r>
        <w:rPr>
          <w:spacing w:val="-7"/>
        </w:rPr>
        <w:t> </w:t>
      </w:r>
      <w:r>
        <w:rPr/>
        <w:t>by microbes and nanoparticles.</w:t>
      </w:r>
    </w:p>
    <w:p>
      <w:pPr>
        <w:spacing w:line="480" w:lineRule="auto" w:before="201"/>
        <w:ind w:left="202" w:right="116" w:firstLine="0"/>
        <w:jc w:val="both"/>
        <w:rPr>
          <w:sz w:val="24"/>
        </w:rPr>
      </w:pPr>
      <w:r>
        <w:rPr>
          <w:sz w:val="24"/>
        </w:rPr>
        <w:t>The</w:t>
      </w:r>
      <w:r>
        <w:rPr>
          <w:spacing w:val="-8"/>
          <w:sz w:val="24"/>
        </w:rPr>
        <w:t> </w:t>
      </w:r>
      <w:r>
        <w:rPr>
          <w:sz w:val="24"/>
        </w:rPr>
        <w:t>bacterial</w:t>
      </w:r>
      <w:r>
        <w:rPr>
          <w:spacing w:val="-5"/>
          <w:sz w:val="24"/>
        </w:rPr>
        <w:t> </w:t>
      </w:r>
      <w:r>
        <w:rPr>
          <w:sz w:val="24"/>
        </w:rPr>
        <w:t>and</w:t>
      </w:r>
      <w:r>
        <w:rPr>
          <w:spacing w:val="-5"/>
          <w:sz w:val="24"/>
        </w:rPr>
        <w:t> </w:t>
      </w:r>
      <w:r>
        <w:rPr>
          <w:sz w:val="24"/>
        </w:rPr>
        <w:t>fungal</w:t>
      </w:r>
      <w:r>
        <w:rPr>
          <w:spacing w:val="-4"/>
          <w:sz w:val="24"/>
        </w:rPr>
        <w:t> </w:t>
      </w:r>
      <w:r>
        <w:rPr>
          <w:sz w:val="24"/>
        </w:rPr>
        <w:t>counts</w:t>
      </w:r>
      <w:r>
        <w:rPr>
          <w:spacing w:val="-7"/>
          <w:sz w:val="24"/>
        </w:rPr>
        <w:t> </w:t>
      </w:r>
      <w:r>
        <w:rPr>
          <w:sz w:val="24"/>
        </w:rPr>
        <w:t>for</w:t>
      </w:r>
      <w:r>
        <w:rPr>
          <w:spacing w:val="-7"/>
          <w:sz w:val="24"/>
        </w:rPr>
        <w:t> </w:t>
      </w:r>
      <w:r>
        <w:rPr>
          <w:sz w:val="24"/>
        </w:rPr>
        <w:t>the</w:t>
      </w:r>
      <w:r>
        <w:rPr>
          <w:spacing w:val="-8"/>
          <w:sz w:val="24"/>
        </w:rPr>
        <w:t> </w:t>
      </w:r>
      <w:r>
        <w:rPr>
          <w:sz w:val="24"/>
        </w:rPr>
        <w:t>polluted</w:t>
      </w:r>
      <w:r>
        <w:rPr>
          <w:spacing w:val="-5"/>
          <w:sz w:val="24"/>
        </w:rPr>
        <w:t> </w:t>
      </w:r>
      <w:r>
        <w:rPr>
          <w:sz w:val="24"/>
        </w:rPr>
        <w:t>and</w:t>
      </w:r>
      <w:r>
        <w:rPr>
          <w:spacing w:val="-7"/>
          <w:sz w:val="24"/>
        </w:rPr>
        <w:t> </w:t>
      </w:r>
      <w:r>
        <w:rPr>
          <w:sz w:val="24"/>
        </w:rPr>
        <w:t>unpolluted</w:t>
      </w:r>
      <w:r>
        <w:rPr>
          <w:spacing w:val="-8"/>
          <w:sz w:val="24"/>
        </w:rPr>
        <w:t> </w:t>
      </w:r>
      <w:r>
        <w:rPr>
          <w:sz w:val="24"/>
        </w:rPr>
        <w:t>soil</w:t>
      </w:r>
      <w:r>
        <w:rPr>
          <w:spacing w:val="-6"/>
          <w:sz w:val="24"/>
        </w:rPr>
        <w:t> </w:t>
      </w:r>
      <w:r>
        <w:rPr>
          <w:sz w:val="24"/>
        </w:rPr>
        <w:t>reported</w:t>
      </w:r>
      <w:r>
        <w:rPr>
          <w:spacing w:val="-7"/>
          <w:sz w:val="24"/>
        </w:rPr>
        <w:t> </w:t>
      </w:r>
      <w:r>
        <w:rPr>
          <w:sz w:val="24"/>
        </w:rPr>
        <w:t>in</w:t>
      </w:r>
      <w:r>
        <w:rPr>
          <w:spacing w:val="-7"/>
          <w:sz w:val="24"/>
        </w:rPr>
        <w:t> </w:t>
      </w:r>
      <w:r>
        <w:rPr>
          <w:sz w:val="24"/>
        </w:rPr>
        <w:t>this</w:t>
      </w:r>
      <w:r>
        <w:rPr>
          <w:spacing w:val="-7"/>
          <w:sz w:val="24"/>
        </w:rPr>
        <w:t> </w:t>
      </w:r>
      <w:r>
        <w:rPr>
          <w:sz w:val="24"/>
        </w:rPr>
        <w:t>study indicated that indeginous hydrocarbon metabolizing microorganisms are present in the soil sample though, these microbes were not identified (Thapa </w:t>
      </w:r>
      <w:r>
        <w:rPr>
          <w:i/>
          <w:sz w:val="24"/>
        </w:rPr>
        <w:t>et al., </w:t>
      </w:r>
      <w:r>
        <w:rPr>
          <w:sz w:val="24"/>
        </w:rPr>
        <w:t>2012).</w:t>
      </w:r>
      <w:r>
        <w:rPr>
          <w:spacing w:val="40"/>
          <w:sz w:val="24"/>
        </w:rPr>
        <w:t> </w:t>
      </w:r>
      <w:r>
        <w:rPr>
          <w:sz w:val="24"/>
        </w:rPr>
        <w:t>However, previous studies have revealed that </w:t>
      </w:r>
      <w:r>
        <w:rPr>
          <w:i/>
          <w:sz w:val="24"/>
        </w:rPr>
        <w:t>Bacillus, Pseudomonas</w:t>
      </w:r>
      <w:r>
        <w:rPr>
          <w:sz w:val="24"/>
        </w:rPr>
        <w:t>, </w:t>
      </w:r>
      <w:r>
        <w:rPr>
          <w:i/>
          <w:sz w:val="24"/>
        </w:rPr>
        <w:t>Streptococcus, Nocardia, Flavobacterium,</w:t>
      </w:r>
      <w:r>
        <w:rPr>
          <w:i/>
          <w:spacing w:val="-15"/>
          <w:sz w:val="24"/>
        </w:rPr>
        <w:t> </w:t>
      </w:r>
      <w:r>
        <w:rPr>
          <w:i/>
          <w:sz w:val="24"/>
        </w:rPr>
        <w:t>Staphylococcus,</w:t>
      </w:r>
      <w:r>
        <w:rPr>
          <w:i/>
          <w:spacing w:val="-15"/>
          <w:sz w:val="24"/>
        </w:rPr>
        <w:t> </w:t>
      </w:r>
      <w:r>
        <w:rPr>
          <w:i/>
          <w:sz w:val="24"/>
        </w:rPr>
        <w:t>Acinetobacter,</w:t>
      </w:r>
      <w:r>
        <w:rPr>
          <w:i/>
          <w:spacing w:val="-15"/>
          <w:sz w:val="24"/>
        </w:rPr>
        <w:t> </w:t>
      </w:r>
      <w:r>
        <w:rPr>
          <w:i/>
          <w:sz w:val="24"/>
        </w:rPr>
        <w:t>Micrococcus,</w:t>
      </w:r>
      <w:r>
        <w:rPr>
          <w:i/>
          <w:spacing w:val="-15"/>
          <w:sz w:val="24"/>
        </w:rPr>
        <w:t> </w:t>
      </w:r>
      <w:r>
        <w:rPr>
          <w:i/>
          <w:sz w:val="24"/>
        </w:rPr>
        <w:t>Fusarium</w:t>
      </w:r>
      <w:r>
        <w:rPr>
          <w:i/>
          <w:spacing w:val="-15"/>
          <w:sz w:val="24"/>
        </w:rPr>
        <w:t> </w:t>
      </w:r>
      <w:r>
        <w:rPr>
          <w:sz w:val="24"/>
        </w:rPr>
        <w:t>and</w:t>
      </w:r>
      <w:r>
        <w:rPr>
          <w:spacing w:val="-15"/>
          <w:sz w:val="24"/>
        </w:rPr>
        <w:t> </w:t>
      </w:r>
      <w:r>
        <w:rPr>
          <w:i/>
          <w:sz w:val="24"/>
        </w:rPr>
        <w:t>Aspergillus </w:t>
      </w:r>
      <w:r>
        <w:rPr>
          <w:sz w:val="24"/>
        </w:rPr>
        <w:t>are the main organisms that metabolize hydrocarbon in polluted environment (Okerentugba and Ezeronye, 2003; Das and Mukherjee 2007; Okafor </w:t>
      </w:r>
      <w:r>
        <w:rPr>
          <w:i/>
          <w:sz w:val="24"/>
        </w:rPr>
        <w:t>et al</w:t>
      </w:r>
      <w:r>
        <w:rPr>
          <w:sz w:val="24"/>
        </w:rPr>
        <w:t>., 2016).</w:t>
      </w:r>
    </w:p>
    <w:p>
      <w:pPr>
        <w:pStyle w:val="BodyText"/>
        <w:spacing w:line="480" w:lineRule="auto" w:before="203"/>
        <w:ind w:left="202" w:right="116"/>
        <w:jc w:val="both"/>
      </w:pPr>
      <w:r>
        <w:rPr/>
        <w:t>The</w:t>
      </w:r>
      <w:r>
        <w:rPr>
          <w:spacing w:val="-15"/>
        </w:rPr>
        <w:t> </w:t>
      </w:r>
      <w:r>
        <w:rPr/>
        <w:t>initial</w:t>
      </w:r>
      <w:r>
        <w:rPr>
          <w:spacing w:val="-15"/>
        </w:rPr>
        <w:t> </w:t>
      </w:r>
      <w:r>
        <w:rPr/>
        <w:t>decrease</w:t>
      </w:r>
      <w:r>
        <w:rPr>
          <w:spacing w:val="-15"/>
        </w:rPr>
        <w:t> </w:t>
      </w:r>
      <w:r>
        <w:rPr/>
        <w:t>in</w:t>
      </w:r>
      <w:r>
        <w:rPr>
          <w:spacing w:val="-15"/>
        </w:rPr>
        <w:t> </w:t>
      </w:r>
      <w:r>
        <w:rPr/>
        <w:t>the</w:t>
      </w:r>
      <w:r>
        <w:rPr>
          <w:spacing w:val="-15"/>
        </w:rPr>
        <w:t> </w:t>
      </w:r>
      <w:r>
        <w:rPr/>
        <w:t>bacterial</w:t>
      </w:r>
      <w:r>
        <w:rPr>
          <w:spacing w:val="-15"/>
        </w:rPr>
        <w:t> </w:t>
      </w:r>
      <w:r>
        <w:rPr/>
        <w:t>count</w:t>
      </w:r>
      <w:r>
        <w:rPr>
          <w:spacing w:val="-15"/>
        </w:rPr>
        <w:t> </w:t>
      </w:r>
      <w:r>
        <w:rPr/>
        <w:t>(4.2</w:t>
      </w:r>
      <w:r>
        <w:rPr>
          <w:spacing w:val="-15"/>
        </w:rPr>
        <w:t> </w:t>
      </w:r>
      <w:r>
        <w:rPr/>
        <w:t>x</w:t>
      </w:r>
      <w:r>
        <w:rPr>
          <w:spacing w:val="-15"/>
        </w:rPr>
        <w:t> </w:t>
      </w:r>
      <w:r>
        <w:rPr/>
        <w:t>10</w:t>
      </w:r>
      <w:r>
        <w:rPr>
          <w:vertAlign w:val="superscript"/>
        </w:rPr>
        <w:t>5</w:t>
      </w:r>
      <w:r>
        <w:rPr>
          <w:spacing w:val="-15"/>
          <w:vertAlign w:val="baseline"/>
        </w:rPr>
        <w:t> </w:t>
      </w:r>
      <w:r>
        <w:rPr>
          <w:vertAlign w:val="baseline"/>
        </w:rPr>
        <w:t>CFU/g</w:t>
      </w:r>
      <w:r>
        <w:rPr>
          <w:spacing w:val="-15"/>
          <w:vertAlign w:val="baseline"/>
        </w:rPr>
        <w:t> </w:t>
      </w:r>
      <w:r>
        <w:rPr>
          <w:vertAlign w:val="baseline"/>
        </w:rPr>
        <w:t>to</w:t>
      </w:r>
      <w:r>
        <w:rPr>
          <w:spacing w:val="-13"/>
          <w:vertAlign w:val="baseline"/>
        </w:rPr>
        <w:t> </w:t>
      </w:r>
      <w:r>
        <w:rPr>
          <w:vertAlign w:val="baseline"/>
        </w:rPr>
        <w:t>1.6</w:t>
      </w:r>
      <w:r>
        <w:rPr>
          <w:spacing w:val="-13"/>
          <w:vertAlign w:val="baseline"/>
        </w:rPr>
        <w:t> </w:t>
      </w:r>
      <w:r>
        <w:rPr>
          <w:vertAlign w:val="baseline"/>
        </w:rPr>
        <w:t>x</w:t>
      </w:r>
      <w:r>
        <w:rPr>
          <w:spacing w:val="-11"/>
          <w:vertAlign w:val="baseline"/>
        </w:rPr>
        <w:t> </w:t>
      </w:r>
      <w:r>
        <w:rPr>
          <w:vertAlign w:val="baseline"/>
        </w:rPr>
        <w:t>10</w:t>
      </w:r>
      <w:r>
        <w:rPr>
          <w:vertAlign w:val="superscript"/>
        </w:rPr>
        <w:t>5</w:t>
      </w:r>
      <w:r>
        <w:rPr>
          <w:spacing w:val="-15"/>
          <w:vertAlign w:val="baseline"/>
        </w:rPr>
        <w:t> </w:t>
      </w:r>
      <w:r>
        <w:rPr>
          <w:vertAlign w:val="baseline"/>
        </w:rPr>
        <w:t>CFU/g)</w:t>
      </w:r>
      <w:r>
        <w:rPr>
          <w:spacing w:val="-14"/>
          <w:vertAlign w:val="baseline"/>
        </w:rPr>
        <w:t> </w:t>
      </w:r>
      <w:r>
        <w:rPr>
          <w:vertAlign w:val="baseline"/>
        </w:rPr>
        <w:t>and</w:t>
      </w:r>
      <w:r>
        <w:rPr>
          <w:spacing w:val="-13"/>
          <w:vertAlign w:val="baseline"/>
        </w:rPr>
        <w:t> </w:t>
      </w:r>
      <w:r>
        <w:rPr>
          <w:vertAlign w:val="baseline"/>
        </w:rPr>
        <w:t>fungal count (8.0 x 10</w:t>
      </w:r>
      <w:r>
        <w:rPr>
          <w:vertAlign w:val="superscript"/>
        </w:rPr>
        <w:t>4</w:t>
      </w:r>
      <w:r>
        <w:rPr>
          <w:vertAlign w:val="baseline"/>
        </w:rPr>
        <w:t> CFU/g to 3.0 x 10</w:t>
      </w:r>
      <w:r>
        <w:rPr>
          <w:vertAlign w:val="superscript"/>
        </w:rPr>
        <w:t>4</w:t>
      </w:r>
      <w:r>
        <w:rPr>
          <w:vertAlign w:val="baseline"/>
        </w:rPr>
        <w:t> CFU/g) observed</w:t>
      </w:r>
      <w:r>
        <w:rPr>
          <w:vertAlign w:val="baseline"/>
        </w:rPr>
        <w:t> in</w:t>
      </w:r>
      <w:r>
        <w:rPr>
          <w:vertAlign w:val="baseline"/>
        </w:rPr>
        <w:t> the</w:t>
      </w:r>
      <w:r>
        <w:rPr>
          <w:vertAlign w:val="baseline"/>
        </w:rPr>
        <w:t> soil after it has been contaminated</w:t>
      </w:r>
      <w:r>
        <w:rPr>
          <w:spacing w:val="-3"/>
          <w:vertAlign w:val="baseline"/>
        </w:rPr>
        <w:t> </w:t>
      </w:r>
      <w:r>
        <w:rPr>
          <w:vertAlign w:val="baseline"/>
        </w:rPr>
        <w:t>with</w:t>
      </w:r>
      <w:r>
        <w:rPr>
          <w:spacing w:val="-3"/>
          <w:vertAlign w:val="baseline"/>
        </w:rPr>
        <w:t> </w:t>
      </w:r>
      <w:r>
        <w:rPr>
          <w:vertAlign w:val="baseline"/>
        </w:rPr>
        <w:t>crude</w:t>
      </w:r>
      <w:r>
        <w:rPr>
          <w:spacing w:val="-2"/>
          <w:vertAlign w:val="baseline"/>
        </w:rPr>
        <w:t> </w:t>
      </w:r>
      <w:r>
        <w:rPr>
          <w:vertAlign w:val="baseline"/>
        </w:rPr>
        <w:t>oil</w:t>
      </w:r>
      <w:r>
        <w:rPr>
          <w:spacing w:val="-1"/>
          <w:vertAlign w:val="baseline"/>
        </w:rPr>
        <w:t> </w:t>
      </w:r>
      <w:r>
        <w:rPr>
          <w:vertAlign w:val="baseline"/>
        </w:rPr>
        <w:t>could</w:t>
      </w:r>
      <w:r>
        <w:rPr>
          <w:spacing w:val="-3"/>
          <w:vertAlign w:val="baseline"/>
        </w:rPr>
        <w:t> </w:t>
      </w:r>
      <w:r>
        <w:rPr>
          <w:vertAlign w:val="baseline"/>
        </w:rPr>
        <w:t>be</w:t>
      </w:r>
      <w:r>
        <w:rPr>
          <w:spacing w:val="-3"/>
          <w:vertAlign w:val="baseline"/>
        </w:rPr>
        <w:t> </w:t>
      </w:r>
      <w:r>
        <w:rPr>
          <w:vertAlign w:val="baseline"/>
        </w:rPr>
        <w:t>as</w:t>
      </w:r>
      <w:r>
        <w:rPr>
          <w:spacing w:val="-3"/>
          <w:vertAlign w:val="baseline"/>
        </w:rPr>
        <w:t> </w:t>
      </w:r>
      <w:r>
        <w:rPr>
          <w:vertAlign w:val="baseline"/>
        </w:rPr>
        <w:t>a</w:t>
      </w:r>
      <w:r>
        <w:rPr>
          <w:spacing w:val="-4"/>
          <w:vertAlign w:val="baseline"/>
        </w:rPr>
        <w:t> </w:t>
      </w:r>
      <w:r>
        <w:rPr>
          <w:vertAlign w:val="baseline"/>
        </w:rPr>
        <w:t>result</w:t>
      </w:r>
      <w:r>
        <w:rPr>
          <w:spacing w:val="-3"/>
          <w:vertAlign w:val="baseline"/>
        </w:rPr>
        <w:t> </w:t>
      </w:r>
      <w:r>
        <w:rPr>
          <w:vertAlign w:val="baseline"/>
        </w:rPr>
        <w:t>of</w:t>
      </w:r>
      <w:r>
        <w:rPr>
          <w:spacing w:val="-7"/>
          <w:vertAlign w:val="baseline"/>
        </w:rPr>
        <w:t> </w:t>
      </w:r>
      <w:r>
        <w:rPr>
          <w:vertAlign w:val="baseline"/>
        </w:rPr>
        <w:t>the</w:t>
      </w:r>
      <w:r>
        <w:rPr>
          <w:spacing w:val="-3"/>
          <w:vertAlign w:val="baseline"/>
        </w:rPr>
        <w:t> </w:t>
      </w:r>
      <w:r>
        <w:rPr>
          <w:vertAlign w:val="baseline"/>
        </w:rPr>
        <w:t>adaptation</w:t>
      </w:r>
      <w:r>
        <w:rPr>
          <w:spacing w:val="-3"/>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organisms</w:t>
      </w:r>
      <w:r>
        <w:rPr>
          <w:spacing w:val="-3"/>
          <w:vertAlign w:val="baseline"/>
        </w:rPr>
        <w:t> </w:t>
      </w:r>
      <w:r>
        <w:rPr>
          <w:vertAlign w:val="baseline"/>
        </w:rPr>
        <w:t>to</w:t>
      </w:r>
      <w:r>
        <w:rPr>
          <w:spacing w:val="-3"/>
          <w:vertAlign w:val="baseline"/>
        </w:rPr>
        <w:t> </w:t>
      </w:r>
      <w:r>
        <w:rPr>
          <w:vertAlign w:val="baseline"/>
        </w:rPr>
        <w:t>the polluted</w:t>
      </w:r>
      <w:r>
        <w:rPr>
          <w:spacing w:val="-15"/>
          <w:vertAlign w:val="baseline"/>
        </w:rPr>
        <w:t> </w:t>
      </w:r>
      <w:r>
        <w:rPr>
          <w:vertAlign w:val="baseline"/>
        </w:rPr>
        <w:t>soil.</w:t>
      </w:r>
      <w:r>
        <w:rPr>
          <w:spacing w:val="-15"/>
          <w:vertAlign w:val="baseline"/>
        </w:rPr>
        <w:t> </w:t>
      </w:r>
      <w:r>
        <w:rPr>
          <w:vertAlign w:val="baseline"/>
        </w:rPr>
        <w:t>Reports</w:t>
      </w:r>
      <w:r>
        <w:rPr>
          <w:spacing w:val="-15"/>
          <w:vertAlign w:val="baseline"/>
        </w:rPr>
        <w:t> </w:t>
      </w:r>
      <w:r>
        <w:rPr>
          <w:vertAlign w:val="baseline"/>
        </w:rPr>
        <w:t>have</w:t>
      </w:r>
      <w:r>
        <w:rPr>
          <w:spacing w:val="-15"/>
          <w:vertAlign w:val="baseline"/>
        </w:rPr>
        <w:t> </w:t>
      </w:r>
      <w:r>
        <w:rPr>
          <w:vertAlign w:val="baseline"/>
        </w:rPr>
        <w:t>shown</w:t>
      </w:r>
      <w:r>
        <w:rPr>
          <w:spacing w:val="-15"/>
          <w:vertAlign w:val="baseline"/>
        </w:rPr>
        <w:t> </w:t>
      </w:r>
      <w:r>
        <w:rPr>
          <w:vertAlign w:val="baseline"/>
        </w:rPr>
        <w:t>that</w:t>
      </w:r>
      <w:r>
        <w:rPr>
          <w:spacing w:val="-15"/>
          <w:vertAlign w:val="baseline"/>
        </w:rPr>
        <w:t> </w:t>
      </w:r>
      <w:r>
        <w:rPr>
          <w:vertAlign w:val="baseline"/>
        </w:rPr>
        <w:t>many</w:t>
      </w:r>
      <w:r>
        <w:rPr>
          <w:spacing w:val="-20"/>
          <w:vertAlign w:val="baseline"/>
        </w:rPr>
        <w:t> </w:t>
      </w:r>
      <w:r>
        <w:rPr>
          <w:vertAlign w:val="baseline"/>
        </w:rPr>
        <w:t>microorganisms</w:t>
      </w:r>
      <w:r>
        <w:rPr>
          <w:spacing w:val="-14"/>
          <w:vertAlign w:val="baseline"/>
        </w:rPr>
        <w:t> </w:t>
      </w:r>
      <w:r>
        <w:rPr>
          <w:vertAlign w:val="baseline"/>
        </w:rPr>
        <w:t>are</w:t>
      </w:r>
      <w:r>
        <w:rPr>
          <w:spacing w:val="-15"/>
          <w:vertAlign w:val="baseline"/>
        </w:rPr>
        <w:t> </w:t>
      </w:r>
      <w:r>
        <w:rPr>
          <w:vertAlign w:val="baseline"/>
        </w:rPr>
        <w:t>unable</w:t>
      </w:r>
      <w:r>
        <w:rPr>
          <w:spacing w:val="-14"/>
          <w:vertAlign w:val="baseline"/>
        </w:rPr>
        <w:t> </w:t>
      </w:r>
      <w:r>
        <w:rPr>
          <w:vertAlign w:val="baseline"/>
        </w:rPr>
        <w:t>to</w:t>
      </w:r>
      <w:r>
        <w:rPr>
          <w:spacing w:val="-14"/>
          <w:vertAlign w:val="baseline"/>
        </w:rPr>
        <w:t> </w:t>
      </w:r>
      <w:r>
        <w:rPr>
          <w:vertAlign w:val="baseline"/>
        </w:rPr>
        <w:t>withstand</w:t>
      </w:r>
      <w:r>
        <w:rPr>
          <w:spacing w:val="-14"/>
          <w:vertAlign w:val="baseline"/>
        </w:rPr>
        <w:t> </w:t>
      </w:r>
      <w:r>
        <w:rPr>
          <w:spacing w:val="-4"/>
          <w:vertAlign w:val="baseline"/>
        </w:rPr>
        <w:t>high</w:t>
      </w:r>
    </w:p>
    <w:p>
      <w:pPr>
        <w:spacing w:after="0" w:line="480" w:lineRule="auto"/>
        <w:jc w:val="both"/>
        <w:sectPr>
          <w:pgSz w:w="11910" w:h="16840"/>
          <w:pgMar w:header="0" w:footer="1002" w:top="1320" w:bottom="1200" w:left="1500" w:right="1580"/>
        </w:sectPr>
      </w:pPr>
    </w:p>
    <w:p>
      <w:pPr>
        <w:pStyle w:val="BodyText"/>
        <w:spacing w:line="480" w:lineRule="auto" w:before="69"/>
        <w:ind w:left="202" w:right="117"/>
        <w:jc w:val="both"/>
      </w:pPr>
      <w:r>
        <w:rPr/>
        <w:t>level of oil contamination in the soil and the number of organisms that survive might be insufficient</w:t>
      </w:r>
      <w:r>
        <w:rPr>
          <w:spacing w:val="-1"/>
        </w:rPr>
        <w:t> </w:t>
      </w:r>
      <w:r>
        <w:rPr/>
        <w:t>to</w:t>
      </w:r>
      <w:r>
        <w:rPr>
          <w:spacing w:val="-1"/>
        </w:rPr>
        <w:t> </w:t>
      </w:r>
      <w:r>
        <w:rPr/>
        <w:t>begin</w:t>
      </w:r>
      <w:r>
        <w:rPr>
          <w:spacing w:val="-1"/>
        </w:rPr>
        <w:t> </w:t>
      </w:r>
      <w:r>
        <w:rPr/>
        <w:t>appropriate</w:t>
      </w:r>
      <w:r>
        <w:rPr>
          <w:spacing w:val="-2"/>
        </w:rPr>
        <w:t> </w:t>
      </w:r>
      <w:r>
        <w:rPr/>
        <w:t>degradation</w:t>
      </w:r>
      <w:r>
        <w:rPr>
          <w:spacing w:val="-1"/>
        </w:rPr>
        <w:t> </w:t>
      </w:r>
      <w:r>
        <w:rPr/>
        <w:t>of</w:t>
      </w:r>
      <w:r>
        <w:rPr>
          <w:spacing w:val="-2"/>
        </w:rPr>
        <w:t> </w:t>
      </w:r>
      <w:r>
        <w:rPr/>
        <w:t>the</w:t>
      </w:r>
      <w:r>
        <w:rPr>
          <w:spacing w:val="-2"/>
        </w:rPr>
        <w:t> </w:t>
      </w:r>
      <w:r>
        <w:rPr/>
        <w:t>crude</w:t>
      </w:r>
      <w:r>
        <w:rPr>
          <w:spacing w:val="-2"/>
        </w:rPr>
        <w:t> </w:t>
      </w:r>
      <w:r>
        <w:rPr/>
        <w:t>oil</w:t>
      </w:r>
      <w:r>
        <w:rPr>
          <w:spacing w:val="-1"/>
        </w:rPr>
        <w:t> </w:t>
      </w:r>
      <w:r>
        <w:rPr/>
        <w:t>present</w:t>
      </w:r>
      <w:r>
        <w:rPr>
          <w:spacing w:val="-1"/>
        </w:rPr>
        <w:t> </w:t>
      </w:r>
      <w:r>
        <w:rPr/>
        <w:t>in</w:t>
      </w:r>
      <w:r>
        <w:rPr>
          <w:spacing w:val="-1"/>
        </w:rPr>
        <w:t> </w:t>
      </w:r>
      <w:r>
        <w:rPr/>
        <w:t>the soil (Stephen </w:t>
      </w:r>
      <w:r>
        <w:rPr>
          <w:i/>
        </w:rPr>
        <w:t>et al., </w:t>
      </w:r>
      <w:r>
        <w:rPr/>
        <w:t>2013</w:t>
      </w:r>
      <w:r>
        <w:rPr>
          <w:i/>
        </w:rPr>
        <w:t>; </w:t>
      </w:r>
      <w:r>
        <w:rPr/>
        <w:t>Nwogu </w:t>
      </w:r>
      <w:r>
        <w:rPr>
          <w:i/>
        </w:rPr>
        <w:t>et al</w:t>
      </w:r>
      <w:r>
        <w:rPr/>
        <w:t>., 2015).</w:t>
      </w:r>
      <w:r>
        <w:rPr>
          <w:spacing w:val="40"/>
        </w:rPr>
        <w:t> </w:t>
      </w:r>
      <w:r>
        <w:rPr/>
        <w:t>Therefore, the metabolic activities and growth of hydrocarbon metabolizing microorganisms have to be enhanced by supplying nutrients needed for</w:t>
      </w:r>
      <w:r>
        <w:rPr>
          <w:spacing w:val="-3"/>
        </w:rPr>
        <w:t> </w:t>
      </w:r>
      <w:r>
        <w:rPr/>
        <w:t>optimum</w:t>
      </w:r>
      <w:r>
        <w:rPr>
          <w:spacing w:val="-1"/>
        </w:rPr>
        <w:t> </w:t>
      </w:r>
      <w:r>
        <w:rPr/>
        <w:t>metabolism</w:t>
      </w:r>
      <w:r>
        <w:rPr>
          <w:spacing w:val="-1"/>
        </w:rPr>
        <w:t> </w:t>
      </w:r>
      <w:r>
        <w:rPr/>
        <w:t>and</w:t>
      </w:r>
      <w:r>
        <w:rPr>
          <w:spacing w:val="-1"/>
        </w:rPr>
        <w:t> </w:t>
      </w:r>
      <w:r>
        <w:rPr/>
        <w:t>development,</w:t>
      </w:r>
      <w:r>
        <w:rPr>
          <w:spacing w:val="-1"/>
        </w:rPr>
        <w:t> </w:t>
      </w:r>
      <w:r>
        <w:rPr/>
        <w:t>which</w:t>
      </w:r>
      <w:r>
        <w:rPr>
          <w:spacing w:val="-1"/>
        </w:rPr>
        <w:t> </w:t>
      </w:r>
      <w:r>
        <w:rPr/>
        <w:t>are</w:t>
      </w:r>
      <w:r>
        <w:rPr>
          <w:spacing w:val="-1"/>
        </w:rPr>
        <w:t> </w:t>
      </w:r>
      <w:r>
        <w:rPr/>
        <w:t>provided</w:t>
      </w:r>
      <w:r>
        <w:rPr>
          <w:spacing w:val="-1"/>
        </w:rPr>
        <w:t> </w:t>
      </w:r>
      <w:r>
        <w:rPr/>
        <w:t>by</w:t>
      </w:r>
      <w:r>
        <w:rPr>
          <w:spacing w:val="-4"/>
        </w:rPr>
        <w:t> </w:t>
      </w:r>
      <w:r>
        <w:rPr/>
        <w:t>biosurfactant, iron oxide nanoparticles and biochars.</w:t>
      </w:r>
    </w:p>
    <w:p>
      <w:pPr>
        <w:pStyle w:val="BodyText"/>
        <w:spacing w:line="480" w:lineRule="auto" w:before="203"/>
        <w:ind w:left="202" w:right="113"/>
        <w:jc w:val="both"/>
      </w:pPr>
      <w:r>
        <w:rPr/>
        <w:t>An initial increase in total bacterial population from week 1 to week 3 was observed for all the treated soil samples except for the untreated control, which showed a progressive increase</w:t>
      </w:r>
      <w:r>
        <w:rPr>
          <w:spacing w:val="-6"/>
        </w:rPr>
        <w:t> </w:t>
      </w:r>
      <w:r>
        <w:rPr/>
        <w:t>in</w:t>
      </w:r>
      <w:r>
        <w:rPr>
          <w:spacing w:val="-4"/>
        </w:rPr>
        <w:t> </w:t>
      </w:r>
      <w:r>
        <w:rPr/>
        <w:t>bacterial</w:t>
      </w:r>
      <w:r>
        <w:rPr>
          <w:spacing w:val="-2"/>
        </w:rPr>
        <w:t> </w:t>
      </w:r>
      <w:r>
        <w:rPr/>
        <w:t>growth</w:t>
      </w:r>
      <w:r>
        <w:rPr>
          <w:spacing w:val="-5"/>
        </w:rPr>
        <w:t> </w:t>
      </w:r>
      <w:r>
        <w:rPr/>
        <w:t>up</w:t>
      </w:r>
      <w:r>
        <w:rPr>
          <w:spacing w:val="-5"/>
        </w:rPr>
        <w:t> </w:t>
      </w:r>
      <w:r>
        <w:rPr/>
        <w:t>till</w:t>
      </w:r>
      <w:r>
        <w:rPr>
          <w:spacing w:val="-4"/>
        </w:rPr>
        <w:t> </w:t>
      </w:r>
      <w:r>
        <w:rPr/>
        <w:t>week</w:t>
      </w:r>
      <w:r>
        <w:rPr>
          <w:spacing w:val="-3"/>
        </w:rPr>
        <w:t> </w:t>
      </w:r>
      <w:r>
        <w:rPr/>
        <w:t>5.</w:t>
      </w:r>
      <w:r>
        <w:rPr>
          <w:spacing w:val="-3"/>
        </w:rPr>
        <w:t> </w:t>
      </w:r>
      <w:r>
        <w:rPr/>
        <w:t>The</w:t>
      </w:r>
      <w:r>
        <w:rPr>
          <w:spacing w:val="-6"/>
        </w:rPr>
        <w:t> </w:t>
      </w:r>
      <w:r>
        <w:rPr/>
        <w:t>total</w:t>
      </w:r>
      <w:r>
        <w:rPr>
          <w:spacing w:val="-5"/>
        </w:rPr>
        <w:t> </w:t>
      </w:r>
      <w:r>
        <w:rPr/>
        <w:t>bacterial</w:t>
      </w:r>
      <w:r>
        <w:rPr>
          <w:spacing w:val="-4"/>
        </w:rPr>
        <w:t> </w:t>
      </w:r>
      <w:r>
        <w:rPr/>
        <w:t>population</w:t>
      </w:r>
      <w:r>
        <w:rPr>
          <w:spacing w:val="-2"/>
        </w:rPr>
        <w:t> </w:t>
      </w:r>
      <w:r>
        <w:rPr/>
        <w:t>peaked</w:t>
      </w:r>
      <w:r>
        <w:rPr>
          <w:spacing w:val="-3"/>
        </w:rPr>
        <w:t> </w:t>
      </w:r>
      <w:r>
        <w:rPr/>
        <w:t>at</w:t>
      </w:r>
      <w:r>
        <w:rPr>
          <w:spacing w:val="-4"/>
        </w:rPr>
        <w:t> </w:t>
      </w:r>
      <w:r>
        <w:rPr/>
        <w:t>week 3 when the soil sample was amended with BS/NP/BC (1:1:1) at 100 mg and declined afterwards</w:t>
      </w:r>
      <w:r>
        <w:rPr>
          <w:spacing w:val="-8"/>
        </w:rPr>
        <w:t> </w:t>
      </w:r>
      <w:r>
        <w:rPr/>
        <w:t>(Table</w:t>
      </w:r>
      <w:r>
        <w:rPr>
          <w:spacing w:val="-8"/>
        </w:rPr>
        <w:t> </w:t>
      </w:r>
      <w:r>
        <w:rPr/>
        <w:t>4.3)</w:t>
      </w:r>
      <w:r>
        <w:rPr>
          <w:spacing w:val="-8"/>
        </w:rPr>
        <w:t> </w:t>
      </w:r>
      <w:r>
        <w:rPr/>
        <w:t>and</w:t>
      </w:r>
      <w:r>
        <w:rPr>
          <w:spacing w:val="-10"/>
        </w:rPr>
        <w:t> </w:t>
      </w:r>
      <w:r>
        <w:rPr/>
        <w:t>the</w:t>
      </w:r>
      <w:r>
        <w:rPr>
          <w:spacing w:val="-10"/>
        </w:rPr>
        <w:t> </w:t>
      </w:r>
      <w:r>
        <w:rPr/>
        <w:t>same</w:t>
      </w:r>
      <w:r>
        <w:rPr>
          <w:spacing w:val="-11"/>
        </w:rPr>
        <w:t> </w:t>
      </w:r>
      <w:r>
        <w:rPr/>
        <w:t>was</w:t>
      </w:r>
      <w:r>
        <w:rPr>
          <w:spacing w:val="-9"/>
        </w:rPr>
        <w:t> </w:t>
      </w:r>
      <w:r>
        <w:rPr/>
        <w:t>observed</w:t>
      </w:r>
      <w:r>
        <w:rPr>
          <w:spacing w:val="-7"/>
        </w:rPr>
        <w:t> </w:t>
      </w:r>
      <w:r>
        <w:rPr/>
        <w:t>for</w:t>
      </w:r>
      <w:r>
        <w:rPr>
          <w:spacing w:val="-11"/>
        </w:rPr>
        <w:t> </w:t>
      </w:r>
      <w:r>
        <w:rPr/>
        <w:t>total</w:t>
      </w:r>
      <w:r>
        <w:rPr>
          <w:spacing w:val="-7"/>
        </w:rPr>
        <w:t> </w:t>
      </w:r>
      <w:r>
        <w:rPr/>
        <w:t>fungal</w:t>
      </w:r>
      <w:r>
        <w:rPr>
          <w:spacing w:val="-9"/>
        </w:rPr>
        <w:t> </w:t>
      </w:r>
      <w:r>
        <w:rPr/>
        <w:t>population</w:t>
      </w:r>
      <w:r>
        <w:rPr>
          <w:spacing w:val="-10"/>
        </w:rPr>
        <w:t> </w:t>
      </w:r>
      <w:r>
        <w:rPr/>
        <w:t>(Table</w:t>
      </w:r>
      <w:r>
        <w:rPr>
          <w:spacing w:val="-8"/>
        </w:rPr>
        <w:t> </w:t>
      </w:r>
      <w:r>
        <w:rPr/>
        <w:t>4.4). This reduction could be supported by Rittman (1990) who is of the opinion that, in the presence of limited crude oil, the hydrocarbon degrading microbes stop replicating very fast and finally return to the population before the contamination occurred. The progressive increase in the number of fungi in the control sample could result from the continued availability of crude oil substrate, which serves as carbon source for growth and reproduction. Okoh (2006) reported that bioremediation efficiency is a function of the adequate microbial biomass and their enrichment and maintenance in the environment. The decrease in total petroleum hydrocarbons may be as a result of improved biostimulation</w:t>
      </w:r>
      <w:r>
        <w:rPr>
          <w:spacing w:val="-1"/>
        </w:rPr>
        <w:t> </w:t>
      </w:r>
      <w:r>
        <w:rPr/>
        <w:t>of</w:t>
      </w:r>
      <w:r>
        <w:rPr>
          <w:spacing w:val="-2"/>
        </w:rPr>
        <w:t> </w:t>
      </w:r>
      <w:r>
        <w:rPr/>
        <w:t>the</w:t>
      </w:r>
      <w:r>
        <w:rPr>
          <w:spacing w:val="-2"/>
        </w:rPr>
        <w:t> </w:t>
      </w:r>
      <w:r>
        <w:rPr/>
        <w:t>indigenous</w:t>
      </w:r>
      <w:r>
        <w:rPr>
          <w:spacing w:val="-1"/>
        </w:rPr>
        <w:t> </w:t>
      </w:r>
      <w:r>
        <w:rPr/>
        <w:t>microorganisms</w:t>
      </w:r>
      <w:r>
        <w:rPr>
          <w:spacing w:val="-1"/>
        </w:rPr>
        <w:t> </w:t>
      </w:r>
      <w:r>
        <w:rPr/>
        <w:t>in</w:t>
      </w:r>
      <w:r>
        <w:rPr>
          <w:spacing w:val="-1"/>
        </w:rPr>
        <w:t> </w:t>
      </w:r>
      <w:r>
        <w:rPr/>
        <w:t>the</w:t>
      </w:r>
      <w:r>
        <w:rPr>
          <w:spacing w:val="-2"/>
        </w:rPr>
        <w:t> </w:t>
      </w:r>
      <w:r>
        <w:rPr/>
        <w:t>soil,</w:t>
      </w:r>
      <w:r>
        <w:rPr>
          <w:spacing w:val="-1"/>
        </w:rPr>
        <w:t> </w:t>
      </w:r>
      <w:r>
        <w:rPr/>
        <w:t>which eventually favored indigenous bacterial growth in the soil.</w:t>
      </w:r>
    </w:p>
    <w:p>
      <w:pPr>
        <w:pStyle w:val="BodyText"/>
        <w:spacing w:line="480" w:lineRule="auto" w:before="201"/>
        <w:ind w:left="202" w:right="117"/>
        <w:jc w:val="both"/>
      </w:pPr>
      <w:r>
        <w:rPr/>
        <w:t>The addition of remediating agents (Phan </w:t>
      </w:r>
      <w:r>
        <w:rPr>
          <w:i/>
        </w:rPr>
        <w:t>et al</w:t>
      </w:r>
      <w:r>
        <w:rPr/>
        <w:t>., 2013) and availability of conducive environment like sufficient soil moisture, pH 6 to 8, and good aeration (Brown </w:t>
      </w:r>
      <w:r>
        <w:rPr>
          <w:i/>
        </w:rPr>
        <w:t>et al</w:t>
      </w:r>
      <w:r>
        <w:rPr/>
        <w:t>., 2017) had significant effect on the growth of hydrocarbon metabolizing microbes in the soil.</w:t>
      </w:r>
      <w:r>
        <w:rPr>
          <w:spacing w:val="43"/>
        </w:rPr>
        <w:t> </w:t>
      </w:r>
      <w:r>
        <w:rPr/>
        <w:t>Therefore,</w:t>
      </w:r>
      <w:r>
        <w:rPr>
          <w:spacing w:val="51"/>
        </w:rPr>
        <w:t> </w:t>
      </w:r>
      <w:r>
        <w:rPr/>
        <w:t>it</w:t>
      </w:r>
      <w:r>
        <w:rPr>
          <w:spacing w:val="49"/>
        </w:rPr>
        <w:t> </w:t>
      </w:r>
      <w:r>
        <w:rPr/>
        <w:t>could</w:t>
      </w:r>
      <w:r>
        <w:rPr>
          <w:spacing w:val="51"/>
        </w:rPr>
        <w:t> </w:t>
      </w:r>
      <w:r>
        <w:rPr/>
        <w:t>be</w:t>
      </w:r>
      <w:r>
        <w:rPr>
          <w:spacing w:val="48"/>
        </w:rPr>
        <w:t> </w:t>
      </w:r>
      <w:r>
        <w:rPr/>
        <w:t>inferred</w:t>
      </w:r>
      <w:r>
        <w:rPr>
          <w:spacing w:val="48"/>
        </w:rPr>
        <w:t> </w:t>
      </w:r>
      <w:r>
        <w:rPr/>
        <w:t>that</w:t>
      </w:r>
      <w:r>
        <w:rPr>
          <w:spacing w:val="51"/>
        </w:rPr>
        <w:t> </w:t>
      </w:r>
      <w:r>
        <w:rPr/>
        <w:t>biosurfactant,</w:t>
      </w:r>
      <w:r>
        <w:rPr>
          <w:spacing w:val="51"/>
        </w:rPr>
        <w:t> </w:t>
      </w:r>
      <w:r>
        <w:rPr/>
        <w:t>iron</w:t>
      </w:r>
      <w:r>
        <w:rPr>
          <w:spacing w:val="49"/>
        </w:rPr>
        <w:t> </w:t>
      </w:r>
      <w:r>
        <w:rPr/>
        <w:t>oxide</w:t>
      </w:r>
      <w:r>
        <w:rPr>
          <w:spacing w:val="48"/>
        </w:rPr>
        <w:t> </w:t>
      </w:r>
      <w:r>
        <w:rPr/>
        <w:t>nanoparticles</w:t>
      </w:r>
      <w:r>
        <w:rPr>
          <w:spacing w:val="51"/>
        </w:rPr>
        <w:t> </w:t>
      </w:r>
      <w:r>
        <w:rPr>
          <w:spacing w:val="-5"/>
        </w:rPr>
        <w:t>and</w:t>
      </w:r>
    </w:p>
    <w:p>
      <w:pPr>
        <w:spacing w:after="0" w:line="480" w:lineRule="auto"/>
        <w:jc w:val="both"/>
        <w:sectPr>
          <w:pgSz w:w="11910" w:h="16840"/>
          <w:pgMar w:header="0" w:footer="1002" w:top="1320" w:bottom="1200" w:left="1500" w:right="1580"/>
        </w:sectPr>
      </w:pPr>
    </w:p>
    <w:p>
      <w:pPr>
        <w:pStyle w:val="BodyText"/>
        <w:spacing w:line="480" w:lineRule="auto" w:before="69"/>
        <w:ind w:left="202" w:right="117"/>
        <w:jc w:val="both"/>
      </w:pPr>
      <w:r>
        <w:rPr>
          <w:spacing w:val="-2"/>
        </w:rPr>
        <w:t>biochar</w:t>
      </w:r>
      <w:r>
        <w:rPr>
          <w:spacing w:val="-6"/>
        </w:rPr>
        <w:t> </w:t>
      </w:r>
      <w:r>
        <w:rPr>
          <w:spacing w:val="-2"/>
        </w:rPr>
        <w:t>may</w:t>
      </w:r>
      <w:r>
        <w:rPr>
          <w:spacing w:val="-11"/>
        </w:rPr>
        <w:t> </w:t>
      </w:r>
      <w:r>
        <w:rPr>
          <w:spacing w:val="-2"/>
        </w:rPr>
        <w:t>be</w:t>
      </w:r>
      <w:r>
        <w:rPr>
          <w:spacing w:val="-3"/>
        </w:rPr>
        <w:t> </w:t>
      </w:r>
      <w:r>
        <w:rPr>
          <w:spacing w:val="-2"/>
        </w:rPr>
        <w:t>effective, cheap and</w:t>
      </w:r>
      <w:r>
        <w:rPr>
          <w:spacing w:val="-5"/>
        </w:rPr>
        <w:t> </w:t>
      </w:r>
      <w:r>
        <w:rPr>
          <w:spacing w:val="-2"/>
        </w:rPr>
        <w:t>eco-friendly</w:t>
      </w:r>
      <w:r>
        <w:rPr>
          <w:spacing w:val="-11"/>
        </w:rPr>
        <w:t> </w:t>
      </w:r>
      <w:r>
        <w:rPr>
          <w:spacing w:val="-2"/>
        </w:rPr>
        <w:t>agents</w:t>
      </w:r>
      <w:r>
        <w:rPr>
          <w:spacing w:val="-3"/>
        </w:rPr>
        <w:t> </w:t>
      </w:r>
      <w:r>
        <w:rPr>
          <w:spacing w:val="-2"/>
        </w:rPr>
        <w:t>to</w:t>
      </w:r>
      <w:r>
        <w:rPr>
          <w:spacing w:val="-5"/>
        </w:rPr>
        <w:t> </w:t>
      </w:r>
      <w:r>
        <w:rPr>
          <w:spacing w:val="-2"/>
        </w:rPr>
        <w:t>bioremediate</w:t>
      </w:r>
      <w:r>
        <w:rPr>
          <w:spacing w:val="-6"/>
        </w:rPr>
        <w:t> </w:t>
      </w:r>
      <w:r>
        <w:rPr>
          <w:spacing w:val="-2"/>
        </w:rPr>
        <w:t>crude</w:t>
      </w:r>
      <w:r>
        <w:rPr>
          <w:spacing w:val="-6"/>
        </w:rPr>
        <w:t> </w:t>
      </w:r>
      <w:r>
        <w:rPr>
          <w:spacing w:val="-2"/>
        </w:rPr>
        <w:t>oil</w:t>
      </w:r>
      <w:r>
        <w:rPr>
          <w:spacing w:val="-3"/>
        </w:rPr>
        <w:t> </w:t>
      </w:r>
      <w:r>
        <w:rPr>
          <w:spacing w:val="-2"/>
        </w:rPr>
        <w:t>polluted </w:t>
      </w:r>
      <w:r>
        <w:rPr/>
        <w:t>soil. The extraordinary sorption affinity of biochar enables it to act as an important binding phase for several hydrocarbon pollutants in the environment. It also has a long lasting effect on the soil (</w:t>
      </w:r>
      <w:hyperlink r:id="rId10">
        <w:r>
          <w:rPr/>
          <w:t>Kavitha</w:t>
        </w:r>
      </w:hyperlink>
      <w:r>
        <w:rPr>
          <w:i/>
        </w:rPr>
        <w:t>et al., </w:t>
      </w:r>
      <w:r>
        <w:rPr/>
        <w:t>2018).</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6"/>
        </w:rPr>
      </w:pPr>
    </w:p>
    <w:p>
      <w:pPr>
        <w:pStyle w:val="Heading1"/>
        <w:ind w:right="121"/>
      </w:pPr>
      <w:r>
        <w:rPr/>
        <w:t>CHAPTER</w:t>
      </w:r>
      <w:r>
        <w:rPr>
          <w:spacing w:val="-12"/>
        </w:rPr>
        <w:t> </w:t>
      </w:r>
      <w:r>
        <w:rPr>
          <w:spacing w:val="-4"/>
        </w:rPr>
        <w:t>FIVE</w:t>
      </w:r>
    </w:p>
    <w:p>
      <w:pPr>
        <w:pStyle w:val="BodyText"/>
        <w:rPr>
          <w:b/>
        </w:rPr>
      </w:pPr>
    </w:p>
    <w:p>
      <w:pPr>
        <w:pStyle w:val="ListParagraph"/>
        <w:numPr>
          <w:ilvl w:val="1"/>
          <w:numId w:val="6"/>
        </w:numPr>
        <w:tabs>
          <w:tab w:pos="921" w:val="left" w:leader="none"/>
          <w:tab w:pos="922" w:val="left" w:leader="none"/>
        </w:tabs>
        <w:spacing w:line="240" w:lineRule="auto" w:before="0" w:after="0"/>
        <w:ind w:left="922" w:right="0" w:hanging="720"/>
        <w:jc w:val="left"/>
        <w:rPr>
          <w:b/>
          <w:sz w:val="24"/>
        </w:rPr>
      </w:pPr>
      <w:r>
        <w:rPr>
          <w:b/>
          <w:sz w:val="24"/>
        </w:rPr>
        <w:t>CONCLUSION</w:t>
      </w:r>
      <w:r>
        <w:rPr>
          <w:b/>
          <w:spacing w:val="-12"/>
          <w:sz w:val="24"/>
        </w:rPr>
        <w:t> </w:t>
      </w:r>
      <w:r>
        <w:rPr>
          <w:b/>
          <w:sz w:val="24"/>
        </w:rPr>
        <w:t>AND</w:t>
      </w:r>
      <w:r>
        <w:rPr>
          <w:b/>
          <w:spacing w:val="-11"/>
          <w:sz w:val="24"/>
        </w:rPr>
        <w:t> </w:t>
      </w:r>
      <w:r>
        <w:rPr>
          <w:b/>
          <w:spacing w:val="-2"/>
          <w:sz w:val="24"/>
        </w:rPr>
        <w:t>RECOMMENDATIONS</w:t>
      </w:r>
    </w:p>
    <w:p>
      <w:pPr>
        <w:pStyle w:val="BodyText"/>
        <w:rPr>
          <w:b/>
        </w:rPr>
      </w:pPr>
    </w:p>
    <w:p>
      <w:pPr>
        <w:pStyle w:val="Heading2"/>
        <w:numPr>
          <w:ilvl w:val="1"/>
          <w:numId w:val="6"/>
        </w:numPr>
        <w:tabs>
          <w:tab w:pos="504" w:val="left" w:leader="none"/>
        </w:tabs>
        <w:spacing w:line="240" w:lineRule="auto" w:before="0" w:after="0"/>
        <w:ind w:left="503" w:right="0" w:hanging="302"/>
        <w:jc w:val="both"/>
      </w:pPr>
      <w:r>
        <w:rPr/>
        <w:t>: </w:t>
      </w:r>
      <w:r>
        <w:rPr>
          <w:spacing w:val="-2"/>
        </w:rPr>
        <w:t>Conclusion</w:t>
      </w:r>
    </w:p>
    <w:p>
      <w:pPr>
        <w:spacing w:after="0" w:line="240" w:lineRule="auto"/>
        <w:jc w:val="both"/>
        <w:sectPr>
          <w:pgSz w:w="11910" w:h="16840"/>
          <w:pgMar w:header="0" w:footer="1002" w:top="1320" w:bottom="1200" w:left="1500" w:right="1580"/>
        </w:sectPr>
      </w:pPr>
    </w:p>
    <w:p>
      <w:pPr>
        <w:pStyle w:val="BodyText"/>
        <w:spacing w:line="482" w:lineRule="auto" w:before="69"/>
        <w:ind w:left="202" w:right="118"/>
        <w:jc w:val="both"/>
      </w:pPr>
      <w:r>
        <w:rPr>
          <w:i/>
        </w:rPr>
        <w:t>Alcaligenes</w:t>
      </w:r>
      <w:r>
        <w:rPr>
          <w:i/>
          <w:spacing w:val="-11"/>
        </w:rPr>
        <w:t> </w:t>
      </w:r>
      <w:r>
        <w:rPr>
          <w:i/>
        </w:rPr>
        <w:t>faecalis</w:t>
      </w:r>
      <w:r>
        <w:rPr>
          <w:i/>
          <w:spacing w:val="-11"/>
        </w:rPr>
        <w:t> </w:t>
      </w:r>
      <w:r>
        <w:rPr/>
        <w:t>ADY25</w:t>
      </w:r>
      <w:r>
        <w:rPr>
          <w:spacing w:val="-11"/>
        </w:rPr>
        <w:t> </w:t>
      </w:r>
      <w:r>
        <w:rPr/>
        <w:t>is</w:t>
      </w:r>
      <w:r>
        <w:rPr>
          <w:spacing w:val="-11"/>
        </w:rPr>
        <w:t> </w:t>
      </w:r>
      <w:r>
        <w:rPr/>
        <w:t>capable</w:t>
      </w:r>
      <w:r>
        <w:rPr>
          <w:spacing w:val="-12"/>
        </w:rPr>
        <w:t> </w:t>
      </w:r>
      <w:r>
        <w:rPr/>
        <w:t>of</w:t>
      </w:r>
      <w:r>
        <w:rPr>
          <w:spacing w:val="-12"/>
        </w:rPr>
        <w:t> </w:t>
      </w:r>
      <w:r>
        <w:rPr/>
        <w:t>producing</w:t>
      </w:r>
      <w:r>
        <w:rPr>
          <w:spacing w:val="-13"/>
        </w:rPr>
        <w:t> </w:t>
      </w:r>
      <w:r>
        <w:rPr/>
        <w:t>lipoprotein</w:t>
      </w:r>
      <w:r>
        <w:rPr>
          <w:spacing w:val="-12"/>
        </w:rPr>
        <w:t> </w:t>
      </w:r>
      <w:r>
        <w:rPr/>
        <w:t>biosurfactants.</w:t>
      </w:r>
      <w:r>
        <w:rPr>
          <w:spacing w:val="-11"/>
        </w:rPr>
        <w:t> </w:t>
      </w:r>
      <w:r>
        <w:rPr/>
        <w:t>Corn</w:t>
      </w:r>
      <w:r>
        <w:rPr>
          <w:spacing w:val="-12"/>
        </w:rPr>
        <w:t> </w:t>
      </w:r>
      <w:r>
        <w:rPr/>
        <w:t>silk and plantain trunk could be regarded as biological means of synthesing iron oxide naoparticles and biochar respectively.</w:t>
      </w:r>
    </w:p>
    <w:p>
      <w:pPr>
        <w:pStyle w:val="BodyText"/>
        <w:spacing w:line="480" w:lineRule="auto" w:before="194"/>
        <w:ind w:left="202" w:right="117"/>
        <w:jc w:val="both"/>
      </w:pPr>
      <w:r>
        <w:rPr/>
        <w:t>This</w:t>
      </w:r>
      <w:r>
        <w:rPr/>
        <w:t> work</w:t>
      </w:r>
      <w:r>
        <w:rPr/>
        <w:t> has demonstrated that Biochar-Biosurfactant-Iron oxide nanoparticles treatment</w:t>
      </w:r>
      <w:r>
        <w:rPr>
          <w:spacing w:val="-15"/>
        </w:rPr>
        <w:t> </w:t>
      </w:r>
      <w:r>
        <w:rPr/>
        <w:t>is</w:t>
      </w:r>
      <w:r>
        <w:rPr>
          <w:spacing w:val="-15"/>
        </w:rPr>
        <w:t> </w:t>
      </w:r>
      <w:r>
        <w:rPr/>
        <w:t>an</w:t>
      </w:r>
      <w:r>
        <w:rPr>
          <w:spacing w:val="-15"/>
        </w:rPr>
        <w:t> </w:t>
      </w:r>
      <w:r>
        <w:rPr/>
        <w:t>efficient</w:t>
      </w:r>
      <w:r>
        <w:rPr>
          <w:spacing w:val="-15"/>
        </w:rPr>
        <w:t> </w:t>
      </w:r>
      <w:r>
        <w:rPr/>
        <w:t>treatment</w:t>
      </w:r>
      <w:r>
        <w:rPr>
          <w:spacing w:val="-15"/>
        </w:rPr>
        <w:t> </w:t>
      </w:r>
      <w:r>
        <w:rPr/>
        <w:t>method</w:t>
      </w:r>
      <w:r>
        <w:rPr>
          <w:spacing w:val="-15"/>
        </w:rPr>
        <w:t> </w:t>
      </w:r>
      <w:r>
        <w:rPr/>
        <w:t>for</w:t>
      </w:r>
      <w:r>
        <w:rPr>
          <w:spacing w:val="-15"/>
        </w:rPr>
        <w:t> </w:t>
      </w:r>
      <w:r>
        <w:rPr/>
        <w:t>crude</w:t>
      </w:r>
      <w:r>
        <w:rPr>
          <w:spacing w:val="-15"/>
        </w:rPr>
        <w:t> </w:t>
      </w:r>
      <w:r>
        <w:rPr/>
        <w:t>oil</w:t>
      </w:r>
      <w:r>
        <w:rPr>
          <w:spacing w:val="-15"/>
        </w:rPr>
        <w:t> </w:t>
      </w:r>
      <w:r>
        <w:rPr/>
        <w:t>polluted</w:t>
      </w:r>
      <w:r>
        <w:rPr>
          <w:spacing w:val="-15"/>
        </w:rPr>
        <w:t> </w:t>
      </w:r>
      <w:r>
        <w:rPr/>
        <w:t>soil.</w:t>
      </w:r>
      <w:r>
        <w:rPr>
          <w:spacing w:val="-15"/>
        </w:rPr>
        <w:t> </w:t>
      </w:r>
      <w:r>
        <w:rPr/>
        <w:t>Assessment</w:t>
      </w:r>
      <w:r>
        <w:rPr>
          <w:spacing w:val="-14"/>
        </w:rPr>
        <w:t> </w:t>
      </w:r>
      <w:r>
        <w:rPr/>
        <w:t>of</w:t>
      </w:r>
      <w:r>
        <w:rPr>
          <w:spacing w:val="-15"/>
        </w:rPr>
        <w:t> </w:t>
      </w:r>
      <w:r>
        <w:rPr/>
        <w:t>single and combined formulations showed that the combined formulations have higher percentage of degradation while 100 mg of Biosurfactant-Ironoxide nanoparticles- Biochar</w:t>
      </w:r>
      <w:r>
        <w:rPr/>
        <w:t> (1:1:1)</w:t>
      </w:r>
      <w:r>
        <w:rPr/>
        <w:t> formulation</w:t>
      </w:r>
      <w:r>
        <w:rPr/>
        <w:t> gave</w:t>
      </w:r>
      <w:r>
        <w:rPr/>
        <w:t> the</w:t>
      </w:r>
      <w:r>
        <w:rPr/>
        <w:t> best result. This research discovered that bioremediation</w:t>
      </w:r>
      <w:r>
        <w:rPr>
          <w:spacing w:val="-1"/>
        </w:rPr>
        <w:t> </w:t>
      </w:r>
      <w:r>
        <w:rPr/>
        <w:t>of</w:t>
      </w:r>
      <w:r>
        <w:rPr>
          <w:spacing w:val="-2"/>
        </w:rPr>
        <w:t> </w:t>
      </w:r>
      <w:r>
        <w:rPr/>
        <w:t>crude oil</w:t>
      </w:r>
      <w:r>
        <w:rPr>
          <w:spacing w:val="-1"/>
        </w:rPr>
        <w:t> </w:t>
      </w:r>
      <w:r>
        <w:rPr/>
        <w:t>contaminated</w:t>
      </w:r>
      <w:r>
        <w:rPr>
          <w:spacing w:val="-1"/>
        </w:rPr>
        <w:t> </w:t>
      </w:r>
      <w:r>
        <w:rPr/>
        <w:t>soil can</w:t>
      </w:r>
      <w:r>
        <w:rPr>
          <w:spacing w:val="-1"/>
        </w:rPr>
        <w:t> </w:t>
      </w:r>
      <w:r>
        <w:rPr/>
        <w:t>best</w:t>
      </w:r>
      <w:r>
        <w:rPr>
          <w:spacing w:val="-1"/>
        </w:rPr>
        <w:t> </w:t>
      </w:r>
      <w:r>
        <w:rPr/>
        <w:t>be</w:t>
      </w:r>
      <w:r>
        <w:rPr>
          <w:spacing w:val="-2"/>
        </w:rPr>
        <w:t> </w:t>
      </w:r>
      <w:r>
        <w:rPr/>
        <w:t>performed</w:t>
      </w:r>
      <w:r>
        <w:rPr>
          <w:spacing w:val="-1"/>
        </w:rPr>
        <w:t> </w:t>
      </w:r>
      <w:r>
        <w:rPr/>
        <w:t>by</w:t>
      </w:r>
      <w:r>
        <w:rPr>
          <w:spacing w:val="-5"/>
        </w:rPr>
        <w:t> </w:t>
      </w:r>
      <w:r>
        <w:rPr/>
        <w:t>the</w:t>
      </w:r>
      <w:r>
        <w:rPr>
          <w:spacing w:val="-2"/>
        </w:rPr>
        <w:t> </w:t>
      </w:r>
      <w:r>
        <w:rPr/>
        <w:t>combination of biosurfactants, iron oxide nanoparticles and biochar when other conditions that enhance biodegradation are maintained.</w:t>
      </w:r>
    </w:p>
    <w:p>
      <w:pPr>
        <w:pStyle w:val="Heading2"/>
        <w:numPr>
          <w:ilvl w:val="1"/>
          <w:numId w:val="6"/>
        </w:numPr>
        <w:tabs>
          <w:tab w:pos="504" w:val="left" w:leader="none"/>
        </w:tabs>
        <w:spacing w:line="240" w:lineRule="auto" w:before="205" w:after="0"/>
        <w:ind w:left="503" w:right="0" w:hanging="302"/>
        <w:jc w:val="both"/>
      </w:pPr>
      <w:r>
        <w:rPr/>
        <w:t>:</w:t>
      </w:r>
      <w:r>
        <w:rPr>
          <w:spacing w:val="80"/>
          <w:w w:val="150"/>
        </w:rPr>
        <w:t>  </w:t>
      </w:r>
      <w:r>
        <w:rPr>
          <w:spacing w:val="-2"/>
        </w:rPr>
        <w:t>Recommendations</w:t>
      </w:r>
    </w:p>
    <w:p>
      <w:pPr>
        <w:pStyle w:val="BodyText"/>
        <w:spacing w:before="7"/>
        <w:rPr>
          <w:b/>
          <w:sz w:val="23"/>
        </w:rPr>
      </w:pPr>
    </w:p>
    <w:p>
      <w:pPr>
        <w:pStyle w:val="BodyText"/>
        <w:spacing w:line="480" w:lineRule="auto"/>
        <w:ind w:left="202"/>
      </w:pPr>
      <w:r>
        <w:rPr/>
        <w:t>Field</w:t>
      </w:r>
      <w:r>
        <w:rPr>
          <w:spacing w:val="-15"/>
        </w:rPr>
        <w:t> </w:t>
      </w:r>
      <w:r>
        <w:rPr/>
        <w:t>application</w:t>
      </w:r>
      <w:r>
        <w:rPr>
          <w:spacing w:val="-15"/>
        </w:rPr>
        <w:t> </w:t>
      </w:r>
      <w:r>
        <w:rPr/>
        <w:t>of</w:t>
      </w:r>
      <w:r>
        <w:rPr>
          <w:spacing w:val="-15"/>
        </w:rPr>
        <w:t> </w:t>
      </w:r>
      <w:r>
        <w:rPr/>
        <w:t>biosurfactant-iron</w:t>
      </w:r>
      <w:r>
        <w:rPr>
          <w:spacing w:val="-15"/>
        </w:rPr>
        <w:t> </w:t>
      </w:r>
      <w:r>
        <w:rPr/>
        <w:t>oxide</w:t>
      </w:r>
      <w:r>
        <w:rPr>
          <w:spacing w:val="-15"/>
        </w:rPr>
        <w:t> </w:t>
      </w:r>
      <w:r>
        <w:rPr/>
        <w:t>nanoparticle-</w:t>
      </w:r>
      <w:r>
        <w:rPr>
          <w:spacing w:val="-15"/>
        </w:rPr>
        <w:t> </w:t>
      </w:r>
      <w:r>
        <w:rPr/>
        <w:t>biochar</w:t>
      </w:r>
      <w:r>
        <w:rPr>
          <w:spacing w:val="-15"/>
        </w:rPr>
        <w:t> </w:t>
      </w:r>
      <w:r>
        <w:rPr/>
        <w:t>formulation</w:t>
      </w:r>
      <w:r>
        <w:rPr>
          <w:spacing w:val="-15"/>
        </w:rPr>
        <w:t> </w:t>
      </w:r>
      <w:r>
        <w:rPr/>
        <w:t>(1:1:1)</w:t>
      </w:r>
      <w:r>
        <w:rPr>
          <w:spacing w:val="-15"/>
        </w:rPr>
        <w:t> </w:t>
      </w:r>
      <w:r>
        <w:rPr/>
        <w:t>for bioremediation of crude soil contamination.</w:t>
      </w:r>
    </w:p>
    <w:p>
      <w:pPr>
        <w:pStyle w:val="BodyText"/>
        <w:spacing w:line="480" w:lineRule="auto"/>
        <w:ind w:left="202"/>
      </w:pPr>
      <w:r>
        <w:rPr/>
        <w:t>The</w:t>
      </w:r>
      <w:r>
        <w:rPr>
          <w:spacing w:val="-9"/>
        </w:rPr>
        <w:t> </w:t>
      </w:r>
      <w:r>
        <w:rPr/>
        <w:t>use</w:t>
      </w:r>
      <w:r>
        <w:rPr>
          <w:spacing w:val="-9"/>
        </w:rPr>
        <w:t> </w:t>
      </w:r>
      <w:r>
        <w:rPr/>
        <w:t>of</w:t>
      </w:r>
      <w:r>
        <w:rPr>
          <w:spacing w:val="-9"/>
        </w:rPr>
        <w:t> </w:t>
      </w:r>
      <w:r>
        <w:rPr/>
        <w:t>biosurfactant-iron</w:t>
      </w:r>
      <w:r>
        <w:rPr>
          <w:spacing w:val="-9"/>
        </w:rPr>
        <w:t> </w:t>
      </w:r>
      <w:r>
        <w:rPr/>
        <w:t>oxide</w:t>
      </w:r>
      <w:r>
        <w:rPr>
          <w:spacing w:val="-9"/>
        </w:rPr>
        <w:t> </w:t>
      </w:r>
      <w:r>
        <w:rPr/>
        <w:t>nanoparticle-</w:t>
      </w:r>
      <w:r>
        <w:rPr>
          <w:spacing w:val="-9"/>
        </w:rPr>
        <w:t> </w:t>
      </w:r>
      <w:r>
        <w:rPr/>
        <w:t>biochar</w:t>
      </w:r>
      <w:r>
        <w:rPr>
          <w:spacing w:val="-9"/>
        </w:rPr>
        <w:t> </w:t>
      </w:r>
      <w:r>
        <w:rPr/>
        <w:t>combination</w:t>
      </w:r>
      <w:r>
        <w:rPr>
          <w:spacing w:val="-9"/>
        </w:rPr>
        <w:t> </w:t>
      </w:r>
      <w:r>
        <w:rPr/>
        <w:t>for</w:t>
      </w:r>
      <w:r>
        <w:rPr>
          <w:spacing w:val="-9"/>
        </w:rPr>
        <w:t> </w:t>
      </w:r>
      <w:r>
        <w:rPr/>
        <w:t>remediation</w:t>
      </w:r>
      <w:r>
        <w:rPr>
          <w:spacing w:val="-9"/>
        </w:rPr>
        <w:t> </w:t>
      </w:r>
      <w:r>
        <w:rPr/>
        <w:t>of other pollutants</w:t>
      </w:r>
    </w:p>
    <w:p>
      <w:pPr>
        <w:pStyle w:val="BodyText"/>
        <w:spacing w:line="480" w:lineRule="auto"/>
        <w:ind w:left="202"/>
      </w:pPr>
      <w:r>
        <w:rPr/>
        <w:t>Genetic</w:t>
      </w:r>
      <w:r>
        <w:rPr>
          <w:spacing w:val="80"/>
        </w:rPr>
        <w:t> </w:t>
      </w:r>
      <w:r>
        <w:rPr/>
        <w:t>modifications</w:t>
      </w:r>
      <w:r>
        <w:rPr>
          <w:spacing w:val="80"/>
        </w:rPr>
        <w:t> </w:t>
      </w:r>
      <w:r>
        <w:rPr/>
        <w:t>of</w:t>
      </w:r>
      <w:r>
        <w:rPr>
          <w:spacing w:val="80"/>
        </w:rPr>
        <w:t> </w:t>
      </w:r>
      <w:r>
        <w:rPr>
          <w:i/>
        </w:rPr>
        <w:t>A.</w:t>
      </w:r>
      <w:r>
        <w:rPr>
          <w:i/>
          <w:spacing w:val="80"/>
        </w:rPr>
        <w:t> </w:t>
      </w:r>
      <w:r>
        <w:rPr>
          <w:i/>
        </w:rPr>
        <w:t>faecalis</w:t>
      </w:r>
      <w:r>
        <w:rPr>
          <w:i/>
          <w:spacing w:val="80"/>
        </w:rPr>
        <w:t> </w:t>
      </w:r>
      <w:r>
        <w:rPr/>
        <w:t>strain</w:t>
      </w:r>
      <w:r>
        <w:rPr>
          <w:spacing w:val="80"/>
        </w:rPr>
        <w:t> </w:t>
      </w:r>
      <w:r>
        <w:rPr/>
        <w:t>ADY25</w:t>
      </w:r>
      <w:r>
        <w:rPr>
          <w:spacing w:val="80"/>
        </w:rPr>
        <w:t> </w:t>
      </w:r>
      <w:r>
        <w:rPr/>
        <w:t>for</w:t>
      </w:r>
      <w:r>
        <w:rPr>
          <w:spacing w:val="80"/>
        </w:rPr>
        <w:t> </w:t>
      </w:r>
      <w:r>
        <w:rPr/>
        <w:t>improved</w:t>
      </w:r>
      <w:r>
        <w:rPr>
          <w:spacing w:val="80"/>
        </w:rPr>
        <w:t> </w:t>
      </w:r>
      <w:r>
        <w:rPr/>
        <w:t>biosurfactant</w:t>
      </w:r>
      <w:r>
        <w:rPr>
          <w:spacing w:val="80"/>
        </w:rPr>
        <w:t> </w:t>
      </w:r>
      <w:r>
        <w:rPr>
          <w:spacing w:val="-2"/>
        </w:rPr>
        <w:t>production.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6"/>
        </w:rPr>
      </w:pPr>
    </w:p>
    <w:p>
      <w:pPr>
        <w:pStyle w:val="Heading1"/>
        <w:ind w:left="202"/>
        <w:jc w:val="left"/>
      </w:pPr>
      <w:r>
        <w:rPr>
          <w:spacing w:val="-2"/>
        </w:rPr>
        <w:t>REFERENCES</w:t>
      </w:r>
    </w:p>
    <w:p>
      <w:pPr>
        <w:pStyle w:val="BodyText"/>
        <w:spacing w:before="7"/>
        <w:rPr>
          <w:b/>
          <w:sz w:val="23"/>
        </w:rPr>
      </w:pPr>
    </w:p>
    <w:p>
      <w:pPr>
        <w:spacing w:before="0"/>
        <w:ind w:left="921" w:right="118" w:hanging="720"/>
        <w:jc w:val="both"/>
        <w:rPr>
          <w:sz w:val="24"/>
        </w:rPr>
      </w:pPr>
      <w:r>
        <w:rPr>
          <w:sz w:val="24"/>
        </w:rPr>
        <w:t>Abii, T. A., &amp; Nwosu, P. C. (2009). The effect of oil spillage on the soil of Eleme in Rivers State of Niger Delta area of Nigeria. </w:t>
      </w:r>
      <w:r>
        <w:rPr>
          <w:i/>
          <w:sz w:val="24"/>
        </w:rPr>
        <w:t>Research Journal of Environmental Sciences</w:t>
      </w:r>
      <w:r>
        <w:rPr>
          <w:sz w:val="24"/>
        </w:rPr>
        <w:t>, 3(3), 316-320.</w:t>
      </w:r>
    </w:p>
    <w:p>
      <w:pPr>
        <w:spacing w:after="0"/>
        <w:jc w:val="both"/>
        <w:rPr>
          <w:sz w:val="24"/>
        </w:rPr>
        <w:sectPr>
          <w:pgSz w:w="11910" w:h="16840"/>
          <w:pgMar w:header="0" w:footer="1002" w:top="1320" w:bottom="1200" w:left="1500" w:right="1580"/>
        </w:sectPr>
      </w:pPr>
    </w:p>
    <w:p>
      <w:pPr>
        <w:pStyle w:val="BodyText"/>
        <w:spacing w:before="69"/>
        <w:ind w:left="921" w:right="116" w:hanging="720"/>
        <w:jc w:val="both"/>
      </w:pPr>
      <w:r>
        <w:rPr/>
        <w:t>Ahimou, F., Jacques, P., &amp; Deleu, M. (2000). Surfactin and iturin A effects on Bacillus subtilis</w:t>
      </w:r>
      <w:r>
        <w:rPr>
          <w:spacing w:val="-4"/>
        </w:rPr>
        <w:t> </w:t>
      </w:r>
      <w:r>
        <w:rPr/>
        <w:t>surface</w:t>
      </w:r>
      <w:r>
        <w:rPr>
          <w:spacing w:val="-5"/>
        </w:rPr>
        <w:t> </w:t>
      </w:r>
      <w:r>
        <w:rPr/>
        <w:t>hydrophobicity.</w:t>
      </w:r>
      <w:r>
        <w:rPr>
          <w:spacing w:val="-2"/>
        </w:rPr>
        <w:t> </w:t>
      </w:r>
      <w:r>
        <w:rPr>
          <w:i/>
        </w:rPr>
        <w:t>Enzyme</w:t>
      </w:r>
      <w:r>
        <w:rPr>
          <w:i/>
          <w:spacing w:val="-6"/>
        </w:rPr>
        <w:t> </w:t>
      </w:r>
      <w:r>
        <w:rPr>
          <w:i/>
        </w:rPr>
        <w:t>and</w:t>
      </w:r>
      <w:r>
        <w:rPr>
          <w:i/>
          <w:spacing w:val="-2"/>
        </w:rPr>
        <w:t> </w:t>
      </w:r>
      <w:r>
        <w:rPr>
          <w:i/>
        </w:rPr>
        <w:t>Microbial</w:t>
      </w:r>
      <w:r>
        <w:rPr>
          <w:i/>
          <w:spacing w:val="-4"/>
        </w:rPr>
        <w:t> </w:t>
      </w:r>
      <w:r>
        <w:rPr>
          <w:i/>
        </w:rPr>
        <w:t>Technology</w:t>
      </w:r>
      <w:r>
        <w:rPr/>
        <w:t>,</w:t>
      </w:r>
      <w:r>
        <w:rPr>
          <w:spacing w:val="-4"/>
        </w:rPr>
        <w:t> </w:t>
      </w:r>
      <w:r>
        <w:rPr/>
        <w:t>27(10),</w:t>
      </w:r>
      <w:r>
        <w:rPr>
          <w:spacing w:val="-4"/>
        </w:rPr>
        <w:t> </w:t>
      </w:r>
      <w:r>
        <w:rPr/>
        <w:t>749- </w:t>
      </w:r>
      <w:r>
        <w:rPr>
          <w:spacing w:val="-4"/>
        </w:rPr>
        <w:t>754.</w:t>
      </w:r>
    </w:p>
    <w:p>
      <w:pPr>
        <w:pStyle w:val="BodyText"/>
        <w:spacing w:before="11"/>
        <w:rPr>
          <w:sz w:val="20"/>
        </w:rPr>
      </w:pPr>
    </w:p>
    <w:p>
      <w:pPr>
        <w:pStyle w:val="BodyText"/>
        <w:ind w:left="921" w:right="122" w:hanging="720"/>
        <w:jc w:val="both"/>
      </w:pPr>
      <w:r>
        <w:rPr/>
        <w:t>Ahmad, M. B., Zhou, J. L., Ngo, H. H., Guo, W., &amp; Chen, M. (2016). Progress in the preparation and application of modified biochar for improved contaminant removal from water and wastewater. </w:t>
      </w:r>
      <w:r>
        <w:rPr>
          <w:i/>
        </w:rPr>
        <w:t>Bioresources Technology, </w:t>
      </w:r>
      <w:r>
        <w:rPr/>
        <w:t>214, 836–851.</w:t>
      </w:r>
    </w:p>
    <w:p>
      <w:pPr>
        <w:pStyle w:val="BodyText"/>
        <w:spacing w:before="10"/>
        <w:rPr>
          <w:sz w:val="20"/>
        </w:rPr>
      </w:pPr>
    </w:p>
    <w:p>
      <w:pPr>
        <w:pStyle w:val="BodyText"/>
        <w:ind w:left="202"/>
        <w:jc w:val="both"/>
      </w:pPr>
      <w:r>
        <w:rPr/>
        <w:t>Ahmad,</w:t>
      </w:r>
      <w:r>
        <w:rPr>
          <w:spacing w:val="-8"/>
        </w:rPr>
        <w:t> </w:t>
      </w:r>
      <w:r>
        <w:rPr/>
        <w:t>M.,</w:t>
      </w:r>
      <w:r>
        <w:rPr>
          <w:spacing w:val="-6"/>
        </w:rPr>
        <w:t> </w:t>
      </w:r>
      <w:r>
        <w:rPr/>
        <w:t>Lee,</w:t>
      </w:r>
      <w:r>
        <w:rPr>
          <w:spacing w:val="-6"/>
        </w:rPr>
        <w:t> </w:t>
      </w:r>
      <w:r>
        <w:rPr/>
        <w:t>S.</w:t>
      </w:r>
      <w:r>
        <w:rPr>
          <w:spacing w:val="-8"/>
        </w:rPr>
        <w:t> </w:t>
      </w:r>
      <w:r>
        <w:rPr/>
        <w:t>S.,</w:t>
      </w:r>
      <w:r>
        <w:rPr>
          <w:spacing w:val="-7"/>
        </w:rPr>
        <w:t> </w:t>
      </w:r>
      <w:r>
        <w:rPr/>
        <w:t>Dou,</w:t>
      </w:r>
      <w:r>
        <w:rPr>
          <w:spacing w:val="-7"/>
        </w:rPr>
        <w:t> </w:t>
      </w:r>
      <w:r>
        <w:rPr/>
        <w:t>X.,</w:t>
      </w:r>
      <w:r>
        <w:rPr>
          <w:spacing w:val="-9"/>
        </w:rPr>
        <w:t> </w:t>
      </w:r>
      <w:r>
        <w:rPr/>
        <w:t>Mohan,</w:t>
      </w:r>
      <w:r>
        <w:rPr>
          <w:spacing w:val="-7"/>
        </w:rPr>
        <w:t> </w:t>
      </w:r>
      <w:r>
        <w:rPr/>
        <w:t>D.,</w:t>
      </w:r>
      <w:r>
        <w:rPr>
          <w:spacing w:val="-6"/>
        </w:rPr>
        <w:t> </w:t>
      </w:r>
      <w:r>
        <w:rPr/>
        <w:t>Sung,</w:t>
      </w:r>
      <w:r>
        <w:rPr>
          <w:spacing w:val="-6"/>
        </w:rPr>
        <w:t> </w:t>
      </w:r>
      <w:r>
        <w:rPr/>
        <w:t>J.</w:t>
      </w:r>
      <w:r>
        <w:rPr>
          <w:spacing w:val="-7"/>
        </w:rPr>
        <w:t> </w:t>
      </w:r>
      <w:r>
        <w:rPr/>
        <w:t>K.,</w:t>
      </w:r>
      <w:r>
        <w:rPr>
          <w:spacing w:val="-8"/>
        </w:rPr>
        <w:t> </w:t>
      </w:r>
      <w:r>
        <w:rPr/>
        <w:t>Yang,</w:t>
      </w:r>
      <w:r>
        <w:rPr>
          <w:spacing w:val="-6"/>
        </w:rPr>
        <w:t> </w:t>
      </w:r>
      <w:r>
        <w:rPr/>
        <w:t>J.</w:t>
      </w:r>
      <w:r>
        <w:rPr>
          <w:spacing w:val="-7"/>
        </w:rPr>
        <w:t> </w:t>
      </w:r>
      <w:r>
        <w:rPr/>
        <w:t>E.,</w:t>
      </w:r>
      <w:r>
        <w:rPr>
          <w:spacing w:val="-7"/>
        </w:rPr>
        <w:t> </w:t>
      </w:r>
      <w:r>
        <w:rPr/>
        <w:t>&amp;</w:t>
      </w:r>
      <w:r>
        <w:rPr>
          <w:spacing w:val="-8"/>
        </w:rPr>
        <w:t> </w:t>
      </w:r>
      <w:r>
        <w:rPr/>
        <w:t>Ok,</w:t>
      </w:r>
      <w:r>
        <w:rPr>
          <w:spacing w:val="-3"/>
        </w:rPr>
        <w:t> </w:t>
      </w:r>
      <w:r>
        <w:rPr/>
        <w:t>Y.</w:t>
      </w:r>
      <w:r>
        <w:rPr>
          <w:spacing w:val="-9"/>
        </w:rPr>
        <w:t> </w:t>
      </w:r>
      <w:r>
        <w:rPr/>
        <w:t>S.</w:t>
      </w:r>
      <w:r>
        <w:rPr>
          <w:spacing w:val="-7"/>
        </w:rPr>
        <w:t> </w:t>
      </w:r>
      <w:r>
        <w:rPr>
          <w:spacing w:val="-2"/>
        </w:rPr>
        <w:t>(2012).</w:t>
      </w:r>
    </w:p>
    <w:p>
      <w:pPr>
        <w:pStyle w:val="BodyText"/>
        <w:ind w:left="921" w:right="117"/>
        <w:jc w:val="both"/>
      </w:pPr>
      <w:r>
        <w:rPr/>
        <w:t>Effects of pyrolysis temperature on soybean stover and peanut shell-derived biochar properties and TCE adsorption in water. </w:t>
      </w:r>
      <w:r>
        <w:rPr>
          <w:i/>
        </w:rPr>
        <w:t>Bioresources Technology, </w:t>
      </w:r>
      <w:r>
        <w:rPr/>
        <w:t>118, </w:t>
      </w:r>
      <w:r>
        <w:rPr>
          <w:spacing w:val="-2"/>
        </w:rPr>
        <w:t>536–544.</w:t>
      </w:r>
    </w:p>
    <w:p>
      <w:pPr>
        <w:pStyle w:val="BodyText"/>
        <w:spacing w:before="10"/>
        <w:rPr>
          <w:sz w:val="20"/>
        </w:rPr>
      </w:pPr>
    </w:p>
    <w:p>
      <w:pPr>
        <w:pStyle w:val="BodyText"/>
        <w:spacing w:before="1"/>
        <w:ind w:left="202"/>
        <w:jc w:val="both"/>
      </w:pPr>
      <w:r>
        <w:rPr/>
        <w:t>Ahmad,</w:t>
      </w:r>
      <w:r>
        <w:rPr>
          <w:spacing w:val="2"/>
        </w:rPr>
        <w:t> </w:t>
      </w:r>
      <w:r>
        <w:rPr/>
        <w:t>M.,</w:t>
      </w:r>
      <w:r>
        <w:rPr>
          <w:spacing w:val="3"/>
        </w:rPr>
        <w:t> </w:t>
      </w:r>
      <w:r>
        <w:rPr/>
        <w:t>Rajapaksha,</w:t>
      </w:r>
      <w:r>
        <w:rPr>
          <w:spacing w:val="6"/>
        </w:rPr>
        <w:t> </w:t>
      </w:r>
      <w:r>
        <w:rPr/>
        <w:t>A.</w:t>
      </w:r>
      <w:r>
        <w:rPr>
          <w:spacing w:val="2"/>
        </w:rPr>
        <w:t> </w:t>
      </w:r>
      <w:r>
        <w:rPr/>
        <w:t>U.,</w:t>
      </w:r>
      <w:r>
        <w:rPr>
          <w:spacing w:val="10"/>
        </w:rPr>
        <w:t> </w:t>
      </w:r>
      <w:r>
        <w:rPr/>
        <w:t>Lim,</w:t>
      </w:r>
      <w:r>
        <w:rPr>
          <w:spacing w:val="3"/>
        </w:rPr>
        <w:t> </w:t>
      </w:r>
      <w:r>
        <w:rPr/>
        <w:t>J.</w:t>
      </w:r>
      <w:r>
        <w:rPr>
          <w:spacing w:val="3"/>
        </w:rPr>
        <w:t> </w:t>
      </w:r>
      <w:r>
        <w:rPr/>
        <w:t>E.,</w:t>
      </w:r>
      <w:r>
        <w:rPr>
          <w:spacing w:val="6"/>
        </w:rPr>
        <w:t> </w:t>
      </w:r>
      <w:r>
        <w:rPr/>
        <w:t>Zhang,</w:t>
      </w:r>
      <w:r>
        <w:rPr>
          <w:spacing w:val="3"/>
        </w:rPr>
        <w:t> </w:t>
      </w:r>
      <w:r>
        <w:rPr/>
        <w:t>M.,</w:t>
      </w:r>
      <w:r>
        <w:rPr>
          <w:spacing w:val="4"/>
        </w:rPr>
        <w:t> </w:t>
      </w:r>
      <w:r>
        <w:rPr/>
        <w:t>Bolan,</w:t>
      </w:r>
      <w:r>
        <w:rPr>
          <w:spacing w:val="3"/>
        </w:rPr>
        <w:t> </w:t>
      </w:r>
      <w:r>
        <w:rPr/>
        <w:t>N.,</w:t>
      </w:r>
      <w:r>
        <w:rPr>
          <w:spacing w:val="5"/>
        </w:rPr>
        <w:t> </w:t>
      </w:r>
      <w:r>
        <w:rPr/>
        <w:t>Mohan,</w:t>
      </w:r>
      <w:r>
        <w:rPr>
          <w:spacing w:val="7"/>
        </w:rPr>
        <w:t> </w:t>
      </w:r>
      <w:r>
        <w:rPr/>
        <w:t>D.,</w:t>
      </w:r>
      <w:r>
        <w:rPr>
          <w:spacing w:val="3"/>
        </w:rPr>
        <w:t> </w:t>
      </w:r>
      <w:r>
        <w:rPr/>
        <w:t>&amp;</w:t>
      </w:r>
      <w:r>
        <w:rPr>
          <w:spacing w:val="4"/>
        </w:rPr>
        <w:t> </w:t>
      </w:r>
      <w:r>
        <w:rPr/>
        <w:t>Ok,</w:t>
      </w:r>
      <w:r>
        <w:rPr>
          <w:spacing w:val="5"/>
        </w:rPr>
        <w:t> </w:t>
      </w:r>
      <w:r>
        <w:rPr>
          <w:spacing w:val="-5"/>
        </w:rPr>
        <w:t>Y.</w:t>
      </w:r>
    </w:p>
    <w:p>
      <w:pPr>
        <w:pStyle w:val="BodyText"/>
        <w:ind w:left="921"/>
      </w:pPr>
      <w:r>
        <w:rPr/>
        <w:t>S. (2014). Biochar as a sorbent for contaminant management in soil and water: a review. </w:t>
      </w:r>
      <w:r>
        <w:rPr>
          <w:i/>
        </w:rPr>
        <w:t>Chemosphere, </w:t>
      </w:r>
      <w:r>
        <w:rPr/>
        <w:t>99, 19–33.</w:t>
      </w:r>
    </w:p>
    <w:p>
      <w:pPr>
        <w:pStyle w:val="BodyText"/>
        <w:spacing w:before="9"/>
        <w:rPr>
          <w:sz w:val="20"/>
        </w:rPr>
      </w:pPr>
    </w:p>
    <w:p>
      <w:pPr>
        <w:spacing w:before="1"/>
        <w:ind w:left="921" w:right="116" w:hanging="720"/>
        <w:jc w:val="both"/>
        <w:rPr>
          <w:sz w:val="24"/>
        </w:rPr>
      </w:pPr>
      <w:r>
        <w:rPr>
          <w:sz w:val="24"/>
        </w:rPr>
        <w:t>Ahmadu,</w:t>
      </w:r>
      <w:r>
        <w:rPr>
          <w:spacing w:val="-11"/>
          <w:sz w:val="24"/>
        </w:rPr>
        <w:t> </w:t>
      </w:r>
      <w:r>
        <w:rPr>
          <w:sz w:val="24"/>
        </w:rPr>
        <w:t>J.</w:t>
      </w:r>
      <w:r>
        <w:rPr>
          <w:spacing w:val="-10"/>
          <w:sz w:val="24"/>
        </w:rPr>
        <w:t> </w:t>
      </w:r>
      <w:r>
        <w:rPr>
          <w:sz w:val="24"/>
        </w:rPr>
        <w:t>&amp;</w:t>
      </w:r>
      <w:r>
        <w:rPr>
          <w:spacing w:val="-12"/>
          <w:sz w:val="24"/>
        </w:rPr>
        <w:t> </w:t>
      </w:r>
      <w:r>
        <w:rPr>
          <w:sz w:val="24"/>
        </w:rPr>
        <w:t>Egbodion,</w:t>
      </w:r>
      <w:r>
        <w:rPr>
          <w:spacing w:val="-7"/>
          <w:sz w:val="24"/>
        </w:rPr>
        <w:t> </w:t>
      </w:r>
      <w:r>
        <w:rPr>
          <w:sz w:val="24"/>
        </w:rPr>
        <w:t>J.</w:t>
      </w:r>
      <w:r>
        <w:rPr>
          <w:spacing w:val="-10"/>
          <w:sz w:val="24"/>
        </w:rPr>
        <w:t> </w:t>
      </w:r>
      <w:r>
        <w:rPr>
          <w:sz w:val="24"/>
        </w:rPr>
        <w:t>(2013).</w:t>
      </w:r>
      <w:r>
        <w:rPr>
          <w:spacing w:val="-10"/>
          <w:sz w:val="24"/>
        </w:rPr>
        <w:t> </w:t>
      </w:r>
      <w:r>
        <w:rPr>
          <w:sz w:val="24"/>
        </w:rPr>
        <w:t>Effect</w:t>
      </w:r>
      <w:r>
        <w:rPr>
          <w:spacing w:val="-9"/>
          <w:sz w:val="24"/>
        </w:rPr>
        <w:t> </w:t>
      </w:r>
      <w:r>
        <w:rPr>
          <w:sz w:val="24"/>
        </w:rPr>
        <w:t>of</w:t>
      </w:r>
      <w:r>
        <w:rPr>
          <w:spacing w:val="-10"/>
          <w:sz w:val="24"/>
        </w:rPr>
        <w:t> </w:t>
      </w:r>
      <w:r>
        <w:rPr>
          <w:sz w:val="24"/>
        </w:rPr>
        <w:t>Oil</w:t>
      </w:r>
      <w:r>
        <w:rPr>
          <w:spacing w:val="-9"/>
          <w:sz w:val="24"/>
        </w:rPr>
        <w:t> </w:t>
      </w:r>
      <w:r>
        <w:rPr>
          <w:sz w:val="24"/>
        </w:rPr>
        <w:t>Spillage</w:t>
      </w:r>
      <w:r>
        <w:rPr>
          <w:spacing w:val="-11"/>
          <w:sz w:val="24"/>
        </w:rPr>
        <w:t> </w:t>
      </w:r>
      <w:r>
        <w:rPr>
          <w:sz w:val="24"/>
        </w:rPr>
        <w:t>on</w:t>
      </w:r>
      <w:r>
        <w:rPr>
          <w:spacing w:val="-10"/>
          <w:sz w:val="24"/>
        </w:rPr>
        <w:t> </w:t>
      </w:r>
      <w:r>
        <w:rPr>
          <w:sz w:val="24"/>
        </w:rPr>
        <w:t>Cassava</w:t>
      </w:r>
      <w:r>
        <w:rPr>
          <w:spacing w:val="-11"/>
          <w:sz w:val="24"/>
        </w:rPr>
        <w:t> </w:t>
      </w:r>
      <w:r>
        <w:rPr>
          <w:sz w:val="24"/>
        </w:rPr>
        <w:t>Production</w:t>
      </w:r>
      <w:r>
        <w:rPr>
          <w:spacing w:val="-10"/>
          <w:sz w:val="24"/>
        </w:rPr>
        <w:t> </w:t>
      </w:r>
      <w:r>
        <w:rPr>
          <w:sz w:val="24"/>
        </w:rPr>
        <w:t>in</w:t>
      </w:r>
      <w:r>
        <w:rPr>
          <w:spacing w:val="-9"/>
          <w:sz w:val="24"/>
        </w:rPr>
        <w:t> </w:t>
      </w:r>
      <w:r>
        <w:rPr>
          <w:sz w:val="24"/>
        </w:rPr>
        <w:t>Niger Delta</w:t>
      </w:r>
      <w:r>
        <w:rPr>
          <w:spacing w:val="-14"/>
          <w:sz w:val="24"/>
        </w:rPr>
        <w:t> </w:t>
      </w:r>
      <w:r>
        <w:rPr>
          <w:sz w:val="24"/>
        </w:rPr>
        <w:t>region</w:t>
      </w:r>
      <w:r>
        <w:rPr>
          <w:spacing w:val="-13"/>
          <w:sz w:val="24"/>
        </w:rPr>
        <w:t> </w:t>
      </w:r>
      <w:r>
        <w:rPr>
          <w:sz w:val="24"/>
        </w:rPr>
        <w:t>of</w:t>
      </w:r>
      <w:r>
        <w:rPr>
          <w:spacing w:val="-14"/>
          <w:sz w:val="24"/>
        </w:rPr>
        <w:t> </w:t>
      </w:r>
      <w:r>
        <w:rPr>
          <w:sz w:val="24"/>
        </w:rPr>
        <w:t>Nigeria.</w:t>
      </w:r>
      <w:r>
        <w:rPr>
          <w:spacing w:val="-10"/>
          <w:sz w:val="24"/>
        </w:rPr>
        <w:t> </w:t>
      </w:r>
      <w:r>
        <w:rPr>
          <w:i/>
          <w:sz w:val="24"/>
        </w:rPr>
        <w:t>American</w:t>
      </w:r>
      <w:r>
        <w:rPr>
          <w:i/>
          <w:spacing w:val="-13"/>
          <w:sz w:val="24"/>
        </w:rPr>
        <w:t> </w:t>
      </w:r>
      <w:r>
        <w:rPr>
          <w:i/>
          <w:sz w:val="24"/>
        </w:rPr>
        <w:t>Journal</w:t>
      </w:r>
      <w:r>
        <w:rPr>
          <w:i/>
          <w:spacing w:val="-13"/>
          <w:sz w:val="24"/>
        </w:rPr>
        <w:t> </w:t>
      </w:r>
      <w:r>
        <w:rPr>
          <w:i/>
          <w:sz w:val="24"/>
        </w:rPr>
        <w:t>of</w:t>
      </w:r>
      <w:r>
        <w:rPr>
          <w:i/>
          <w:spacing w:val="-13"/>
          <w:sz w:val="24"/>
        </w:rPr>
        <w:t> </w:t>
      </w:r>
      <w:r>
        <w:rPr>
          <w:i/>
          <w:sz w:val="24"/>
        </w:rPr>
        <w:t>Experimental</w:t>
      </w:r>
      <w:r>
        <w:rPr>
          <w:i/>
          <w:spacing w:val="-12"/>
          <w:sz w:val="24"/>
        </w:rPr>
        <w:t> </w:t>
      </w:r>
      <w:r>
        <w:rPr>
          <w:i/>
          <w:sz w:val="24"/>
        </w:rPr>
        <w:t>Agriculture</w:t>
      </w:r>
      <w:r>
        <w:rPr>
          <w:i/>
          <w:spacing w:val="-12"/>
          <w:sz w:val="24"/>
        </w:rPr>
        <w:t> </w:t>
      </w:r>
      <w:r>
        <w:rPr>
          <w:sz w:val="24"/>
        </w:rPr>
        <w:t>3(4),</w:t>
      </w:r>
      <w:r>
        <w:rPr>
          <w:spacing w:val="-14"/>
          <w:sz w:val="24"/>
        </w:rPr>
        <w:t> </w:t>
      </w:r>
      <w:r>
        <w:rPr>
          <w:sz w:val="24"/>
        </w:rPr>
        <w:t>914- </w:t>
      </w:r>
      <w:r>
        <w:rPr>
          <w:spacing w:val="-4"/>
          <w:sz w:val="24"/>
        </w:rPr>
        <w:t>926.</w:t>
      </w:r>
    </w:p>
    <w:p>
      <w:pPr>
        <w:pStyle w:val="BodyText"/>
        <w:spacing w:before="10"/>
        <w:rPr>
          <w:sz w:val="20"/>
        </w:rPr>
      </w:pPr>
    </w:p>
    <w:p>
      <w:pPr>
        <w:pStyle w:val="BodyText"/>
        <w:ind w:left="921" w:right="120" w:hanging="720"/>
        <w:jc w:val="both"/>
      </w:pPr>
      <w:r>
        <w:rPr/>
        <w:t>Alagic, S. C., Maluckov, B. S., &amp; Radojicic, V. B. (2015). How can plants manage polyaromatic hydrocarbons? May these effects represent a useful</w:t>
      </w:r>
      <w:r>
        <w:rPr/>
        <w:t> tool</w:t>
      </w:r>
      <w:r>
        <w:rPr/>
        <w:t> for</w:t>
      </w:r>
      <w:r>
        <w:rPr/>
        <w:t> an effective</w:t>
      </w:r>
      <w:r>
        <w:rPr/>
        <w:t> soil remediation? A review. </w:t>
      </w:r>
      <w:r>
        <w:rPr>
          <w:i/>
        </w:rPr>
        <w:t>Clean Technology and Environmental Policy</w:t>
      </w:r>
      <w:r>
        <w:rPr/>
        <w:t>, 17, 597–614</w:t>
      </w:r>
    </w:p>
    <w:p>
      <w:pPr>
        <w:pStyle w:val="BodyText"/>
        <w:spacing w:before="10"/>
        <w:rPr>
          <w:sz w:val="20"/>
        </w:rPr>
      </w:pPr>
    </w:p>
    <w:p>
      <w:pPr>
        <w:pStyle w:val="BodyText"/>
        <w:ind w:left="921" w:right="118" w:hanging="720"/>
        <w:jc w:val="both"/>
      </w:pPr>
      <w:r>
        <w:rPr/>
        <w:t>Alhashimi,</w:t>
      </w:r>
      <w:r>
        <w:rPr/>
        <w:t> H.</w:t>
      </w:r>
      <w:r>
        <w:rPr/>
        <w:t> A.,</w:t>
      </w:r>
      <w:r>
        <w:rPr/>
        <w:t> &amp;</w:t>
      </w:r>
      <w:r>
        <w:rPr/>
        <w:t> Aktas,</w:t>
      </w:r>
      <w:r>
        <w:rPr/>
        <w:t> C.</w:t>
      </w:r>
      <w:r>
        <w:rPr/>
        <w:t> B.</w:t>
      </w:r>
      <w:r>
        <w:rPr/>
        <w:t> (2017).</w:t>
      </w:r>
      <w:r>
        <w:rPr/>
        <w:t> Life</w:t>
      </w:r>
      <w:r>
        <w:rPr/>
        <w:t> cycle</w:t>
      </w:r>
      <w:r>
        <w:rPr/>
        <w:t> environmental</w:t>
      </w:r>
      <w:r>
        <w:rPr/>
        <w:t> and</w:t>
      </w:r>
      <w:r>
        <w:rPr/>
        <w:t> economic performance</w:t>
      </w:r>
      <w:r>
        <w:rPr/>
        <w:t> of</w:t>
      </w:r>
      <w:r>
        <w:rPr/>
        <w:t> biochar</w:t>
      </w:r>
      <w:r>
        <w:rPr/>
        <w:t> compared</w:t>
      </w:r>
      <w:r>
        <w:rPr/>
        <w:t> with</w:t>
      </w:r>
      <w:r>
        <w:rPr/>
        <w:t> activated</w:t>
      </w:r>
      <w:r>
        <w:rPr/>
        <w:t> carbon:</w:t>
      </w:r>
      <w:r>
        <w:rPr/>
        <w:t> a</w:t>
      </w:r>
      <w:r>
        <w:rPr/>
        <w:t> meta-analysis. </w:t>
      </w:r>
      <w:r>
        <w:rPr>
          <w:i/>
        </w:rPr>
        <w:t>Resources, Conservation and Recycling, </w:t>
      </w:r>
      <w:r>
        <w:rPr/>
        <w:t>118, 13-26</w:t>
      </w:r>
    </w:p>
    <w:p>
      <w:pPr>
        <w:pStyle w:val="BodyText"/>
        <w:spacing w:before="10"/>
        <w:rPr>
          <w:sz w:val="20"/>
        </w:rPr>
      </w:pPr>
    </w:p>
    <w:p>
      <w:pPr>
        <w:pStyle w:val="BodyText"/>
        <w:ind w:left="921" w:right="121" w:hanging="720"/>
        <w:jc w:val="both"/>
      </w:pPr>
      <w:r>
        <w:rPr/>
        <w:t>Almeida,</w:t>
      </w:r>
      <w:r>
        <w:rPr>
          <w:spacing w:val="-8"/>
        </w:rPr>
        <w:t> </w:t>
      </w:r>
      <w:r>
        <w:rPr/>
        <w:t>D.</w:t>
      </w:r>
      <w:r>
        <w:rPr>
          <w:spacing w:val="-8"/>
        </w:rPr>
        <w:t> </w:t>
      </w:r>
      <w:r>
        <w:rPr/>
        <w:t>G.,</w:t>
      </w:r>
      <w:r>
        <w:rPr>
          <w:spacing w:val="-8"/>
        </w:rPr>
        <w:t> </w:t>
      </w:r>
      <w:r>
        <w:rPr/>
        <w:t>Silva,</w:t>
      </w:r>
      <w:r>
        <w:rPr>
          <w:spacing w:val="-7"/>
        </w:rPr>
        <w:t> </w:t>
      </w:r>
      <w:r>
        <w:rPr/>
        <w:t>R.</w:t>
      </w:r>
      <w:r>
        <w:rPr>
          <w:spacing w:val="-7"/>
        </w:rPr>
        <w:t> </w:t>
      </w:r>
      <w:r>
        <w:rPr/>
        <w:t>C.</w:t>
      </w:r>
      <w:r>
        <w:rPr>
          <w:spacing w:val="-7"/>
        </w:rPr>
        <w:t> </w:t>
      </w:r>
      <w:r>
        <w:rPr/>
        <w:t>F.</w:t>
      </w:r>
      <w:r>
        <w:rPr>
          <w:spacing w:val="-7"/>
        </w:rPr>
        <w:t> </w:t>
      </w:r>
      <w:r>
        <w:rPr/>
        <w:t>S.,</w:t>
      </w:r>
      <w:r>
        <w:rPr>
          <w:spacing w:val="-5"/>
        </w:rPr>
        <w:t> </w:t>
      </w:r>
      <w:r>
        <w:rPr/>
        <w:t>Luna,</w:t>
      </w:r>
      <w:r>
        <w:rPr>
          <w:spacing w:val="-7"/>
        </w:rPr>
        <w:t> </w:t>
      </w:r>
      <w:r>
        <w:rPr/>
        <w:t>J.</w:t>
      </w:r>
      <w:r>
        <w:rPr>
          <w:spacing w:val="-7"/>
        </w:rPr>
        <w:t> </w:t>
      </w:r>
      <w:r>
        <w:rPr/>
        <w:t>M.,</w:t>
      </w:r>
      <w:r>
        <w:rPr>
          <w:spacing w:val="-7"/>
        </w:rPr>
        <w:t> </w:t>
      </w:r>
      <w:r>
        <w:rPr/>
        <w:t>Rufino,</w:t>
      </w:r>
      <w:r>
        <w:rPr>
          <w:spacing w:val="-8"/>
        </w:rPr>
        <w:t> </w:t>
      </w:r>
      <w:r>
        <w:rPr/>
        <w:t>R.</w:t>
      </w:r>
      <w:r>
        <w:rPr>
          <w:spacing w:val="-7"/>
        </w:rPr>
        <w:t> </w:t>
      </w:r>
      <w:r>
        <w:rPr/>
        <w:t>D.,</w:t>
      </w:r>
      <w:r>
        <w:rPr>
          <w:spacing w:val="-8"/>
        </w:rPr>
        <w:t> </w:t>
      </w:r>
      <w:r>
        <w:rPr/>
        <w:t>Santos,</w:t>
      </w:r>
      <w:r>
        <w:rPr>
          <w:spacing w:val="-7"/>
        </w:rPr>
        <w:t> </w:t>
      </w:r>
      <w:r>
        <w:rPr/>
        <w:t>V.</w:t>
      </w:r>
      <w:r>
        <w:rPr>
          <w:spacing w:val="-8"/>
        </w:rPr>
        <w:t> </w:t>
      </w:r>
      <w:r>
        <w:rPr/>
        <w:t>A.,</w:t>
      </w:r>
      <w:r>
        <w:rPr>
          <w:spacing w:val="-8"/>
        </w:rPr>
        <w:t> </w:t>
      </w:r>
      <w:r>
        <w:rPr/>
        <w:t>Banat,</w:t>
      </w:r>
      <w:r>
        <w:rPr>
          <w:spacing w:val="-2"/>
        </w:rPr>
        <w:t> </w:t>
      </w:r>
      <w:r>
        <w:rPr/>
        <w:t>I.</w:t>
      </w:r>
      <w:r>
        <w:rPr>
          <w:spacing w:val="-7"/>
        </w:rPr>
        <w:t> </w:t>
      </w:r>
      <w:r>
        <w:rPr/>
        <w:t>M., &amp; Sarubbo, L. A. (2016) Biosurfactants: promising molecules for petroleum biotechnology advances. </w:t>
      </w:r>
      <w:r>
        <w:rPr>
          <w:i/>
        </w:rPr>
        <w:t>Frontiers in Microbiology</w:t>
      </w:r>
      <w:r>
        <w:rPr/>
        <w:t>, 7, 1718.</w:t>
      </w:r>
    </w:p>
    <w:p>
      <w:pPr>
        <w:pStyle w:val="BodyText"/>
        <w:spacing w:before="10"/>
        <w:rPr>
          <w:sz w:val="20"/>
        </w:rPr>
      </w:pPr>
    </w:p>
    <w:p>
      <w:pPr>
        <w:spacing w:before="0"/>
        <w:ind w:left="921" w:right="117" w:hanging="720"/>
        <w:jc w:val="both"/>
        <w:rPr>
          <w:sz w:val="24"/>
        </w:rPr>
      </w:pPr>
      <w:r>
        <w:rPr>
          <w:sz w:val="24"/>
        </w:rPr>
        <w:t>Arulazhagan, P., Vasudevan, N., &amp; Yeom, I. T. (2010). Biodegradation of polycyclic aromatic</w:t>
      </w:r>
      <w:r>
        <w:rPr>
          <w:spacing w:val="-14"/>
          <w:sz w:val="24"/>
        </w:rPr>
        <w:t> </w:t>
      </w:r>
      <w:r>
        <w:rPr>
          <w:sz w:val="24"/>
        </w:rPr>
        <w:t>hydrocarbon</w:t>
      </w:r>
      <w:r>
        <w:rPr>
          <w:spacing w:val="-14"/>
          <w:sz w:val="24"/>
        </w:rPr>
        <w:t> </w:t>
      </w:r>
      <w:r>
        <w:rPr>
          <w:sz w:val="24"/>
        </w:rPr>
        <w:t>by</w:t>
      </w:r>
      <w:r>
        <w:rPr>
          <w:spacing w:val="-15"/>
          <w:sz w:val="24"/>
        </w:rPr>
        <w:t> </w:t>
      </w:r>
      <w:r>
        <w:rPr>
          <w:sz w:val="24"/>
        </w:rPr>
        <w:t>a</w:t>
      </w:r>
      <w:r>
        <w:rPr>
          <w:spacing w:val="-14"/>
          <w:sz w:val="24"/>
        </w:rPr>
        <w:t> </w:t>
      </w:r>
      <w:r>
        <w:rPr>
          <w:sz w:val="24"/>
        </w:rPr>
        <w:t>halotolerant</w:t>
      </w:r>
      <w:r>
        <w:rPr>
          <w:spacing w:val="-13"/>
          <w:sz w:val="24"/>
        </w:rPr>
        <w:t> </w:t>
      </w:r>
      <w:r>
        <w:rPr>
          <w:sz w:val="24"/>
        </w:rPr>
        <w:t>bacterial</w:t>
      </w:r>
      <w:r>
        <w:rPr>
          <w:spacing w:val="-11"/>
          <w:sz w:val="24"/>
        </w:rPr>
        <w:t> </w:t>
      </w:r>
      <w:r>
        <w:rPr>
          <w:sz w:val="24"/>
        </w:rPr>
        <w:t>consortium</w:t>
      </w:r>
      <w:r>
        <w:rPr>
          <w:spacing w:val="-12"/>
          <w:sz w:val="24"/>
        </w:rPr>
        <w:t> </w:t>
      </w:r>
      <w:r>
        <w:rPr>
          <w:sz w:val="24"/>
        </w:rPr>
        <w:t>isolated</w:t>
      </w:r>
      <w:r>
        <w:rPr>
          <w:spacing w:val="-14"/>
          <w:sz w:val="24"/>
        </w:rPr>
        <w:t> </w:t>
      </w:r>
      <w:r>
        <w:rPr>
          <w:sz w:val="24"/>
        </w:rPr>
        <w:t>from</w:t>
      </w:r>
      <w:r>
        <w:rPr>
          <w:spacing w:val="-13"/>
          <w:sz w:val="24"/>
        </w:rPr>
        <w:t> </w:t>
      </w:r>
      <w:r>
        <w:rPr>
          <w:sz w:val="24"/>
        </w:rPr>
        <w:t>marine environment.</w:t>
      </w:r>
      <w:r>
        <w:rPr>
          <w:spacing w:val="-2"/>
          <w:sz w:val="24"/>
        </w:rPr>
        <w:t> </w:t>
      </w:r>
      <w:r>
        <w:rPr>
          <w:i/>
          <w:sz w:val="24"/>
        </w:rPr>
        <w:t>International</w:t>
      </w:r>
      <w:r>
        <w:rPr>
          <w:i/>
          <w:spacing w:val="-3"/>
          <w:sz w:val="24"/>
        </w:rPr>
        <w:t> </w:t>
      </w:r>
      <w:r>
        <w:rPr>
          <w:i/>
          <w:sz w:val="24"/>
        </w:rPr>
        <w:t>Journal</w:t>
      </w:r>
      <w:r>
        <w:rPr>
          <w:i/>
          <w:spacing w:val="40"/>
          <w:sz w:val="24"/>
        </w:rPr>
        <w:t> </w:t>
      </w:r>
      <w:r>
        <w:rPr>
          <w:i/>
          <w:sz w:val="24"/>
        </w:rPr>
        <w:t>of</w:t>
      </w:r>
      <w:r>
        <w:rPr>
          <w:i/>
          <w:spacing w:val="-5"/>
          <w:sz w:val="24"/>
        </w:rPr>
        <w:t> </w:t>
      </w:r>
      <w:r>
        <w:rPr>
          <w:i/>
          <w:sz w:val="24"/>
        </w:rPr>
        <w:t>Environmental</w:t>
      </w:r>
      <w:r>
        <w:rPr>
          <w:i/>
          <w:spacing w:val="-3"/>
          <w:sz w:val="24"/>
        </w:rPr>
        <w:t> </w:t>
      </w:r>
      <w:r>
        <w:rPr>
          <w:i/>
          <w:sz w:val="24"/>
        </w:rPr>
        <w:t>Science</w:t>
      </w:r>
      <w:r>
        <w:rPr>
          <w:i/>
          <w:spacing w:val="-4"/>
          <w:sz w:val="24"/>
        </w:rPr>
        <w:t> </w:t>
      </w:r>
      <w:r>
        <w:rPr>
          <w:i/>
          <w:sz w:val="24"/>
        </w:rPr>
        <w:t>and</w:t>
      </w:r>
      <w:r>
        <w:rPr>
          <w:i/>
          <w:spacing w:val="-3"/>
          <w:sz w:val="24"/>
        </w:rPr>
        <w:t> </w:t>
      </w:r>
      <w:r>
        <w:rPr>
          <w:i/>
          <w:sz w:val="24"/>
        </w:rPr>
        <w:t>Techonology</w:t>
      </w:r>
      <w:r>
        <w:rPr>
          <w:sz w:val="24"/>
        </w:rPr>
        <w:t>, 7(4), 639–652.</w:t>
      </w:r>
    </w:p>
    <w:p>
      <w:pPr>
        <w:pStyle w:val="BodyText"/>
        <w:spacing w:before="11"/>
        <w:rPr>
          <w:sz w:val="20"/>
        </w:rPr>
      </w:pPr>
    </w:p>
    <w:p>
      <w:pPr>
        <w:spacing w:before="0"/>
        <w:ind w:left="921" w:right="120" w:hanging="720"/>
        <w:jc w:val="both"/>
        <w:rPr>
          <w:sz w:val="24"/>
        </w:rPr>
      </w:pPr>
      <w:r>
        <w:rPr>
          <w:sz w:val="24"/>
        </w:rPr>
        <w:t>Ayuba, K.A. (2012). Environmental Impact of Oil Exploration and Exploration in the Niger</w:t>
      </w:r>
      <w:r>
        <w:rPr>
          <w:spacing w:val="-15"/>
          <w:sz w:val="24"/>
        </w:rPr>
        <w:t> </w:t>
      </w:r>
      <w:r>
        <w:rPr>
          <w:sz w:val="24"/>
        </w:rPr>
        <w:t>Delta</w:t>
      </w:r>
      <w:r>
        <w:rPr>
          <w:spacing w:val="-15"/>
          <w:sz w:val="24"/>
        </w:rPr>
        <w:t> </w:t>
      </w:r>
      <w:r>
        <w:rPr>
          <w:sz w:val="24"/>
        </w:rPr>
        <w:t>of</w:t>
      </w:r>
      <w:r>
        <w:rPr>
          <w:spacing w:val="-15"/>
          <w:sz w:val="24"/>
        </w:rPr>
        <w:t> </w:t>
      </w:r>
      <w:r>
        <w:rPr>
          <w:sz w:val="24"/>
        </w:rPr>
        <w:t>Nigeria.</w:t>
      </w:r>
      <w:r>
        <w:rPr>
          <w:spacing w:val="-15"/>
          <w:sz w:val="24"/>
        </w:rPr>
        <w:t> </w:t>
      </w:r>
      <w:r>
        <w:rPr>
          <w:i/>
          <w:sz w:val="24"/>
        </w:rPr>
        <w:t>Global</w:t>
      </w:r>
      <w:r>
        <w:rPr>
          <w:i/>
          <w:spacing w:val="-15"/>
          <w:sz w:val="24"/>
        </w:rPr>
        <w:t> </w:t>
      </w:r>
      <w:r>
        <w:rPr>
          <w:i/>
          <w:sz w:val="24"/>
        </w:rPr>
        <w:t>Journal</w:t>
      </w:r>
      <w:r>
        <w:rPr>
          <w:i/>
          <w:spacing w:val="-15"/>
          <w:sz w:val="24"/>
        </w:rPr>
        <w:t> </w:t>
      </w:r>
      <w:r>
        <w:rPr>
          <w:i/>
          <w:sz w:val="24"/>
        </w:rPr>
        <w:t>of</w:t>
      </w:r>
      <w:r>
        <w:rPr>
          <w:i/>
          <w:spacing w:val="-15"/>
          <w:sz w:val="24"/>
        </w:rPr>
        <w:t> </w:t>
      </w:r>
      <w:r>
        <w:rPr>
          <w:i/>
          <w:sz w:val="24"/>
        </w:rPr>
        <w:t>Science</w:t>
      </w:r>
      <w:r>
        <w:rPr>
          <w:i/>
          <w:spacing w:val="-15"/>
          <w:sz w:val="24"/>
        </w:rPr>
        <w:t> </w:t>
      </w:r>
      <w:r>
        <w:rPr>
          <w:i/>
          <w:sz w:val="24"/>
        </w:rPr>
        <w:t>Frontier</w:t>
      </w:r>
      <w:r>
        <w:rPr>
          <w:i/>
          <w:spacing w:val="-15"/>
          <w:sz w:val="24"/>
        </w:rPr>
        <w:t> </w:t>
      </w:r>
      <w:r>
        <w:rPr>
          <w:i/>
          <w:sz w:val="24"/>
        </w:rPr>
        <w:t>Research</w:t>
      </w:r>
      <w:r>
        <w:rPr>
          <w:i/>
          <w:spacing w:val="-15"/>
          <w:sz w:val="24"/>
        </w:rPr>
        <w:t> </w:t>
      </w:r>
      <w:r>
        <w:rPr>
          <w:i/>
          <w:sz w:val="24"/>
        </w:rPr>
        <w:t>Environment andEarth Sciences </w:t>
      </w:r>
      <w:r>
        <w:rPr>
          <w:sz w:val="24"/>
        </w:rPr>
        <w:t>12(3), 18-28.</w:t>
      </w:r>
    </w:p>
    <w:p>
      <w:pPr>
        <w:pStyle w:val="BodyText"/>
        <w:spacing w:before="10"/>
        <w:rPr>
          <w:sz w:val="20"/>
        </w:rPr>
      </w:pPr>
    </w:p>
    <w:p>
      <w:pPr>
        <w:pStyle w:val="BodyText"/>
        <w:ind w:left="921" w:right="119" w:hanging="720"/>
        <w:jc w:val="both"/>
      </w:pPr>
      <w:r>
        <w:rPr/>
        <w:t>Babayi, S., Mhiri, T., &amp; Toumi, M. (2015). Synthesis, structural and spectroscopic characterizations of maghemite γ-Fe2O3 prepared by one-step coprecipitation route. </w:t>
      </w:r>
      <w:r>
        <w:rPr>
          <w:i/>
        </w:rPr>
        <w:t>Journal of Molecular Structure</w:t>
      </w:r>
      <w:r>
        <w:rPr/>
        <w:t>, 1085, 286-293.</w:t>
      </w:r>
    </w:p>
    <w:p>
      <w:pPr>
        <w:pStyle w:val="BodyText"/>
        <w:spacing w:before="5"/>
      </w:pPr>
    </w:p>
    <w:p>
      <w:pPr>
        <w:pStyle w:val="BodyText"/>
        <w:ind w:left="921" w:right="115" w:hanging="720"/>
        <w:jc w:val="both"/>
      </w:pPr>
      <w:r>
        <w:rPr/>
        <w:t>Baghebo,</w:t>
      </w:r>
      <w:r>
        <w:rPr>
          <w:spacing w:val="-7"/>
        </w:rPr>
        <w:t> </w:t>
      </w:r>
      <w:r>
        <w:rPr/>
        <w:t>M.,</w:t>
      </w:r>
      <w:r>
        <w:rPr>
          <w:spacing w:val="-7"/>
        </w:rPr>
        <w:t> </w:t>
      </w:r>
      <w:r>
        <w:rPr/>
        <w:t>Ubi,</w:t>
      </w:r>
      <w:r>
        <w:rPr>
          <w:spacing w:val="-7"/>
        </w:rPr>
        <w:t> </w:t>
      </w:r>
      <w:r>
        <w:rPr/>
        <w:t>P.</w:t>
      </w:r>
      <w:r>
        <w:rPr>
          <w:spacing w:val="-7"/>
        </w:rPr>
        <w:t> </w:t>
      </w:r>
      <w:r>
        <w:rPr/>
        <w:t>S.,</w:t>
      </w:r>
      <w:r>
        <w:rPr>
          <w:spacing w:val="-7"/>
        </w:rPr>
        <w:t> </w:t>
      </w:r>
      <w:r>
        <w:rPr/>
        <w:t>&amp;</w:t>
      </w:r>
      <w:r>
        <w:rPr>
          <w:spacing w:val="-9"/>
        </w:rPr>
        <w:t> </w:t>
      </w:r>
      <w:r>
        <w:rPr/>
        <w:t>Eucharia,</w:t>
      </w:r>
      <w:r>
        <w:rPr>
          <w:spacing w:val="-7"/>
        </w:rPr>
        <w:t> </w:t>
      </w:r>
      <w:r>
        <w:rPr/>
        <w:t>N.</w:t>
      </w:r>
      <w:r>
        <w:rPr>
          <w:spacing w:val="-8"/>
        </w:rPr>
        <w:t> </w:t>
      </w:r>
      <w:r>
        <w:rPr/>
        <w:t>N.</w:t>
      </w:r>
      <w:r>
        <w:rPr>
          <w:spacing w:val="-8"/>
        </w:rPr>
        <w:t> </w:t>
      </w:r>
      <w:r>
        <w:rPr/>
        <w:t>(2012).</w:t>
      </w:r>
      <w:r>
        <w:rPr>
          <w:spacing w:val="-7"/>
        </w:rPr>
        <w:t> </w:t>
      </w:r>
      <w:r>
        <w:rPr/>
        <w:t>Environmental</w:t>
      </w:r>
      <w:r>
        <w:rPr>
          <w:spacing w:val="-7"/>
        </w:rPr>
        <w:t> </w:t>
      </w:r>
      <w:r>
        <w:rPr/>
        <w:t>damage</w:t>
      </w:r>
      <w:r>
        <w:rPr>
          <w:spacing w:val="-6"/>
        </w:rPr>
        <w:t> </w:t>
      </w:r>
      <w:r>
        <w:rPr/>
        <w:t>caused</w:t>
      </w:r>
      <w:r>
        <w:rPr>
          <w:spacing w:val="-7"/>
        </w:rPr>
        <w:t> </w:t>
      </w:r>
      <w:r>
        <w:rPr/>
        <w:t>by</w:t>
      </w:r>
      <w:r>
        <w:rPr>
          <w:spacing w:val="-12"/>
        </w:rPr>
        <w:t> </w:t>
      </w:r>
      <w:r>
        <w:rPr/>
        <w:t>the activites of multinational oil giants in the Niger Delta region of Nigeria. J</w:t>
      </w:r>
      <w:r>
        <w:rPr>
          <w:i/>
        </w:rPr>
        <w:t>ournal of Humanities and Social Science, </w:t>
      </w:r>
      <w:r>
        <w:rPr/>
        <w:t>5(6), 9-13.</w:t>
      </w:r>
    </w:p>
    <w:p>
      <w:pPr>
        <w:spacing w:after="0"/>
        <w:jc w:val="both"/>
        <w:sectPr>
          <w:pgSz w:w="11910" w:h="16840"/>
          <w:pgMar w:header="0" w:footer="1002" w:top="1320" w:bottom="1200" w:left="1500" w:right="1580"/>
        </w:sectPr>
      </w:pPr>
    </w:p>
    <w:p>
      <w:pPr>
        <w:pStyle w:val="BodyText"/>
        <w:spacing w:before="69"/>
        <w:ind w:left="921" w:right="119" w:hanging="720"/>
        <w:jc w:val="both"/>
      </w:pPr>
      <w:r>
        <w:rPr/>
        <w:t>Banat,</w:t>
      </w:r>
      <w:r>
        <w:rPr>
          <w:spacing w:val="-2"/>
        </w:rPr>
        <w:t> </w:t>
      </w:r>
      <w:r>
        <w:rPr/>
        <w:t>I.</w:t>
      </w:r>
      <w:r>
        <w:rPr>
          <w:spacing w:val="-4"/>
        </w:rPr>
        <w:t> </w:t>
      </w:r>
      <w:r>
        <w:rPr/>
        <w:t>M.,</w:t>
      </w:r>
      <w:r>
        <w:rPr>
          <w:spacing w:val="-4"/>
        </w:rPr>
        <w:t> </w:t>
      </w:r>
      <w:r>
        <w:rPr/>
        <w:t>Franzetti,</w:t>
      </w:r>
      <w:r>
        <w:rPr>
          <w:spacing w:val="-4"/>
        </w:rPr>
        <w:t> </w:t>
      </w:r>
      <w:r>
        <w:rPr/>
        <w:t>A.,</w:t>
      </w:r>
      <w:r>
        <w:rPr>
          <w:spacing w:val="-4"/>
        </w:rPr>
        <w:t> </w:t>
      </w:r>
      <w:r>
        <w:rPr/>
        <w:t>Gandolfi,</w:t>
      </w:r>
      <w:r>
        <w:rPr>
          <w:spacing w:val="-2"/>
        </w:rPr>
        <w:t> </w:t>
      </w:r>
      <w:r>
        <w:rPr/>
        <w:t>I.,</w:t>
      </w:r>
      <w:r>
        <w:rPr>
          <w:spacing w:val="-4"/>
        </w:rPr>
        <w:t> </w:t>
      </w:r>
      <w:r>
        <w:rPr/>
        <w:t>Bestetti,</w:t>
      </w:r>
      <w:r>
        <w:rPr>
          <w:spacing w:val="-4"/>
        </w:rPr>
        <w:t> </w:t>
      </w:r>
      <w:r>
        <w:rPr/>
        <w:t>G.,</w:t>
      </w:r>
      <w:r>
        <w:rPr>
          <w:spacing w:val="-4"/>
        </w:rPr>
        <w:t> </w:t>
      </w:r>
      <w:r>
        <w:rPr/>
        <w:t>Martinotti,</w:t>
      </w:r>
      <w:r>
        <w:rPr>
          <w:spacing w:val="-4"/>
        </w:rPr>
        <w:t> </w:t>
      </w:r>
      <w:r>
        <w:rPr/>
        <w:t>M.</w:t>
      </w:r>
      <w:r>
        <w:rPr>
          <w:spacing w:val="-7"/>
        </w:rPr>
        <w:t> </w:t>
      </w:r>
      <w:r>
        <w:rPr/>
        <w:t>G.,</w:t>
      </w:r>
      <w:r>
        <w:rPr>
          <w:spacing w:val="-4"/>
        </w:rPr>
        <w:t> </w:t>
      </w:r>
      <w:r>
        <w:rPr/>
        <w:t>Fracchia,</w:t>
      </w:r>
      <w:r>
        <w:rPr>
          <w:spacing w:val="-3"/>
        </w:rPr>
        <w:t> </w:t>
      </w:r>
      <w:r>
        <w:rPr/>
        <w:t>L.,</w:t>
      </w:r>
      <w:r>
        <w:rPr>
          <w:spacing w:val="-4"/>
        </w:rPr>
        <w:t> </w:t>
      </w:r>
      <w:r>
        <w:rPr/>
        <w:t>...</w:t>
      </w:r>
      <w:r>
        <w:rPr>
          <w:spacing w:val="-4"/>
        </w:rPr>
        <w:t> </w:t>
      </w:r>
      <w:r>
        <w:rPr/>
        <w:t>&amp; Marchant,</w:t>
      </w:r>
      <w:r>
        <w:rPr>
          <w:spacing w:val="-11"/>
        </w:rPr>
        <w:t> </w:t>
      </w:r>
      <w:r>
        <w:rPr/>
        <w:t>R.</w:t>
      </w:r>
      <w:r>
        <w:rPr>
          <w:spacing w:val="-14"/>
        </w:rPr>
        <w:t> </w:t>
      </w:r>
      <w:r>
        <w:rPr/>
        <w:t>(2010).</w:t>
      </w:r>
      <w:r>
        <w:rPr>
          <w:spacing w:val="-12"/>
        </w:rPr>
        <w:t> </w:t>
      </w:r>
      <w:r>
        <w:rPr/>
        <w:t>Microbial</w:t>
      </w:r>
      <w:r>
        <w:rPr>
          <w:spacing w:val="-14"/>
        </w:rPr>
        <w:t> </w:t>
      </w:r>
      <w:r>
        <w:rPr/>
        <w:t>biosurfactants</w:t>
      </w:r>
      <w:r>
        <w:rPr>
          <w:spacing w:val="-14"/>
        </w:rPr>
        <w:t> </w:t>
      </w:r>
      <w:r>
        <w:rPr/>
        <w:t>production,</w:t>
      </w:r>
      <w:r>
        <w:rPr>
          <w:spacing w:val="-12"/>
        </w:rPr>
        <w:t> </w:t>
      </w:r>
      <w:r>
        <w:rPr/>
        <w:t>applications</w:t>
      </w:r>
      <w:r>
        <w:rPr>
          <w:spacing w:val="-14"/>
        </w:rPr>
        <w:t> </w:t>
      </w:r>
      <w:r>
        <w:rPr/>
        <w:t>and</w:t>
      </w:r>
      <w:r>
        <w:rPr>
          <w:spacing w:val="-14"/>
        </w:rPr>
        <w:t> </w:t>
      </w:r>
      <w:r>
        <w:rPr/>
        <w:t>future potential. </w:t>
      </w:r>
      <w:r>
        <w:rPr>
          <w:i/>
        </w:rPr>
        <w:t>Applied Microbiology and Biotechnology</w:t>
      </w:r>
      <w:r>
        <w:rPr/>
        <w:t>, 87(2), 427-444.</w:t>
      </w:r>
    </w:p>
    <w:p>
      <w:pPr>
        <w:pStyle w:val="BodyText"/>
        <w:spacing w:before="11"/>
        <w:rPr>
          <w:sz w:val="20"/>
        </w:rPr>
      </w:pPr>
    </w:p>
    <w:p>
      <w:pPr>
        <w:pStyle w:val="BodyText"/>
        <w:ind w:left="921" w:right="116" w:hanging="720"/>
        <w:jc w:val="both"/>
      </w:pPr>
      <w:r>
        <w:rPr/>
        <w:t>Bennet, D. G. (2016). Oilfield Microbiology: detection Techniques used in Monitoring Problematic Microogragnisms such as Sulphate-Reducingg Bacteria SRB. </w:t>
      </w:r>
      <w:r>
        <w:rPr>
          <w:i/>
        </w:rPr>
        <w:t>In offshore Technology Conference Asia. </w:t>
      </w:r>
      <w:r>
        <w:rPr/>
        <w:t>Offshore Technology Conference.</w:t>
      </w:r>
    </w:p>
    <w:p>
      <w:pPr>
        <w:pStyle w:val="BodyText"/>
        <w:spacing w:before="10"/>
        <w:rPr>
          <w:sz w:val="20"/>
        </w:rPr>
      </w:pPr>
    </w:p>
    <w:p>
      <w:pPr>
        <w:spacing w:before="0"/>
        <w:ind w:left="921" w:right="119" w:hanging="720"/>
        <w:jc w:val="both"/>
        <w:rPr>
          <w:sz w:val="24"/>
        </w:rPr>
      </w:pPr>
      <w:r>
        <w:rPr>
          <w:sz w:val="24"/>
        </w:rPr>
        <w:t>Bharali, P., Das, S., Konwar, B.K., &amp; Thakur, A.J. (2011). Crude biosurfactant from thermophilic Alcaligenes faecalis: Feasibility in petro-spill bioremediation. </w:t>
      </w:r>
      <w:r>
        <w:rPr>
          <w:i/>
          <w:sz w:val="24"/>
        </w:rPr>
        <w:t>International Biodeterioration &amp; Biodegradation</w:t>
      </w:r>
      <w:r>
        <w:rPr>
          <w:sz w:val="24"/>
        </w:rPr>
        <w:t>, 65, 682-690</w:t>
      </w:r>
    </w:p>
    <w:p>
      <w:pPr>
        <w:pStyle w:val="BodyText"/>
        <w:spacing w:before="10"/>
        <w:rPr>
          <w:sz w:val="20"/>
        </w:rPr>
      </w:pPr>
    </w:p>
    <w:p>
      <w:pPr>
        <w:pStyle w:val="BodyText"/>
        <w:spacing w:line="242" w:lineRule="auto"/>
        <w:ind w:left="921" w:right="122" w:hanging="720"/>
        <w:jc w:val="both"/>
      </w:pPr>
      <w:r>
        <w:rPr/>
        <w:t>Bisht, S., Pandey, P., Bhargava, B., Sharma, S., Kumar, V., &amp; Sharma, K. D. (2015). Bioremediation</w:t>
      </w:r>
      <w:r>
        <w:rPr>
          <w:spacing w:val="-10"/>
        </w:rPr>
        <w:t> </w:t>
      </w:r>
      <w:r>
        <w:rPr/>
        <w:t>of</w:t>
      </w:r>
      <w:r>
        <w:rPr>
          <w:spacing w:val="-11"/>
        </w:rPr>
        <w:t> </w:t>
      </w:r>
      <w:r>
        <w:rPr/>
        <w:t>polycyclic</w:t>
      </w:r>
      <w:r>
        <w:rPr>
          <w:spacing w:val="-11"/>
        </w:rPr>
        <w:t> </w:t>
      </w:r>
      <w:r>
        <w:rPr/>
        <w:t>hydrocarbons</w:t>
      </w:r>
      <w:r>
        <w:rPr>
          <w:spacing w:val="-11"/>
        </w:rPr>
        <w:t> </w:t>
      </w:r>
      <w:r>
        <w:rPr/>
        <w:t>(PAHs)</w:t>
      </w:r>
      <w:r>
        <w:rPr>
          <w:spacing w:val="-12"/>
        </w:rPr>
        <w:t> </w:t>
      </w:r>
      <w:r>
        <w:rPr/>
        <w:t>using</w:t>
      </w:r>
      <w:r>
        <w:rPr>
          <w:spacing w:val="-13"/>
        </w:rPr>
        <w:t> </w:t>
      </w:r>
      <w:r>
        <w:rPr/>
        <w:t>rhizophere</w:t>
      </w:r>
      <w:r>
        <w:rPr>
          <w:spacing w:val="-13"/>
        </w:rPr>
        <w:t> </w:t>
      </w:r>
      <w:r>
        <w:rPr/>
        <w:t>technology. </w:t>
      </w:r>
      <w:r>
        <w:rPr>
          <w:i/>
        </w:rPr>
        <w:t>Brazilian Journal of Microbiology, </w:t>
      </w:r>
      <w:r>
        <w:rPr/>
        <w:t>46(1), 7-21.</w:t>
      </w:r>
    </w:p>
    <w:p>
      <w:pPr>
        <w:pStyle w:val="BodyText"/>
        <w:spacing w:before="194"/>
        <w:ind w:left="921" w:right="116" w:hanging="720"/>
        <w:jc w:val="both"/>
      </w:pPr>
      <w:r>
        <w:rPr/>
        <w:t>Brewer,</w:t>
      </w:r>
      <w:r>
        <w:rPr>
          <w:spacing w:val="-15"/>
        </w:rPr>
        <w:t> </w:t>
      </w:r>
      <w:r>
        <w:rPr/>
        <w:t>C.</w:t>
      </w:r>
      <w:r>
        <w:rPr>
          <w:spacing w:val="-15"/>
        </w:rPr>
        <w:t> </w:t>
      </w:r>
      <w:r>
        <w:rPr/>
        <w:t>E.,</w:t>
      </w:r>
      <w:r>
        <w:rPr>
          <w:spacing w:val="-15"/>
        </w:rPr>
        <w:t> </w:t>
      </w:r>
      <w:r>
        <w:rPr/>
        <w:t>Hu,</w:t>
      </w:r>
      <w:r>
        <w:rPr>
          <w:spacing w:val="-15"/>
        </w:rPr>
        <w:t> </w:t>
      </w:r>
      <w:r>
        <w:rPr/>
        <w:t>Y.</w:t>
      </w:r>
      <w:r>
        <w:rPr>
          <w:spacing w:val="-15"/>
        </w:rPr>
        <w:t> </w:t>
      </w:r>
      <w:r>
        <w:rPr/>
        <w:t>Y.,</w:t>
      </w:r>
      <w:r>
        <w:rPr>
          <w:spacing w:val="24"/>
        </w:rPr>
        <w:t> </w:t>
      </w:r>
      <w:r>
        <w:rPr/>
        <w:t>Schmidt-Rohr,</w:t>
      </w:r>
      <w:r>
        <w:rPr>
          <w:spacing w:val="-15"/>
        </w:rPr>
        <w:t> </w:t>
      </w:r>
      <w:r>
        <w:rPr/>
        <w:t>K.,</w:t>
      </w:r>
      <w:r>
        <w:rPr>
          <w:spacing w:val="-15"/>
        </w:rPr>
        <w:t> </w:t>
      </w:r>
      <w:r>
        <w:rPr/>
        <w:t>Loynachan,</w:t>
      </w:r>
      <w:r>
        <w:rPr>
          <w:spacing w:val="-15"/>
        </w:rPr>
        <w:t> </w:t>
      </w:r>
      <w:r>
        <w:rPr/>
        <w:t>T.E.,Laird,</w:t>
      </w:r>
      <w:r>
        <w:rPr>
          <w:spacing w:val="-15"/>
        </w:rPr>
        <w:t> </w:t>
      </w:r>
      <w:r>
        <w:rPr/>
        <w:t>D.A.,</w:t>
      </w:r>
      <w:r>
        <w:rPr>
          <w:spacing w:val="-15"/>
        </w:rPr>
        <w:t> </w:t>
      </w:r>
      <w:r>
        <w:rPr/>
        <w:t>&amp;Brown,</w:t>
      </w:r>
      <w:r>
        <w:rPr>
          <w:spacing w:val="-15"/>
        </w:rPr>
        <w:t> </w:t>
      </w:r>
      <w:r>
        <w:rPr/>
        <w:t>R.C. (2012).</w:t>
      </w:r>
      <w:r>
        <w:rPr>
          <w:spacing w:val="-15"/>
        </w:rPr>
        <w:t> </w:t>
      </w:r>
      <w:r>
        <w:rPr/>
        <w:t>Extent</w:t>
      </w:r>
      <w:r>
        <w:rPr>
          <w:spacing w:val="-15"/>
        </w:rPr>
        <w:t> </w:t>
      </w:r>
      <w:r>
        <w:rPr/>
        <w:t>of</w:t>
      </w:r>
      <w:r>
        <w:rPr>
          <w:spacing w:val="-15"/>
        </w:rPr>
        <w:t> </w:t>
      </w:r>
      <w:r>
        <w:rPr/>
        <w:t>pyrolysis</w:t>
      </w:r>
      <w:r>
        <w:rPr>
          <w:spacing w:val="-13"/>
        </w:rPr>
        <w:t> </w:t>
      </w:r>
      <w:r>
        <w:rPr/>
        <w:t>impacts</w:t>
      </w:r>
      <w:r>
        <w:rPr>
          <w:spacing w:val="-15"/>
        </w:rPr>
        <w:t> </w:t>
      </w:r>
      <w:r>
        <w:rPr/>
        <w:t>on</w:t>
      </w:r>
      <w:r>
        <w:rPr>
          <w:spacing w:val="-15"/>
        </w:rPr>
        <w:t> </w:t>
      </w:r>
      <w:r>
        <w:rPr/>
        <w:t>fast</w:t>
      </w:r>
      <w:r>
        <w:rPr>
          <w:spacing w:val="-13"/>
        </w:rPr>
        <w:t> </w:t>
      </w:r>
      <w:r>
        <w:rPr/>
        <w:t>pyrolysis</w:t>
      </w:r>
      <w:r>
        <w:rPr>
          <w:spacing w:val="-15"/>
        </w:rPr>
        <w:t> </w:t>
      </w:r>
      <w:r>
        <w:rPr/>
        <w:t>biochar</w:t>
      </w:r>
      <w:r>
        <w:rPr>
          <w:spacing w:val="-15"/>
        </w:rPr>
        <w:t> </w:t>
      </w:r>
      <w:r>
        <w:rPr/>
        <w:t>properties.</w:t>
      </w:r>
      <w:r>
        <w:rPr>
          <w:spacing w:val="-12"/>
        </w:rPr>
        <w:t> </w:t>
      </w:r>
      <w:r>
        <w:rPr>
          <w:i/>
        </w:rPr>
        <w:t>Journalof Environmental Quality</w:t>
      </w:r>
      <w:r>
        <w:rPr/>
        <w:t>, 41(4), 1115–1122.</w:t>
      </w:r>
    </w:p>
    <w:p>
      <w:pPr>
        <w:pStyle w:val="BodyText"/>
        <w:spacing w:before="10"/>
        <w:rPr>
          <w:sz w:val="20"/>
        </w:rPr>
      </w:pPr>
    </w:p>
    <w:p>
      <w:pPr>
        <w:pStyle w:val="BodyText"/>
        <w:ind w:left="921" w:right="118" w:hanging="720"/>
        <w:jc w:val="both"/>
      </w:pPr>
      <w:r>
        <w:rPr/>
        <w:t>Brown,</w:t>
      </w:r>
      <w:r>
        <w:rPr>
          <w:spacing w:val="-1"/>
        </w:rPr>
        <w:t> </w:t>
      </w:r>
      <w:r>
        <w:rPr/>
        <w:t>D.</w:t>
      </w:r>
      <w:r>
        <w:rPr>
          <w:spacing w:val="-2"/>
        </w:rPr>
        <w:t> </w:t>
      </w:r>
      <w:r>
        <w:rPr/>
        <w:t>M.,</w:t>
      </w:r>
      <w:r>
        <w:rPr>
          <w:spacing w:val="-1"/>
        </w:rPr>
        <w:t> </w:t>
      </w:r>
      <w:r>
        <w:rPr/>
        <w:t>Okoro,</w:t>
      </w:r>
      <w:r>
        <w:rPr>
          <w:spacing w:val="-1"/>
        </w:rPr>
        <w:t> </w:t>
      </w:r>
      <w:r>
        <w:rPr/>
        <w:t>S.,</w:t>
      </w:r>
      <w:r>
        <w:rPr>
          <w:spacing w:val="-2"/>
        </w:rPr>
        <w:t> </w:t>
      </w:r>
      <w:r>
        <w:rPr/>
        <w:t>van</w:t>
      </w:r>
      <w:r>
        <w:rPr>
          <w:spacing w:val="-1"/>
        </w:rPr>
        <w:t> </w:t>
      </w:r>
      <w:r>
        <w:rPr/>
        <w:t>Gils,</w:t>
      </w:r>
      <w:r>
        <w:rPr>
          <w:spacing w:val="-2"/>
        </w:rPr>
        <w:t> </w:t>
      </w:r>
      <w:r>
        <w:rPr/>
        <w:t>J.,</w:t>
      </w:r>
      <w:r>
        <w:rPr>
          <w:spacing w:val="-2"/>
        </w:rPr>
        <w:t> </w:t>
      </w:r>
      <w:r>
        <w:rPr/>
        <w:t>van</w:t>
      </w:r>
      <w:r>
        <w:rPr>
          <w:spacing w:val="-1"/>
        </w:rPr>
        <w:t> </w:t>
      </w:r>
      <w:r>
        <w:rPr/>
        <w:t>Spanning,</w:t>
      </w:r>
      <w:r>
        <w:rPr>
          <w:spacing w:val="-2"/>
        </w:rPr>
        <w:t> </w:t>
      </w:r>
      <w:r>
        <w:rPr/>
        <w:t>R.,</w:t>
      </w:r>
      <w:r>
        <w:rPr>
          <w:spacing w:val="-1"/>
        </w:rPr>
        <w:t> </w:t>
      </w:r>
      <w:r>
        <w:rPr/>
        <w:t>Bonte,</w:t>
      </w:r>
      <w:r>
        <w:rPr>
          <w:spacing w:val="-2"/>
        </w:rPr>
        <w:t> </w:t>
      </w:r>
      <w:r>
        <w:rPr/>
        <w:t>M.,</w:t>
      </w:r>
      <w:r>
        <w:rPr>
          <w:spacing w:val="-1"/>
        </w:rPr>
        <w:t> </w:t>
      </w:r>
      <w:r>
        <w:rPr/>
        <w:t>Hutchings,</w:t>
      </w:r>
      <w:r>
        <w:rPr>
          <w:spacing w:val="-3"/>
        </w:rPr>
        <w:t> </w:t>
      </w:r>
      <w:r>
        <w:rPr/>
        <w:t>T.,</w:t>
      </w:r>
      <w:r>
        <w:rPr>
          <w:spacing w:val="-1"/>
        </w:rPr>
        <w:t> </w:t>
      </w:r>
      <w:r>
        <w:rPr/>
        <w:t>…</w:t>
      </w:r>
      <w:r>
        <w:rPr>
          <w:spacing w:val="-1"/>
        </w:rPr>
        <w:t> </w:t>
      </w:r>
      <w:r>
        <w:rPr/>
        <w:t>&amp; Smith, J. W. (2017). Comparison of landfarming amendments to improve bioremediation of petroleum hydrocarbons in Niger Delta soils. </w:t>
      </w:r>
      <w:r>
        <w:rPr>
          <w:i/>
        </w:rPr>
        <w:t>Science of Total Environment, </w:t>
      </w:r>
      <w:r>
        <w:rPr/>
        <w:t>596, 284-292.</w:t>
      </w:r>
    </w:p>
    <w:p>
      <w:pPr>
        <w:pStyle w:val="BodyText"/>
        <w:spacing w:before="10"/>
        <w:rPr>
          <w:sz w:val="20"/>
        </w:rPr>
      </w:pPr>
    </w:p>
    <w:p>
      <w:pPr>
        <w:pStyle w:val="BodyText"/>
        <w:spacing w:before="1"/>
        <w:ind w:left="921" w:right="117" w:hanging="720"/>
        <w:jc w:val="both"/>
      </w:pPr>
      <w:r>
        <w:rPr/>
        <w:t>Brown, D. M., Okoro, S., van Gils, J., van Spanning, R., Bonte, M., Hutchings, T., Linden, O., Egbuche, U., e Bruun, K. B., &amp; Smith, J. W. N. (2017). Comparison of landfarming amendments to improve bioremediation of petroleum hydrocarbons in Niger Delta soils. </w:t>
      </w:r>
      <w:r>
        <w:rPr>
          <w:i/>
        </w:rPr>
        <w:t>Science of the Total Environment, </w:t>
      </w:r>
      <w:r>
        <w:rPr/>
        <w:t>596–597, </w:t>
      </w:r>
      <w:r>
        <w:rPr>
          <w:spacing w:val="-2"/>
        </w:rPr>
        <w:t>284–292.</w:t>
      </w:r>
    </w:p>
    <w:p>
      <w:pPr>
        <w:pStyle w:val="BodyText"/>
        <w:spacing w:before="9"/>
        <w:rPr>
          <w:sz w:val="20"/>
        </w:rPr>
      </w:pPr>
    </w:p>
    <w:p>
      <w:pPr>
        <w:pStyle w:val="BodyText"/>
        <w:spacing w:before="1"/>
        <w:ind w:left="921" w:right="116" w:hanging="720"/>
        <w:jc w:val="both"/>
      </w:pPr>
      <w:r>
        <w:rPr/>
        <w:t>Bumajdad, A., Ali, S., &amp; Mathew, A. (2011). Characterization of iron hydroxide/oxide nanoparticles prepared in microemulsions stabilized with cationic/non-ionic surfactant mixtures. </w:t>
      </w:r>
      <w:r>
        <w:rPr>
          <w:i/>
        </w:rPr>
        <w:t>Journal of Colloid and Interface Science</w:t>
      </w:r>
      <w:r>
        <w:rPr/>
        <w:t>, 355(2), 282-292.</w:t>
      </w:r>
    </w:p>
    <w:p>
      <w:pPr>
        <w:pStyle w:val="BodyText"/>
        <w:spacing w:before="7"/>
        <w:rPr>
          <w:sz w:val="20"/>
        </w:rPr>
      </w:pPr>
    </w:p>
    <w:p>
      <w:pPr>
        <w:pStyle w:val="BodyText"/>
        <w:ind w:left="921" w:right="116" w:hanging="720"/>
        <w:jc w:val="both"/>
      </w:pPr>
      <w:r>
        <w:rPr/>
        <w:t>Bumajdad, A., Ali, S., &amp; Mathew, A. (2015). Characterization of iron hydroxide/oxide nanoparticles prepared in microemulsions stabilized with cationic/non-ionic surfactant mixtures. </w:t>
      </w:r>
      <w:r>
        <w:rPr>
          <w:i/>
        </w:rPr>
        <w:t>Journal of Colloid and Interface Science</w:t>
      </w:r>
      <w:r>
        <w:rPr/>
        <w:t>, 355(2), 282–292.</w:t>
      </w:r>
    </w:p>
    <w:p>
      <w:pPr>
        <w:pStyle w:val="BodyText"/>
        <w:spacing w:before="11"/>
        <w:rPr>
          <w:sz w:val="20"/>
        </w:rPr>
      </w:pPr>
    </w:p>
    <w:p>
      <w:pPr>
        <w:pStyle w:val="BodyText"/>
        <w:ind w:left="833" w:right="116" w:hanging="632"/>
        <w:jc w:val="both"/>
      </w:pPr>
      <w:r>
        <w:rPr/>
        <w:t>Calvo, C., Toledo, F. L., &amp; Gonzalez-Lopez, J.(2004). Surfactant</w:t>
      </w:r>
      <w:r>
        <w:rPr/>
        <w:t> activity</w:t>
      </w:r>
      <w:r>
        <w:rPr/>
        <w:t> of</w:t>
      </w:r>
      <w:r>
        <w:rPr/>
        <w:t> a naphthalene</w:t>
      </w:r>
      <w:r>
        <w:rPr>
          <w:spacing w:val="-8"/>
        </w:rPr>
        <w:t> </w:t>
      </w:r>
      <w:r>
        <w:rPr/>
        <w:t>degrading</w:t>
      </w:r>
      <w:r>
        <w:rPr>
          <w:spacing w:val="-8"/>
        </w:rPr>
        <w:t> </w:t>
      </w:r>
      <w:r>
        <w:rPr/>
        <w:t>Bacillus</w:t>
      </w:r>
      <w:r>
        <w:rPr>
          <w:spacing w:val="-6"/>
        </w:rPr>
        <w:t> </w:t>
      </w:r>
      <w:r>
        <w:rPr/>
        <w:t>pumilus</w:t>
      </w:r>
      <w:r>
        <w:rPr>
          <w:spacing w:val="-6"/>
        </w:rPr>
        <w:t> </w:t>
      </w:r>
      <w:r>
        <w:rPr/>
        <w:t>strain</w:t>
      </w:r>
      <w:r>
        <w:rPr>
          <w:spacing w:val="-6"/>
        </w:rPr>
        <w:t> </w:t>
      </w:r>
      <w:r>
        <w:rPr/>
        <w:t>isolated</w:t>
      </w:r>
      <w:r>
        <w:rPr>
          <w:spacing w:val="-7"/>
        </w:rPr>
        <w:t> </w:t>
      </w:r>
      <w:r>
        <w:rPr/>
        <w:t>from</w:t>
      </w:r>
      <w:r>
        <w:rPr>
          <w:spacing w:val="-6"/>
        </w:rPr>
        <w:t> </w:t>
      </w:r>
      <w:r>
        <w:rPr/>
        <w:t>oil</w:t>
      </w:r>
      <w:r>
        <w:rPr>
          <w:spacing w:val="-6"/>
        </w:rPr>
        <w:t> </w:t>
      </w:r>
      <w:r>
        <w:rPr/>
        <w:t>sludge.</w:t>
      </w:r>
      <w:r>
        <w:rPr>
          <w:spacing w:val="-3"/>
        </w:rPr>
        <w:t> </w:t>
      </w:r>
      <w:r>
        <w:rPr>
          <w:i/>
        </w:rPr>
        <w:t>Journal</w:t>
      </w:r>
      <w:r>
        <w:rPr>
          <w:i/>
          <w:spacing w:val="-6"/>
        </w:rPr>
        <w:t> </w:t>
      </w:r>
      <w:r>
        <w:rPr>
          <w:i/>
        </w:rPr>
        <w:t>of Biotechnology</w:t>
      </w:r>
      <w:r>
        <w:rPr/>
        <w:t>, 109 (3), 255-262.</w:t>
      </w:r>
    </w:p>
    <w:p>
      <w:pPr>
        <w:pStyle w:val="BodyText"/>
        <w:spacing w:before="10"/>
        <w:rPr>
          <w:sz w:val="20"/>
        </w:rPr>
      </w:pPr>
    </w:p>
    <w:p>
      <w:pPr>
        <w:pStyle w:val="BodyText"/>
        <w:ind w:left="921" w:right="116" w:hanging="720"/>
        <w:jc w:val="both"/>
      </w:pPr>
      <w:r>
        <w:rPr/>
        <w:t>Cameotra, S. S., &amp; Makkar, R. S. (2004). Recent applications of biosurfactants as biological</w:t>
      </w:r>
      <w:r>
        <w:rPr>
          <w:spacing w:val="-3"/>
        </w:rPr>
        <w:t> </w:t>
      </w:r>
      <w:r>
        <w:rPr/>
        <w:t>and</w:t>
      </w:r>
      <w:r>
        <w:rPr>
          <w:spacing w:val="-5"/>
        </w:rPr>
        <w:t> </w:t>
      </w:r>
      <w:r>
        <w:rPr/>
        <w:t>immunological</w:t>
      </w:r>
      <w:r>
        <w:rPr>
          <w:spacing w:val="-5"/>
        </w:rPr>
        <w:t> </w:t>
      </w:r>
      <w:r>
        <w:rPr/>
        <w:t>molecules.</w:t>
      </w:r>
      <w:r>
        <w:rPr>
          <w:spacing w:val="-3"/>
        </w:rPr>
        <w:t> </w:t>
      </w:r>
      <w:r>
        <w:rPr>
          <w:i/>
        </w:rPr>
        <w:t>Current</w:t>
      </w:r>
      <w:r>
        <w:rPr>
          <w:i/>
          <w:spacing w:val="-3"/>
        </w:rPr>
        <w:t> </w:t>
      </w:r>
      <w:r>
        <w:rPr>
          <w:i/>
        </w:rPr>
        <w:t>Opinion</w:t>
      </w:r>
      <w:r>
        <w:rPr>
          <w:i/>
          <w:spacing w:val="-5"/>
        </w:rPr>
        <w:t> </w:t>
      </w:r>
      <w:r>
        <w:rPr>
          <w:i/>
        </w:rPr>
        <w:t>in</w:t>
      </w:r>
      <w:r>
        <w:rPr>
          <w:i/>
          <w:spacing w:val="-5"/>
        </w:rPr>
        <w:t> </w:t>
      </w:r>
      <w:r>
        <w:rPr>
          <w:i/>
        </w:rPr>
        <w:t>Microbilolgy,</w:t>
      </w:r>
      <w:r>
        <w:rPr>
          <w:i/>
          <w:spacing w:val="-4"/>
        </w:rPr>
        <w:t> </w:t>
      </w:r>
      <w:r>
        <w:rPr/>
        <w:t>7(3), </w:t>
      </w:r>
      <w:r>
        <w:rPr>
          <w:spacing w:val="-2"/>
        </w:rPr>
        <w:t>262-266.</w:t>
      </w:r>
    </w:p>
    <w:p>
      <w:pPr>
        <w:pStyle w:val="BodyText"/>
        <w:spacing w:before="202"/>
        <w:ind w:left="202"/>
        <w:jc w:val="both"/>
      </w:pPr>
      <w:r>
        <w:rPr/>
        <w:t>Campos,</w:t>
      </w:r>
      <w:r>
        <w:rPr>
          <w:spacing w:val="4"/>
        </w:rPr>
        <w:t> </w:t>
      </w:r>
      <w:r>
        <w:rPr/>
        <w:t>E.</w:t>
      </w:r>
      <w:r>
        <w:rPr>
          <w:spacing w:val="4"/>
        </w:rPr>
        <w:t> </w:t>
      </w:r>
      <w:r>
        <w:rPr/>
        <w:t>A.,</w:t>
      </w:r>
      <w:r>
        <w:rPr>
          <w:spacing w:val="4"/>
        </w:rPr>
        <w:t> </w:t>
      </w:r>
      <w:r>
        <w:rPr/>
        <w:t>Pinto,</w:t>
      </w:r>
      <w:r>
        <w:rPr>
          <w:spacing w:val="5"/>
        </w:rPr>
        <w:t> </w:t>
      </w:r>
      <w:r>
        <w:rPr/>
        <w:t>D.</w:t>
      </w:r>
      <w:r>
        <w:rPr>
          <w:spacing w:val="2"/>
        </w:rPr>
        <w:t> </w:t>
      </w:r>
      <w:r>
        <w:rPr/>
        <w:t>V.</w:t>
      </w:r>
      <w:r>
        <w:rPr>
          <w:spacing w:val="4"/>
        </w:rPr>
        <w:t> </w:t>
      </w:r>
      <w:r>
        <w:rPr/>
        <w:t>B.</w:t>
      </w:r>
      <w:r>
        <w:rPr>
          <w:spacing w:val="4"/>
        </w:rPr>
        <w:t> </w:t>
      </w:r>
      <w:r>
        <w:rPr/>
        <w:t>S.,</w:t>
      </w:r>
      <w:r>
        <w:rPr>
          <w:spacing w:val="4"/>
        </w:rPr>
        <w:t> </w:t>
      </w:r>
      <w:r>
        <w:rPr/>
        <w:t>Oliveira,</w:t>
      </w:r>
      <w:r>
        <w:rPr>
          <w:spacing w:val="5"/>
        </w:rPr>
        <w:t> </w:t>
      </w:r>
      <w:r>
        <w:rPr/>
        <w:t>J.</w:t>
      </w:r>
      <w:r>
        <w:rPr>
          <w:spacing w:val="4"/>
        </w:rPr>
        <w:t> </w:t>
      </w:r>
      <w:r>
        <w:rPr/>
        <w:t>I.</w:t>
      </w:r>
      <w:r>
        <w:rPr>
          <w:spacing w:val="4"/>
        </w:rPr>
        <w:t> </w:t>
      </w:r>
      <w:r>
        <w:rPr/>
        <w:t>S.</w:t>
      </w:r>
      <w:r>
        <w:rPr>
          <w:spacing w:val="4"/>
        </w:rPr>
        <w:t> </w:t>
      </w:r>
      <w:r>
        <w:rPr/>
        <w:t>D.,</w:t>
      </w:r>
      <w:r>
        <w:rPr>
          <w:spacing w:val="4"/>
        </w:rPr>
        <w:t> </w:t>
      </w:r>
      <w:r>
        <w:rPr/>
        <w:t>Mattos,</w:t>
      </w:r>
      <w:r>
        <w:rPr>
          <w:spacing w:val="5"/>
        </w:rPr>
        <w:t> </w:t>
      </w:r>
      <w:r>
        <w:rPr/>
        <w:t>E.</w:t>
      </w:r>
      <w:r>
        <w:rPr>
          <w:spacing w:val="4"/>
        </w:rPr>
        <w:t> </w:t>
      </w:r>
      <w:r>
        <w:rPr/>
        <w:t>D.</w:t>
      </w:r>
      <w:r>
        <w:rPr>
          <w:spacing w:val="4"/>
        </w:rPr>
        <w:t> </w:t>
      </w:r>
      <w:r>
        <w:rPr/>
        <w:t>C.,</w:t>
      </w:r>
      <w:r>
        <w:rPr>
          <w:spacing w:val="2"/>
        </w:rPr>
        <w:t> </w:t>
      </w:r>
      <w:r>
        <w:rPr/>
        <w:t>&amp;</w:t>
      </w:r>
      <w:r>
        <w:rPr>
          <w:spacing w:val="4"/>
        </w:rPr>
        <w:t> </w:t>
      </w:r>
      <w:r>
        <w:rPr/>
        <w:t>Dutra,</w:t>
      </w:r>
      <w:r>
        <w:rPr>
          <w:spacing w:val="4"/>
        </w:rPr>
        <w:t> </w:t>
      </w:r>
      <w:r>
        <w:rPr/>
        <w:t>R.</w:t>
      </w:r>
      <w:r>
        <w:rPr>
          <w:spacing w:val="4"/>
        </w:rPr>
        <w:t> </w:t>
      </w:r>
      <w:r>
        <w:rPr>
          <w:spacing w:val="-5"/>
        </w:rPr>
        <w:t>D.</w:t>
      </w:r>
    </w:p>
    <w:p>
      <w:pPr>
        <w:spacing w:before="0"/>
        <w:ind w:left="921" w:right="115" w:firstLine="0"/>
        <w:jc w:val="both"/>
        <w:rPr>
          <w:sz w:val="24"/>
        </w:rPr>
      </w:pPr>
      <w:r>
        <w:rPr>
          <w:sz w:val="24"/>
        </w:rPr>
        <w:t>C. L. (2015). Synthesis, characterization and applications of iron oxide nanoparticles-a</w:t>
      </w:r>
      <w:r>
        <w:rPr>
          <w:spacing w:val="-15"/>
          <w:sz w:val="24"/>
        </w:rPr>
        <w:t> </w:t>
      </w:r>
      <w:r>
        <w:rPr>
          <w:sz w:val="24"/>
        </w:rPr>
        <w:t>short</w:t>
      </w:r>
      <w:r>
        <w:rPr>
          <w:spacing w:val="-15"/>
          <w:sz w:val="24"/>
        </w:rPr>
        <w:t> </w:t>
      </w:r>
      <w:r>
        <w:rPr>
          <w:sz w:val="24"/>
        </w:rPr>
        <w:t>review.</w:t>
      </w:r>
      <w:r>
        <w:rPr>
          <w:spacing w:val="-15"/>
          <w:sz w:val="24"/>
        </w:rPr>
        <w:t> </w:t>
      </w:r>
      <w:r>
        <w:rPr>
          <w:i/>
          <w:sz w:val="24"/>
        </w:rPr>
        <w:t>Journal</w:t>
      </w:r>
      <w:r>
        <w:rPr>
          <w:i/>
          <w:spacing w:val="-15"/>
          <w:sz w:val="24"/>
        </w:rPr>
        <w:t> </w:t>
      </w:r>
      <w:r>
        <w:rPr>
          <w:i/>
          <w:sz w:val="24"/>
        </w:rPr>
        <w:t>of</w:t>
      </w:r>
      <w:r>
        <w:rPr>
          <w:i/>
          <w:spacing w:val="-15"/>
          <w:sz w:val="24"/>
        </w:rPr>
        <w:t> </w:t>
      </w:r>
      <w:r>
        <w:rPr>
          <w:i/>
          <w:sz w:val="24"/>
        </w:rPr>
        <w:t>Aerospace</w:t>
      </w:r>
      <w:r>
        <w:rPr>
          <w:i/>
          <w:spacing w:val="-15"/>
          <w:sz w:val="24"/>
        </w:rPr>
        <w:t> </w:t>
      </w:r>
      <w:r>
        <w:rPr>
          <w:i/>
          <w:sz w:val="24"/>
        </w:rPr>
        <w:t>Technology</w:t>
      </w:r>
      <w:r>
        <w:rPr>
          <w:i/>
          <w:spacing w:val="-15"/>
          <w:sz w:val="24"/>
        </w:rPr>
        <w:t> </w:t>
      </w:r>
      <w:r>
        <w:rPr>
          <w:i/>
          <w:sz w:val="24"/>
        </w:rPr>
        <w:t>and</w:t>
      </w:r>
      <w:r>
        <w:rPr>
          <w:i/>
          <w:spacing w:val="-15"/>
          <w:sz w:val="24"/>
        </w:rPr>
        <w:t> </w:t>
      </w:r>
      <w:r>
        <w:rPr>
          <w:i/>
          <w:sz w:val="24"/>
        </w:rPr>
        <w:t>Management</w:t>
      </w:r>
      <w:r>
        <w:rPr>
          <w:sz w:val="24"/>
        </w:rPr>
        <w:t>, 7(3), 267-276.</w:t>
      </w:r>
    </w:p>
    <w:p>
      <w:pPr>
        <w:spacing w:after="0"/>
        <w:jc w:val="both"/>
        <w:rPr>
          <w:sz w:val="24"/>
        </w:rPr>
        <w:sectPr>
          <w:pgSz w:w="11910" w:h="16840"/>
          <w:pgMar w:header="0" w:footer="1002" w:top="1320" w:bottom="1200" w:left="1500" w:right="1580"/>
        </w:sectPr>
      </w:pPr>
    </w:p>
    <w:p>
      <w:pPr>
        <w:pStyle w:val="BodyText"/>
        <w:spacing w:before="69"/>
        <w:ind w:left="921" w:right="120" w:hanging="720"/>
        <w:jc w:val="both"/>
      </w:pPr>
      <w:r>
        <w:rPr/>
        <w:t>Cecchin, I., Reddy, K. R., Thome, A., Tessaro, E. F., &amp; Schnaid, F. (2017). Nanobioremeidation: integration of nanoparticles, and bioremediation for the sustainable remediation of chlorinated organic contaminants in soils. </w:t>
      </w:r>
      <w:r>
        <w:rPr>
          <w:i/>
        </w:rPr>
        <w:t>International Biodeterioration &amp; Biodegradation, </w:t>
      </w:r>
      <w:r>
        <w:rPr/>
        <w:t>119, 419-428.</w:t>
      </w:r>
    </w:p>
    <w:p>
      <w:pPr>
        <w:pStyle w:val="BodyText"/>
        <w:spacing w:before="11"/>
        <w:rPr>
          <w:sz w:val="20"/>
        </w:rPr>
      </w:pPr>
    </w:p>
    <w:p>
      <w:pPr>
        <w:pStyle w:val="BodyText"/>
        <w:ind w:left="921" w:right="123" w:hanging="720"/>
        <w:jc w:val="both"/>
      </w:pPr>
      <w:r>
        <w:rPr/>
        <w:t>Chakrabarti,</w:t>
      </w:r>
      <w:r>
        <w:rPr>
          <w:spacing w:val="-11"/>
        </w:rPr>
        <w:t> </w:t>
      </w:r>
      <w:r>
        <w:rPr/>
        <w:t>S.</w:t>
      </w:r>
      <w:r>
        <w:rPr>
          <w:spacing w:val="-12"/>
        </w:rPr>
        <w:t> </w:t>
      </w:r>
      <w:r>
        <w:rPr/>
        <w:t>(2012).</w:t>
      </w:r>
      <w:r>
        <w:rPr>
          <w:spacing w:val="-10"/>
        </w:rPr>
        <w:t> </w:t>
      </w:r>
      <w:r>
        <w:rPr/>
        <w:t>Bacterial</w:t>
      </w:r>
      <w:r>
        <w:rPr>
          <w:spacing w:val="-12"/>
        </w:rPr>
        <w:t> </w:t>
      </w:r>
      <w:r>
        <w:rPr/>
        <w:t>biosurfactant:</w:t>
      </w:r>
      <w:r>
        <w:rPr>
          <w:spacing w:val="-11"/>
        </w:rPr>
        <w:t> </w:t>
      </w:r>
      <w:r>
        <w:rPr/>
        <w:t>Characterization,</w:t>
      </w:r>
      <w:r>
        <w:rPr>
          <w:spacing w:val="-12"/>
        </w:rPr>
        <w:t> </w:t>
      </w:r>
      <w:r>
        <w:rPr/>
        <w:t>antimicrobial</w:t>
      </w:r>
      <w:r>
        <w:rPr>
          <w:spacing w:val="-12"/>
        </w:rPr>
        <w:t> </w:t>
      </w:r>
      <w:r>
        <w:rPr/>
        <w:t>and</w:t>
      </w:r>
      <w:r>
        <w:rPr>
          <w:spacing w:val="-12"/>
        </w:rPr>
        <w:t> </w:t>
      </w:r>
      <w:r>
        <w:rPr/>
        <w:t>metal remediation properties. Ph.D. Thesis, National Institute of Technology.</w:t>
      </w:r>
    </w:p>
    <w:p>
      <w:pPr>
        <w:pStyle w:val="BodyText"/>
        <w:spacing w:before="10"/>
        <w:rPr>
          <w:sz w:val="20"/>
        </w:rPr>
      </w:pPr>
    </w:p>
    <w:p>
      <w:pPr>
        <w:pStyle w:val="BodyText"/>
        <w:ind w:left="921" w:right="114" w:hanging="720"/>
        <w:jc w:val="both"/>
      </w:pPr>
      <w:r>
        <w:rPr/>
        <w:t>Chaprão, M. J.,Rita de Cássia, F., Soares da Silva, Raquel, D. Rufino, Juliana M. Luna, Valdemir,</w:t>
      </w:r>
      <w:r>
        <w:rPr>
          <w:spacing w:val="-6"/>
        </w:rPr>
        <w:t> </w:t>
      </w:r>
      <w:r>
        <w:rPr/>
        <w:t>A.,</w:t>
      </w:r>
      <w:r>
        <w:rPr>
          <w:spacing w:val="-6"/>
        </w:rPr>
        <w:t> </w:t>
      </w:r>
      <w:r>
        <w:rPr/>
        <w:t>Santos,</w:t>
      </w:r>
      <w:r>
        <w:rPr>
          <w:spacing w:val="-5"/>
        </w:rPr>
        <w:t> </w:t>
      </w:r>
      <w:r>
        <w:rPr/>
        <w:t>&amp;</w:t>
      </w:r>
      <w:r>
        <w:rPr>
          <w:spacing w:val="-8"/>
        </w:rPr>
        <w:t> </w:t>
      </w:r>
      <w:r>
        <w:rPr/>
        <w:t>Leonie</w:t>
      </w:r>
      <w:r>
        <w:rPr>
          <w:spacing w:val="-7"/>
        </w:rPr>
        <w:t> </w:t>
      </w:r>
      <w:r>
        <w:rPr/>
        <w:t>A.</w:t>
      </w:r>
      <w:r>
        <w:rPr>
          <w:spacing w:val="-6"/>
        </w:rPr>
        <w:t> </w:t>
      </w:r>
      <w:r>
        <w:rPr/>
        <w:t>Sarubbo</w:t>
      </w:r>
      <w:r>
        <w:rPr>
          <w:spacing w:val="-7"/>
        </w:rPr>
        <w:t> </w:t>
      </w:r>
      <w:r>
        <w:rPr/>
        <w:t>(2018).</w:t>
      </w:r>
      <w:r>
        <w:rPr>
          <w:spacing w:val="-7"/>
        </w:rPr>
        <w:t> </w:t>
      </w:r>
      <w:r>
        <w:rPr/>
        <w:t>Production</w:t>
      </w:r>
      <w:r>
        <w:rPr>
          <w:spacing w:val="-6"/>
        </w:rPr>
        <w:t> </w:t>
      </w:r>
      <w:r>
        <w:rPr/>
        <w:t>of</w:t>
      </w:r>
      <w:r>
        <w:rPr>
          <w:spacing w:val="-7"/>
        </w:rPr>
        <w:t> </w:t>
      </w:r>
      <w:r>
        <w:rPr/>
        <w:t>a</w:t>
      </w:r>
      <w:r>
        <w:rPr>
          <w:spacing w:val="-7"/>
        </w:rPr>
        <w:t> </w:t>
      </w:r>
      <w:r>
        <w:rPr/>
        <w:t>biosurfactant from Bacillus methylotrophicusUCP1616 for use in the bioremediation of oil- contaminatedEnvironments. </w:t>
      </w:r>
      <w:r>
        <w:rPr>
          <w:i/>
        </w:rPr>
        <w:t>Ecotoxicology</w:t>
      </w:r>
      <w:r>
        <w:rPr/>
        <w:t>, 27(10), 1310-1322.</w:t>
      </w:r>
    </w:p>
    <w:p>
      <w:pPr>
        <w:pStyle w:val="BodyText"/>
        <w:spacing w:before="10"/>
        <w:rPr>
          <w:sz w:val="20"/>
        </w:rPr>
      </w:pPr>
    </w:p>
    <w:p>
      <w:pPr>
        <w:pStyle w:val="BodyText"/>
        <w:spacing w:before="1"/>
        <w:ind w:left="921" w:right="114" w:hanging="720"/>
        <w:jc w:val="both"/>
      </w:pPr>
      <w:r>
        <w:rPr/>
        <w:t>Chaturvedi,</w:t>
      </w:r>
      <w:r>
        <w:rPr>
          <w:spacing w:val="-4"/>
        </w:rPr>
        <w:t> </w:t>
      </w:r>
      <w:r>
        <w:rPr/>
        <w:t>V.,</w:t>
      </w:r>
      <w:r>
        <w:rPr>
          <w:spacing w:val="-4"/>
        </w:rPr>
        <w:t> </w:t>
      </w:r>
      <w:r>
        <w:rPr/>
        <w:t>&amp;</w:t>
      </w:r>
      <w:r>
        <w:rPr>
          <w:spacing w:val="-6"/>
        </w:rPr>
        <w:t> </w:t>
      </w:r>
      <w:r>
        <w:rPr/>
        <w:t>Verma,</w:t>
      </w:r>
      <w:r>
        <w:rPr>
          <w:spacing w:val="-4"/>
        </w:rPr>
        <w:t> </w:t>
      </w:r>
      <w:r>
        <w:rPr/>
        <w:t>P.</w:t>
      </w:r>
      <w:r>
        <w:rPr>
          <w:spacing w:val="-4"/>
        </w:rPr>
        <w:t> </w:t>
      </w:r>
      <w:r>
        <w:rPr/>
        <w:t>(2015).</w:t>
      </w:r>
      <w:r>
        <w:rPr>
          <w:spacing w:val="-4"/>
        </w:rPr>
        <w:t> </w:t>
      </w:r>
      <w:r>
        <w:rPr/>
        <w:t>Fabrication</w:t>
      </w:r>
      <w:r>
        <w:rPr>
          <w:spacing w:val="-4"/>
        </w:rPr>
        <w:t> </w:t>
      </w:r>
      <w:r>
        <w:rPr/>
        <w:t>of</w:t>
      </w:r>
      <w:r>
        <w:rPr>
          <w:spacing w:val="-5"/>
        </w:rPr>
        <w:t> </w:t>
      </w:r>
      <w:r>
        <w:rPr/>
        <w:t>silver</w:t>
      </w:r>
      <w:r>
        <w:rPr>
          <w:spacing w:val="-4"/>
        </w:rPr>
        <w:t> </w:t>
      </w:r>
      <w:r>
        <w:rPr/>
        <w:t>nanoparticles</w:t>
      </w:r>
      <w:r>
        <w:rPr>
          <w:spacing w:val="-4"/>
        </w:rPr>
        <w:t> </w:t>
      </w:r>
      <w:r>
        <w:rPr/>
        <w:t>from</w:t>
      </w:r>
      <w:r>
        <w:rPr>
          <w:spacing w:val="-4"/>
        </w:rPr>
        <w:t> </w:t>
      </w:r>
      <w:r>
        <w:rPr/>
        <w:t>leaf</w:t>
      </w:r>
      <w:r>
        <w:rPr>
          <w:spacing w:val="-4"/>
        </w:rPr>
        <w:t> </w:t>
      </w:r>
      <w:r>
        <w:rPr/>
        <w:t>extract of Butea monosperma (Flame of Forest) and their inhibitory effect on bloom- forming cyanobacteria. </w:t>
      </w:r>
      <w:r>
        <w:rPr>
          <w:i/>
        </w:rPr>
        <w:t>Bioresource and Bioprocessing</w:t>
      </w:r>
      <w:r>
        <w:rPr/>
        <w:t>, 2(1), 23–25.</w:t>
      </w:r>
    </w:p>
    <w:p>
      <w:pPr>
        <w:pStyle w:val="BodyText"/>
        <w:spacing w:before="9"/>
        <w:rPr>
          <w:sz w:val="20"/>
        </w:rPr>
      </w:pPr>
    </w:p>
    <w:p>
      <w:pPr>
        <w:pStyle w:val="BodyText"/>
        <w:spacing w:before="1"/>
        <w:ind w:left="921" w:right="115" w:hanging="720"/>
        <w:jc w:val="both"/>
      </w:pPr>
      <w:r>
        <w:rPr/>
        <w:t>Cheng, W., Xu, X. Y., Wu, F., &amp; Li, J. J. (2016). Synthesis of cavity-containing iron oxide nanoparticles by hydrothermal treatment of colloidal dispersion. </w:t>
      </w:r>
      <w:r>
        <w:rPr>
          <w:i/>
        </w:rPr>
        <w:t>Material Letters, </w:t>
      </w:r>
      <w:r>
        <w:rPr/>
        <w:t>164, 210–212.</w:t>
      </w:r>
    </w:p>
    <w:p>
      <w:pPr>
        <w:pStyle w:val="BodyText"/>
        <w:spacing w:before="10"/>
        <w:rPr>
          <w:sz w:val="20"/>
        </w:rPr>
      </w:pPr>
    </w:p>
    <w:p>
      <w:pPr>
        <w:pStyle w:val="BodyText"/>
        <w:ind w:left="921" w:right="120" w:hanging="720"/>
        <w:jc w:val="both"/>
      </w:pPr>
      <w:r>
        <w:rPr/>
        <w:t>Chikere, C. B., Okpokwasili, G. C., &amp; Chikere, B. O. (2009). Bacterial diversity in a tropical crude oil-polluted soil undergoing bioremediation. </w:t>
      </w:r>
      <w:r>
        <w:rPr>
          <w:i/>
        </w:rPr>
        <w:t>African Journal of Biotechnology</w:t>
      </w:r>
      <w:r>
        <w:rPr/>
        <w:t>, 8(11).</w:t>
      </w:r>
    </w:p>
    <w:p>
      <w:pPr>
        <w:pStyle w:val="BodyText"/>
        <w:spacing w:before="10"/>
        <w:rPr>
          <w:sz w:val="20"/>
        </w:rPr>
      </w:pPr>
    </w:p>
    <w:p>
      <w:pPr>
        <w:spacing w:before="0"/>
        <w:ind w:left="921" w:right="117" w:hanging="720"/>
        <w:jc w:val="both"/>
        <w:rPr>
          <w:sz w:val="24"/>
        </w:rPr>
      </w:pPr>
      <w:r>
        <w:rPr>
          <w:sz w:val="24"/>
        </w:rPr>
        <w:t>Cirigliano,</w:t>
      </w:r>
      <w:r>
        <w:rPr>
          <w:spacing w:val="-1"/>
          <w:sz w:val="24"/>
        </w:rPr>
        <w:t> </w:t>
      </w:r>
      <w:r>
        <w:rPr>
          <w:sz w:val="24"/>
        </w:rPr>
        <w:t>M.</w:t>
      </w:r>
      <w:r>
        <w:rPr>
          <w:spacing w:val="-1"/>
          <w:sz w:val="24"/>
        </w:rPr>
        <w:t> </w:t>
      </w:r>
      <w:r>
        <w:rPr>
          <w:sz w:val="24"/>
        </w:rPr>
        <w:t>C.,</w:t>
      </w:r>
      <w:r>
        <w:rPr>
          <w:spacing w:val="-1"/>
          <w:sz w:val="24"/>
        </w:rPr>
        <w:t> </w:t>
      </w:r>
      <w:r>
        <w:rPr>
          <w:sz w:val="24"/>
        </w:rPr>
        <w:t>&amp;</w:t>
      </w:r>
      <w:r>
        <w:rPr>
          <w:spacing w:val="-3"/>
          <w:sz w:val="24"/>
        </w:rPr>
        <w:t> </w:t>
      </w:r>
      <w:r>
        <w:rPr>
          <w:sz w:val="24"/>
        </w:rPr>
        <w:t>Carman,</w:t>
      </w:r>
      <w:r>
        <w:rPr>
          <w:spacing w:val="-1"/>
          <w:sz w:val="24"/>
        </w:rPr>
        <w:t> </w:t>
      </w:r>
      <w:r>
        <w:rPr>
          <w:sz w:val="24"/>
        </w:rPr>
        <w:t>G.</w:t>
      </w:r>
      <w:r>
        <w:rPr>
          <w:spacing w:val="-2"/>
          <w:sz w:val="24"/>
        </w:rPr>
        <w:t> </w:t>
      </w:r>
      <w:r>
        <w:rPr>
          <w:sz w:val="24"/>
        </w:rPr>
        <w:t>M.</w:t>
      </w:r>
      <w:r>
        <w:rPr>
          <w:spacing w:val="-1"/>
          <w:sz w:val="24"/>
        </w:rPr>
        <w:t> </w:t>
      </w:r>
      <w:r>
        <w:rPr>
          <w:sz w:val="24"/>
        </w:rPr>
        <w:t>(1985).</w:t>
      </w:r>
      <w:r>
        <w:rPr>
          <w:spacing w:val="-2"/>
          <w:sz w:val="24"/>
        </w:rPr>
        <w:t> </w:t>
      </w:r>
      <w:r>
        <w:rPr>
          <w:sz w:val="24"/>
        </w:rPr>
        <w:t>Purification</w:t>
      </w:r>
      <w:r>
        <w:rPr>
          <w:spacing w:val="-2"/>
          <w:sz w:val="24"/>
        </w:rPr>
        <w:t> </w:t>
      </w:r>
      <w:r>
        <w:rPr>
          <w:sz w:val="24"/>
        </w:rPr>
        <w:t>and</w:t>
      </w:r>
      <w:r>
        <w:rPr>
          <w:spacing w:val="-2"/>
          <w:sz w:val="24"/>
        </w:rPr>
        <w:t> </w:t>
      </w:r>
      <w:r>
        <w:rPr>
          <w:sz w:val="24"/>
        </w:rPr>
        <w:t>characterization</w:t>
      </w:r>
      <w:r>
        <w:rPr>
          <w:spacing w:val="-2"/>
          <w:sz w:val="24"/>
        </w:rPr>
        <w:t> </w:t>
      </w:r>
      <w:r>
        <w:rPr>
          <w:sz w:val="24"/>
        </w:rPr>
        <w:t>of</w:t>
      </w:r>
      <w:r>
        <w:rPr>
          <w:spacing w:val="-3"/>
          <w:sz w:val="24"/>
        </w:rPr>
        <w:t> </w:t>
      </w:r>
      <w:r>
        <w:rPr>
          <w:sz w:val="24"/>
        </w:rPr>
        <w:t>liposan, a</w:t>
      </w:r>
      <w:r>
        <w:rPr>
          <w:sz w:val="24"/>
        </w:rPr>
        <w:t> bioemulsifier</w:t>
      </w:r>
      <w:r>
        <w:rPr>
          <w:sz w:val="24"/>
        </w:rPr>
        <w:t> from</w:t>
      </w:r>
      <w:r>
        <w:rPr>
          <w:sz w:val="24"/>
        </w:rPr>
        <w:t> Candida</w:t>
      </w:r>
      <w:r>
        <w:rPr>
          <w:sz w:val="24"/>
        </w:rPr>
        <w:t> lipolytica.</w:t>
      </w:r>
      <w:r>
        <w:rPr>
          <w:sz w:val="24"/>
        </w:rPr>
        <w:t> </w:t>
      </w:r>
      <w:r>
        <w:rPr>
          <w:i/>
          <w:sz w:val="24"/>
        </w:rPr>
        <w:t>Applied</w:t>
      </w:r>
      <w:r>
        <w:rPr>
          <w:i/>
          <w:sz w:val="24"/>
        </w:rPr>
        <w:t> and</w:t>
      </w:r>
      <w:r>
        <w:rPr>
          <w:i/>
          <w:sz w:val="24"/>
        </w:rPr>
        <w:t> Environmental Microbiology</w:t>
      </w:r>
      <w:r>
        <w:rPr>
          <w:sz w:val="24"/>
        </w:rPr>
        <w:t>, 50(4), 846-850.</w:t>
      </w:r>
    </w:p>
    <w:p>
      <w:pPr>
        <w:pStyle w:val="BodyText"/>
        <w:spacing w:before="10"/>
        <w:rPr>
          <w:sz w:val="20"/>
        </w:rPr>
      </w:pPr>
    </w:p>
    <w:p>
      <w:pPr>
        <w:pStyle w:val="BodyText"/>
        <w:ind w:left="921" w:right="123" w:hanging="720"/>
        <w:jc w:val="both"/>
      </w:pPr>
      <w:r>
        <w:rPr/>
        <w:t>Cocârtă, D., Stoian, M., &amp; Karademir, A. (2017). Crude oil contaminated sites: Evaluation by using risk assessment approach. </w:t>
      </w:r>
      <w:r>
        <w:rPr>
          <w:i/>
        </w:rPr>
        <w:t>Sustainability, </w:t>
      </w:r>
      <w:r>
        <w:rPr/>
        <w:t>9(8), 1365.</w:t>
      </w:r>
    </w:p>
    <w:p>
      <w:pPr>
        <w:pStyle w:val="BodyText"/>
        <w:spacing w:before="10"/>
        <w:rPr>
          <w:sz w:val="20"/>
        </w:rPr>
      </w:pPr>
    </w:p>
    <w:p>
      <w:pPr>
        <w:spacing w:before="0"/>
        <w:ind w:left="921" w:right="118" w:hanging="720"/>
        <w:jc w:val="both"/>
        <w:rPr>
          <w:sz w:val="24"/>
        </w:rPr>
      </w:pPr>
      <w:r>
        <w:rPr>
          <w:sz w:val="24"/>
        </w:rPr>
        <w:t>Cooper, D.G., &amp;Goldenberg, B.G. (1987). Surface-active</w:t>
      </w:r>
      <w:r>
        <w:rPr>
          <w:sz w:val="24"/>
        </w:rPr>
        <w:t> agents from two Bacillus species. </w:t>
      </w:r>
      <w:r>
        <w:rPr>
          <w:i/>
          <w:sz w:val="24"/>
        </w:rPr>
        <w:t>Applied and Environmental Microbiology</w:t>
      </w:r>
      <w:r>
        <w:rPr>
          <w:sz w:val="24"/>
        </w:rPr>
        <w:t>, 53(2), 224-229.</w:t>
      </w:r>
    </w:p>
    <w:p>
      <w:pPr>
        <w:pStyle w:val="BodyText"/>
        <w:spacing w:before="10"/>
        <w:rPr>
          <w:sz w:val="20"/>
        </w:rPr>
      </w:pPr>
    </w:p>
    <w:p>
      <w:pPr>
        <w:spacing w:before="0"/>
        <w:ind w:left="921" w:right="120" w:hanging="720"/>
        <w:jc w:val="both"/>
        <w:rPr>
          <w:sz w:val="24"/>
        </w:rPr>
      </w:pPr>
      <w:r>
        <w:rPr>
          <w:sz w:val="24"/>
        </w:rPr>
        <w:t>Cornell, R. M., &amp; Schwertmann, U. (2003). </w:t>
      </w:r>
      <w:r>
        <w:rPr>
          <w:i/>
          <w:sz w:val="24"/>
        </w:rPr>
        <w:t>The iron oxides: structure, properties, reactions, occurrences, and uses. </w:t>
      </w:r>
      <w:r>
        <w:rPr>
          <w:sz w:val="24"/>
        </w:rPr>
        <w:t>John Wiley &amp; Sons, 2nd ed. Weinheim, </w:t>
      </w:r>
      <w:r>
        <w:rPr>
          <w:spacing w:val="-2"/>
          <w:sz w:val="24"/>
        </w:rPr>
        <w:t>Germany.</w:t>
      </w:r>
    </w:p>
    <w:p>
      <w:pPr>
        <w:pStyle w:val="BodyText"/>
        <w:spacing w:before="11"/>
        <w:rPr>
          <w:sz w:val="20"/>
        </w:rPr>
      </w:pPr>
    </w:p>
    <w:p>
      <w:pPr>
        <w:pStyle w:val="BodyText"/>
        <w:ind w:left="921" w:right="119" w:hanging="629"/>
        <w:jc w:val="both"/>
      </w:pPr>
      <w:r>
        <w:rPr/>
        <w:t>Costa,</w:t>
      </w:r>
      <w:r>
        <w:rPr>
          <w:spacing w:val="-8"/>
        </w:rPr>
        <w:t> </w:t>
      </w:r>
      <w:r>
        <w:rPr/>
        <w:t>A.</w:t>
      </w:r>
      <w:r>
        <w:rPr>
          <w:spacing w:val="-8"/>
        </w:rPr>
        <w:t> </w:t>
      </w:r>
      <w:r>
        <w:rPr/>
        <w:t>S.,</w:t>
      </w:r>
      <w:r>
        <w:rPr>
          <w:spacing w:val="-10"/>
        </w:rPr>
        <w:t> </w:t>
      </w:r>
      <w:r>
        <w:rPr/>
        <w:t>Romão,</w:t>
      </w:r>
      <w:r>
        <w:rPr>
          <w:spacing w:val="-8"/>
        </w:rPr>
        <w:t> </w:t>
      </w:r>
      <w:r>
        <w:rPr/>
        <w:t>L.</w:t>
      </w:r>
      <w:r>
        <w:rPr>
          <w:spacing w:val="-5"/>
        </w:rPr>
        <w:t> </w:t>
      </w:r>
      <w:r>
        <w:rPr/>
        <w:t>P.</w:t>
      </w:r>
      <w:r>
        <w:rPr>
          <w:spacing w:val="-7"/>
        </w:rPr>
        <w:t> </w:t>
      </w:r>
      <w:r>
        <w:rPr/>
        <w:t>C.,</w:t>
      </w:r>
      <w:r>
        <w:rPr>
          <w:spacing w:val="-7"/>
        </w:rPr>
        <w:t> </w:t>
      </w:r>
      <w:r>
        <w:rPr/>
        <w:t>Araújo,</w:t>
      </w:r>
      <w:r>
        <w:rPr>
          <w:spacing w:val="-7"/>
        </w:rPr>
        <w:t> </w:t>
      </w:r>
      <w:r>
        <w:rPr/>
        <w:t>B.</w:t>
      </w:r>
      <w:r>
        <w:rPr>
          <w:spacing w:val="-7"/>
        </w:rPr>
        <w:t> </w:t>
      </w:r>
      <w:r>
        <w:rPr/>
        <w:t>R.,</w:t>
      </w:r>
      <w:r>
        <w:rPr>
          <w:spacing w:val="-7"/>
        </w:rPr>
        <w:t> </w:t>
      </w:r>
      <w:r>
        <w:rPr/>
        <w:t>Lucas,</w:t>
      </w:r>
      <w:r>
        <w:rPr>
          <w:spacing w:val="-7"/>
        </w:rPr>
        <w:t> </w:t>
      </w:r>
      <w:r>
        <w:rPr/>
        <w:t>S.</w:t>
      </w:r>
      <w:r>
        <w:rPr>
          <w:spacing w:val="-7"/>
        </w:rPr>
        <w:t> </w:t>
      </w:r>
      <w:r>
        <w:rPr/>
        <w:t>C.</w:t>
      </w:r>
      <w:r>
        <w:rPr>
          <w:spacing w:val="-10"/>
        </w:rPr>
        <w:t> </w:t>
      </w:r>
      <w:r>
        <w:rPr/>
        <w:t>O.,</w:t>
      </w:r>
      <w:r>
        <w:rPr>
          <w:spacing w:val="-8"/>
        </w:rPr>
        <w:t> </w:t>
      </w:r>
      <w:r>
        <w:rPr/>
        <w:t>Maciel,</w:t>
      </w:r>
      <w:r>
        <w:rPr>
          <w:spacing w:val="-7"/>
        </w:rPr>
        <w:t> </w:t>
      </w:r>
      <w:r>
        <w:rPr/>
        <w:t>S.</w:t>
      </w:r>
      <w:r>
        <w:rPr>
          <w:spacing w:val="-7"/>
        </w:rPr>
        <w:t> </w:t>
      </w:r>
      <w:r>
        <w:rPr/>
        <w:t>T.</w:t>
      </w:r>
      <w:r>
        <w:rPr>
          <w:spacing w:val="-12"/>
        </w:rPr>
        <w:t> </w:t>
      </w:r>
      <w:r>
        <w:rPr/>
        <w:t>A.,</w:t>
      </w:r>
      <w:r>
        <w:rPr>
          <w:spacing w:val="-8"/>
        </w:rPr>
        <w:t> </w:t>
      </w:r>
      <w:r>
        <w:rPr/>
        <w:t>Jr,</w:t>
      </w:r>
      <w:r>
        <w:rPr>
          <w:spacing w:val="-9"/>
        </w:rPr>
        <w:t> </w:t>
      </w:r>
      <w:r>
        <w:rPr/>
        <w:t>A.</w:t>
      </w:r>
      <w:r>
        <w:rPr>
          <w:spacing w:val="-10"/>
        </w:rPr>
        <w:t> </w:t>
      </w:r>
      <w:r>
        <w:rPr/>
        <w:t>W., &amp;Alexandre,</w:t>
      </w:r>
      <w:r>
        <w:rPr>
          <w:spacing w:val="-2"/>
        </w:rPr>
        <w:t> </w:t>
      </w:r>
      <w:r>
        <w:rPr/>
        <w:t>M.</w:t>
      </w:r>
      <w:r>
        <w:rPr>
          <w:spacing w:val="-4"/>
        </w:rPr>
        <w:t> </w:t>
      </w:r>
      <w:r>
        <w:rPr/>
        <w:t>R.</w:t>
      </w:r>
      <w:r>
        <w:rPr>
          <w:spacing w:val="-4"/>
        </w:rPr>
        <w:t> </w:t>
      </w:r>
      <w:r>
        <w:rPr/>
        <w:t>(2012).</w:t>
      </w:r>
      <w:r>
        <w:rPr>
          <w:spacing w:val="-4"/>
        </w:rPr>
        <w:t> </w:t>
      </w:r>
      <w:r>
        <w:rPr/>
        <w:t>Environmental</w:t>
      </w:r>
      <w:r>
        <w:rPr>
          <w:spacing w:val="-4"/>
        </w:rPr>
        <w:t> </w:t>
      </w:r>
      <w:r>
        <w:rPr/>
        <w:t>strategies</w:t>
      </w:r>
      <w:r>
        <w:rPr>
          <w:spacing w:val="-4"/>
        </w:rPr>
        <w:t> </w:t>
      </w:r>
      <w:r>
        <w:rPr/>
        <w:t>to</w:t>
      </w:r>
      <w:r>
        <w:rPr>
          <w:spacing w:val="-4"/>
        </w:rPr>
        <w:t> </w:t>
      </w:r>
      <w:r>
        <w:rPr/>
        <w:t>remove</w:t>
      </w:r>
      <w:r>
        <w:rPr>
          <w:spacing w:val="-3"/>
        </w:rPr>
        <w:t> </w:t>
      </w:r>
      <w:r>
        <w:rPr/>
        <w:t>volatile</w:t>
      </w:r>
      <w:r>
        <w:rPr>
          <w:spacing w:val="-5"/>
        </w:rPr>
        <w:t> </w:t>
      </w:r>
      <w:r>
        <w:rPr/>
        <w:t>aromatic fractions</w:t>
      </w:r>
      <w:r>
        <w:rPr/>
        <w:t> (BTEX) from petroleum industry wastewater using biomass. </w:t>
      </w:r>
      <w:r>
        <w:rPr>
          <w:i/>
        </w:rPr>
        <w:t>Bioresource Technology, </w:t>
      </w:r>
      <w:r>
        <w:rPr/>
        <w:t>105, 31–39.</w:t>
      </w:r>
    </w:p>
    <w:p>
      <w:pPr>
        <w:pStyle w:val="BodyText"/>
        <w:spacing w:before="10"/>
        <w:rPr>
          <w:sz w:val="20"/>
        </w:rPr>
      </w:pPr>
    </w:p>
    <w:p>
      <w:pPr>
        <w:pStyle w:val="BodyText"/>
        <w:ind w:left="921" w:right="117" w:hanging="720"/>
        <w:jc w:val="both"/>
      </w:pPr>
      <w:r>
        <w:rPr/>
        <w:t>Crane, R. A., &amp; Scott, T. B. (2012). Nanoscale zero-valent iron: future prospects for an emerging</w:t>
      </w:r>
      <w:r>
        <w:rPr>
          <w:spacing w:val="-15"/>
        </w:rPr>
        <w:t> </w:t>
      </w:r>
      <w:r>
        <w:rPr/>
        <w:t>water</w:t>
      </w:r>
      <w:r>
        <w:rPr>
          <w:spacing w:val="-15"/>
        </w:rPr>
        <w:t> </w:t>
      </w:r>
      <w:r>
        <w:rPr/>
        <w:t>treatment</w:t>
      </w:r>
      <w:r>
        <w:rPr>
          <w:spacing w:val="-15"/>
        </w:rPr>
        <w:t> </w:t>
      </w:r>
      <w:r>
        <w:rPr/>
        <w:t>technology.</w:t>
      </w:r>
      <w:r>
        <w:rPr>
          <w:spacing w:val="-15"/>
        </w:rPr>
        <w:t> </w:t>
      </w:r>
      <w:r>
        <w:rPr>
          <w:i/>
        </w:rPr>
        <w:t>Journal</w:t>
      </w:r>
      <w:r>
        <w:rPr>
          <w:i/>
          <w:spacing w:val="-15"/>
        </w:rPr>
        <w:t> </w:t>
      </w:r>
      <w:r>
        <w:rPr>
          <w:i/>
        </w:rPr>
        <w:t>of</w:t>
      </w:r>
      <w:r>
        <w:rPr>
          <w:i/>
          <w:spacing w:val="-15"/>
        </w:rPr>
        <w:t> </w:t>
      </w:r>
      <w:r>
        <w:rPr>
          <w:i/>
        </w:rPr>
        <w:t>Hazardous</w:t>
      </w:r>
      <w:r>
        <w:rPr>
          <w:i/>
          <w:spacing w:val="-15"/>
        </w:rPr>
        <w:t> </w:t>
      </w:r>
      <w:r>
        <w:rPr>
          <w:i/>
        </w:rPr>
        <w:t>Materials</w:t>
      </w:r>
      <w:r>
        <w:rPr/>
        <w:t>,</w:t>
      </w:r>
      <w:r>
        <w:rPr>
          <w:spacing w:val="-15"/>
        </w:rPr>
        <w:t> </w:t>
      </w:r>
      <w:r>
        <w:rPr/>
        <w:t>211,</w:t>
      </w:r>
      <w:r>
        <w:rPr>
          <w:spacing w:val="-15"/>
        </w:rPr>
        <w:t> </w:t>
      </w:r>
      <w:r>
        <w:rPr/>
        <w:t>112– </w:t>
      </w:r>
      <w:r>
        <w:rPr>
          <w:spacing w:val="-4"/>
        </w:rPr>
        <w:t>125.</w:t>
      </w:r>
    </w:p>
    <w:p>
      <w:pPr>
        <w:pStyle w:val="BodyText"/>
        <w:spacing w:before="10"/>
        <w:rPr>
          <w:sz w:val="20"/>
        </w:rPr>
      </w:pPr>
    </w:p>
    <w:p>
      <w:pPr>
        <w:pStyle w:val="BodyText"/>
        <w:ind w:left="921" w:right="115" w:hanging="720"/>
        <w:jc w:val="both"/>
      </w:pPr>
      <w:r>
        <w:rPr/>
        <w:t>Crombie, K., Mašek, O., Sohi, S. P., Brownsort, P., &amp; Cross, A. (2013). The effect of pyrolysis conditions on biochar stability as determined by three methods. </w:t>
      </w:r>
      <w:r>
        <w:rPr>
          <w:i/>
        </w:rPr>
        <w:t>GCB Bioenergy</w:t>
      </w:r>
      <w:r>
        <w:rPr/>
        <w:t>. 5 (2), 122–131.</w:t>
      </w:r>
    </w:p>
    <w:p>
      <w:pPr>
        <w:spacing w:after="0"/>
        <w:jc w:val="both"/>
        <w:sectPr>
          <w:pgSz w:w="11910" w:h="16840"/>
          <w:pgMar w:header="0" w:footer="1002" w:top="1320" w:bottom="1200" w:left="1500" w:right="1580"/>
        </w:sectPr>
      </w:pPr>
    </w:p>
    <w:p>
      <w:pPr>
        <w:pStyle w:val="BodyText"/>
        <w:spacing w:line="278" w:lineRule="auto" w:before="72"/>
        <w:ind w:left="921" w:right="116" w:hanging="629"/>
        <w:jc w:val="both"/>
      </w:pPr>
      <w:r>
        <w:rPr/>
        <w:t>Dada,</w:t>
      </w:r>
      <w:r>
        <w:rPr>
          <w:spacing w:val="-15"/>
        </w:rPr>
        <w:t> </w:t>
      </w:r>
      <w:r>
        <w:rPr/>
        <w:t>E.</w:t>
      </w:r>
      <w:r>
        <w:rPr>
          <w:spacing w:val="-15"/>
        </w:rPr>
        <w:t> </w:t>
      </w:r>
      <w:r>
        <w:rPr/>
        <w:t>(2018).</w:t>
      </w:r>
      <w:r>
        <w:rPr>
          <w:spacing w:val="-15"/>
        </w:rPr>
        <w:t> </w:t>
      </w:r>
      <w:r>
        <w:rPr/>
        <w:t>Isolation</w:t>
      </w:r>
      <w:r>
        <w:rPr>
          <w:spacing w:val="-15"/>
        </w:rPr>
        <w:t> </w:t>
      </w:r>
      <w:r>
        <w:rPr/>
        <w:t>of</w:t>
      </w:r>
      <w:r>
        <w:rPr>
          <w:spacing w:val="-15"/>
        </w:rPr>
        <w:t> </w:t>
      </w:r>
      <w:r>
        <w:rPr/>
        <w:t>bacteria</w:t>
      </w:r>
      <w:r>
        <w:rPr>
          <w:spacing w:val="-15"/>
        </w:rPr>
        <w:t> </w:t>
      </w:r>
      <w:r>
        <w:rPr/>
        <w:t>from</w:t>
      </w:r>
      <w:r>
        <w:rPr>
          <w:spacing w:val="-15"/>
        </w:rPr>
        <w:t> </w:t>
      </w:r>
      <w:r>
        <w:rPr/>
        <w:t>the</w:t>
      </w:r>
      <w:r>
        <w:rPr>
          <w:spacing w:val="-15"/>
        </w:rPr>
        <w:t> </w:t>
      </w:r>
      <w:r>
        <w:rPr/>
        <w:t>soil</w:t>
      </w:r>
      <w:r>
        <w:rPr>
          <w:spacing w:val="-15"/>
        </w:rPr>
        <w:t> </w:t>
      </w:r>
      <w:r>
        <w:rPr/>
        <w:t>to</w:t>
      </w:r>
      <w:r>
        <w:rPr>
          <w:spacing w:val="-15"/>
        </w:rPr>
        <w:t> </w:t>
      </w:r>
      <w:r>
        <w:rPr/>
        <w:t>produce</w:t>
      </w:r>
      <w:r>
        <w:rPr>
          <w:spacing w:val="-15"/>
        </w:rPr>
        <w:t> </w:t>
      </w:r>
      <w:r>
        <w:rPr/>
        <w:t>biosurfactant</w:t>
      </w:r>
      <w:r>
        <w:rPr>
          <w:spacing w:val="-15"/>
        </w:rPr>
        <w:t> </w:t>
      </w:r>
      <w:r>
        <w:rPr/>
        <w:t>(unpublished undergraduate thesis). Federal University of Technology, Minna, Nigeria.</w:t>
      </w:r>
    </w:p>
    <w:p>
      <w:pPr>
        <w:spacing w:before="233"/>
        <w:ind w:left="833" w:right="116" w:hanging="632"/>
        <w:jc w:val="both"/>
        <w:rPr>
          <w:sz w:val="24"/>
        </w:rPr>
      </w:pPr>
      <w:r>
        <w:rPr>
          <w:sz w:val="24"/>
        </w:rPr>
        <w:t>Danyelle,</w:t>
      </w:r>
      <w:r>
        <w:rPr>
          <w:spacing w:val="-8"/>
          <w:sz w:val="24"/>
        </w:rPr>
        <w:t> </w:t>
      </w:r>
      <w:r>
        <w:rPr>
          <w:sz w:val="24"/>
        </w:rPr>
        <w:t>K.</w:t>
      </w:r>
      <w:r>
        <w:rPr>
          <w:spacing w:val="-9"/>
          <w:sz w:val="24"/>
        </w:rPr>
        <w:t> </w:t>
      </w:r>
      <w:r>
        <w:rPr>
          <w:sz w:val="24"/>
        </w:rPr>
        <w:t>E.</w:t>
      </w:r>
      <w:r>
        <w:rPr>
          <w:spacing w:val="-8"/>
          <w:sz w:val="24"/>
        </w:rPr>
        <w:t> </w:t>
      </w:r>
      <w:r>
        <w:rPr>
          <w:sz w:val="24"/>
        </w:rPr>
        <w:t>S.,</w:t>
      </w:r>
      <w:r>
        <w:rPr>
          <w:spacing w:val="-8"/>
          <w:sz w:val="24"/>
        </w:rPr>
        <w:t> </w:t>
      </w:r>
      <w:r>
        <w:rPr>
          <w:sz w:val="24"/>
        </w:rPr>
        <w:t>Raquel,</w:t>
      </w:r>
      <w:r>
        <w:rPr>
          <w:spacing w:val="-8"/>
          <w:sz w:val="24"/>
        </w:rPr>
        <w:t> </w:t>
      </w:r>
      <w:r>
        <w:rPr>
          <w:sz w:val="24"/>
        </w:rPr>
        <w:t>D.</w:t>
      </w:r>
      <w:r>
        <w:rPr>
          <w:spacing w:val="-9"/>
          <w:sz w:val="24"/>
        </w:rPr>
        <w:t> </w:t>
      </w:r>
      <w:r>
        <w:rPr>
          <w:sz w:val="24"/>
        </w:rPr>
        <w:t>R.,</w:t>
      </w:r>
      <w:r>
        <w:rPr>
          <w:spacing w:val="-12"/>
          <w:sz w:val="24"/>
        </w:rPr>
        <w:t> </w:t>
      </w:r>
      <w:r>
        <w:rPr>
          <w:sz w:val="24"/>
        </w:rPr>
        <w:t>Juliana,</w:t>
      </w:r>
      <w:r>
        <w:rPr>
          <w:spacing w:val="-8"/>
          <w:sz w:val="24"/>
        </w:rPr>
        <w:t> </w:t>
      </w:r>
      <w:r>
        <w:rPr>
          <w:sz w:val="24"/>
        </w:rPr>
        <w:t>M.</w:t>
      </w:r>
      <w:r>
        <w:rPr>
          <w:spacing w:val="-8"/>
          <w:sz w:val="24"/>
        </w:rPr>
        <w:t> </w:t>
      </w:r>
      <w:r>
        <w:rPr>
          <w:sz w:val="24"/>
        </w:rPr>
        <w:t>L.,</w:t>
      </w:r>
      <w:r>
        <w:rPr>
          <w:spacing w:val="-8"/>
          <w:sz w:val="24"/>
        </w:rPr>
        <w:t> </w:t>
      </w:r>
      <w:r>
        <w:rPr>
          <w:sz w:val="24"/>
        </w:rPr>
        <w:t>Valdemir,</w:t>
      </w:r>
      <w:r>
        <w:rPr>
          <w:spacing w:val="-8"/>
          <w:sz w:val="24"/>
        </w:rPr>
        <w:t> </w:t>
      </w:r>
      <w:r>
        <w:rPr>
          <w:sz w:val="24"/>
        </w:rPr>
        <w:t>A.</w:t>
      </w:r>
      <w:r>
        <w:rPr>
          <w:spacing w:val="-9"/>
          <w:sz w:val="24"/>
        </w:rPr>
        <w:t> </w:t>
      </w:r>
      <w:r>
        <w:rPr>
          <w:sz w:val="24"/>
        </w:rPr>
        <w:t>S,</w:t>
      </w:r>
      <w:r>
        <w:rPr>
          <w:spacing w:val="-8"/>
          <w:sz w:val="24"/>
        </w:rPr>
        <w:t> </w:t>
      </w:r>
      <w:r>
        <w:rPr>
          <w:sz w:val="24"/>
        </w:rPr>
        <w:t>&amp;</w:t>
      </w:r>
      <w:r>
        <w:rPr>
          <w:spacing w:val="-10"/>
          <w:sz w:val="24"/>
        </w:rPr>
        <w:t> </w:t>
      </w:r>
      <w:r>
        <w:rPr>
          <w:sz w:val="24"/>
        </w:rPr>
        <w:t>Leonie,</w:t>
      </w:r>
      <w:r>
        <w:rPr>
          <w:spacing w:val="-9"/>
          <w:sz w:val="24"/>
        </w:rPr>
        <w:t> </w:t>
      </w:r>
      <w:r>
        <w:rPr>
          <w:sz w:val="24"/>
        </w:rPr>
        <w:t>A.</w:t>
      </w:r>
      <w:r>
        <w:rPr>
          <w:spacing w:val="-9"/>
          <w:sz w:val="24"/>
        </w:rPr>
        <w:t> </w:t>
      </w:r>
      <w:r>
        <w:rPr>
          <w:sz w:val="24"/>
        </w:rPr>
        <w:t>S.</w:t>
      </w:r>
      <w:r>
        <w:rPr>
          <w:spacing w:val="-8"/>
          <w:sz w:val="24"/>
        </w:rPr>
        <w:t> </w:t>
      </w:r>
      <w:r>
        <w:rPr>
          <w:sz w:val="24"/>
        </w:rPr>
        <w:t>(2016). Biosurfactant: Multifunctional Biomolecules of the 21st Century. </w:t>
      </w:r>
      <w:r>
        <w:rPr>
          <w:i/>
          <w:sz w:val="24"/>
        </w:rPr>
        <w:t>International Journal of Molecular Sciences, </w:t>
      </w:r>
      <w:r>
        <w:rPr>
          <w:sz w:val="24"/>
        </w:rPr>
        <w:t>17, 401.</w:t>
      </w:r>
    </w:p>
    <w:p>
      <w:pPr>
        <w:pStyle w:val="BodyText"/>
        <w:spacing w:before="10"/>
        <w:rPr>
          <w:sz w:val="20"/>
        </w:rPr>
      </w:pPr>
    </w:p>
    <w:p>
      <w:pPr>
        <w:spacing w:before="0"/>
        <w:ind w:left="921" w:right="115" w:hanging="720"/>
        <w:jc w:val="both"/>
        <w:rPr>
          <w:sz w:val="24"/>
        </w:rPr>
      </w:pPr>
      <w:r>
        <w:rPr>
          <w:sz w:val="24"/>
        </w:rPr>
        <w:t>Das, K., &amp; Mukherjee, A. K. (2007). Crude petroleum-oil biodegradation efficiency of </w:t>
      </w:r>
      <w:r>
        <w:rPr>
          <w:i/>
          <w:sz w:val="24"/>
        </w:rPr>
        <w:t>Bacillussubtilis </w:t>
      </w:r>
      <w:r>
        <w:rPr>
          <w:sz w:val="24"/>
        </w:rPr>
        <w:t>and </w:t>
      </w:r>
      <w:r>
        <w:rPr>
          <w:i/>
          <w:sz w:val="24"/>
        </w:rPr>
        <w:t>Pseudomonasaeruginosa </w:t>
      </w:r>
      <w:r>
        <w:rPr>
          <w:sz w:val="24"/>
        </w:rPr>
        <w:t>strains isolated from a petroleum- oil contaminated soil from North-East India. </w:t>
      </w:r>
      <w:r>
        <w:rPr>
          <w:i/>
          <w:sz w:val="24"/>
        </w:rPr>
        <w:t>Bioresource Technology, </w:t>
      </w:r>
      <w:r>
        <w:rPr>
          <w:sz w:val="24"/>
        </w:rPr>
        <w:t>98(7), </w:t>
      </w:r>
      <w:r>
        <w:rPr>
          <w:spacing w:val="-2"/>
          <w:sz w:val="24"/>
        </w:rPr>
        <w:t>1339-1345.</w:t>
      </w:r>
    </w:p>
    <w:p>
      <w:pPr>
        <w:pStyle w:val="BodyText"/>
        <w:spacing w:before="11"/>
        <w:rPr>
          <w:sz w:val="20"/>
        </w:rPr>
      </w:pPr>
    </w:p>
    <w:p>
      <w:pPr>
        <w:pStyle w:val="BodyText"/>
        <w:ind w:left="921" w:right="118" w:hanging="720"/>
        <w:jc w:val="both"/>
      </w:pPr>
      <w:r>
        <w:rPr/>
        <w:t>Daverey, A., &amp; Pakshirajan, K. (2009). Production, characterization, and properties of sophorolipids from the yeast Candida bombicola using a low-cost fermentative medium. </w:t>
      </w:r>
      <w:r>
        <w:rPr>
          <w:i/>
        </w:rPr>
        <w:t>Applied biochemistry and biotechnology, </w:t>
      </w:r>
      <w:r>
        <w:rPr/>
        <w:t>158(3), 663-674.</w:t>
      </w:r>
    </w:p>
    <w:p>
      <w:pPr>
        <w:pStyle w:val="BodyText"/>
        <w:spacing w:before="10"/>
        <w:rPr>
          <w:sz w:val="20"/>
        </w:rPr>
      </w:pPr>
    </w:p>
    <w:p>
      <w:pPr>
        <w:spacing w:before="0"/>
        <w:ind w:left="921" w:right="122" w:hanging="720"/>
        <w:jc w:val="both"/>
        <w:rPr>
          <w:sz w:val="24"/>
        </w:rPr>
      </w:pPr>
      <w:r>
        <w:rPr>
          <w:sz w:val="24"/>
        </w:rPr>
        <w:t>Desai, J. D., &amp; Banat, I. M. (1997). Microbial production of surfactants and their commercial potential. </w:t>
      </w:r>
      <w:r>
        <w:rPr>
          <w:i/>
          <w:sz w:val="24"/>
        </w:rPr>
        <w:t>MicrobiologyMolecular Biology Reviews</w:t>
      </w:r>
      <w:r>
        <w:rPr>
          <w:sz w:val="24"/>
        </w:rPr>
        <w:t>, 61(1), 47-64.</w:t>
      </w:r>
    </w:p>
    <w:p>
      <w:pPr>
        <w:pStyle w:val="BodyText"/>
        <w:spacing w:before="10"/>
        <w:rPr>
          <w:sz w:val="20"/>
        </w:rPr>
      </w:pPr>
    </w:p>
    <w:p>
      <w:pPr>
        <w:pStyle w:val="BodyText"/>
        <w:ind w:left="921" w:right="116" w:hanging="720"/>
        <w:jc w:val="both"/>
      </w:pPr>
      <w:r>
        <w:rPr/>
        <w:t>Domene, X., Enders, A., Hanley, K., &amp;Lehmann, J. (2015). Ecotoxicological characterization</w:t>
      </w:r>
      <w:r>
        <w:rPr>
          <w:spacing w:val="-7"/>
        </w:rPr>
        <w:t> </w:t>
      </w:r>
      <w:r>
        <w:rPr/>
        <w:t>of</w:t>
      </w:r>
      <w:r>
        <w:rPr>
          <w:spacing w:val="-8"/>
        </w:rPr>
        <w:t> </w:t>
      </w:r>
      <w:r>
        <w:rPr/>
        <w:t>biochars:</w:t>
      </w:r>
      <w:r>
        <w:rPr>
          <w:spacing w:val="-7"/>
        </w:rPr>
        <w:t> </w:t>
      </w:r>
      <w:r>
        <w:rPr/>
        <w:t>role</w:t>
      </w:r>
      <w:r>
        <w:rPr>
          <w:spacing w:val="-8"/>
        </w:rPr>
        <w:t> </w:t>
      </w:r>
      <w:r>
        <w:rPr/>
        <w:t>of</w:t>
      </w:r>
      <w:r>
        <w:rPr>
          <w:spacing w:val="-8"/>
        </w:rPr>
        <w:t> </w:t>
      </w:r>
      <w:r>
        <w:rPr/>
        <w:t>feedstock</w:t>
      </w:r>
      <w:r>
        <w:rPr>
          <w:spacing w:val="-7"/>
        </w:rPr>
        <w:t> </w:t>
      </w:r>
      <w:r>
        <w:rPr/>
        <w:t>and</w:t>
      </w:r>
      <w:r>
        <w:rPr>
          <w:spacing w:val="-5"/>
        </w:rPr>
        <w:t> </w:t>
      </w:r>
      <w:r>
        <w:rPr/>
        <w:t>pyrolysis</w:t>
      </w:r>
      <w:r>
        <w:rPr>
          <w:spacing w:val="-6"/>
        </w:rPr>
        <w:t> </w:t>
      </w:r>
      <w:r>
        <w:rPr/>
        <w:t>temperature.</w:t>
      </w:r>
      <w:r>
        <w:rPr>
          <w:spacing w:val="-3"/>
        </w:rPr>
        <w:t> </w:t>
      </w:r>
      <w:r>
        <w:rPr>
          <w:i/>
        </w:rPr>
        <w:t>Science of Total Environment</w:t>
      </w:r>
      <w:r>
        <w:rPr/>
        <w:t>, 512, 552–561.</w:t>
      </w:r>
    </w:p>
    <w:p>
      <w:pPr>
        <w:pStyle w:val="BodyText"/>
        <w:spacing w:before="10"/>
        <w:rPr>
          <w:sz w:val="20"/>
        </w:rPr>
      </w:pPr>
    </w:p>
    <w:p>
      <w:pPr>
        <w:spacing w:before="0"/>
        <w:ind w:left="921" w:right="116" w:hanging="720"/>
        <w:jc w:val="both"/>
        <w:rPr>
          <w:sz w:val="24"/>
        </w:rPr>
      </w:pPr>
      <w:r>
        <w:rPr>
          <w:sz w:val="24"/>
        </w:rPr>
        <w:t>Dubey,</w:t>
      </w:r>
      <w:r>
        <w:rPr>
          <w:spacing w:val="-12"/>
          <w:sz w:val="24"/>
        </w:rPr>
        <w:t> </w:t>
      </w:r>
      <w:r>
        <w:rPr>
          <w:sz w:val="24"/>
        </w:rPr>
        <w:t>S.</w:t>
      </w:r>
      <w:r>
        <w:rPr>
          <w:spacing w:val="-12"/>
          <w:sz w:val="24"/>
        </w:rPr>
        <w:t> </w:t>
      </w:r>
      <w:r>
        <w:rPr>
          <w:sz w:val="24"/>
        </w:rPr>
        <w:t>P.,</w:t>
      </w:r>
      <w:r>
        <w:rPr>
          <w:spacing w:val="-13"/>
          <w:sz w:val="24"/>
        </w:rPr>
        <w:t> </w:t>
      </w:r>
      <w:r>
        <w:rPr>
          <w:sz w:val="24"/>
        </w:rPr>
        <w:t>Lahtinen,</w:t>
      </w:r>
      <w:r>
        <w:rPr>
          <w:spacing w:val="-12"/>
          <w:sz w:val="24"/>
        </w:rPr>
        <w:t> </w:t>
      </w:r>
      <w:r>
        <w:rPr>
          <w:sz w:val="24"/>
        </w:rPr>
        <w:t>M.,</w:t>
      </w:r>
      <w:r>
        <w:rPr>
          <w:spacing w:val="-11"/>
          <w:sz w:val="24"/>
        </w:rPr>
        <w:t> </w:t>
      </w:r>
      <w:r>
        <w:rPr>
          <w:sz w:val="24"/>
        </w:rPr>
        <w:t>&amp;</w:t>
      </w:r>
      <w:r>
        <w:rPr>
          <w:spacing w:val="-12"/>
          <w:sz w:val="24"/>
        </w:rPr>
        <w:t> </w:t>
      </w:r>
      <w:r>
        <w:rPr>
          <w:sz w:val="24"/>
        </w:rPr>
        <w:t>Sillanpää,</w:t>
      </w:r>
      <w:r>
        <w:rPr>
          <w:spacing w:val="-12"/>
          <w:sz w:val="24"/>
        </w:rPr>
        <w:t> </w:t>
      </w:r>
      <w:r>
        <w:rPr>
          <w:sz w:val="24"/>
        </w:rPr>
        <w:t>M.</w:t>
      </w:r>
      <w:r>
        <w:rPr>
          <w:spacing w:val="-11"/>
          <w:sz w:val="24"/>
        </w:rPr>
        <w:t> </w:t>
      </w:r>
      <w:r>
        <w:rPr>
          <w:sz w:val="24"/>
        </w:rPr>
        <w:t>(2010)</w:t>
      </w:r>
      <w:r>
        <w:rPr>
          <w:spacing w:val="-12"/>
          <w:sz w:val="24"/>
        </w:rPr>
        <w:t> </w:t>
      </w:r>
      <w:r>
        <w:rPr>
          <w:sz w:val="24"/>
        </w:rPr>
        <w:t>Green</w:t>
      </w:r>
      <w:r>
        <w:rPr>
          <w:spacing w:val="-12"/>
          <w:sz w:val="24"/>
        </w:rPr>
        <w:t> </w:t>
      </w:r>
      <w:r>
        <w:rPr>
          <w:sz w:val="24"/>
        </w:rPr>
        <w:t>synthesis</w:t>
      </w:r>
      <w:r>
        <w:rPr>
          <w:spacing w:val="-11"/>
          <w:sz w:val="24"/>
        </w:rPr>
        <w:t> </w:t>
      </w:r>
      <w:r>
        <w:rPr>
          <w:sz w:val="24"/>
        </w:rPr>
        <w:t>and</w:t>
      </w:r>
      <w:r>
        <w:rPr>
          <w:spacing w:val="-12"/>
          <w:sz w:val="24"/>
        </w:rPr>
        <w:t> </w:t>
      </w:r>
      <w:r>
        <w:rPr>
          <w:sz w:val="24"/>
        </w:rPr>
        <w:t>characterizations of silver and gold nanoparticles using leaf extract of Rosa rugosa </w:t>
      </w:r>
      <w:r>
        <w:rPr>
          <w:i/>
          <w:sz w:val="24"/>
        </w:rPr>
        <w:t>Colloids and Surfaces A: Physicochemical and Engineering Aspects</w:t>
      </w:r>
      <w:r>
        <w:rPr>
          <w:sz w:val="24"/>
        </w:rPr>
        <w:t>, 364, 34-41.</w:t>
      </w:r>
    </w:p>
    <w:p>
      <w:pPr>
        <w:pStyle w:val="BodyText"/>
        <w:spacing w:before="11"/>
        <w:rPr>
          <w:sz w:val="20"/>
        </w:rPr>
      </w:pPr>
    </w:p>
    <w:p>
      <w:pPr>
        <w:pStyle w:val="BodyText"/>
        <w:ind w:left="202"/>
        <w:jc w:val="both"/>
      </w:pPr>
      <w:r>
        <w:rPr/>
        <w:t>Ebadi,</w:t>
      </w:r>
      <w:r>
        <w:rPr>
          <w:spacing w:val="-14"/>
        </w:rPr>
        <w:t> </w:t>
      </w:r>
      <w:r>
        <w:rPr/>
        <w:t>A.,</w:t>
      </w:r>
      <w:r>
        <w:rPr>
          <w:spacing w:val="-14"/>
        </w:rPr>
        <w:t> </w:t>
      </w:r>
      <w:r>
        <w:rPr/>
        <w:t>Khoshkholgh</w:t>
      </w:r>
      <w:r>
        <w:rPr>
          <w:spacing w:val="-12"/>
        </w:rPr>
        <w:t> </w:t>
      </w:r>
      <w:r>
        <w:rPr/>
        <w:t>Sima,</w:t>
      </w:r>
      <w:r>
        <w:rPr>
          <w:spacing w:val="-13"/>
        </w:rPr>
        <w:t> </w:t>
      </w:r>
      <w:r>
        <w:rPr/>
        <w:t>N.</w:t>
      </w:r>
      <w:r>
        <w:rPr>
          <w:spacing w:val="-14"/>
        </w:rPr>
        <w:t> </w:t>
      </w:r>
      <w:r>
        <w:rPr/>
        <w:t>A.,</w:t>
      </w:r>
      <w:r>
        <w:rPr>
          <w:spacing w:val="-15"/>
        </w:rPr>
        <w:t> </w:t>
      </w:r>
      <w:r>
        <w:rPr/>
        <w:t>Olamaee,</w:t>
      </w:r>
      <w:r>
        <w:rPr>
          <w:spacing w:val="-13"/>
        </w:rPr>
        <w:t> </w:t>
      </w:r>
      <w:r>
        <w:rPr/>
        <w:t>M.,</w:t>
      </w:r>
      <w:r>
        <w:rPr>
          <w:spacing w:val="-13"/>
        </w:rPr>
        <w:t> </w:t>
      </w:r>
      <w:r>
        <w:rPr/>
        <w:t>Hashemi,</w:t>
      </w:r>
      <w:r>
        <w:rPr>
          <w:spacing w:val="-14"/>
        </w:rPr>
        <w:t> </w:t>
      </w:r>
      <w:r>
        <w:rPr/>
        <w:t>M.,</w:t>
      </w:r>
      <w:r>
        <w:rPr>
          <w:spacing w:val="-13"/>
        </w:rPr>
        <w:t> </w:t>
      </w:r>
      <w:r>
        <w:rPr/>
        <w:t>&amp;</w:t>
      </w:r>
      <w:r>
        <w:rPr>
          <w:spacing w:val="-15"/>
        </w:rPr>
        <w:t> </w:t>
      </w:r>
      <w:r>
        <w:rPr/>
        <w:t>Ghorbani</w:t>
      </w:r>
      <w:r>
        <w:rPr>
          <w:spacing w:val="-13"/>
        </w:rPr>
        <w:t> </w:t>
      </w:r>
      <w:r>
        <w:rPr>
          <w:spacing w:val="-2"/>
        </w:rPr>
        <w:t>Nasrabadi,</w:t>
      </w:r>
    </w:p>
    <w:p>
      <w:pPr>
        <w:pStyle w:val="BodyText"/>
        <w:ind w:left="921" w:right="119"/>
        <w:jc w:val="both"/>
      </w:pPr>
      <w:r>
        <w:rPr/>
        <w:t>R. (2017). Effective bioremediation of a petroleum-polluted saline soil by a surfactant-producing</w:t>
      </w:r>
      <w:r>
        <w:rPr>
          <w:spacing w:val="-1"/>
        </w:rPr>
        <w:t> </w:t>
      </w:r>
      <w:r>
        <w:rPr/>
        <w:t>Pseudomonas aeruginosa consortium. </w:t>
      </w:r>
      <w:r>
        <w:rPr>
          <w:i/>
        </w:rPr>
        <w:t>Journal of Advanced Research</w:t>
      </w:r>
      <w:r>
        <w:rPr/>
        <w:t>, 8(6), 627–633.</w:t>
      </w:r>
    </w:p>
    <w:p>
      <w:pPr>
        <w:pStyle w:val="BodyText"/>
        <w:spacing w:before="10"/>
        <w:rPr>
          <w:sz w:val="20"/>
        </w:rPr>
      </w:pPr>
    </w:p>
    <w:p>
      <w:pPr>
        <w:spacing w:before="0"/>
        <w:ind w:left="921" w:right="116" w:hanging="720"/>
        <w:jc w:val="both"/>
        <w:rPr>
          <w:sz w:val="24"/>
        </w:rPr>
      </w:pPr>
      <w:r>
        <w:rPr>
          <w:sz w:val="24"/>
        </w:rPr>
        <w:t>Ejiba, I. V., Onya, S. C., &amp; Adams, O.K.(2016). Impact of oil pollution on livelihood: evidence from the Niger Delta region of Nigeria. </w:t>
      </w:r>
      <w:r>
        <w:rPr>
          <w:i/>
          <w:sz w:val="24"/>
        </w:rPr>
        <w:t>Journal of Scientific Research and Reports, </w:t>
      </w:r>
      <w:r>
        <w:rPr>
          <w:sz w:val="24"/>
        </w:rPr>
        <w:t>1, 12.</w:t>
      </w:r>
    </w:p>
    <w:p>
      <w:pPr>
        <w:pStyle w:val="BodyText"/>
        <w:spacing w:before="1"/>
        <w:rPr>
          <w:sz w:val="21"/>
        </w:rPr>
      </w:pPr>
    </w:p>
    <w:p>
      <w:pPr>
        <w:spacing w:line="276" w:lineRule="auto" w:before="0"/>
        <w:ind w:left="921" w:right="116" w:hanging="720"/>
        <w:jc w:val="both"/>
        <w:rPr>
          <w:sz w:val="24"/>
        </w:rPr>
      </w:pPr>
      <w:r>
        <w:rPr>
          <w:sz w:val="24"/>
        </w:rPr>
        <w:t>El-Sheshtawy, H. S., &amp; Ahmed, W. (2017). Bioremediation of crude oil by </w:t>
      </w:r>
      <w:r>
        <w:rPr>
          <w:i/>
          <w:sz w:val="24"/>
        </w:rPr>
        <w:t>Bacillus licheniformis </w:t>
      </w:r>
      <w:r>
        <w:rPr>
          <w:sz w:val="24"/>
        </w:rPr>
        <w:t>in the presence of different concentration of nanoparticles and produced biosurfactant. </w:t>
      </w:r>
      <w:r>
        <w:rPr>
          <w:i/>
          <w:sz w:val="24"/>
        </w:rPr>
        <w:t>International Journal of Environmental Science and Technology</w:t>
      </w:r>
      <w:r>
        <w:rPr>
          <w:sz w:val="24"/>
        </w:rPr>
        <w:t>, 14 (8), 1603-1614.</w:t>
      </w:r>
    </w:p>
    <w:p>
      <w:pPr>
        <w:pStyle w:val="BodyText"/>
        <w:spacing w:before="8"/>
        <w:rPr>
          <w:sz w:val="20"/>
        </w:rPr>
      </w:pPr>
    </w:p>
    <w:p>
      <w:pPr>
        <w:spacing w:before="0"/>
        <w:ind w:left="921" w:right="117" w:hanging="720"/>
        <w:jc w:val="both"/>
        <w:rPr>
          <w:sz w:val="24"/>
        </w:rPr>
      </w:pPr>
      <w:r>
        <w:rPr>
          <w:sz w:val="24"/>
        </w:rPr>
        <w:t>Elemba, M. O., Ijah, U. J. J &amp; Chibunna, M. (2015). Isolation, characterization and MEOR ability of the biosurfactant produced from </w:t>
      </w:r>
      <w:r>
        <w:rPr>
          <w:i/>
          <w:sz w:val="24"/>
        </w:rPr>
        <w:t>Serratia marcescens </w:t>
      </w:r>
      <w:r>
        <w:rPr>
          <w:sz w:val="24"/>
        </w:rPr>
        <w:t>UEO15. </w:t>
      </w:r>
      <w:r>
        <w:rPr>
          <w:i/>
          <w:sz w:val="24"/>
        </w:rPr>
        <w:t>Global Journal Of Advance Research</w:t>
      </w:r>
      <w:r>
        <w:rPr>
          <w:sz w:val="24"/>
        </w:rPr>
        <w:t>, 2, 962-972.</w:t>
      </w:r>
    </w:p>
    <w:p>
      <w:pPr>
        <w:pStyle w:val="BodyText"/>
        <w:spacing w:before="10"/>
        <w:rPr>
          <w:sz w:val="20"/>
        </w:rPr>
      </w:pPr>
    </w:p>
    <w:p>
      <w:pPr>
        <w:spacing w:before="0"/>
        <w:ind w:left="921" w:right="118" w:hanging="720"/>
        <w:jc w:val="both"/>
        <w:rPr>
          <w:i/>
          <w:sz w:val="24"/>
        </w:rPr>
      </w:pPr>
      <w:r>
        <w:rPr>
          <w:sz w:val="24"/>
        </w:rPr>
        <w:t>El-Seshtawy, H. S., &amp; Ahmed, W. (2017). Bioremediation of crude oil by </w:t>
      </w:r>
      <w:r>
        <w:rPr>
          <w:i/>
          <w:sz w:val="24"/>
        </w:rPr>
        <w:t>Bacillus licheniformis </w:t>
      </w:r>
      <w:r>
        <w:rPr>
          <w:sz w:val="24"/>
        </w:rPr>
        <w:t>in the presence of different concentration of nanoparticles and produced biosurfactant. </w:t>
      </w:r>
      <w:r>
        <w:rPr>
          <w:i/>
          <w:sz w:val="24"/>
        </w:rPr>
        <w:t>International Journal of Environmnetal Science and technology, 14(8), 1603-1614.</w:t>
      </w:r>
    </w:p>
    <w:p>
      <w:pPr>
        <w:spacing w:after="0"/>
        <w:jc w:val="both"/>
        <w:rPr>
          <w:sz w:val="24"/>
        </w:rPr>
        <w:sectPr>
          <w:pgSz w:w="11910" w:h="16840"/>
          <w:pgMar w:header="0" w:footer="1002" w:top="1320" w:bottom="1200" w:left="1500" w:right="1580"/>
        </w:sectPr>
      </w:pPr>
    </w:p>
    <w:p>
      <w:pPr>
        <w:spacing w:before="69"/>
        <w:ind w:left="921" w:right="120" w:hanging="720"/>
        <w:jc w:val="both"/>
        <w:rPr>
          <w:sz w:val="24"/>
        </w:rPr>
      </w:pPr>
      <w:r>
        <w:rPr>
          <w:sz w:val="24"/>
        </w:rPr>
        <w:t>Emmanuel, S. A., Olajide, O., Abubakar, S., Akiode, S. O., &amp; Etuk-Udo, G. (2016). Chemical evaluation, free radical scavenging activities and antimicrobial evaluation</w:t>
      </w:r>
      <w:r>
        <w:rPr>
          <w:spacing w:val="-15"/>
          <w:sz w:val="24"/>
        </w:rPr>
        <w:t> </w:t>
      </w:r>
      <w:r>
        <w:rPr>
          <w:sz w:val="24"/>
        </w:rPr>
        <w:t>of</w:t>
      </w:r>
      <w:r>
        <w:rPr>
          <w:spacing w:val="-15"/>
          <w:sz w:val="24"/>
        </w:rPr>
        <w:t> </w:t>
      </w:r>
      <w:r>
        <w:rPr>
          <w:sz w:val="24"/>
        </w:rPr>
        <w:t>the</w:t>
      </w:r>
      <w:r>
        <w:rPr>
          <w:spacing w:val="-14"/>
          <w:sz w:val="24"/>
        </w:rPr>
        <w:t> </w:t>
      </w:r>
      <w:r>
        <w:rPr>
          <w:sz w:val="24"/>
        </w:rPr>
        <w:t>methanolic</w:t>
      </w:r>
      <w:r>
        <w:rPr>
          <w:spacing w:val="-15"/>
          <w:sz w:val="24"/>
        </w:rPr>
        <w:t> </w:t>
      </w:r>
      <w:r>
        <w:rPr>
          <w:sz w:val="24"/>
        </w:rPr>
        <w:t>extracts</w:t>
      </w:r>
      <w:r>
        <w:rPr>
          <w:spacing w:val="-15"/>
          <w:sz w:val="24"/>
        </w:rPr>
        <w:t> </w:t>
      </w:r>
      <w:r>
        <w:rPr>
          <w:sz w:val="24"/>
        </w:rPr>
        <w:t>of</w:t>
      </w:r>
      <w:r>
        <w:rPr>
          <w:spacing w:val="-15"/>
          <w:sz w:val="24"/>
        </w:rPr>
        <w:t> </w:t>
      </w:r>
      <w:r>
        <w:rPr>
          <w:sz w:val="24"/>
        </w:rPr>
        <w:t>corn</w:t>
      </w:r>
      <w:r>
        <w:rPr>
          <w:spacing w:val="-15"/>
          <w:sz w:val="24"/>
        </w:rPr>
        <w:t> </w:t>
      </w:r>
      <w:r>
        <w:rPr>
          <w:sz w:val="24"/>
        </w:rPr>
        <w:t>silk</w:t>
      </w:r>
      <w:r>
        <w:rPr>
          <w:spacing w:val="-14"/>
          <w:sz w:val="24"/>
        </w:rPr>
        <w:t> </w:t>
      </w:r>
      <w:r>
        <w:rPr>
          <w:sz w:val="24"/>
        </w:rPr>
        <w:t>(</w:t>
      </w:r>
      <w:r>
        <w:rPr>
          <w:i/>
          <w:sz w:val="24"/>
        </w:rPr>
        <w:t>Zea</w:t>
      </w:r>
      <w:r>
        <w:rPr>
          <w:i/>
          <w:spacing w:val="-15"/>
          <w:sz w:val="24"/>
        </w:rPr>
        <w:t> </w:t>
      </w:r>
      <w:r>
        <w:rPr>
          <w:i/>
          <w:sz w:val="24"/>
        </w:rPr>
        <w:t>mays</w:t>
      </w:r>
      <w:r>
        <w:rPr>
          <w:sz w:val="24"/>
        </w:rPr>
        <w:t>).</w:t>
      </w:r>
      <w:r>
        <w:rPr>
          <w:spacing w:val="-15"/>
          <w:sz w:val="24"/>
        </w:rPr>
        <w:t> </w:t>
      </w:r>
      <w:r>
        <w:rPr>
          <w:i/>
          <w:sz w:val="24"/>
        </w:rPr>
        <w:t>Journal</w:t>
      </w:r>
      <w:r>
        <w:rPr>
          <w:i/>
          <w:spacing w:val="-15"/>
          <w:sz w:val="24"/>
        </w:rPr>
        <w:t> </w:t>
      </w:r>
      <w:r>
        <w:rPr>
          <w:i/>
          <w:sz w:val="24"/>
        </w:rPr>
        <w:t>of</w:t>
      </w:r>
      <w:r>
        <w:rPr>
          <w:i/>
          <w:spacing w:val="-15"/>
          <w:sz w:val="24"/>
        </w:rPr>
        <w:t> </w:t>
      </w:r>
      <w:r>
        <w:rPr>
          <w:i/>
          <w:sz w:val="24"/>
        </w:rPr>
        <w:t>Advances in Medical and Pharmaceutical Sciences</w:t>
      </w:r>
      <w:r>
        <w:rPr>
          <w:sz w:val="24"/>
        </w:rPr>
        <w:t>, 9, 1-8</w:t>
      </w:r>
    </w:p>
    <w:p>
      <w:pPr>
        <w:pStyle w:val="BodyText"/>
        <w:spacing w:before="11"/>
        <w:rPr>
          <w:sz w:val="20"/>
        </w:rPr>
      </w:pPr>
    </w:p>
    <w:p>
      <w:pPr>
        <w:spacing w:before="0"/>
        <w:ind w:left="921" w:right="115" w:hanging="720"/>
        <w:jc w:val="both"/>
        <w:rPr>
          <w:sz w:val="24"/>
        </w:rPr>
      </w:pPr>
      <w:r>
        <w:rPr>
          <w:sz w:val="24"/>
        </w:rPr>
        <w:t>Erdogan,</w:t>
      </w:r>
      <w:r>
        <w:rPr>
          <w:sz w:val="24"/>
        </w:rPr>
        <w:t> E.</w:t>
      </w:r>
      <w:r>
        <w:rPr>
          <w:sz w:val="24"/>
        </w:rPr>
        <w:t> &amp; Karaca,</w:t>
      </w:r>
      <w:r>
        <w:rPr>
          <w:sz w:val="24"/>
        </w:rPr>
        <w:t> A. (2011). Bioremediation of Crude Oil Polluted Soils. </w:t>
      </w:r>
      <w:r>
        <w:rPr>
          <w:i/>
          <w:sz w:val="24"/>
        </w:rPr>
        <w:t>Asian Journal of Biotechnology, </w:t>
      </w:r>
      <w:r>
        <w:rPr>
          <w:sz w:val="24"/>
        </w:rPr>
        <w:t>3, 206-213.</w:t>
      </w:r>
    </w:p>
    <w:p>
      <w:pPr>
        <w:pStyle w:val="BodyText"/>
        <w:spacing w:before="10"/>
        <w:rPr>
          <w:sz w:val="20"/>
        </w:rPr>
      </w:pPr>
    </w:p>
    <w:p>
      <w:pPr>
        <w:spacing w:before="0"/>
        <w:ind w:left="921" w:right="116" w:hanging="720"/>
        <w:jc w:val="both"/>
        <w:rPr>
          <w:sz w:val="24"/>
        </w:rPr>
      </w:pPr>
      <w:r>
        <w:rPr>
          <w:sz w:val="24"/>
        </w:rPr>
        <w:t>Fakruddin, M. D. (2012). Biosurfactant: production and application. </w:t>
      </w:r>
      <w:r>
        <w:rPr>
          <w:i/>
          <w:sz w:val="24"/>
        </w:rPr>
        <w:t>Journal of Petroleum &amp; Environmental Biotechnology, </w:t>
      </w:r>
      <w:r>
        <w:rPr>
          <w:sz w:val="24"/>
        </w:rPr>
        <w:t>3(124), 2.</w:t>
      </w:r>
    </w:p>
    <w:p>
      <w:pPr>
        <w:pStyle w:val="BodyText"/>
        <w:spacing w:before="10"/>
        <w:rPr>
          <w:sz w:val="20"/>
        </w:rPr>
      </w:pPr>
    </w:p>
    <w:p>
      <w:pPr>
        <w:pStyle w:val="BodyText"/>
        <w:ind w:left="921" w:right="115" w:hanging="720"/>
        <w:jc w:val="both"/>
      </w:pPr>
      <w:r>
        <w:rPr/>
        <w:t>Frank,</w:t>
      </w:r>
      <w:r>
        <w:rPr>
          <w:spacing w:val="-12"/>
        </w:rPr>
        <w:t> </w:t>
      </w:r>
      <w:r>
        <w:rPr/>
        <w:t>J.</w:t>
      </w:r>
      <w:r>
        <w:rPr>
          <w:spacing w:val="-12"/>
        </w:rPr>
        <w:t> </w:t>
      </w:r>
      <w:r>
        <w:rPr/>
        <w:t>A.</w:t>
      </w:r>
      <w:r>
        <w:rPr>
          <w:spacing w:val="-13"/>
        </w:rPr>
        <w:t> </w:t>
      </w:r>
      <w:r>
        <w:rPr/>
        <w:t>Reich,C.</w:t>
      </w:r>
      <w:r>
        <w:rPr>
          <w:spacing w:val="-9"/>
        </w:rPr>
        <w:t> </w:t>
      </w:r>
      <w:r>
        <w:rPr/>
        <w:t>I.,</w:t>
      </w:r>
      <w:r>
        <w:rPr>
          <w:spacing w:val="-12"/>
        </w:rPr>
        <w:t> </w:t>
      </w:r>
      <w:r>
        <w:rPr/>
        <w:t>Sharma,</w:t>
      </w:r>
      <w:r>
        <w:rPr>
          <w:spacing w:val="-12"/>
        </w:rPr>
        <w:t> </w:t>
      </w:r>
      <w:r>
        <w:rPr/>
        <w:t>S.,</w:t>
      </w:r>
      <w:r>
        <w:rPr>
          <w:spacing w:val="-12"/>
        </w:rPr>
        <w:t> </w:t>
      </w:r>
      <w:r>
        <w:rPr/>
        <w:t>Weisbaum,</w:t>
      </w:r>
      <w:r>
        <w:rPr>
          <w:spacing w:val="-12"/>
        </w:rPr>
        <w:t> </w:t>
      </w:r>
      <w:r>
        <w:rPr/>
        <w:t>J.</w:t>
      </w:r>
      <w:r>
        <w:rPr>
          <w:spacing w:val="-14"/>
        </w:rPr>
        <w:t> </w:t>
      </w:r>
      <w:r>
        <w:rPr/>
        <w:t>S.,</w:t>
      </w:r>
      <w:r>
        <w:rPr>
          <w:spacing w:val="-12"/>
        </w:rPr>
        <w:t> </w:t>
      </w:r>
      <w:r>
        <w:rPr/>
        <w:t>Wilson,B.</w:t>
      </w:r>
      <w:r>
        <w:rPr>
          <w:spacing w:val="-12"/>
        </w:rPr>
        <w:t> </w:t>
      </w:r>
      <w:r>
        <w:rPr/>
        <w:t>A.,</w:t>
      </w:r>
      <w:r>
        <w:rPr>
          <w:spacing w:val="-13"/>
        </w:rPr>
        <w:t> </w:t>
      </w:r>
      <w:r>
        <w:rPr/>
        <w:t>&amp;</w:t>
      </w:r>
      <w:r>
        <w:rPr>
          <w:spacing w:val="-14"/>
        </w:rPr>
        <w:t> </w:t>
      </w:r>
      <w:r>
        <w:rPr/>
        <w:t>Olsen,</w:t>
      </w:r>
      <w:r>
        <w:rPr>
          <w:spacing w:val="-12"/>
        </w:rPr>
        <w:t> </w:t>
      </w:r>
      <w:r>
        <w:rPr/>
        <w:t>G.</w:t>
      </w:r>
      <w:r>
        <w:rPr>
          <w:spacing w:val="-13"/>
        </w:rPr>
        <w:t> </w:t>
      </w:r>
      <w:r>
        <w:rPr/>
        <w:t>J.(2008). Critical Evaluation of Two Primers Commonly Used for Amplification of Bacterial</w:t>
      </w:r>
      <w:r>
        <w:rPr>
          <w:spacing w:val="-9"/>
        </w:rPr>
        <w:t> </w:t>
      </w:r>
      <w:r>
        <w:rPr/>
        <w:t>16S</w:t>
      </w:r>
      <w:r>
        <w:rPr>
          <w:spacing w:val="-9"/>
        </w:rPr>
        <w:t> </w:t>
      </w:r>
      <w:r>
        <w:rPr/>
        <w:t>rRNA</w:t>
      </w:r>
      <w:r>
        <w:rPr>
          <w:spacing w:val="-10"/>
        </w:rPr>
        <w:t> </w:t>
      </w:r>
      <w:r>
        <w:rPr/>
        <w:t>Genes.</w:t>
      </w:r>
      <w:r>
        <w:rPr>
          <w:spacing w:val="-7"/>
        </w:rPr>
        <w:t> </w:t>
      </w:r>
      <w:r>
        <w:rPr>
          <w:i/>
        </w:rPr>
        <w:t>Applied</w:t>
      </w:r>
      <w:r>
        <w:rPr>
          <w:i/>
          <w:spacing w:val="-9"/>
        </w:rPr>
        <w:t> </w:t>
      </w:r>
      <w:r>
        <w:rPr>
          <w:i/>
        </w:rPr>
        <w:t>and</w:t>
      </w:r>
      <w:r>
        <w:rPr>
          <w:i/>
          <w:spacing w:val="-9"/>
        </w:rPr>
        <w:t> </w:t>
      </w:r>
      <w:r>
        <w:rPr>
          <w:i/>
        </w:rPr>
        <w:t>Environmental</w:t>
      </w:r>
      <w:r>
        <w:rPr>
          <w:i/>
          <w:spacing w:val="-9"/>
        </w:rPr>
        <w:t> </w:t>
      </w:r>
      <w:r>
        <w:rPr>
          <w:i/>
        </w:rPr>
        <w:t>Microbiology</w:t>
      </w:r>
      <w:r>
        <w:rPr/>
        <w:t>,</w:t>
      </w:r>
      <w:r>
        <w:rPr>
          <w:spacing w:val="-9"/>
        </w:rPr>
        <w:t> </w:t>
      </w:r>
      <w:r>
        <w:rPr/>
        <w:t>74,</w:t>
      </w:r>
      <w:r>
        <w:rPr>
          <w:spacing w:val="-7"/>
        </w:rPr>
        <w:t> </w:t>
      </w:r>
      <w:r>
        <w:rPr/>
        <w:t>2461– </w:t>
      </w:r>
      <w:r>
        <w:rPr>
          <w:spacing w:val="-2"/>
        </w:rPr>
        <w:t>2470.</w:t>
      </w:r>
    </w:p>
    <w:p>
      <w:pPr>
        <w:pStyle w:val="BodyText"/>
        <w:spacing w:before="10"/>
        <w:rPr>
          <w:sz w:val="20"/>
        </w:rPr>
      </w:pPr>
    </w:p>
    <w:p>
      <w:pPr>
        <w:pStyle w:val="BodyText"/>
        <w:spacing w:before="1"/>
        <w:ind w:left="921" w:right="117" w:hanging="720"/>
        <w:jc w:val="both"/>
      </w:pPr>
      <w:r>
        <w:rPr/>
        <w:t>Gargouri, B., del-Mar Contreras, M., Ammar, S., Segura-Carretero, A., &amp; Bouaziz, M. (2017).</w:t>
      </w:r>
      <w:r>
        <w:rPr>
          <w:spacing w:val="40"/>
        </w:rPr>
        <w:t> </w:t>
      </w:r>
      <w:r>
        <w:rPr/>
        <w:t>Biosurfactant production by</w:t>
      </w:r>
      <w:r>
        <w:rPr>
          <w:spacing w:val="-4"/>
        </w:rPr>
        <w:t> </w:t>
      </w:r>
      <w:r>
        <w:rPr/>
        <w:t>the crude oil degrading Stenophomonas sp. B-2: chemical characterization, biological activities and environmental applications. </w:t>
      </w:r>
      <w:r>
        <w:rPr>
          <w:i/>
        </w:rPr>
        <w:t>Environmental Science and Pollution Research</w:t>
      </w:r>
      <w:r>
        <w:rPr/>
        <w:t>, 24(4), 3769-3779.</w:t>
      </w:r>
    </w:p>
    <w:p>
      <w:pPr>
        <w:pStyle w:val="BodyText"/>
        <w:spacing w:before="10"/>
        <w:rPr>
          <w:sz w:val="20"/>
        </w:rPr>
      </w:pPr>
    </w:p>
    <w:p>
      <w:pPr>
        <w:spacing w:before="0"/>
        <w:ind w:left="921" w:right="121" w:hanging="720"/>
        <w:jc w:val="both"/>
        <w:rPr>
          <w:sz w:val="24"/>
        </w:rPr>
      </w:pPr>
      <w:r>
        <w:rPr>
          <w:sz w:val="24"/>
        </w:rPr>
        <w:t>Garrity,</w:t>
      </w:r>
      <w:r>
        <w:rPr>
          <w:sz w:val="24"/>
        </w:rPr>
        <w:t> G. M. (2012). </w:t>
      </w:r>
      <w:r>
        <w:rPr>
          <w:i/>
          <w:sz w:val="24"/>
        </w:rPr>
        <w:t>Bergey’s manual of systemic bacteriology: </w:t>
      </w:r>
      <w:r>
        <w:rPr>
          <w:sz w:val="24"/>
        </w:rPr>
        <w:t>volume one: the Archaea</w:t>
      </w:r>
      <w:r>
        <w:rPr>
          <w:spacing w:val="-5"/>
          <w:sz w:val="24"/>
        </w:rPr>
        <w:t> </w:t>
      </w:r>
      <w:r>
        <w:rPr>
          <w:sz w:val="24"/>
        </w:rPr>
        <w:t>and</w:t>
      </w:r>
      <w:r>
        <w:rPr>
          <w:spacing w:val="-4"/>
          <w:sz w:val="24"/>
        </w:rPr>
        <w:t> </w:t>
      </w:r>
      <w:r>
        <w:rPr>
          <w:sz w:val="24"/>
        </w:rPr>
        <w:t>the</w:t>
      </w:r>
      <w:r>
        <w:rPr>
          <w:spacing w:val="-4"/>
          <w:sz w:val="24"/>
        </w:rPr>
        <w:t> </w:t>
      </w:r>
      <w:r>
        <w:rPr>
          <w:sz w:val="24"/>
        </w:rPr>
        <w:t>deeply</w:t>
      </w:r>
      <w:r>
        <w:rPr>
          <w:spacing w:val="-8"/>
          <w:sz w:val="24"/>
        </w:rPr>
        <w:t> </w:t>
      </w:r>
      <w:r>
        <w:rPr>
          <w:sz w:val="24"/>
        </w:rPr>
        <w:t>branching</w:t>
      </w:r>
      <w:r>
        <w:rPr>
          <w:spacing w:val="-6"/>
          <w:sz w:val="24"/>
        </w:rPr>
        <w:t> </w:t>
      </w:r>
      <w:r>
        <w:rPr>
          <w:sz w:val="24"/>
        </w:rPr>
        <w:t>and</w:t>
      </w:r>
      <w:r>
        <w:rPr>
          <w:spacing w:val="-4"/>
          <w:sz w:val="24"/>
        </w:rPr>
        <w:t> </w:t>
      </w:r>
      <w:r>
        <w:rPr>
          <w:sz w:val="24"/>
        </w:rPr>
        <w:t>phototrophic</w:t>
      </w:r>
      <w:r>
        <w:rPr>
          <w:spacing w:val="-5"/>
          <w:sz w:val="24"/>
        </w:rPr>
        <w:t> </w:t>
      </w:r>
      <w:r>
        <w:rPr>
          <w:sz w:val="24"/>
        </w:rPr>
        <w:t>bacteria.</w:t>
      </w:r>
      <w:r>
        <w:rPr>
          <w:spacing w:val="-4"/>
          <w:sz w:val="24"/>
        </w:rPr>
        <w:t> </w:t>
      </w:r>
      <w:r>
        <w:rPr>
          <w:sz w:val="24"/>
        </w:rPr>
        <w:t>Springer</w:t>
      </w:r>
      <w:r>
        <w:rPr>
          <w:spacing w:val="-4"/>
          <w:sz w:val="24"/>
        </w:rPr>
        <w:t> </w:t>
      </w:r>
      <w:r>
        <w:rPr>
          <w:sz w:val="24"/>
        </w:rPr>
        <w:t>Science</w:t>
      </w:r>
      <w:r>
        <w:rPr>
          <w:spacing w:val="-5"/>
          <w:sz w:val="24"/>
        </w:rPr>
        <w:t> </w:t>
      </w:r>
      <w:r>
        <w:rPr>
          <w:sz w:val="24"/>
        </w:rPr>
        <w:t>&amp; Business Media</w:t>
      </w:r>
    </w:p>
    <w:p>
      <w:pPr>
        <w:pStyle w:val="BodyText"/>
        <w:spacing w:before="10"/>
        <w:rPr>
          <w:sz w:val="20"/>
        </w:rPr>
      </w:pPr>
    </w:p>
    <w:p>
      <w:pPr>
        <w:pStyle w:val="BodyText"/>
        <w:ind w:left="921" w:right="119" w:hanging="720"/>
        <w:jc w:val="both"/>
      </w:pPr>
      <w:r>
        <w:rPr/>
        <w:t>Ghanavati, H., Emtiazi, G., &amp; Hassanshahian, M. (2017). Synergism effects of phenol- degrading yeast and ammonia-oxidizing bacteria for nitrification in coke wastewater of Esfahan Steel Company. </w:t>
      </w:r>
      <w:r>
        <w:rPr>
          <w:i/>
        </w:rPr>
        <w:t>Waste Management Resources</w:t>
      </w:r>
      <w:r>
        <w:rPr/>
        <w:t>, 26(2), </w:t>
      </w:r>
      <w:r>
        <w:rPr>
          <w:spacing w:val="-2"/>
        </w:rPr>
        <w:t>203–208.</w:t>
      </w:r>
    </w:p>
    <w:p>
      <w:pPr>
        <w:pStyle w:val="BodyText"/>
        <w:spacing w:before="10"/>
        <w:rPr>
          <w:sz w:val="20"/>
        </w:rPr>
      </w:pPr>
    </w:p>
    <w:p>
      <w:pPr>
        <w:pStyle w:val="BodyText"/>
        <w:ind w:left="921" w:right="116" w:hanging="720"/>
        <w:jc w:val="both"/>
      </w:pPr>
      <w:r>
        <w:rPr/>
        <w:t>Gul, S., Whalen, J. K., Thomas, B. W., Sachdeva, V., &amp; Deng, H. (2015). Physico- chemical properties and microbial responses in biochar-amended soils: mechanisms</w:t>
      </w:r>
      <w:r>
        <w:rPr>
          <w:spacing w:val="-3"/>
        </w:rPr>
        <w:t> </w:t>
      </w:r>
      <w:r>
        <w:rPr/>
        <w:t>and</w:t>
      </w:r>
      <w:r>
        <w:rPr>
          <w:spacing w:val="-3"/>
        </w:rPr>
        <w:t> </w:t>
      </w:r>
      <w:r>
        <w:rPr/>
        <w:t>future</w:t>
      </w:r>
      <w:r>
        <w:rPr>
          <w:spacing w:val="-4"/>
        </w:rPr>
        <w:t> </w:t>
      </w:r>
      <w:r>
        <w:rPr/>
        <w:t>directions.</w:t>
      </w:r>
      <w:r>
        <w:rPr>
          <w:spacing w:val="-1"/>
        </w:rPr>
        <w:t> </w:t>
      </w:r>
      <w:r>
        <w:rPr>
          <w:i/>
        </w:rPr>
        <w:t>Agriculture,</w:t>
      </w:r>
      <w:r>
        <w:rPr>
          <w:i/>
          <w:spacing w:val="-3"/>
        </w:rPr>
        <w:t> </w:t>
      </w:r>
      <w:r>
        <w:rPr>
          <w:i/>
        </w:rPr>
        <w:t>Ecosystems &amp;</w:t>
      </w:r>
      <w:r>
        <w:rPr>
          <w:i/>
          <w:spacing w:val="-9"/>
        </w:rPr>
        <w:t> </w:t>
      </w:r>
      <w:r>
        <w:rPr>
          <w:i/>
        </w:rPr>
        <w:t>Environment</w:t>
      </w:r>
      <w:r>
        <w:rPr/>
        <w:t>,</w:t>
      </w:r>
      <w:r>
        <w:rPr>
          <w:spacing w:val="-3"/>
        </w:rPr>
        <w:t> </w:t>
      </w:r>
      <w:r>
        <w:rPr/>
        <w:t>206, </w:t>
      </w:r>
      <w:r>
        <w:rPr>
          <w:spacing w:val="-2"/>
        </w:rPr>
        <w:t>46-59.</w:t>
      </w:r>
    </w:p>
    <w:p>
      <w:pPr>
        <w:pStyle w:val="BodyText"/>
        <w:spacing w:before="10"/>
        <w:rPr>
          <w:sz w:val="20"/>
        </w:rPr>
      </w:pPr>
    </w:p>
    <w:p>
      <w:pPr>
        <w:pStyle w:val="BodyText"/>
        <w:ind w:left="921" w:right="117" w:hanging="720"/>
        <w:jc w:val="both"/>
      </w:pPr>
      <w:r>
        <w:rPr/>
        <w:t>Guntupalli, S., Thunuguntla, V. B. S. C., Reddy, K. S., Newton, M. I., Rao, C. V. &amp; Bondili, J. S. (2016). Enhanced degradation of carcinogenic PAHs benzo (a) pyrene and benzo (k) fluoranthene by a microbial consortia. </w:t>
      </w:r>
      <w:r>
        <w:rPr>
          <w:i/>
        </w:rPr>
        <w:t>Indian Journal of Science and Technology</w:t>
      </w:r>
      <w:r>
        <w:rPr/>
        <w:t>, 9(35).</w:t>
      </w:r>
    </w:p>
    <w:p>
      <w:pPr>
        <w:pStyle w:val="BodyText"/>
        <w:spacing w:before="11"/>
        <w:rPr>
          <w:sz w:val="20"/>
        </w:rPr>
      </w:pPr>
    </w:p>
    <w:p>
      <w:pPr>
        <w:pStyle w:val="BodyText"/>
        <w:ind w:left="202"/>
        <w:jc w:val="both"/>
      </w:pPr>
      <w:r>
        <w:rPr/>
        <w:t>Guntupalli,</w:t>
      </w:r>
      <w:r>
        <w:rPr>
          <w:spacing w:val="7"/>
        </w:rPr>
        <w:t> </w:t>
      </w:r>
      <w:r>
        <w:rPr/>
        <w:t>S.,</w:t>
      </w:r>
      <w:r>
        <w:rPr>
          <w:spacing w:val="8"/>
        </w:rPr>
        <w:t> </w:t>
      </w:r>
      <w:r>
        <w:rPr/>
        <w:t>Thunuguntla,</w:t>
      </w:r>
      <w:r>
        <w:rPr>
          <w:spacing w:val="8"/>
        </w:rPr>
        <w:t> </w:t>
      </w:r>
      <w:r>
        <w:rPr/>
        <w:t>V.B.S.C.,</w:t>
      </w:r>
      <w:r>
        <w:rPr>
          <w:spacing w:val="8"/>
        </w:rPr>
        <w:t> </w:t>
      </w:r>
      <w:r>
        <w:rPr/>
        <w:t>Reddy,</w:t>
      </w:r>
      <w:r>
        <w:rPr>
          <w:spacing w:val="10"/>
        </w:rPr>
        <w:t> </w:t>
      </w:r>
      <w:r>
        <w:rPr/>
        <w:t>K.S.,</w:t>
      </w:r>
      <w:r>
        <w:rPr>
          <w:spacing w:val="8"/>
        </w:rPr>
        <w:t> </w:t>
      </w:r>
      <w:r>
        <w:rPr/>
        <w:t>Newton,</w:t>
      </w:r>
      <w:r>
        <w:rPr>
          <w:spacing w:val="8"/>
        </w:rPr>
        <w:t> </w:t>
      </w:r>
      <w:r>
        <w:rPr/>
        <w:t>M.I.,</w:t>
      </w:r>
      <w:r>
        <w:rPr>
          <w:spacing w:val="7"/>
        </w:rPr>
        <w:t> </w:t>
      </w:r>
      <w:r>
        <w:rPr/>
        <w:t>Rao,</w:t>
      </w:r>
      <w:r>
        <w:rPr>
          <w:spacing w:val="9"/>
        </w:rPr>
        <w:t> </w:t>
      </w:r>
      <w:r>
        <w:rPr/>
        <w:t>C.V.,</w:t>
      </w:r>
      <w:r>
        <w:rPr>
          <w:spacing w:val="7"/>
        </w:rPr>
        <w:t> </w:t>
      </w:r>
      <w:r>
        <w:rPr>
          <w:spacing w:val="-2"/>
        </w:rPr>
        <w:t>Bondili,</w:t>
      </w:r>
    </w:p>
    <w:p>
      <w:pPr>
        <w:pStyle w:val="BodyText"/>
        <w:ind w:left="921" w:right="122"/>
        <w:jc w:val="both"/>
      </w:pPr>
      <w:r>
        <w:rPr/>
        <w:t>J.S. (2016). Enhanced degradation of carcinogenic PAHs benzo (a) pyrene and benzo(k) fluoranthene by a microbial consortia. Indian Journal of Science and Technology, 9, 35.</w:t>
      </w:r>
    </w:p>
    <w:p>
      <w:pPr>
        <w:pStyle w:val="BodyText"/>
        <w:spacing w:before="10"/>
        <w:rPr>
          <w:sz w:val="20"/>
        </w:rPr>
      </w:pPr>
    </w:p>
    <w:p>
      <w:pPr>
        <w:pStyle w:val="BodyText"/>
        <w:ind w:left="921" w:right="124" w:hanging="720"/>
        <w:jc w:val="both"/>
      </w:pPr>
      <w:r>
        <w:rPr/>
        <w:t>Hajinasiri,</w:t>
      </w:r>
      <w:r>
        <w:rPr>
          <w:spacing w:val="-14"/>
        </w:rPr>
        <w:t> </w:t>
      </w:r>
      <w:r>
        <w:rPr/>
        <w:t>R.,</w:t>
      </w:r>
      <w:r>
        <w:rPr>
          <w:spacing w:val="-14"/>
        </w:rPr>
        <w:t> </w:t>
      </w:r>
      <w:r>
        <w:rPr/>
        <w:t>Norozi,</w:t>
      </w:r>
      <w:r>
        <w:rPr>
          <w:spacing w:val="-14"/>
        </w:rPr>
        <w:t> </w:t>
      </w:r>
      <w:r>
        <w:rPr/>
        <w:t>B.,</w:t>
      </w:r>
      <w:r>
        <w:rPr>
          <w:spacing w:val="-14"/>
        </w:rPr>
        <w:t> </w:t>
      </w:r>
      <w:r>
        <w:rPr/>
        <w:t>&amp;</w:t>
      </w:r>
      <w:r>
        <w:rPr>
          <w:spacing w:val="-15"/>
        </w:rPr>
        <w:t> </w:t>
      </w:r>
      <w:r>
        <w:rPr/>
        <w:t>Ebrahimzadeh,</w:t>
      </w:r>
      <w:r>
        <w:rPr>
          <w:spacing w:val="-14"/>
        </w:rPr>
        <w:t> </w:t>
      </w:r>
      <w:r>
        <w:rPr/>
        <w:t>H.</w:t>
      </w:r>
      <w:r>
        <w:rPr>
          <w:spacing w:val="-12"/>
        </w:rPr>
        <w:t> </w:t>
      </w:r>
      <w:r>
        <w:rPr/>
        <w:t>(2016).</w:t>
      </w:r>
      <w:r>
        <w:rPr>
          <w:spacing w:val="-15"/>
        </w:rPr>
        <w:t> </w:t>
      </w:r>
      <w:r>
        <w:rPr/>
        <w:t>Biosynthsis</w:t>
      </w:r>
      <w:r>
        <w:rPr>
          <w:spacing w:val="-14"/>
        </w:rPr>
        <w:t> </w:t>
      </w:r>
      <w:r>
        <w:rPr/>
        <w:t>of</w:t>
      </w:r>
      <w:r>
        <w:rPr>
          <w:spacing w:val="-15"/>
        </w:rPr>
        <w:t> </w:t>
      </w:r>
      <w:r>
        <w:rPr/>
        <w:t>ZnO</w:t>
      </w:r>
      <w:r>
        <w:rPr>
          <w:spacing w:val="-15"/>
        </w:rPr>
        <w:t> </w:t>
      </w:r>
      <w:r>
        <w:rPr/>
        <w:t>Nanoparticles using corn silk of Zea mays L. Extract.</w:t>
      </w:r>
      <w:r>
        <w:rPr>
          <w:spacing w:val="40"/>
        </w:rPr>
        <w:t> </w:t>
      </w:r>
      <w:r>
        <w:rPr>
          <w:i/>
        </w:rPr>
        <w:t>Chemistry Letters, </w:t>
      </w:r>
      <w:r>
        <w:rPr/>
        <w:t>45(11), 1238-1240.</w:t>
      </w:r>
    </w:p>
    <w:p>
      <w:pPr>
        <w:pStyle w:val="BodyText"/>
        <w:spacing w:before="10"/>
        <w:rPr>
          <w:sz w:val="20"/>
        </w:rPr>
      </w:pPr>
    </w:p>
    <w:p>
      <w:pPr>
        <w:pStyle w:val="BodyText"/>
        <w:ind w:left="921" w:right="122" w:hanging="720"/>
        <w:jc w:val="both"/>
      </w:pPr>
      <w:r>
        <w:rPr/>
        <w:t>Haritash,</w:t>
      </w:r>
      <w:r>
        <w:rPr>
          <w:spacing w:val="-3"/>
        </w:rPr>
        <w:t> </w:t>
      </w:r>
      <w:r>
        <w:rPr/>
        <w:t>A.</w:t>
      </w:r>
      <w:r>
        <w:rPr>
          <w:spacing w:val="-2"/>
        </w:rPr>
        <w:t> </w:t>
      </w:r>
      <w:r>
        <w:rPr/>
        <w:t>K.,</w:t>
      </w:r>
      <w:r>
        <w:rPr>
          <w:spacing w:val="-2"/>
        </w:rPr>
        <w:t> </w:t>
      </w:r>
      <w:r>
        <w:rPr/>
        <w:t>&amp;</w:t>
      </w:r>
      <w:r>
        <w:rPr>
          <w:spacing w:val="-3"/>
        </w:rPr>
        <w:t> </w:t>
      </w:r>
      <w:r>
        <w:rPr/>
        <w:t>Kaushik,</w:t>
      </w:r>
      <w:r>
        <w:rPr>
          <w:spacing w:val="-3"/>
        </w:rPr>
        <w:t> </w:t>
      </w:r>
      <w:r>
        <w:rPr/>
        <w:t>C.</w:t>
      </w:r>
      <w:r>
        <w:rPr>
          <w:spacing w:val="-3"/>
        </w:rPr>
        <w:t> </w:t>
      </w:r>
      <w:r>
        <w:rPr/>
        <w:t>P.</w:t>
      </w:r>
      <w:r>
        <w:rPr>
          <w:spacing w:val="-3"/>
        </w:rPr>
        <w:t> </w:t>
      </w:r>
      <w:r>
        <w:rPr/>
        <w:t>(2009).</w:t>
      </w:r>
      <w:r>
        <w:rPr>
          <w:spacing w:val="-2"/>
        </w:rPr>
        <w:t> </w:t>
      </w:r>
      <w:r>
        <w:rPr/>
        <w:t>Biodegradation</w:t>
      </w:r>
      <w:r>
        <w:rPr>
          <w:spacing w:val="-3"/>
        </w:rPr>
        <w:t> </w:t>
      </w:r>
      <w:r>
        <w:rPr/>
        <w:t>aspects</w:t>
      </w:r>
      <w:r>
        <w:rPr>
          <w:spacing w:val="-3"/>
        </w:rPr>
        <w:t> </w:t>
      </w:r>
      <w:r>
        <w:rPr/>
        <w:t>of</w:t>
      </w:r>
      <w:r>
        <w:rPr>
          <w:spacing w:val="-1"/>
        </w:rPr>
        <w:t> </w:t>
      </w:r>
      <w:r>
        <w:rPr/>
        <w:t>polycyclic</w:t>
      </w:r>
      <w:r>
        <w:rPr>
          <w:spacing w:val="-4"/>
        </w:rPr>
        <w:t> </w:t>
      </w:r>
      <w:r>
        <w:rPr/>
        <w:t>aromatic hydrocarbons</w:t>
      </w:r>
      <w:r>
        <w:rPr>
          <w:spacing w:val="-3"/>
        </w:rPr>
        <w:t> </w:t>
      </w:r>
      <w:r>
        <w:rPr/>
        <w:t>(PAHs):</w:t>
      </w:r>
      <w:r>
        <w:rPr>
          <w:spacing w:val="-4"/>
        </w:rPr>
        <w:t> </w:t>
      </w:r>
      <w:r>
        <w:rPr/>
        <w:t>a</w:t>
      </w:r>
      <w:r>
        <w:rPr>
          <w:spacing w:val="-2"/>
        </w:rPr>
        <w:t> </w:t>
      </w:r>
      <w:r>
        <w:rPr/>
        <w:t>review.</w:t>
      </w:r>
      <w:r>
        <w:rPr>
          <w:spacing w:val="-3"/>
        </w:rPr>
        <w:t> </w:t>
      </w:r>
      <w:r>
        <w:rPr>
          <w:i/>
        </w:rPr>
        <w:t>Journal</w:t>
      </w:r>
      <w:r>
        <w:rPr>
          <w:i/>
          <w:spacing w:val="-4"/>
        </w:rPr>
        <w:t> </w:t>
      </w:r>
      <w:r>
        <w:rPr>
          <w:i/>
        </w:rPr>
        <w:t>of</w:t>
      </w:r>
      <w:r>
        <w:rPr>
          <w:i/>
          <w:spacing w:val="-3"/>
        </w:rPr>
        <w:t> </w:t>
      </w:r>
      <w:r>
        <w:rPr>
          <w:i/>
        </w:rPr>
        <w:t>hazardous</w:t>
      </w:r>
      <w:r>
        <w:rPr>
          <w:i/>
          <w:spacing w:val="-4"/>
        </w:rPr>
        <w:t> </w:t>
      </w:r>
      <w:r>
        <w:rPr>
          <w:i/>
        </w:rPr>
        <w:t>materials</w:t>
      </w:r>
      <w:r>
        <w:rPr/>
        <w:t>,</w:t>
      </w:r>
      <w:r>
        <w:rPr>
          <w:spacing w:val="-3"/>
        </w:rPr>
        <w:t> </w:t>
      </w:r>
      <w:r>
        <w:rPr/>
        <w:t>169(1-3),</w:t>
      </w:r>
      <w:r>
        <w:rPr>
          <w:spacing w:val="-3"/>
        </w:rPr>
        <w:t> </w:t>
      </w:r>
      <w:r>
        <w:rPr/>
        <w:t>1-</w:t>
      </w:r>
      <w:r>
        <w:rPr>
          <w:spacing w:val="-5"/>
        </w:rPr>
        <w:t>15.</w:t>
      </w:r>
    </w:p>
    <w:p>
      <w:pPr>
        <w:spacing w:after="0"/>
        <w:jc w:val="both"/>
        <w:sectPr>
          <w:pgSz w:w="11910" w:h="16840"/>
          <w:pgMar w:header="0" w:footer="1002" w:top="1320" w:bottom="1200" w:left="1500" w:right="1580"/>
        </w:sectPr>
      </w:pPr>
    </w:p>
    <w:p>
      <w:pPr>
        <w:pStyle w:val="BodyText"/>
        <w:spacing w:before="69"/>
        <w:ind w:left="921" w:right="119" w:hanging="720"/>
        <w:jc w:val="both"/>
      </w:pPr>
      <w:r>
        <w:rPr/>
        <w:t>Herlekar,</w:t>
      </w:r>
      <w:r>
        <w:rPr/>
        <w:t> M., Barve, S., &amp; Kumar, R. (2014). Plant-mediated green synthesis of iron nanoparticles. </w:t>
      </w:r>
      <w:r>
        <w:rPr>
          <w:i/>
        </w:rPr>
        <w:t>Journal of Nanoparticles</w:t>
      </w:r>
      <w:r>
        <w:rPr/>
        <w:t>, 2014, 1-19.</w:t>
      </w:r>
    </w:p>
    <w:p>
      <w:pPr>
        <w:pStyle w:val="BodyText"/>
        <w:spacing w:before="11"/>
        <w:rPr>
          <w:sz w:val="20"/>
        </w:rPr>
      </w:pPr>
    </w:p>
    <w:p>
      <w:pPr>
        <w:pStyle w:val="BodyText"/>
        <w:ind w:left="921" w:right="123" w:hanging="720"/>
        <w:jc w:val="both"/>
      </w:pPr>
      <w:r>
        <w:rPr/>
        <w:t>Hesnawi, R. M., &amp; Adbeib, M. M. (2013). Effect of nutrient source on indigenous biodegradation of diesel fuel contaminated soil. </w:t>
      </w:r>
      <w:r>
        <w:rPr>
          <w:i/>
        </w:rPr>
        <w:t>Apcbee Procedia</w:t>
      </w:r>
      <w:r>
        <w:rPr/>
        <w:t>, 5, 557-561.</w:t>
      </w:r>
    </w:p>
    <w:p>
      <w:pPr>
        <w:pStyle w:val="BodyText"/>
        <w:spacing w:before="10"/>
        <w:rPr>
          <w:sz w:val="20"/>
        </w:rPr>
      </w:pPr>
    </w:p>
    <w:p>
      <w:pPr>
        <w:pStyle w:val="BodyText"/>
        <w:ind w:left="202"/>
      </w:pPr>
      <w:r>
        <w:rPr/>
        <w:t>Hood,</w:t>
      </w:r>
      <w:r>
        <w:rPr>
          <w:spacing w:val="-9"/>
        </w:rPr>
        <w:t> </w:t>
      </w:r>
      <w:r>
        <w:rPr/>
        <w:t>S.</w:t>
      </w:r>
      <w:r>
        <w:rPr>
          <w:spacing w:val="-8"/>
        </w:rPr>
        <w:t> </w:t>
      </w:r>
      <w:r>
        <w:rPr/>
        <w:t>K.,</w:t>
      </w:r>
      <w:r>
        <w:rPr>
          <w:spacing w:val="-9"/>
        </w:rPr>
        <w:t> </w:t>
      </w:r>
      <w:r>
        <w:rPr/>
        <w:t>&amp;</w:t>
      </w:r>
      <w:r>
        <w:rPr>
          <w:spacing w:val="-9"/>
        </w:rPr>
        <w:t> </w:t>
      </w:r>
      <w:r>
        <w:rPr/>
        <w:t>Zottola,</w:t>
      </w:r>
      <w:r>
        <w:rPr>
          <w:spacing w:val="-8"/>
        </w:rPr>
        <w:t> </w:t>
      </w:r>
      <w:r>
        <w:rPr/>
        <w:t>E.</w:t>
      </w:r>
      <w:r>
        <w:rPr>
          <w:spacing w:val="-8"/>
        </w:rPr>
        <w:t> </w:t>
      </w:r>
      <w:r>
        <w:rPr/>
        <w:t>A.</w:t>
      </w:r>
      <w:r>
        <w:rPr>
          <w:spacing w:val="-9"/>
        </w:rPr>
        <w:t> </w:t>
      </w:r>
      <w:r>
        <w:rPr/>
        <w:t>(1995).</w:t>
      </w:r>
      <w:r>
        <w:rPr>
          <w:spacing w:val="-9"/>
        </w:rPr>
        <w:t> </w:t>
      </w:r>
      <w:r>
        <w:rPr/>
        <w:t>Biofilms</w:t>
      </w:r>
      <w:r>
        <w:rPr>
          <w:spacing w:val="-8"/>
        </w:rPr>
        <w:t> </w:t>
      </w:r>
      <w:r>
        <w:rPr/>
        <w:t>in</w:t>
      </w:r>
      <w:r>
        <w:rPr>
          <w:spacing w:val="-8"/>
        </w:rPr>
        <w:t> </w:t>
      </w:r>
      <w:r>
        <w:rPr/>
        <w:t>food</w:t>
      </w:r>
      <w:r>
        <w:rPr>
          <w:spacing w:val="-9"/>
        </w:rPr>
        <w:t> </w:t>
      </w:r>
      <w:r>
        <w:rPr/>
        <w:t>processing.</w:t>
      </w:r>
      <w:r>
        <w:rPr>
          <w:spacing w:val="-7"/>
        </w:rPr>
        <w:t> </w:t>
      </w:r>
      <w:r>
        <w:rPr>
          <w:i/>
        </w:rPr>
        <w:t>Food</w:t>
      </w:r>
      <w:r>
        <w:rPr>
          <w:i/>
          <w:spacing w:val="-8"/>
        </w:rPr>
        <w:t> </w:t>
      </w:r>
      <w:r>
        <w:rPr>
          <w:i/>
        </w:rPr>
        <w:t>Control</w:t>
      </w:r>
      <w:r>
        <w:rPr/>
        <w:t>,</w:t>
      </w:r>
      <w:r>
        <w:rPr>
          <w:spacing w:val="-8"/>
        </w:rPr>
        <w:t> </w:t>
      </w:r>
      <w:r>
        <w:rPr/>
        <w:t>6(1),</w:t>
      </w:r>
      <w:r>
        <w:rPr>
          <w:spacing w:val="-8"/>
        </w:rPr>
        <w:t> </w:t>
      </w:r>
      <w:r>
        <w:rPr/>
        <w:t>9- </w:t>
      </w:r>
      <w:r>
        <w:rPr>
          <w:spacing w:val="-4"/>
        </w:rPr>
        <w:t>18.</w:t>
      </w:r>
    </w:p>
    <w:p>
      <w:pPr>
        <w:pStyle w:val="BodyText"/>
        <w:spacing w:before="10"/>
        <w:rPr>
          <w:sz w:val="20"/>
        </w:rPr>
      </w:pPr>
    </w:p>
    <w:p>
      <w:pPr>
        <w:pStyle w:val="BodyText"/>
        <w:ind w:left="202"/>
      </w:pPr>
      <w:r>
        <w:rPr/>
        <w:t>Huang,</w:t>
      </w:r>
      <w:r>
        <w:rPr>
          <w:spacing w:val="13"/>
        </w:rPr>
        <w:t> </w:t>
      </w:r>
      <w:r>
        <w:rPr/>
        <w:t>G.</w:t>
      </w:r>
      <w:r>
        <w:rPr>
          <w:spacing w:val="13"/>
        </w:rPr>
        <w:t> </w:t>
      </w:r>
      <w:r>
        <w:rPr/>
        <w:t>Y.,</w:t>
      </w:r>
      <w:r>
        <w:rPr>
          <w:spacing w:val="13"/>
        </w:rPr>
        <w:t> </w:t>
      </w:r>
      <w:r>
        <w:rPr/>
        <w:t>Ma,</w:t>
      </w:r>
      <w:r>
        <w:rPr>
          <w:spacing w:val="15"/>
        </w:rPr>
        <w:t> </w:t>
      </w:r>
      <w:r>
        <w:rPr/>
        <w:t>L.</w:t>
      </w:r>
      <w:r>
        <w:rPr>
          <w:spacing w:val="14"/>
        </w:rPr>
        <w:t> </w:t>
      </w:r>
      <w:r>
        <w:rPr/>
        <w:t>F.,</w:t>
      </w:r>
      <w:r>
        <w:rPr>
          <w:spacing w:val="15"/>
        </w:rPr>
        <w:t> </w:t>
      </w:r>
      <w:r>
        <w:rPr/>
        <w:t>Guan,</w:t>
      </w:r>
      <w:r>
        <w:rPr>
          <w:spacing w:val="13"/>
        </w:rPr>
        <w:t> </w:t>
      </w:r>
      <w:r>
        <w:rPr/>
        <w:t>M.</w:t>
      </w:r>
      <w:r>
        <w:rPr>
          <w:spacing w:val="13"/>
        </w:rPr>
        <w:t> </w:t>
      </w:r>
      <w:r>
        <w:rPr/>
        <w:t>Y.,</w:t>
      </w:r>
      <w:r>
        <w:rPr>
          <w:spacing w:val="15"/>
        </w:rPr>
        <w:t> </w:t>
      </w:r>
      <w:r>
        <w:rPr/>
        <w:t>Liang,</w:t>
      </w:r>
      <w:r>
        <w:rPr>
          <w:spacing w:val="13"/>
        </w:rPr>
        <w:t> </w:t>
      </w:r>
      <w:r>
        <w:rPr/>
        <w:t>J.</w:t>
      </w:r>
      <w:r>
        <w:rPr>
          <w:spacing w:val="13"/>
        </w:rPr>
        <w:t> </w:t>
      </w:r>
      <w:r>
        <w:rPr/>
        <w:t>T.,</w:t>
      </w:r>
      <w:r>
        <w:rPr>
          <w:spacing w:val="14"/>
        </w:rPr>
        <w:t> </w:t>
      </w:r>
      <w:r>
        <w:rPr/>
        <w:t>Huang,</w:t>
      </w:r>
      <w:r>
        <w:rPr>
          <w:spacing w:val="13"/>
        </w:rPr>
        <w:t> </w:t>
      </w:r>
      <w:r>
        <w:rPr/>
        <w:t>Y.,</w:t>
      </w:r>
      <w:r>
        <w:rPr>
          <w:spacing w:val="14"/>
        </w:rPr>
        <w:t> </w:t>
      </w:r>
      <w:r>
        <w:rPr/>
        <w:t>&amp;</w:t>
      </w:r>
      <w:r>
        <w:rPr>
          <w:spacing w:val="14"/>
        </w:rPr>
        <w:t> </w:t>
      </w:r>
      <w:r>
        <w:rPr/>
        <w:t>Li,</w:t>
      </w:r>
      <w:r>
        <w:rPr>
          <w:spacing w:val="14"/>
        </w:rPr>
        <w:t> </w:t>
      </w:r>
      <w:r>
        <w:rPr/>
        <w:t>G.</w:t>
      </w:r>
      <w:r>
        <w:rPr>
          <w:spacing w:val="15"/>
        </w:rPr>
        <w:t> </w:t>
      </w:r>
      <w:r>
        <w:rPr/>
        <w:t>Y.</w:t>
      </w:r>
      <w:r>
        <w:rPr>
          <w:spacing w:val="13"/>
        </w:rPr>
        <w:t> </w:t>
      </w:r>
      <w:r>
        <w:rPr/>
        <w:t>(2015).</w:t>
      </w:r>
      <w:r>
        <w:rPr>
          <w:spacing w:val="13"/>
        </w:rPr>
        <w:t> </w:t>
      </w:r>
      <w:r>
        <w:rPr>
          <w:spacing w:val="-10"/>
        </w:rPr>
        <w:t>A</w:t>
      </w:r>
    </w:p>
    <w:p>
      <w:pPr>
        <w:spacing w:before="0"/>
        <w:ind w:left="921" w:right="0" w:firstLine="0"/>
        <w:jc w:val="left"/>
        <w:rPr>
          <w:sz w:val="24"/>
        </w:rPr>
      </w:pPr>
      <w:r>
        <w:rPr>
          <w:sz w:val="24"/>
        </w:rPr>
        <w:t>Novel</w:t>
      </w:r>
      <w:r>
        <w:rPr>
          <w:spacing w:val="70"/>
          <w:sz w:val="24"/>
        </w:rPr>
        <w:t> </w:t>
      </w:r>
      <w:r>
        <w:rPr>
          <w:sz w:val="24"/>
        </w:rPr>
        <w:t>hig</w:t>
      </w:r>
      <w:r>
        <w:rPr>
          <w:spacing w:val="40"/>
          <w:sz w:val="24"/>
        </w:rPr>
        <w:t> </w:t>
      </w:r>
      <w:r>
        <w:rPr>
          <w:sz w:val="24"/>
        </w:rPr>
        <w:t>E</w:t>
      </w:r>
      <w:r>
        <w:rPr>
          <w:spacing w:val="71"/>
          <w:sz w:val="24"/>
        </w:rPr>
        <w:t> </w:t>
      </w:r>
      <w:r>
        <w:rPr>
          <w:sz w:val="24"/>
        </w:rPr>
        <w:t>Aptamer</w:t>
      </w:r>
      <w:r>
        <w:rPr>
          <w:spacing w:val="71"/>
          <w:sz w:val="24"/>
        </w:rPr>
        <w:t> </w:t>
      </w:r>
      <w:r>
        <w:rPr>
          <w:sz w:val="24"/>
        </w:rPr>
        <w:t>Biosensor</w:t>
      </w:r>
      <w:r>
        <w:rPr>
          <w:spacing w:val="71"/>
          <w:sz w:val="24"/>
        </w:rPr>
        <w:t> </w:t>
      </w:r>
      <w:r>
        <w:rPr>
          <w:sz w:val="24"/>
        </w:rPr>
        <w:t>Base</w:t>
      </w:r>
      <w:r>
        <w:rPr>
          <w:spacing w:val="72"/>
          <w:sz w:val="24"/>
        </w:rPr>
        <w:t> </w:t>
      </w:r>
      <w:r>
        <w:rPr>
          <w:sz w:val="24"/>
        </w:rPr>
        <w:t>on</w:t>
      </w:r>
      <w:r>
        <w:rPr>
          <w:spacing w:val="71"/>
          <w:sz w:val="24"/>
        </w:rPr>
        <w:t> </w:t>
      </w:r>
      <w:r>
        <w:rPr>
          <w:sz w:val="24"/>
        </w:rPr>
        <w:t>Core-Shell</w:t>
      </w:r>
      <w:r>
        <w:rPr>
          <w:spacing w:val="71"/>
          <w:sz w:val="24"/>
        </w:rPr>
        <w:t> </w:t>
      </w:r>
      <w:r>
        <w:rPr>
          <w:sz w:val="24"/>
        </w:rPr>
        <w:t>Fe3O4</w:t>
      </w:r>
      <w:r>
        <w:rPr>
          <w:spacing w:val="70"/>
          <w:sz w:val="24"/>
        </w:rPr>
        <w:t> </w:t>
      </w:r>
      <w:r>
        <w:rPr>
          <w:sz w:val="24"/>
        </w:rPr>
        <w:t>Au</w:t>
      </w:r>
      <w:r>
        <w:rPr>
          <w:spacing w:val="70"/>
          <w:sz w:val="24"/>
        </w:rPr>
        <w:t> </w:t>
      </w:r>
      <w:r>
        <w:rPr>
          <w:sz w:val="24"/>
        </w:rPr>
        <w:t>Magnetic Composite Nanoparticles. In </w:t>
      </w:r>
      <w:r>
        <w:rPr>
          <w:i/>
          <w:sz w:val="24"/>
        </w:rPr>
        <w:t>Advanced Materials Research,</w:t>
      </w:r>
      <w:r>
        <w:rPr>
          <w:sz w:val="24"/>
        </w:rPr>
        <w:t>1118, 170-175.</w:t>
      </w:r>
    </w:p>
    <w:p>
      <w:pPr>
        <w:pStyle w:val="BodyText"/>
        <w:spacing w:before="10"/>
        <w:rPr>
          <w:sz w:val="20"/>
        </w:rPr>
      </w:pPr>
    </w:p>
    <w:p>
      <w:pPr>
        <w:spacing w:before="1"/>
        <w:ind w:left="921" w:right="117" w:hanging="720"/>
        <w:jc w:val="both"/>
        <w:rPr>
          <w:sz w:val="24"/>
        </w:rPr>
      </w:pPr>
      <w:r>
        <w:rPr>
          <w:sz w:val="24"/>
        </w:rPr>
        <w:t>Huang, L., Weng, X., Chen, Z., Megharaj, M., &amp; Naidu, R. (2014). Synthesis of iron- based nanoparticles using oolong tea extract for the degradation of malachite green. </w:t>
      </w:r>
      <w:r>
        <w:rPr>
          <w:i/>
          <w:sz w:val="24"/>
        </w:rPr>
        <w:t>Spectrochimica ActaPart A: Molecular and Biomolecular Spectroscopy</w:t>
      </w:r>
      <w:r>
        <w:rPr>
          <w:sz w:val="24"/>
        </w:rPr>
        <w:t>, 117, 801–804.</w:t>
      </w:r>
    </w:p>
    <w:p>
      <w:pPr>
        <w:pStyle w:val="BodyText"/>
        <w:spacing w:before="9"/>
        <w:rPr>
          <w:sz w:val="20"/>
        </w:rPr>
      </w:pPr>
    </w:p>
    <w:p>
      <w:pPr>
        <w:pStyle w:val="BodyText"/>
        <w:spacing w:before="1"/>
        <w:ind w:left="921" w:right="126" w:hanging="720"/>
        <w:jc w:val="both"/>
      </w:pPr>
      <w:r>
        <w:rPr/>
        <w:t>Ibrahim,</w:t>
      </w:r>
      <w:r>
        <w:rPr>
          <w:spacing w:val="-1"/>
        </w:rPr>
        <w:t> </w:t>
      </w:r>
      <w:r>
        <w:rPr/>
        <w:t>M. L., Ijah, U.</w:t>
      </w:r>
      <w:r>
        <w:rPr>
          <w:spacing w:val="-1"/>
        </w:rPr>
        <w:t> </w:t>
      </w:r>
      <w:r>
        <w:rPr/>
        <w:t>J. J., Manga, S. B., Bilbis, L. S., &amp;</w:t>
      </w:r>
      <w:r>
        <w:rPr>
          <w:spacing w:val="-2"/>
        </w:rPr>
        <w:t> </w:t>
      </w:r>
      <w:r>
        <w:rPr/>
        <w:t>Umar,</w:t>
      </w:r>
      <w:r>
        <w:rPr>
          <w:spacing w:val="-1"/>
        </w:rPr>
        <w:t> </w:t>
      </w:r>
      <w:r>
        <w:rPr/>
        <w:t>S. (2013).</w:t>
      </w:r>
      <w:r>
        <w:rPr>
          <w:spacing w:val="-1"/>
        </w:rPr>
        <w:t> </w:t>
      </w:r>
      <w:r>
        <w:rPr/>
        <w:t>Production and partial characterization of biosurfactant produced by crude oil degrading bacteria. </w:t>
      </w:r>
      <w:r>
        <w:rPr>
          <w:i/>
        </w:rPr>
        <w:t>International Biodeterioration &amp; Biodegradation</w:t>
      </w:r>
      <w:r>
        <w:rPr/>
        <w:t>, 81, 28-34.</w:t>
      </w:r>
    </w:p>
    <w:p>
      <w:pPr>
        <w:pStyle w:val="BodyText"/>
        <w:spacing w:before="10"/>
        <w:rPr>
          <w:sz w:val="20"/>
        </w:rPr>
      </w:pPr>
    </w:p>
    <w:p>
      <w:pPr>
        <w:pStyle w:val="BodyText"/>
        <w:ind w:left="921" w:right="125" w:hanging="720"/>
        <w:jc w:val="both"/>
      </w:pPr>
      <w:r>
        <w:rPr/>
        <w:t>Inyang,</w:t>
      </w:r>
      <w:r>
        <w:rPr/>
        <w:t> M.,</w:t>
      </w:r>
      <w:r>
        <w:rPr/>
        <w:t> &amp;</w:t>
      </w:r>
      <w:r>
        <w:rPr/>
        <w:t> Dickenson,</w:t>
      </w:r>
      <w:r>
        <w:rPr/>
        <w:t> E.</w:t>
      </w:r>
      <w:r>
        <w:rPr/>
        <w:t> (2015).</w:t>
      </w:r>
      <w:r>
        <w:rPr/>
        <w:t> The</w:t>
      </w:r>
      <w:r>
        <w:rPr/>
        <w:t> potential</w:t>
      </w:r>
      <w:r>
        <w:rPr/>
        <w:t> role of</w:t>
      </w:r>
      <w:r>
        <w:rPr/>
        <w:t> biochar</w:t>
      </w:r>
      <w:r>
        <w:rPr/>
        <w:t> in</w:t>
      </w:r>
      <w:r>
        <w:rPr/>
        <w:t> the</w:t>
      </w:r>
      <w:r>
        <w:rPr/>
        <w:t> removal</w:t>
      </w:r>
      <w:r>
        <w:rPr/>
        <w:t> of organic</w:t>
      </w:r>
      <w:r>
        <w:rPr/>
        <w:t> and</w:t>
      </w:r>
      <w:r>
        <w:rPr/>
        <w:t> microbial</w:t>
      </w:r>
      <w:r>
        <w:rPr/>
        <w:t> contaminants</w:t>
      </w:r>
      <w:r>
        <w:rPr/>
        <w:t> from</w:t>
      </w:r>
      <w:r>
        <w:rPr/>
        <w:t> potable</w:t>
      </w:r>
      <w:r>
        <w:rPr/>
        <w:t> and</w:t>
      </w:r>
      <w:r>
        <w:rPr/>
        <w:t> reuse water: review. </w:t>
      </w:r>
      <w:r>
        <w:rPr>
          <w:i/>
        </w:rPr>
        <w:t>Chemosphere</w:t>
      </w:r>
      <w:r>
        <w:rPr/>
        <w:t>, 134, 232–240.</w:t>
      </w:r>
    </w:p>
    <w:p>
      <w:pPr>
        <w:pStyle w:val="BodyText"/>
        <w:spacing w:before="10"/>
        <w:rPr>
          <w:sz w:val="20"/>
        </w:rPr>
      </w:pPr>
    </w:p>
    <w:p>
      <w:pPr>
        <w:pStyle w:val="BodyText"/>
        <w:ind w:left="921" w:right="116" w:hanging="720"/>
        <w:jc w:val="both"/>
      </w:pPr>
      <w:r>
        <w:rPr/>
        <w:t>Jacobucci,</w:t>
      </w:r>
      <w:r>
        <w:rPr>
          <w:spacing w:val="-13"/>
        </w:rPr>
        <w:t> </w:t>
      </w:r>
      <w:r>
        <w:rPr/>
        <w:t>D.,</w:t>
      </w:r>
      <w:r>
        <w:rPr>
          <w:spacing w:val="-14"/>
        </w:rPr>
        <w:t> </w:t>
      </w:r>
      <w:r>
        <w:rPr/>
        <w:t>Vasconcelos,</w:t>
      </w:r>
      <w:r>
        <w:rPr>
          <w:spacing w:val="-12"/>
        </w:rPr>
        <w:t> </w:t>
      </w:r>
      <w:r>
        <w:rPr/>
        <w:t>C.,</w:t>
      </w:r>
      <w:r>
        <w:rPr>
          <w:spacing w:val="-13"/>
        </w:rPr>
        <w:t> </w:t>
      </w:r>
      <w:r>
        <w:rPr/>
        <w:t>Jackisch-Matsuura,</w:t>
      </w:r>
      <w:r>
        <w:rPr>
          <w:spacing w:val="-13"/>
        </w:rPr>
        <w:t> </w:t>
      </w:r>
      <w:r>
        <w:rPr/>
        <w:t>A.</w:t>
      </w:r>
      <w:r>
        <w:rPr>
          <w:spacing w:val="-14"/>
        </w:rPr>
        <w:t> </w:t>
      </w:r>
      <w:r>
        <w:rPr/>
        <w:t>B.,</w:t>
      </w:r>
      <w:r>
        <w:rPr>
          <w:spacing w:val="-11"/>
        </w:rPr>
        <w:t> </w:t>
      </w:r>
      <w:r>
        <w:rPr/>
        <w:t>Matsuura,</w:t>
      </w:r>
      <w:r>
        <w:rPr>
          <w:spacing w:val="-11"/>
        </w:rPr>
        <w:t> </w:t>
      </w:r>
      <w:r>
        <w:rPr/>
        <w:t>A.</w:t>
      </w:r>
      <w:r>
        <w:rPr>
          <w:spacing w:val="-11"/>
        </w:rPr>
        <w:t> </w:t>
      </w:r>
      <w:r>
        <w:rPr/>
        <w:t>B.</w:t>
      </w:r>
      <w:r>
        <w:rPr>
          <w:spacing w:val="-13"/>
        </w:rPr>
        <w:t> </w:t>
      </w:r>
      <w:r>
        <w:rPr/>
        <w:t>J.,</w:t>
      </w:r>
      <w:r>
        <w:rPr>
          <w:spacing w:val="-13"/>
        </w:rPr>
        <w:t> </w:t>
      </w:r>
      <w:r>
        <w:rPr/>
        <w:t>Falconi,</w:t>
      </w:r>
      <w:r>
        <w:rPr>
          <w:spacing w:val="-11"/>
        </w:rPr>
        <w:t> </w:t>
      </w:r>
      <w:r>
        <w:rPr/>
        <w:t>F., &amp; Durrant, L. (2001). Degradation of diesel oil by biosurfactant-producing bacterial strains.</w:t>
      </w:r>
    </w:p>
    <w:p>
      <w:pPr>
        <w:pStyle w:val="BodyText"/>
        <w:spacing w:before="10"/>
        <w:rPr>
          <w:sz w:val="20"/>
        </w:rPr>
      </w:pPr>
    </w:p>
    <w:p>
      <w:pPr>
        <w:pStyle w:val="BodyText"/>
        <w:ind w:left="921" w:right="118" w:hanging="720"/>
        <w:jc w:val="both"/>
      </w:pPr>
      <w:r>
        <w:rPr/>
        <w:t>Jain, D. K., Collins-thompson D. L. Lee, H. &amp; Trevors, J. T. (1991).A drop-collapsing test for screening</w:t>
      </w:r>
      <w:r>
        <w:rPr/>
        <w:t> surfactant-producing</w:t>
      </w:r>
      <w:r>
        <w:rPr/>
        <w:t> microorganisms. </w:t>
      </w:r>
      <w:r>
        <w:rPr>
          <w:i/>
        </w:rPr>
        <w:t>Journal Of Microbiological Methods</w:t>
      </w:r>
      <w:r>
        <w:rPr/>
        <w:t>, (13) 4, 271-279</w:t>
      </w:r>
    </w:p>
    <w:p>
      <w:pPr>
        <w:pStyle w:val="BodyText"/>
        <w:spacing w:before="10"/>
        <w:rPr>
          <w:sz w:val="20"/>
        </w:rPr>
      </w:pPr>
    </w:p>
    <w:p>
      <w:pPr>
        <w:spacing w:before="0"/>
        <w:ind w:left="833" w:right="117" w:hanging="632"/>
        <w:jc w:val="both"/>
        <w:rPr>
          <w:sz w:val="24"/>
        </w:rPr>
      </w:pPr>
      <w:r>
        <w:rPr>
          <w:sz w:val="24"/>
        </w:rPr>
        <w:t>Jeph,</w:t>
      </w:r>
      <w:r>
        <w:rPr>
          <w:spacing w:val="-8"/>
          <w:sz w:val="24"/>
        </w:rPr>
        <w:t> </w:t>
      </w:r>
      <w:r>
        <w:rPr>
          <w:sz w:val="24"/>
        </w:rPr>
        <w:t>G.</w:t>
      </w:r>
      <w:r>
        <w:rPr>
          <w:spacing w:val="-9"/>
          <w:sz w:val="24"/>
        </w:rPr>
        <w:t> </w:t>
      </w:r>
      <w:r>
        <w:rPr>
          <w:sz w:val="24"/>
        </w:rPr>
        <w:t>&amp;</w:t>
      </w:r>
      <w:r>
        <w:rPr>
          <w:spacing w:val="-10"/>
          <w:sz w:val="24"/>
        </w:rPr>
        <w:t> </w:t>
      </w:r>
      <w:r>
        <w:rPr>
          <w:sz w:val="24"/>
        </w:rPr>
        <w:t>Mathur,</w:t>
      </w:r>
      <w:r>
        <w:rPr>
          <w:spacing w:val="-8"/>
          <w:sz w:val="24"/>
        </w:rPr>
        <w:t> </w:t>
      </w:r>
      <w:r>
        <w:rPr>
          <w:sz w:val="24"/>
        </w:rPr>
        <w:t>S.</w:t>
      </w:r>
      <w:r>
        <w:rPr>
          <w:spacing w:val="-8"/>
          <w:sz w:val="24"/>
        </w:rPr>
        <w:t> </w:t>
      </w:r>
      <w:r>
        <w:rPr>
          <w:sz w:val="24"/>
        </w:rPr>
        <w:t>(2015).</w:t>
      </w:r>
      <w:r>
        <w:rPr>
          <w:spacing w:val="-9"/>
          <w:sz w:val="24"/>
        </w:rPr>
        <w:t> </w:t>
      </w:r>
      <w:r>
        <w:rPr>
          <w:sz w:val="24"/>
        </w:rPr>
        <w:t>Correlation</w:t>
      </w:r>
      <w:r>
        <w:rPr>
          <w:spacing w:val="-8"/>
          <w:sz w:val="24"/>
        </w:rPr>
        <w:t> </w:t>
      </w:r>
      <w:r>
        <w:rPr>
          <w:sz w:val="24"/>
        </w:rPr>
        <w:t>between</w:t>
      </w:r>
      <w:r>
        <w:rPr>
          <w:spacing w:val="-8"/>
          <w:sz w:val="24"/>
        </w:rPr>
        <w:t> </w:t>
      </w:r>
      <w:r>
        <w:rPr>
          <w:sz w:val="24"/>
        </w:rPr>
        <w:t>Growth</w:t>
      </w:r>
      <w:r>
        <w:rPr>
          <w:spacing w:val="-8"/>
          <w:sz w:val="24"/>
        </w:rPr>
        <w:t> </w:t>
      </w:r>
      <w:r>
        <w:rPr>
          <w:sz w:val="24"/>
        </w:rPr>
        <w:t>and</w:t>
      </w:r>
      <w:r>
        <w:rPr>
          <w:spacing w:val="-8"/>
          <w:sz w:val="24"/>
        </w:rPr>
        <w:t> </w:t>
      </w:r>
      <w:r>
        <w:rPr>
          <w:sz w:val="24"/>
        </w:rPr>
        <w:t>Biosurfactant</w:t>
      </w:r>
      <w:r>
        <w:rPr>
          <w:spacing w:val="-8"/>
          <w:sz w:val="24"/>
        </w:rPr>
        <w:t> </w:t>
      </w:r>
      <w:r>
        <w:rPr>
          <w:sz w:val="24"/>
        </w:rPr>
        <w:t>Production in Bacteria isolated from Oil Contaminated Sites. </w:t>
      </w:r>
      <w:r>
        <w:rPr>
          <w:i/>
          <w:sz w:val="24"/>
        </w:rPr>
        <w:t>International Journal of Trend in Research and Development, </w:t>
      </w:r>
      <w:r>
        <w:rPr>
          <w:sz w:val="24"/>
        </w:rPr>
        <w:t>2(4), 1-4.</w:t>
      </w:r>
    </w:p>
    <w:p>
      <w:pPr>
        <w:pStyle w:val="BodyText"/>
        <w:spacing w:before="11"/>
        <w:rPr>
          <w:sz w:val="20"/>
        </w:rPr>
      </w:pPr>
    </w:p>
    <w:p>
      <w:pPr>
        <w:spacing w:before="0"/>
        <w:ind w:left="921" w:right="117" w:hanging="720"/>
        <w:jc w:val="both"/>
        <w:rPr>
          <w:sz w:val="24"/>
        </w:rPr>
      </w:pPr>
      <w:r>
        <w:rPr>
          <w:sz w:val="24"/>
        </w:rPr>
        <w:t>Jorfi,</w:t>
      </w:r>
      <w:r>
        <w:rPr>
          <w:sz w:val="24"/>
        </w:rPr>
        <w:t> S., Rezaee, A., Mobeh-Ali, G. A., &amp; Jaafarzadeh, N. A. (2013). Application of biosurfactants produced by Pseudomonas aeruginosa SP4 for bioremediation of soils</w:t>
      </w:r>
      <w:r>
        <w:rPr>
          <w:spacing w:val="-15"/>
          <w:sz w:val="24"/>
        </w:rPr>
        <w:t> </w:t>
      </w:r>
      <w:r>
        <w:rPr>
          <w:sz w:val="24"/>
        </w:rPr>
        <w:t>contaminated</w:t>
      </w:r>
      <w:r>
        <w:rPr>
          <w:spacing w:val="-15"/>
          <w:sz w:val="24"/>
        </w:rPr>
        <w:t> </w:t>
      </w:r>
      <w:r>
        <w:rPr>
          <w:sz w:val="24"/>
        </w:rPr>
        <w:t>by</w:t>
      </w:r>
      <w:r>
        <w:rPr>
          <w:spacing w:val="-15"/>
          <w:sz w:val="24"/>
        </w:rPr>
        <w:t> </w:t>
      </w:r>
      <w:r>
        <w:rPr>
          <w:sz w:val="24"/>
        </w:rPr>
        <w:t>pyrene.</w:t>
      </w:r>
      <w:r>
        <w:rPr>
          <w:spacing w:val="-15"/>
          <w:sz w:val="24"/>
        </w:rPr>
        <w:t> </w:t>
      </w:r>
      <w:r>
        <w:rPr>
          <w:i/>
          <w:sz w:val="24"/>
        </w:rPr>
        <w:t>Soil</w:t>
      </w:r>
      <w:r>
        <w:rPr>
          <w:i/>
          <w:spacing w:val="-14"/>
          <w:sz w:val="24"/>
        </w:rPr>
        <w:t> </w:t>
      </w:r>
      <w:r>
        <w:rPr>
          <w:i/>
          <w:sz w:val="24"/>
        </w:rPr>
        <w:t>and</w:t>
      </w:r>
      <w:r>
        <w:rPr>
          <w:i/>
          <w:spacing w:val="-13"/>
          <w:sz w:val="24"/>
        </w:rPr>
        <w:t> </w:t>
      </w:r>
      <w:r>
        <w:rPr>
          <w:i/>
          <w:sz w:val="24"/>
        </w:rPr>
        <w:t>Sediment</w:t>
      </w:r>
      <w:r>
        <w:rPr>
          <w:i/>
          <w:spacing w:val="-14"/>
          <w:sz w:val="24"/>
        </w:rPr>
        <w:t> </w:t>
      </w:r>
      <w:r>
        <w:rPr>
          <w:i/>
          <w:sz w:val="24"/>
        </w:rPr>
        <w:t>Contamination:</w:t>
      </w:r>
      <w:r>
        <w:rPr>
          <w:i/>
          <w:spacing w:val="-14"/>
          <w:sz w:val="24"/>
        </w:rPr>
        <w:t> </w:t>
      </w:r>
      <w:r>
        <w:rPr>
          <w:i/>
          <w:sz w:val="24"/>
        </w:rPr>
        <w:t>An</w:t>
      </w:r>
      <w:r>
        <w:rPr>
          <w:i/>
          <w:spacing w:val="-14"/>
          <w:sz w:val="24"/>
        </w:rPr>
        <w:t> </w:t>
      </w:r>
      <w:r>
        <w:rPr>
          <w:i/>
          <w:sz w:val="24"/>
        </w:rPr>
        <w:t>international journal</w:t>
      </w:r>
      <w:r>
        <w:rPr>
          <w:sz w:val="24"/>
        </w:rPr>
        <w:t>, 22(8), 890-911.</w:t>
      </w:r>
    </w:p>
    <w:p>
      <w:pPr>
        <w:pStyle w:val="BodyText"/>
        <w:spacing w:before="10"/>
        <w:rPr>
          <w:sz w:val="20"/>
        </w:rPr>
      </w:pPr>
    </w:p>
    <w:p>
      <w:pPr>
        <w:pStyle w:val="BodyText"/>
        <w:ind w:left="921" w:right="117" w:hanging="720"/>
        <w:jc w:val="both"/>
      </w:pPr>
      <w:r>
        <w:rPr/>
        <w:t>Kalantary,</w:t>
      </w:r>
      <w:r>
        <w:rPr>
          <w:spacing w:val="-5"/>
        </w:rPr>
        <w:t> </w:t>
      </w:r>
      <w:r>
        <w:rPr/>
        <w:t>R.</w:t>
      </w:r>
      <w:r>
        <w:rPr>
          <w:spacing w:val="-7"/>
        </w:rPr>
        <w:t> </w:t>
      </w:r>
      <w:r>
        <w:rPr/>
        <w:t>R.,</w:t>
      </w:r>
      <w:r>
        <w:rPr>
          <w:spacing w:val="-7"/>
        </w:rPr>
        <w:t> </w:t>
      </w:r>
      <w:r>
        <w:rPr/>
        <w:t>Mohseni-Bandpi,</w:t>
      </w:r>
      <w:r>
        <w:rPr>
          <w:spacing w:val="-4"/>
        </w:rPr>
        <w:t> </w:t>
      </w:r>
      <w:r>
        <w:rPr/>
        <w:t>A.,</w:t>
      </w:r>
      <w:r>
        <w:rPr>
          <w:spacing w:val="-8"/>
        </w:rPr>
        <w:t> </w:t>
      </w:r>
      <w:r>
        <w:rPr/>
        <w:t>Esrafili,</w:t>
      </w:r>
      <w:r>
        <w:rPr>
          <w:spacing w:val="-7"/>
        </w:rPr>
        <w:t> </w:t>
      </w:r>
      <w:r>
        <w:rPr/>
        <w:t>A.,</w:t>
      </w:r>
      <w:r>
        <w:rPr>
          <w:spacing w:val="-6"/>
        </w:rPr>
        <w:t> </w:t>
      </w:r>
      <w:r>
        <w:rPr/>
        <w:t>Nasseri,</w:t>
      </w:r>
      <w:r>
        <w:rPr>
          <w:spacing w:val="-9"/>
        </w:rPr>
        <w:t> </w:t>
      </w:r>
      <w:r>
        <w:rPr/>
        <w:t>S.,</w:t>
      </w:r>
      <w:r>
        <w:rPr>
          <w:spacing w:val="-7"/>
        </w:rPr>
        <w:t> </w:t>
      </w:r>
      <w:r>
        <w:rPr/>
        <w:t>Ashmagh,</w:t>
      </w:r>
      <w:r>
        <w:rPr>
          <w:spacing w:val="-5"/>
        </w:rPr>
        <w:t> </w:t>
      </w:r>
      <w:r>
        <w:rPr/>
        <w:t>F.</w:t>
      </w:r>
      <w:r>
        <w:rPr>
          <w:spacing w:val="-5"/>
        </w:rPr>
        <w:t> </w:t>
      </w:r>
      <w:r>
        <w:rPr/>
        <w:t>R.,</w:t>
      </w:r>
      <w:r>
        <w:rPr>
          <w:spacing w:val="-7"/>
        </w:rPr>
        <w:t> </w:t>
      </w:r>
      <w:r>
        <w:rPr/>
        <w:t>Jorfi,</w:t>
      </w:r>
      <w:r>
        <w:rPr>
          <w:spacing w:val="-8"/>
        </w:rPr>
        <w:t> </w:t>
      </w:r>
      <w:r>
        <w:rPr/>
        <w:t>S., &amp;</w:t>
      </w:r>
      <w:r>
        <w:rPr>
          <w:spacing w:val="-2"/>
        </w:rPr>
        <w:t> </w:t>
      </w:r>
      <w:r>
        <w:rPr/>
        <w:t>Ja’fari,</w:t>
      </w:r>
      <w:r>
        <w:rPr>
          <w:spacing w:val="-1"/>
        </w:rPr>
        <w:t> </w:t>
      </w:r>
      <w:r>
        <w:rPr/>
        <w:t>M. (2014).</w:t>
      </w:r>
      <w:r>
        <w:rPr>
          <w:spacing w:val="-1"/>
        </w:rPr>
        <w:t> </w:t>
      </w:r>
      <w:r>
        <w:rPr/>
        <w:t>Effectiveness of</w:t>
      </w:r>
      <w:r>
        <w:rPr>
          <w:spacing w:val="-1"/>
        </w:rPr>
        <w:t> </w:t>
      </w:r>
      <w:r>
        <w:rPr/>
        <w:t>biostimulation through nutrient content on the</w:t>
      </w:r>
      <w:r>
        <w:rPr>
          <w:spacing w:val="-4"/>
        </w:rPr>
        <w:t> </w:t>
      </w:r>
      <w:r>
        <w:rPr/>
        <w:t>bioremediation</w:t>
      </w:r>
      <w:r>
        <w:rPr>
          <w:spacing w:val="-4"/>
        </w:rPr>
        <w:t> </w:t>
      </w:r>
      <w:r>
        <w:rPr/>
        <w:t>of</w:t>
      </w:r>
      <w:r>
        <w:rPr>
          <w:spacing w:val="-4"/>
        </w:rPr>
        <w:t> </w:t>
      </w:r>
      <w:r>
        <w:rPr/>
        <w:t>phenanthrene</w:t>
      </w:r>
      <w:r>
        <w:rPr>
          <w:spacing w:val="-5"/>
        </w:rPr>
        <w:t> </w:t>
      </w:r>
      <w:r>
        <w:rPr/>
        <w:t>contaminated</w:t>
      </w:r>
      <w:r>
        <w:rPr>
          <w:spacing w:val="-3"/>
        </w:rPr>
        <w:t> </w:t>
      </w:r>
      <w:r>
        <w:rPr/>
        <w:t>soil.</w:t>
      </w:r>
      <w:r>
        <w:rPr>
          <w:spacing w:val="-1"/>
        </w:rPr>
        <w:t> </w:t>
      </w:r>
      <w:r>
        <w:rPr>
          <w:i/>
        </w:rPr>
        <w:t>Journal</w:t>
      </w:r>
      <w:r>
        <w:rPr>
          <w:i/>
          <w:spacing w:val="-4"/>
        </w:rPr>
        <w:t> </w:t>
      </w:r>
      <w:r>
        <w:rPr>
          <w:i/>
        </w:rPr>
        <w:t>of</w:t>
      </w:r>
      <w:r>
        <w:rPr>
          <w:i/>
          <w:spacing w:val="-4"/>
        </w:rPr>
        <w:t> </w:t>
      </w:r>
      <w:r>
        <w:rPr>
          <w:i/>
        </w:rPr>
        <w:t>Environmental Health Science and Engineering, </w:t>
      </w:r>
      <w:r>
        <w:rPr/>
        <w:t>12(1), 143.</w:t>
      </w:r>
    </w:p>
    <w:p>
      <w:pPr>
        <w:pStyle w:val="BodyText"/>
        <w:spacing w:before="10"/>
        <w:rPr>
          <w:sz w:val="20"/>
        </w:rPr>
      </w:pPr>
    </w:p>
    <w:p>
      <w:pPr>
        <w:spacing w:before="0"/>
        <w:ind w:left="921" w:right="118" w:hanging="720"/>
        <w:jc w:val="both"/>
        <w:rPr>
          <w:sz w:val="24"/>
        </w:rPr>
      </w:pPr>
      <w:r>
        <w:rPr>
          <w:sz w:val="24"/>
        </w:rPr>
        <w:t>Kambo, H. S., &amp; Dutta, A. (2015). A comparative review of biochar and hydrochar in terms</w:t>
      </w:r>
      <w:r>
        <w:rPr>
          <w:spacing w:val="-14"/>
          <w:sz w:val="24"/>
        </w:rPr>
        <w:t> </w:t>
      </w:r>
      <w:r>
        <w:rPr>
          <w:sz w:val="24"/>
        </w:rPr>
        <w:t>of</w:t>
      </w:r>
      <w:r>
        <w:rPr>
          <w:spacing w:val="-15"/>
          <w:sz w:val="24"/>
        </w:rPr>
        <w:t> </w:t>
      </w:r>
      <w:r>
        <w:rPr>
          <w:sz w:val="24"/>
        </w:rPr>
        <w:t>production,</w:t>
      </w:r>
      <w:r>
        <w:rPr>
          <w:spacing w:val="-15"/>
          <w:sz w:val="24"/>
        </w:rPr>
        <w:t> </w:t>
      </w:r>
      <w:r>
        <w:rPr>
          <w:sz w:val="24"/>
        </w:rPr>
        <w:t>physicochemical</w:t>
      </w:r>
      <w:r>
        <w:rPr>
          <w:spacing w:val="-15"/>
          <w:sz w:val="24"/>
        </w:rPr>
        <w:t> </w:t>
      </w:r>
      <w:r>
        <w:rPr>
          <w:sz w:val="24"/>
        </w:rPr>
        <w:t>properties</w:t>
      </w:r>
      <w:r>
        <w:rPr>
          <w:spacing w:val="-15"/>
          <w:sz w:val="24"/>
        </w:rPr>
        <w:t> </w:t>
      </w:r>
      <w:r>
        <w:rPr>
          <w:sz w:val="24"/>
        </w:rPr>
        <w:t>and</w:t>
      </w:r>
      <w:r>
        <w:rPr>
          <w:spacing w:val="-15"/>
          <w:sz w:val="24"/>
        </w:rPr>
        <w:t> </w:t>
      </w:r>
      <w:r>
        <w:rPr>
          <w:sz w:val="24"/>
        </w:rPr>
        <w:t>applications.</w:t>
      </w:r>
      <w:r>
        <w:rPr>
          <w:spacing w:val="-14"/>
          <w:sz w:val="24"/>
        </w:rPr>
        <w:t> </w:t>
      </w:r>
      <w:r>
        <w:rPr>
          <w:i/>
          <w:sz w:val="24"/>
        </w:rPr>
        <w:t>Renewable</w:t>
      </w:r>
      <w:r>
        <w:rPr>
          <w:i/>
          <w:spacing w:val="-15"/>
          <w:sz w:val="24"/>
        </w:rPr>
        <w:t> </w:t>
      </w:r>
      <w:r>
        <w:rPr>
          <w:i/>
          <w:sz w:val="24"/>
        </w:rPr>
        <w:t>and Sustainable Energy Reviews, </w:t>
      </w:r>
      <w:r>
        <w:rPr>
          <w:sz w:val="24"/>
        </w:rPr>
        <w:t>45, 359–378.</w:t>
      </w:r>
    </w:p>
    <w:p>
      <w:pPr>
        <w:spacing w:after="0"/>
        <w:jc w:val="both"/>
        <w:rPr>
          <w:sz w:val="24"/>
        </w:rPr>
        <w:sectPr>
          <w:pgSz w:w="11910" w:h="16840"/>
          <w:pgMar w:header="0" w:footer="1002" w:top="1320" w:bottom="1200" w:left="1500" w:right="1580"/>
        </w:sectPr>
      </w:pPr>
    </w:p>
    <w:p>
      <w:pPr>
        <w:pStyle w:val="BodyText"/>
        <w:spacing w:before="69"/>
        <w:ind w:left="921" w:right="123" w:hanging="720"/>
        <w:jc w:val="both"/>
      </w:pPr>
      <w:hyperlink r:id="rId10">
        <w:r>
          <w:rPr/>
          <w:t>Kavitha,</w:t>
        </w:r>
      </w:hyperlink>
      <w:r>
        <w:rPr/>
        <w:t> B., Reddy, P. V. L., Kim, B., Lee, S. S., Pandey, S. K., &amp; Kim, K. H. (2018). Benefits and limitations of biochar amendment in agricultural soils: a review. </w:t>
      </w:r>
      <w:r>
        <w:rPr>
          <w:i/>
        </w:rPr>
        <w:t>Journal of Environmental Management, </w:t>
      </w:r>
      <w:r>
        <w:rPr/>
        <w:t>227, 146-154.</w:t>
      </w:r>
    </w:p>
    <w:p>
      <w:pPr>
        <w:pStyle w:val="BodyText"/>
        <w:spacing w:before="11"/>
        <w:rPr>
          <w:sz w:val="20"/>
        </w:rPr>
      </w:pPr>
    </w:p>
    <w:p>
      <w:pPr>
        <w:pStyle w:val="BodyText"/>
        <w:ind w:left="921" w:right="117" w:hanging="720"/>
        <w:jc w:val="both"/>
      </w:pPr>
      <w:r>
        <w:rPr/>
        <w:t>Khalil, M. I. (2015). Co-precipitation in aqueous solution synthesis of magnetite nanoparticles using iron (III) salts as precursors. </w:t>
      </w:r>
      <w:r>
        <w:rPr>
          <w:i/>
        </w:rPr>
        <w:t>Arabian Journal of Chemistry</w:t>
      </w:r>
      <w:r>
        <w:rPr/>
        <w:t>, 8(2), 279-284.</w:t>
      </w:r>
    </w:p>
    <w:p>
      <w:pPr>
        <w:pStyle w:val="BodyText"/>
        <w:spacing w:before="10"/>
        <w:rPr>
          <w:sz w:val="20"/>
        </w:rPr>
      </w:pPr>
    </w:p>
    <w:p>
      <w:pPr>
        <w:pStyle w:val="BodyText"/>
        <w:ind w:left="921" w:right="119" w:hanging="720"/>
        <w:jc w:val="both"/>
      </w:pPr>
      <w:r>
        <w:rPr/>
        <w:t>Kitamoto, D., Yanagishita, H., Shinbo, T., Nakane, T., Kamisawa, C., &amp; Nakahara, T. (1993). Surface</w:t>
      </w:r>
      <w:r>
        <w:rPr/>
        <w:t> active</w:t>
      </w:r>
      <w:r>
        <w:rPr/>
        <w:t> properties and antimicrobial activities of mannosylerythritol lipids as biosurfactants produced by Candida antarctica. </w:t>
      </w:r>
      <w:r>
        <w:rPr>
          <w:i/>
        </w:rPr>
        <w:t>Journal of Biotechnology</w:t>
      </w:r>
      <w:r>
        <w:rPr/>
        <w:t>, 29(1-2), 91-96.</w:t>
      </w:r>
    </w:p>
    <w:p>
      <w:pPr>
        <w:pStyle w:val="BodyText"/>
        <w:spacing w:before="10"/>
        <w:rPr>
          <w:sz w:val="20"/>
        </w:rPr>
      </w:pPr>
    </w:p>
    <w:p>
      <w:pPr>
        <w:pStyle w:val="BodyText"/>
        <w:spacing w:before="1"/>
        <w:ind w:left="921" w:right="115" w:hanging="720"/>
        <w:jc w:val="both"/>
      </w:pPr>
      <w:r>
        <w:rPr/>
        <w:t>Krishnaswamy, M., Subbuchettiar, G., Ravi, T.K., &amp; Panchaksharam, S. (2008). Biosurfactants properties, commercial production, and application. </w:t>
      </w:r>
      <w:r>
        <w:rPr>
          <w:i/>
        </w:rPr>
        <w:t>Current Sciences</w:t>
      </w:r>
      <w:r>
        <w:rPr/>
        <w:t>., 94,</w:t>
      </w:r>
      <w:r>
        <w:rPr>
          <w:spacing w:val="40"/>
        </w:rPr>
        <w:t> </w:t>
      </w:r>
      <w:r>
        <w:rPr/>
        <w:t>736-747.</w:t>
      </w:r>
    </w:p>
    <w:p>
      <w:pPr>
        <w:pStyle w:val="BodyText"/>
        <w:spacing w:before="9"/>
        <w:rPr>
          <w:sz w:val="20"/>
        </w:rPr>
      </w:pPr>
    </w:p>
    <w:p>
      <w:pPr>
        <w:pStyle w:val="BodyText"/>
        <w:spacing w:before="1"/>
        <w:ind w:left="921" w:right="119" w:hanging="720"/>
        <w:jc w:val="both"/>
      </w:pPr>
      <w:r>
        <w:rPr/>
        <w:t>Kuang, Y., Wang, Q., Chen, Z.,</w:t>
      </w:r>
      <w:r>
        <w:rPr>
          <w:spacing w:val="40"/>
        </w:rPr>
        <w:t> </w:t>
      </w:r>
      <w:r>
        <w:rPr/>
        <w:t>Megharaj, M., &amp; Naidu, R. (2013). Heterogeneous Fenton-like oxidation of monochlorobenzene using green synthesis of iron nanoparticles. </w:t>
      </w:r>
      <w:r>
        <w:rPr>
          <w:i/>
        </w:rPr>
        <w:t>Journal of Colloid andInterface Science</w:t>
      </w:r>
      <w:r>
        <w:rPr/>
        <w:t>, 410, 67–73.</w:t>
      </w:r>
    </w:p>
    <w:p>
      <w:pPr>
        <w:pStyle w:val="BodyText"/>
        <w:spacing w:before="10"/>
        <w:rPr>
          <w:sz w:val="20"/>
        </w:rPr>
      </w:pPr>
    </w:p>
    <w:p>
      <w:pPr>
        <w:pStyle w:val="BodyText"/>
        <w:ind w:left="921" w:right="117" w:hanging="720"/>
        <w:jc w:val="both"/>
      </w:pPr>
      <w:r>
        <w:rPr/>
        <w:t>Kumar, K. S., Sajwan, K. S., Richardson, J. P., &amp; Kannan, K. (2008). Contamination profiles of heavy metals, organochlorine pesticides, polycyclic aromatic hydrocarbons and alkylphenols in sediment and oyster collected from marsh/estuarine Savannah GA, USA. </w:t>
      </w:r>
      <w:r>
        <w:rPr>
          <w:i/>
        </w:rPr>
        <w:t>Marine Pollution Bulletin</w:t>
      </w:r>
      <w:r>
        <w:rPr/>
        <w:t>, 56(1), 136-149.</w:t>
      </w:r>
    </w:p>
    <w:p>
      <w:pPr>
        <w:pStyle w:val="BodyText"/>
        <w:spacing w:before="10"/>
        <w:rPr>
          <w:sz w:val="20"/>
        </w:rPr>
      </w:pPr>
    </w:p>
    <w:p>
      <w:pPr>
        <w:pStyle w:val="BodyText"/>
        <w:ind w:left="921" w:right="118" w:hanging="720"/>
        <w:jc w:val="both"/>
      </w:pPr>
      <w:r>
        <w:rPr/>
        <w:t>Kumari,</w:t>
      </w:r>
      <w:r>
        <w:rPr>
          <w:spacing w:val="-11"/>
        </w:rPr>
        <w:t> </w:t>
      </w:r>
      <w:r>
        <w:rPr/>
        <w:t>B.,</w:t>
      </w:r>
      <w:r>
        <w:rPr>
          <w:spacing w:val="-8"/>
        </w:rPr>
        <w:t> </w:t>
      </w:r>
      <w:r>
        <w:rPr/>
        <w:t>&amp;</w:t>
      </w:r>
      <w:r>
        <w:rPr>
          <w:spacing w:val="-13"/>
        </w:rPr>
        <w:t> </w:t>
      </w:r>
      <w:r>
        <w:rPr/>
        <w:t>Singh,</w:t>
      </w:r>
      <w:r>
        <w:rPr>
          <w:spacing w:val="-8"/>
        </w:rPr>
        <w:t> </w:t>
      </w:r>
      <w:r>
        <w:rPr/>
        <w:t>D.</w:t>
      </w:r>
      <w:r>
        <w:rPr>
          <w:spacing w:val="-9"/>
        </w:rPr>
        <w:t> </w:t>
      </w:r>
      <w:r>
        <w:rPr/>
        <w:t>P.</w:t>
      </w:r>
      <w:r>
        <w:rPr>
          <w:spacing w:val="-11"/>
        </w:rPr>
        <w:t> </w:t>
      </w:r>
      <w:r>
        <w:rPr/>
        <w:t>(2016).</w:t>
      </w:r>
      <w:r>
        <w:rPr>
          <w:spacing w:val="-11"/>
        </w:rPr>
        <w:t> </w:t>
      </w:r>
      <w:r>
        <w:rPr/>
        <w:t>A</w:t>
      </w:r>
      <w:r>
        <w:rPr>
          <w:spacing w:val="-11"/>
        </w:rPr>
        <w:t> </w:t>
      </w:r>
      <w:r>
        <w:rPr/>
        <w:t>review</w:t>
      </w:r>
      <w:r>
        <w:rPr>
          <w:spacing w:val="-11"/>
        </w:rPr>
        <w:t> </w:t>
      </w:r>
      <w:r>
        <w:rPr/>
        <w:t>on</w:t>
      </w:r>
      <w:r>
        <w:rPr>
          <w:spacing w:val="-11"/>
        </w:rPr>
        <w:t> </w:t>
      </w:r>
      <w:r>
        <w:rPr/>
        <w:t>multifaceted</w:t>
      </w:r>
      <w:r>
        <w:rPr>
          <w:spacing w:val="-11"/>
        </w:rPr>
        <w:t> </w:t>
      </w:r>
      <w:r>
        <w:rPr/>
        <w:t>application</w:t>
      </w:r>
      <w:r>
        <w:rPr>
          <w:spacing w:val="-11"/>
        </w:rPr>
        <w:t> </w:t>
      </w:r>
      <w:r>
        <w:rPr/>
        <w:t>of</w:t>
      </w:r>
      <w:r>
        <w:rPr>
          <w:spacing w:val="-9"/>
        </w:rPr>
        <w:t> </w:t>
      </w:r>
      <w:r>
        <w:rPr/>
        <w:t>nanoparticles in the field of bioremediation of petroleum hydrocarbons. </w:t>
      </w:r>
      <w:r>
        <w:rPr>
          <w:i/>
        </w:rPr>
        <w:t>Ecological Engineering</w:t>
      </w:r>
      <w:r>
        <w:rPr/>
        <w:t>, 97, 98-105.</w:t>
      </w:r>
    </w:p>
    <w:p>
      <w:pPr>
        <w:pStyle w:val="BodyText"/>
        <w:spacing w:before="10"/>
        <w:rPr>
          <w:sz w:val="20"/>
        </w:rPr>
      </w:pPr>
    </w:p>
    <w:p>
      <w:pPr>
        <w:pStyle w:val="BodyText"/>
        <w:ind w:left="921" w:right="117" w:hanging="720"/>
        <w:jc w:val="both"/>
      </w:pPr>
      <w:r>
        <w:rPr/>
        <w:t>Lawrinenko, M., &amp; Liard, D. A. (2015). Anion exchange capacity of biochar. </w:t>
      </w:r>
      <w:r>
        <w:rPr>
          <w:i/>
        </w:rPr>
        <w:t>Green Chemistry</w:t>
      </w:r>
      <w:r>
        <w:rPr/>
        <w:t>, 17(9), 4628-4636.</w:t>
      </w:r>
    </w:p>
    <w:p>
      <w:pPr>
        <w:pStyle w:val="BodyText"/>
        <w:spacing w:before="10"/>
        <w:rPr>
          <w:sz w:val="20"/>
        </w:rPr>
      </w:pPr>
    </w:p>
    <w:p>
      <w:pPr>
        <w:pStyle w:val="BodyText"/>
        <w:ind w:left="921" w:right="117" w:hanging="720"/>
        <w:jc w:val="both"/>
      </w:pPr>
      <w:r>
        <w:rPr/>
        <w:t>Lehmann J., Rillig M. C., Thies J., Masiello C. A., Hockaday W. C., &amp; Crowley D. (2011): Biochar effects on soil biota: A review. </w:t>
      </w:r>
      <w:r>
        <w:rPr>
          <w:i/>
        </w:rPr>
        <w:t>Soil Biology and Biochemistry</w:t>
      </w:r>
      <w:r>
        <w:rPr/>
        <w:t>, 43, 1812–1836</w:t>
      </w:r>
    </w:p>
    <w:p>
      <w:pPr>
        <w:pStyle w:val="BodyText"/>
        <w:spacing w:before="2"/>
        <w:rPr>
          <w:sz w:val="21"/>
        </w:rPr>
      </w:pPr>
    </w:p>
    <w:p>
      <w:pPr>
        <w:pStyle w:val="BodyText"/>
        <w:spacing w:line="276" w:lineRule="auto"/>
        <w:ind w:left="921" w:right="116" w:hanging="720"/>
        <w:jc w:val="both"/>
      </w:pPr>
      <w:r>
        <w:rPr/>
        <w:t>Lim,</w:t>
      </w:r>
      <w:r>
        <w:rPr>
          <w:spacing w:val="-6"/>
        </w:rPr>
        <w:t> </w:t>
      </w:r>
      <w:r>
        <w:rPr/>
        <w:t>K.,</w:t>
      </w:r>
      <w:r>
        <w:rPr>
          <w:spacing w:val="-6"/>
        </w:rPr>
        <w:t> </w:t>
      </w:r>
      <w:r>
        <w:rPr/>
        <w:t>Abdul</w:t>
      </w:r>
      <w:r>
        <w:rPr>
          <w:spacing w:val="-6"/>
        </w:rPr>
        <w:t> </w:t>
      </w:r>
      <w:r>
        <w:rPr/>
        <w:t>Hamid,</w:t>
      </w:r>
      <w:r>
        <w:rPr>
          <w:spacing w:val="-6"/>
        </w:rPr>
        <w:t> </w:t>
      </w:r>
      <w:r>
        <w:rPr/>
        <w:t>M.</w:t>
      </w:r>
      <w:r>
        <w:rPr>
          <w:spacing w:val="-6"/>
        </w:rPr>
        <w:t> </w:t>
      </w:r>
      <w:r>
        <w:rPr/>
        <w:t>A.,</w:t>
      </w:r>
      <w:r>
        <w:rPr>
          <w:spacing w:val="-6"/>
        </w:rPr>
        <w:t> </w:t>
      </w:r>
      <w:r>
        <w:rPr/>
        <w:t>Shamsudin,</w:t>
      </w:r>
      <w:r>
        <w:rPr>
          <w:spacing w:val="-5"/>
        </w:rPr>
        <w:t> </w:t>
      </w:r>
      <w:r>
        <w:rPr/>
        <w:t>R.,</w:t>
      </w:r>
      <w:r>
        <w:rPr>
          <w:spacing w:val="-6"/>
        </w:rPr>
        <w:t> </w:t>
      </w:r>
      <w:r>
        <w:rPr/>
        <w:t>Al-Harden,</w:t>
      </w:r>
      <w:r>
        <w:rPr>
          <w:spacing w:val="-6"/>
        </w:rPr>
        <w:t> </w:t>
      </w:r>
      <w:r>
        <w:rPr/>
        <w:t>N.</w:t>
      </w:r>
      <w:r>
        <w:rPr>
          <w:spacing w:val="-6"/>
        </w:rPr>
        <w:t> </w:t>
      </w:r>
      <w:r>
        <w:rPr/>
        <w:t>H.,</w:t>
      </w:r>
      <w:r>
        <w:rPr>
          <w:spacing w:val="-6"/>
        </w:rPr>
        <w:t> </w:t>
      </w:r>
      <w:r>
        <w:rPr/>
        <w:t>Mansor,</w:t>
      </w:r>
      <w:r>
        <w:rPr>
          <w:spacing w:val="-3"/>
        </w:rPr>
        <w:t> </w:t>
      </w:r>
      <w:r>
        <w:rPr/>
        <w:t>I.,</w:t>
      </w:r>
      <w:r>
        <w:rPr>
          <w:spacing w:val="-3"/>
        </w:rPr>
        <w:t> </w:t>
      </w:r>
      <w:r>
        <w:rPr/>
        <w:t>&amp;</w:t>
      </w:r>
      <w:r>
        <w:rPr>
          <w:spacing w:val="-8"/>
        </w:rPr>
        <w:t> </w:t>
      </w:r>
      <w:r>
        <w:rPr/>
        <w:t>Chiu,</w:t>
      </w:r>
      <w:r>
        <w:rPr>
          <w:spacing w:val="-5"/>
        </w:rPr>
        <w:t> </w:t>
      </w:r>
      <w:r>
        <w:rPr/>
        <w:t>W. (2016).</w:t>
      </w:r>
      <w:r>
        <w:rPr>
          <w:spacing w:val="-4"/>
        </w:rPr>
        <w:t> </w:t>
      </w:r>
      <w:r>
        <w:rPr/>
        <w:t>Temperature-driven</w:t>
      </w:r>
      <w:r>
        <w:rPr>
          <w:spacing w:val="-4"/>
        </w:rPr>
        <w:t> </w:t>
      </w:r>
      <w:r>
        <w:rPr/>
        <w:t>structural</w:t>
      </w:r>
      <w:r>
        <w:rPr>
          <w:spacing w:val="-5"/>
        </w:rPr>
        <w:t> </w:t>
      </w:r>
      <w:r>
        <w:rPr/>
        <w:t>and</w:t>
      </w:r>
      <w:r>
        <w:rPr>
          <w:spacing w:val="-5"/>
        </w:rPr>
        <w:t> </w:t>
      </w:r>
      <w:r>
        <w:rPr/>
        <w:t>morphological</w:t>
      </w:r>
      <w:r>
        <w:rPr>
          <w:spacing w:val="-5"/>
        </w:rPr>
        <w:t> </w:t>
      </w:r>
      <w:r>
        <w:rPr/>
        <w:t>evolution</w:t>
      </w:r>
      <w:r>
        <w:rPr>
          <w:spacing w:val="-5"/>
        </w:rPr>
        <w:t> </w:t>
      </w:r>
      <w:r>
        <w:rPr/>
        <w:t>of</w:t>
      </w:r>
      <w:r>
        <w:rPr>
          <w:spacing w:val="-6"/>
        </w:rPr>
        <w:t> </w:t>
      </w:r>
      <w:r>
        <w:rPr/>
        <w:t>zinc</w:t>
      </w:r>
      <w:r>
        <w:rPr>
          <w:spacing w:val="-8"/>
        </w:rPr>
        <w:t> </w:t>
      </w:r>
      <w:r>
        <w:rPr/>
        <w:t>oxide nano-coalesced microstructures and its defect-related photoluminescence properties. </w:t>
      </w:r>
      <w:r>
        <w:rPr>
          <w:i/>
        </w:rPr>
        <w:t>Materials</w:t>
      </w:r>
      <w:r>
        <w:rPr/>
        <w:t>, 9(4), 300.</w:t>
      </w:r>
    </w:p>
    <w:p>
      <w:pPr>
        <w:pStyle w:val="BodyText"/>
        <w:spacing w:before="8"/>
        <w:rPr>
          <w:sz w:val="20"/>
        </w:rPr>
      </w:pPr>
    </w:p>
    <w:p>
      <w:pPr>
        <w:pStyle w:val="BodyText"/>
        <w:ind w:left="921" w:right="118" w:hanging="720"/>
        <w:jc w:val="both"/>
      </w:pPr>
      <w:r>
        <w:rPr/>
        <w:t>Liu, W. J., Duan, X. D., Wu, L. P., &amp; Masakorala, K. (2017). Biosurfactant production by Pseudomonas</w:t>
      </w:r>
      <w:r>
        <w:rPr/>
        <w:t> aeruginosa</w:t>
      </w:r>
      <w:r>
        <w:rPr/>
        <w:t> SNP614 and its effect on biodegradation of petroleum. </w:t>
      </w:r>
      <w:r>
        <w:rPr>
          <w:i/>
        </w:rPr>
        <w:t>Applied Biochemistry and Microbiology, </w:t>
      </w:r>
      <w:r>
        <w:rPr/>
        <w:t>54 (2), 155-162.</w:t>
      </w:r>
    </w:p>
    <w:p>
      <w:pPr>
        <w:pStyle w:val="BodyText"/>
        <w:spacing w:before="10"/>
        <w:rPr>
          <w:sz w:val="20"/>
        </w:rPr>
      </w:pPr>
    </w:p>
    <w:p>
      <w:pPr>
        <w:pStyle w:val="BodyText"/>
        <w:ind w:left="921" w:right="117" w:hanging="720"/>
        <w:jc w:val="both"/>
      </w:pPr>
      <w:r>
        <w:rPr/>
        <w:t>Lu,</w:t>
      </w:r>
      <w:r>
        <w:rPr>
          <w:spacing w:val="-1"/>
        </w:rPr>
        <w:t> </w:t>
      </w:r>
      <w:r>
        <w:rPr/>
        <w:t>K.,</w:t>
      </w:r>
      <w:r>
        <w:rPr>
          <w:spacing w:val="-2"/>
        </w:rPr>
        <w:t> </w:t>
      </w:r>
      <w:r>
        <w:rPr/>
        <w:t>Yang,</w:t>
      </w:r>
      <w:r>
        <w:rPr>
          <w:spacing w:val="-1"/>
        </w:rPr>
        <w:t> </w:t>
      </w:r>
      <w:r>
        <w:rPr/>
        <w:t>X.,</w:t>
      </w:r>
      <w:r>
        <w:rPr>
          <w:spacing w:val="-3"/>
        </w:rPr>
        <w:t> </w:t>
      </w:r>
      <w:r>
        <w:rPr/>
        <w:t>Shen,</w:t>
      </w:r>
      <w:r>
        <w:rPr>
          <w:spacing w:val="-2"/>
        </w:rPr>
        <w:t> </w:t>
      </w:r>
      <w:r>
        <w:rPr/>
        <w:t>J.,</w:t>
      </w:r>
      <w:r>
        <w:rPr>
          <w:spacing w:val="-3"/>
        </w:rPr>
        <w:t> </w:t>
      </w:r>
      <w:r>
        <w:rPr/>
        <w:t>Robinson,</w:t>
      </w:r>
      <w:r>
        <w:rPr>
          <w:spacing w:val="-3"/>
        </w:rPr>
        <w:t> </w:t>
      </w:r>
      <w:r>
        <w:rPr/>
        <w:t>B.,</w:t>
      </w:r>
      <w:r>
        <w:rPr>
          <w:spacing w:val="-1"/>
        </w:rPr>
        <w:t> </w:t>
      </w:r>
      <w:r>
        <w:rPr/>
        <w:t>Huang, H.,</w:t>
      </w:r>
      <w:r>
        <w:rPr>
          <w:spacing w:val="-2"/>
        </w:rPr>
        <w:t> </w:t>
      </w:r>
      <w:r>
        <w:rPr/>
        <w:t>Liu,</w:t>
      </w:r>
      <w:r>
        <w:rPr>
          <w:spacing w:val="-3"/>
        </w:rPr>
        <w:t> </w:t>
      </w:r>
      <w:r>
        <w:rPr/>
        <w:t>D., &amp;</w:t>
      </w:r>
      <w:r>
        <w:rPr>
          <w:spacing w:val="-5"/>
        </w:rPr>
        <w:t> </w:t>
      </w:r>
      <w:r>
        <w:rPr/>
        <w:t>Wang, H.</w:t>
      </w:r>
      <w:r>
        <w:rPr>
          <w:spacing w:val="-2"/>
        </w:rPr>
        <w:t> </w:t>
      </w:r>
      <w:r>
        <w:rPr/>
        <w:t>(2014).</w:t>
      </w:r>
      <w:r>
        <w:rPr>
          <w:spacing w:val="-3"/>
        </w:rPr>
        <w:t> </w:t>
      </w:r>
      <w:r>
        <w:rPr/>
        <w:t>Effect of</w:t>
      </w:r>
      <w:r>
        <w:rPr>
          <w:spacing w:val="-1"/>
        </w:rPr>
        <w:t> </w:t>
      </w:r>
      <w:r>
        <w:rPr/>
        <w:t>bamboo and rice</w:t>
      </w:r>
      <w:r>
        <w:rPr>
          <w:spacing w:val="-1"/>
        </w:rPr>
        <w:t> </w:t>
      </w:r>
      <w:r>
        <w:rPr/>
        <w:t>straw</w:t>
      </w:r>
      <w:r>
        <w:rPr>
          <w:spacing w:val="-1"/>
        </w:rPr>
        <w:t> </w:t>
      </w:r>
      <w:r>
        <w:rPr/>
        <w:t>biochars</w:t>
      </w:r>
      <w:r>
        <w:rPr>
          <w:spacing w:val="-1"/>
        </w:rPr>
        <w:t> </w:t>
      </w:r>
      <w:r>
        <w:rPr/>
        <w:t>on the</w:t>
      </w:r>
      <w:r>
        <w:rPr>
          <w:spacing w:val="-1"/>
        </w:rPr>
        <w:t> </w:t>
      </w:r>
      <w:r>
        <w:rPr/>
        <w:t>bioavailability</w:t>
      </w:r>
      <w:r>
        <w:rPr>
          <w:spacing w:val="-8"/>
        </w:rPr>
        <w:t> </w:t>
      </w:r>
      <w:r>
        <w:rPr/>
        <w:t>of</w:t>
      </w:r>
      <w:r>
        <w:rPr>
          <w:spacing w:val="-1"/>
        </w:rPr>
        <w:t> </w:t>
      </w:r>
      <w:r>
        <w:rPr/>
        <w:t>Cd, Cu, Pb and</w:t>
      </w:r>
      <w:r>
        <w:rPr>
          <w:spacing w:val="-3"/>
        </w:rPr>
        <w:t> </w:t>
      </w:r>
      <w:r>
        <w:rPr/>
        <w:t>Zn to Sedum</w:t>
      </w:r>
      <w:r>
        <w:rPr>
          <w:spacing w:val="-4"/>
        </w:rPr>
        <w:t> </w:t>
      </w:r>
      <w:r>
        <w:rPr/>
        <w:t>plumbizincicola.</w:t>
      </w:r>
      <w:r>
        <w:rPr>
          <w:spacing w:val="-3"/>
        </w:rPr>
        <w:t> </w:t>
      </w:r>
      <w:r>
        <w:rPr>
          <w:i/>
        </w:rPr>
        <w:t>Agriculture,</w:t>
      </w:r>
      <w:r>
        <w:rPr>
          <w:i/>
          <w:spacing w:val="-3"/>
        </w:rPr>
        <w:t> </w:t>
      </w:r>
      <w:r>
        <w:rPr>
          <w:i/>
        </w:rPr>
        <w:t>Ecosystems</w:t>
      </w:r>
      <w:r>
        <w:rPr>
          <w:i/>
          <w:spacing w:val="-2"/>
        </w:rPr>
        <w:t> </w:t>
      </w:r>
      <w:r>
        <w:rPr>
          <w:i/>
        </w:rPr>
        <w:t>&amp;</w:t>
      </w:r>
      <w:r>
        <w:rPr>
          <w:i/>
          <w:spacing w:val="-6"/>
        </w:rPr>
        <w:t> </w:t>
      </w:r>
      <w:r>
        <w:rPr>
          <w:i/>
        </w:rPr>
        <w:t>Environment,</w:t>
      </w:r>
      <w:r>
        <w:rPr>
          <w:i/>
          <w:spacing w:val="-2"/>
        </w:rPr>
        <w:t> </w:t>
      </w:r>
      <w:r>
        <w:rPr/>
        <w:t>191,</w:t>
      </w:r>
      <w:r>
        <w:rPr>
          <w:spacing w:val="-3"/>
        </w:rPr>
        <w:t> </w:t>
      </w:r>
      <w:r>
        <w:rPr>
          <w:spacing w:val="-2"/>
        </w:rPr>
        <w:t>124–132.</w:t>
      </w:r>
    </w:p>
    <w:p>
      <w:pPr>
        <w:pStyle w:val="BodyText"/>
        <w:spacing w:before="10"/>
        <w:rPr>
          <w:sz w:val="20"/>
        </w:rPr>
      </w:pPr>
    </w:p>
    <w:p>
      <w:pPr>
        <w:pStyle w:val="BodyText"/>
        <w:ind w:left="202"/>
      </w:pPr>
      <w:r>
        <w:rPr/>
        <w:t>Lynnley,</w:t>
      </w:r>
      <w:r>
        <w:rPr>
          <w:spacing w:val="-2"/>
        </w:rPr>
        <w:t> </w:t>
      </w:r>
      <w:r>
        <w:rPr/>
        <w:t>J.</w:t>
      </w:r>
      <w:r>
        <w:rPr>
          <w:spacing w:val="-1"/>
        </w:rPr>
        <w:t> </w:t>
      </w:r>
      <w:r>
        <w:rPr/>
        <w:t>(2021).</w:t>
      </w:r>
      <w:r>
        <w:rPr>
          <w:spacing w:val="-2"/>
        </w:rPr>
        <w:t> </w:t>
      </w:r>
      <w:r>
        <w:rPr/>
        <w:t>Corn</w:t>
      </w:r>
      <w:r>
        <w:rPr>
          <w:spacing w:val="1"/>
        </w:rPr>
        <w:t> </w:t>
      </w:r>
      <w:r>
        <w:rPr/>
        <w:t>silk</w:t>
      </w:r>
      <w:r>
        <w:rPr>
          <w:spacing w:val="-1"/>
        </w:rPr>
        <w:t> </w:t>
      </w:r>
      <w:r>
        <w:rPr/>
        <w:t>tea</w:t>
      </w:r>
      <w:r>
        <w:rPr>
          <w:spacing w:val="-4"/>
        </w:rPr>
        <w:t> </w:t>
      </w:r>
      <w:r>
        <w:rPr>
          <w:spacing w:val="-2"/>
        </w:rPr>
        <w:t>benefits.</w:t>
      </w:r>
    </w:p>
    <w:p>
      <w:pPr>
        <w:spacing w:after="0"/>
        <w:sectPr>
          <w:pgSz w:w="11910" w:h="16840"/>
          <w:pgMar w:header="0" w:footer="1002" w:top="1320" w:bottom="1200" w:left="1500" w:right="1580"/>
        </w:sectPr>
      </w:pPr>
    </w:p>
    <w:p>
      <w:pPr>
        <w:pStyle w:val="BodyText"/>
        <w:spacing w:before="72"/>
        <w:ind w:left="921"/>
      </w:pPr>
      <w:hyperlink r:id="rId27">
        <w:r>
          <w:rPr>
            <w:color w:val="0000FF"/>
            <w:spacing w:val="-2"/>
            <w:u w:val="single" w:color="0000FF"/>
          </w:rPr>
          <w:t>https://discover.hubpages.com/health/To-Your-Heart-Corn-</w:t>
        </w:r>
        <w:r>
          <w:rPr>
            <w:color w:val="0000FF"/>
            <w:spacing w:val="-4"/>
            <w:u w:val="single" w:color="0000FF"/>
          </w:rPr>
          <w:t>Silk</w:t>
        </w:r>
      </w:hyperlink>
    </w:p>
    <w:p>
      <w:pPr>
        <w:pStyle w:val="BodyText"/>
        <w:spacing w:before="199"/>
        <w:ind w:left="921" w:right="118" w:hanging="720"/>
        <w:jc w:val="both"/>
      </w:pPr>
      <w:r>
        <w:rPr/>
        <w:t>Machado, S., Pacheco, J. G., Nouws, H. P. A., Albergaria, J. T., &amp; Delerue-Matos, C. (2015). Characterization of green zero-valent iron nanoparticles produced with tree leaf extracts. </w:t>
      </w:r>
      <w:r>
        <w:rPr>
          <w:i/>
        </w:rPr>
        <w:t>Science of the Total Environment</w:t>
      </w:r>
      <w:r>
        <w:rPr/>
        <w:t>, 533, 76-81.</w:t>
      </w:r>
    </w:p>
    <w:p>
      <w:pPr>
        <w:pStyle w:val="BodyText"/>
        <w:spacing w:before="10"/>
        <w:rPr>
          <w:sz w:val="20"/>
        </w:rPr>
      </w:pPr>
    </w:p>
    <w:p>
      <w:pPr>
        <w:spacing w:before="0"/>
        <w:ind w:left="921" w:right="117" w:hanging="720"/>
        <w:jc w:val="both"/>
        <w:rPr>
          <w:sz w:val="24"/>
        </w:rPr>
      </w:pPr>
      <w:r>
        <w:rPr>
          <w:sz w:val="24"/>
        </w:rPr>
        <w:t>Maier,</w:t>
      </w:r>
      <w:r>
        <w:rPr>
          <w:sz w:val="24"/>
        </w:rPr>
        <w:t> R.</w:t>
      </w:r>
      <w:r>
        <w:rPr>
          <w:sz w:val="24"/>
        </w:rPr>
        <w:t> M., &amp; Soberon-Chavez, G. (2000). Pseudomonas aeruginosa rhamnolipids: biosynthesis</w:t>
      </w:r>
      <w:r>
        <w:rPr>
          <w:spacing w:val="-15"/>
          <w:sz w:val="24"/>
        </w:rPr>
        <w:t> </w:t>
      </w:r>
      <w:r>
        <w:rPr>
          <w:sz w:val="24"/>
        </w:rPr>
        <w:t>and</w:t>
      </w:r>
      <w:r>
        <w:rPr>
          <w:spacing w:val="-15"/>
          <w:sz w:val="24"/>
        </w:rPr>
        <w:t> </w:t>
      </w:r>
      <w:r>
        <w:rPr>
          <w:sz w:val="24"/>
        </w:rPr>
        <w:t>potential</w:t>
      </w:r>
      <w:r>
        <w:rPr>
          <w:spacing w:val="-15"/>
          <w:sz w:val="24"/>
        </w:rPr>
        <w:t> </w:t>
      </w:r>
      <w:r>
        <w:rPr>
          <w:sz w:val="24"/>
        </w:rPr>
        <w:t>applications.</w:t>
      </w:r>
      <w:r>
        <w:rPr>
          <w:spacing w:val="-15"/>
          <w:sz w:val="24"/>
        </w:rPr>
        <w:t> </w:t>
      </w:r>
      <w:r>
        <w:rPr>
          <w:i/>
          <w:sz w:val="24"/>
        </w:rPr>
        <w:t>Applied</w:t>
      </w:r>
      <w:r>
        <w:rPr>
          <w:i/>
          <w:spacing w:val="-15"/>
          <w:sz w:val="24"/>
        </w:rPr>
        <w:t> </w:t>
      </w:r>
      <w:r>
        <w:rPr>
          <w:i/>
          <w:sz w:val="24"/>
        </w:rPr>
        <w:t>Microbiology</w:t>
      </w:r>
      <w:r>
        <w:rPr>
          <w:i/>
          <w:spacing w:val="-15"/>
          <w:sz w:val="24"/>
        </w:rPr>
        <w:t> </w:t>
      </w:r>
      <w:r>
        <w:rPr>
          <w:i/>
          <w:sz w:val="24"/>
        </w:rPr>
        <w:t>and</w:t>
      </w:r>
      <w:r>
        <w:rPr>
          <w:i/>
          <w:spacing w:val="-15"/>
          <w:sz w:val="24"/>
        </w:rPr>
        <w:t> </w:t>
      </w:r>
      <w:r>
        <w:rPr>
          <w:i/>
          <w:sz w:val="24"/>
        </w:rPr>
        <w:t>Biotechnology</w:t>
      </w:r>
      <w:r>
        <w:rPr>
          <w:sz w:val="24"/>
        </w:rPr>
        <w:t>, 54(5), 625-633.</w:t>
      </w:r>
    </w:p>
    <w:p>
      <w:pPr>
        <w:pStyle w:val="BodyText"/>
        <w:spacing w:before="10"/>
        <w:rPr>
          <w:sz w:val="20"/>
        </w:rPr>
      </w:pPr>
    </w:p>
    <w:p>
      <w:pPr>
        <w:pStyle w:val="BodyText"/>
        <w:ind w:left="921" w:right="118" w:hanging="812"/>
        <w:jc w:val="both"/>
      </w:pPr>
      <w:r>
        <w:rPr/>
        <w:t>Mohan,</w:t>
      </w:r>
      <w:r>
        <w:rPr>
          <w:spacing w:val="-5"/>
        </w:rPr>
        <w:t> </w:t>
      </w:r>
      <w:r>
        <w:rPr/>
        <w:t>S.</w:t>
      </w:r>
      <w:r>
        <w:rPr>
          <w:spacing w:val="-5"/>
        </w:rPr>
        <w:t> </w:t>
      </w:r>
      <w:r>
        <w:rPr/>
        <w:t>V.,</w:t>
      </w:r>
      <w:r>
        <w:rPr>
          <w:spacing w:val="-5"/>
        </w:rPr>
        <w:t> </w:t>
      </w:r>
      <w:r>
        <w:rPr/>
        <w:t>Shailaja,</w:t>
      </w:r>
      <w:r>
        <w:rPr>
          <w:spacing w:val="-5"/>
        </w:rPr>
        <w:t> </w:t>
      </w:r>
      <w:r>
        <w:rPr/>
        <w:t>S.,</w:t>
      </w:r>
      <w:r>
        <w:rPr>
          <w:spacing w:val="-5"/>
        </w:rPr>
        <w:t> </w:t>
      </w:r>
      <w:r>
        <w:rPr/>
        <w:t>Krishna,</w:t>
      </w:r>
      <w:r>
        <w:rPr>
          <w:spacing w:val="-5"/>
        </w:rPr>
        <w:t> </w:t>
      </w:r>
      <w:r>
        <w:rPr/>
        <w:t>M.</w:t>
      </w:r>
      <w:r>
        <w:rPr>
          <w:spacing w:val="-5"/>
        </w:rPr>
        <w:t> </w:t>
      </w:r>
      <w:r>
        <w:rPr/>
        <w:t>R.,</w:t>
      </w:r>
      <w:r>
        <w:rPr>
          <w:spacing w:val="-5"/>
        </w:rPr>
        <w:t> </w:t>
      </w:r>
      <w:r>
        <w:rPr/>
        <w:t>Reddy,</w:t>
      </w:r>
      <w:r>
        <w:rPr>
          <w:spacing w:val="-3"/>
        </w:rPr>
        <w:t> </w:t>
      </w:r>
      <w:r>
        <w:rPr/>
        <w:t>K.</w:t>
      </w:r>
      <w:r>
        <w:rPr>
          <w:spacing w:val="-2"/>
        </w:rPr>
        <w:t> </w:t>
      </w:r>
      <w:r>
        <w:rPr/>
        <w:t>B.,</w:t>
      </w:r>
      <w:r>
        <w:rPr>
          <w:spacing w:val="-2"/>
        </w:rPr>
        <w:t> </w:t>
      </w:r>
      <w:r>
        <w:rPr/>
        <w:t>&amp;Sarma,</w:t>
      </w:r>
      <w:r>
        <w:rPr>
          <w:spacing w:val="-5"/>
        </w:rPr>
        <w:t> </w:t>
      </w:r>
      <w:r>
        <w:rPr/>
        <w:t>P.</w:t>
      </w:r>
      <w:r>
        <w:rPr>
          <w:spacing w:val="-5"/>
        </w:rPr>
        <w:t> </w:t>
      </w:r>
      <w:r>
        <w:rPr/>
        <w:t>N.</w:t>
      </w:r>
      <w:r>
        <w:rPr>
          <w:spacing w:val="-3"/>
        </w:rPr>
        <w:t> </w:t>
      </w:r>
      <w:r>
        <w:rPr/>
        <w:t>(2006)</w:t>
      </w:r>
      <w:r>
        <w:rPr>
          <w:spacing w:val="-6"/>
        </w:rPr>
        <w:t> </w:t>
      </w:r>
      <w:r>
        <w:rPr/>
        <w:t>Bioslurry phase degradation of di-ethyl phthalate (DEP)</w:t>
      </w:r>
      <w:r>
        <w:rPr/>
        <w:t> contaminated</w:t>
      </w:r>
      <w:r>
        <w:rPr/>
        <w:t> soil</w:t>
      </w:r>
      <w:r>
        <w:rPr/>
        <w:t> in</w:t>
      </w:r>
      <w:r>
        <w:rPr/>
        <w:t> periodic discontinuous</w:t>
      </w:r>
      <w:r>
        <w:rPr/>
        <w:t> mode</w:t>
      </w:r>
      <w:r>
        <w:rPr/>
        <w:t> operation:</w:t>
      </w:r>
      <w:r>
        <w:rPr/>
        <w:t> influence</w:t>
      </w:r>
      <w:r>
        <w:rPr/>
        <w:t> of</w:t>
      </w:r>
      <w:r>
        <w:rPr/>
        <w:t> bioaugmentation</w:t>
      </w:r>
      <w:r>
        <w:rPr/>
        <w:t> and</w:t>
      </w:r>
      <w:r>
        <w:rPr/>
        <w:t> substrate partition. </w:t>
      </w:r>
      <w:r>
        <w:rPr>
          <w:i/>
        </w:rPr>
        <w:t>Process Biochemistry</w:t>
      </w:r>
      <w:r>
        <w:rPr/>
        <w:t>, 41, 644–652</w:t>
      </w:r>
    </w:p>
    <w:p>
      <w:pPr>
        <w:pStyle w:val="BodyText"/>
        <w:spacing w:before="11"/>
        <w:rPr>
          <w:sz w:val="20"/>
        </w:rPr>
      </w:pPr>
    </w:p>
    <w:p>
      <w:pPr>
        <w:spacing w:before="0"/>
        <w:ind w:left="921" w:right="114" w:hanging="720"/>
        <w:jc w:val="both"/>
        <w:rPr>
          <w:sz w:val="24"/>
        </w:rPr>
      </w:pPr>
      <w:r>
        <w:rPr>
          <w:sz w:val="24"/>
        </w:rPr>
        <w:t>Mohapatra, M., &amp; Anand, S. (2015). Synthesis and applications of nano-structured iron oxides/hydroxides – a review. </w:t>
      </w:r>
      <w:r>
        <w:rPr>
          <w:i/>
          <w:sz w:val="24"/>
        </w:rPr>
        <w:t>International Journal of Engineering Science &amp; Techcnolog</w:t>
      </w:r>
      <w:r>
        <w:rPr>
          <w:sz w:val="24"/>
        </w:rPr>
        <w:t>y, 2(8), 23-24.</w:t>
      </w:r>
    </w:p>
    <w:p>
      <w:pPr>
        <w:pStyle w:val="BodyText"/>
        <w:spacing w:before="10"/>
        <w:rPr>
          <w:sz w:val="20"/>
        </w:rPr>
      </w:pPr>
    </w:p>
    <w:p>
      <w:pPr>
        <w:pStyle w:val="BodyText"/>
        <w:ind w:left="921" w:right="118" w:hanging="720"/>
        <w:jc w:val="both"/>
      </w:pPr>
      <w:r>
        <w:rPr/>
        <w:t>Mondal, S., Bobde, K., Aikat, K., &amp;Halder, G. (2016). Biosorptive uptake of ibuprofen by steam activated biochar derived from mung bean husk: equilibrium, kinetics, thermodynamics, modeling and eco-toxicological studies. </w:t>
      </w:r>
      <w:r>
        <w:rPr>
          <w:i/>
        </w:rPr>
        <w:t>Journal of Environmental Management</w:t>
      </w:r>
      <w:r>
        <w:rPr/>
        <w:t>, 182, 581–594.</w:t>
      </w:r>
    </w:p>
    <w:p>
      <w:pPr>
        <w:pStyle w:val="BodyText"/>
        <w:spacing w:before="10"/>
        <w:rPr>
          <w:sz w:val="20"/>
        </w:rPr>
      </w:pPr>
    </w:p>
    <w:p>
      <w:pPr>
        <w:pStyle w:val="BodyText"/>
        <w:ind w:left="202"/>
      </w:pPr>
      <w:r>
        <w:rPr/>
        <w:t>Nagendran,</w:t>
      </w:r>
      <w:r>
        <w:rPr>
          <w:spacing w:val="6"/>
        </w:rPr>
        <w:t> </w:t>
      </w:r>
      <w:r>
        <w:rPr/>
        <w:t>R.</w:t>
      </w:r>
      <w:r>
        <w:rPr>
          <w:spacing w:val="7"/>
        </w:rPr>
        <w:t> </w:t>
      </w:r>
      <w:r>
        <w:rPr/>
        <w:t>(2011).</w:t>
      </w:r>
      <w:r>
        <w:rPr>
          <w:spacing w:val="6"/>
        </w:rPr>
        <w:t> </w:t>
      </w:r>
      <w:r>
        <w:rPr/>
        <w:t>Agricultural</w:t>
      </w:r>
      <w:r>
        <w:rPr>
          <w:spacing w:val="7"/>
        </w:rPr>
        <w:t> </w:t>
      </w:r>
      <w:r>
        <w:rPr/>
        <w:t>waste</w:t>
      </w:r>
      <w:r>
        <w:rPr>
          <w:spacing w:val="5"/>
        </w:rPr>
        <w:t> </w:t>
      </w:r>
      <w:r>
        <w:rPr/>
        <w:t>and</w:t>
      </w:r>
      <w:r>
        <w:rPr>
          <w:spacing w:val="7"/>
        </w:rPr>
        <w:t> </w:t>
      </w:r>
      <w:r>
        <w:rPr/>
        <w:t>pollution.</w:t>
      </w:r>
      <w:r>
        <w:rPr>
          <w:spacing w:val="10"/>
        </w:rPr>
        <w:t> </w:t>
      </w:r>
      <w:r>
        <w:rPr>
          <w:i/>
        </w:rPr>
        <w:t>In</w:t>
      </w:r>
      <w:r>
        <w:rPr>
          <w:i/>
          <w:spacing w:val="9"/>
        </w:rPr>
        <w:t> </w:t>
      </w:r>
      <w:r>
        <w:rPr>
          <w:i/>
        </w:rPr>
        <w:t>Waste.</w:t>
      </w:r>
      <w:r>
        <w:rPr>
          <w:i/>
          <w:spacing w:val="6"/>
        </w:rPr>
        <w:t> </w:t>
      </w:r>
      <w:r>
        <w:rPr/>
        <w:t>Academic</w:t>
      </w:r>
      <w:r>
        <w:rPr>
          <w:spacing w:val="6"/>
        </w:rPr>
        <w:t> </w:t>
      </w:r>
      <w:r>
        <w:rPr/>
        <w:t>Press</w:t>
      </w:r>
      <w:r>
        <w:rPr>
          <w:spacing w:val="10"/>
        </w:rPr>
        <w:t> </w:t>
      </w:r>
      <w:r>
        <w:rPr>
          <w:spacing w:val="-4"/>
        </w:rPr>
        <w:t>(pp.</w:t>
      </w:r>
    </w:p>
    <w:p>
      <w:pPr>
        <w:pStyle w:val="BodyText"/>
        <w:spacing w:before="1"/>
        <w:ind w:left="921"/>
      </w:pPr>
      <w:r>
        <w:rPr>
          <w:spacing w:val="-2"/>
        </w:rPr>
        <w:t>341-355).</w:t>
      </w:r>
    </w:p>
    <w:p>
      <w:pPr>
        <w:pStyle w:val="BodyText"/>
        <w:spacing w:before="10"/>
        <w:rPr>
          <w:sz w:val="20"/>
        </w:rPr>
      </w:pPr>
    </w:p>
    <w:p>
      <w:pPr>
        <w:spacing w:before="0"/>
        <w:ind w:left="921" w:right="116" w:hanging="720"/>
        <w:jc w:val="both"/>
        <w:rPr>
          <w:i/>
          <w:sz w:val="24"/>
        </w:rPr>
      </w:pPr>
      <w:r>
        <w:rPr>
          <w:sz w:val="24"/>
        </w:rPr>
        <w:t>Nawaz, H., Muzaffar, S., Aslam, M., &amp; Ahmad, S. (2018). Phytochemical composition: Antioxidants potential and biological activities of corn. </w:t>
      </w:r>
      <w:r>
        <w:rPr>
          <w:i/>
          <w:sz w:val="24"/>
        </w:rPr>
        <w:t>Corn: Production and Human Health in Changing Climate. Intech Open, London, </w:t>
      </w:r>
      <w:r>
        <w:rPr>
          <w:sz w:val="24"/>
        </w:rPr>
        <w:t>49-68</w:t>
      </w:r>
      <w:r>
        <w:rPr>
          <w:i/>
          <w:sz w:val="24"/>
        </w:rPr>
        <w:t>.</w:t>
      </w:r>
    </w:p>
    <w:p>
      <w:pPr>
        <w:pStyle w:val="BodyText"/>
        <w:spacing w:before="10"/>
        <w:rPr>
          <w:i/>
          <w:sz w:val="20"/>
        </w:rPr>
      </w:pPr>
    </w:p>
    <w:p>
      <w:pPr>
        <w:pStyle w:val="BodyText"/>
        <w:ind w:left="921" w:right="118" w:hanging="720"/>
        <w:jc w:val="both"/>
      </w:pPr>
      <w:r>
        <w:rPr/>
        <w:t>Neuberger, T., Schöpf, B., Hofmann, H.,Hofmann, M., &amp; Von Rechenberg, B. (2005). Superparamagnetic nanoparticles for biomedical applications: possibilities and limitations of a new drug delivery system. </w:t>
      </w:r>
      <w:r>
        <w:rPr>
          <w:i/>
        </w:rPr>
        <w:t>Journal of Magnetism and Magnetic Materials</w:t>
      </w:r>
      <w:r>
        <w:rPr/>
        <w:t>, 293(1), 483–96.</w:t>
      </w:r>
    </w:p>
    <w:p>
      <w:pPr>
        <w:pStyle w:val="BodyText"/>
        <w:spacing w:before="7"/>
        <w:rPr>
          <w:sz w:val="20"/>
        </w:rPr>
      </w:pPr>
    </w:p>
    <w:p>
      <w:pPr>
        <w:pStyle w:val="BodyText"/>
        <w:spacing w:before="1"/>
        <w:ind w:left="921" w:right="119" w:hanging="720"/>
        <w:jc w:val="both"/>
      </w:pPr>
      <w:r>
        <w:rPr/>
        <w:t>Neuberger, T., Schopfa, B., Hofmann, H., Hofmann, M., &amp;von Rechenberg, B. (2005). Superparamagnetic nanoparticles for biomedical applications:Possibilities and limitations of a new drug delivery system. </w:t>
      </w:r>
      <w:r>
        <w:rPr>
          <w:i/>
        </w:rPr>
        <w:t>Journal of Magnetism and Magnetic Materials</w:t>
      </w:r>
      <w:r>
        <w:rPr/>
        <w:t>, 293 (1), 483–496</w:t>
      </w:r>
    </w:p>
    <w:p>
      <w:pPr>
        <w:pStyle w:val="BodyText"/>
        <w:spacing w:before="10"/>
        <w:rPr>
          <w:sz w:val="20"/>
        </w:rPr>
      </w:pPr>
    </w:p>
    <w:p>
      <w:pPr>
        <w:spacing w:before="0"/>
        <w:ind w:left="921" w:right="122" w:hanging="720"/>
        <w:jc w:val="both"/>
        <w:rPr>
          <w:sz w:val="24"/>
        </w:rPr>
      </w:pPr>
      <w:r>
        <w:rPr>
          <w:sz w:val="24"/>
        </w:rPr>
        <w:t>Nhuchhen,</w:t>
      </w:r>
      <w:r>
        <w:rPr>
          <w:sz w:val="24"/>
        </w:rPr>
        <w:t> D.,</w:t>
      </w:r>
      <w:r>
        <w:rPr>
          <w:sz w:val="24"/>
        </w:rPr>
        <w:t> Basu,</w:t>
      </w:r>
      <w:r>
        <w:rPr>
          <w:sz w:val="24"/>
        </w:rPr>
        <w:t> P., &amp; Acharya, B. (2014). A comprehensive review on biomass torrefaction. </w:t>
      </w:r>
      <w:r>
        <w:rPr>
          <w:i/>
          <w:sz w:val="24"/>
        </w:rPr>
        <w:t>International Journal of Renewable Energy and Biofuels, </w:t>
      </w:r>
      <w:r>
        <w:rPr>
          <w:sz w:val="24"/>
        </w:rPr>
        <w:t>1–56,</w:t>
      </w:r>
    </w:p>
    <w:p>
      <w:pPr>
        <w:pStyle w:val="BodyText"/>
        <w:spacing w:before="10"/>
        <w:rPr>
          <w:sz w:val="20"/>
        </w:rPr>
      </w:pPr>
    </w:p>
    <w:p>
      <w:pPr>
        <w:spacing w:before="0"/>
        <w:ind w:left="833" w:right="120" w:hanging="632"/>
        <w:jc w:val="both"/>
        <w:rPr>
          <w:sz w:val="24"/>
        </w:rPr>
      </w:pPr>
      <w:r>
        <w:rPr>
          <w:sz w:val="24"/>
        </w:rPr>
        <w:t>Nitschke,</w:t>
      </w:r>
      <w:r>
        <w:rPr>
          <w:spacing w:val="-13"/>
          <w:sz w:val="24"/>
        </w:rPr>
        <w:t> </w:t>
      </w:r>
      <w:r>
        <w:rPr>
          <w:sz w:val="24"/>
        </w:rPr>
        <w:t>M.</w:t>
      </w:r>
      <w:r>
        <w:rPr>
          <w:spacing w:val="-10"/>
          <w:sz w:val="24"/>
        </w:rPr>
        <w:t> </w:t>
      </w:r>
      <w:r>
        <w:rPr>
          <w:sz w:val="24"/>
        </w:rPr>
        <w:t>&amp;</w:t>
      </w:r>
      <w:r>
        <w:rPr>
          <w:spacing w:val="-15"/>
          <w:sz w:val="24"/>
        </w:rPr>
        <w:t> </w:t>
      </w:r>
      <w:r>
        <w:rPr>
          <w:sz w:val="24"/>
        </w:rPr>
        <w:t>Pastore,</w:t>
      </w:r>
      <w:r>
        <w:rPr>
          <w:spacing w:val="-10"/>
          <w:sz w:val="24"/>
        </w:rPr>
        <w:t> </w:t>
      </w:r>
      <w:r>
        <w:rPr>
          <w:sz w:val="24"/>
        </w:rPr>
        <w:t>G.</w:t>
      </w:r>
      <w:r>
        <w:rPr>
          <w:spacing w:val="-13"/>
          <w:sz w:val="24"/>
        </w:rPr>
        <w:t> </w:t>
      </w:r>
      <w:r>
        <w:rPr>
          <w:sz w:val="24"/>
        </w:rPr>
        <w:t>M.</w:t>
      </w:r>
      <w:r>
        <w:rPr>
          <w:spacing w:val="-12"/>
          <w:sz w:val="24"/>
        </w:rPr>
        <w:t> </w:t>
      </w:r>
      <w:r>
        <w:rPr>
          <w:sz w:val="24"/>
        </w:rPr>
        <w:t>(2006).</w:t>
      </w:r>
      <w:r>
        <w:rPr>
          <w:spacing w:val="-11"/>
          <w:sz w:val="24"/>
        </w:rPr>
        <w:t> </w:t>
      </w:r>
      <w:r>
        <w:rPr>
          <w:sz w:val="24"/>
        </w:rPr>
        <w:t>Production</w:t>
      </w:r>
      <w:r>
        <w:rPr>
          <w:spacing w:val="-10"/>
          <w:sz w:val="24"/>
        </w:rPr>
        <w:t> </w:t>
      </w:r>
      <w:r>
        <w:rPr>
          <w:sz w:val="24"/>
        </w:rPr>
        <w:t>and</w:t>
      </w:r>
      <w:r>
        <w:rPr>
          <w:spacing w:val="-12"/>
          <w:sz w:val="24"/>
        </w:rPr>
        <w:t> </w:t>
      </w:r>
      <w:r>
        <w:rPr>
          <w:sz w:val="24"/>
        </w:rPr>
        <w:t>Properties</w:t>
      </w:r>
      <w:r>
        <w:rPr>
          <w:spacing w:val="-12"/>
          <w:sz w:val="24"/>
        </w:rPr>
        <w:t> </w:t>
      </w:r>
      <w:r>
        <w:rPr>
          <w:sz w:val="24"/>
        </w:rPr>
        <w:t>of</w:t>
      </w:r>
      <w:r>
        <w:rPr>
          <w:spacing w:val="-11"/>
          <w:sz w:val="24"/>
        </w:rPr>
        <w:t> </w:t>
      </w:r>
      <w:r>
        <w:rPr>
          <w:sz w:val="24"/>
        </w:rPr>
        <w:t>a</w:t>
      </w:r>
      <w:r>
        <w:rPr>
          <w:spacing w:val="-13"/>
          <w:sz w:val="24"/>
        </w:rPr>
        <w:t> </w:t>
      </w:r>
      <w:r>
        <w:rPr>
          <w:sz w:val="24"/>
        </w:rPr>
        <w:t>Surfactant</w:t>
      </w:r>
      <w:r>
        <w:rPr>
          <w:spacing w:val="-13"/>
          <w:sz w:val="24"/>
        </w:rPr>
        <w:t> </w:t>
      </w:r>
      <w:r>
        <w:rPr>
          <w:sz w:val="24"/>
        </w:rPr>
        <w:t>obtained from</w:t>
      </w:r>
      <w:r>
        <w:rPr>
          <w:spacing w:val="-9"/>
          <w:sz w:val="24"/>
        </w:rPr>
        <w:t> </w:t>
      </w:r>
      <w:r>
        <w:rPr>
          <w:i/>
          <w:sz w:val="24"/>
        </w:rPr>
        <w:t>Bacillus</w:t>
      </w:r>
      <w:r>
        <w:rPr>
          <w:i/>
          <w:spacing w:val="-9"/>
          <w:sz w:val="24"/>
        </w:rPr>
        <w:t> </w:t>
      </w:r>
      <w:r>
        <w:rPr>
          <w:i/>
          <w:sz w:val="24"/>
        </w:rPr>
        <w:t>subtilis</w:t>
      </w:r>
      <w:r>
        <w:rPr>
          <w:sz w:val="24"/>
        </w:rPr>
        <w:t>Grown</w:t>
      </w:r>
      <w:r>
        <w:rPr>
          <w:spacing w:val="-10"/>
          <w:sz w:val="24"/>
        </w:rPr>
        <w:t> </w:t>
      </w:r>
      <w:r>
        <w:rPr>
          <w:sz w:val="24"/>
        </w:rPr>
        <w:t>on</w:t>
      </w:r>
      <w:r>
        <w:rPr>
          <w:spacing w:val="-9"/>
          <w:sz w:val="24"/>
        </w:rPr>
        <w:t> </w:t>
      </w:r>
      <w:r>
        <w:rPr>
          <w:sz w:val="24"/>
        </w:rPr>
        <w:t>Cassava</w:t>
      </w:r>
      <w:r>
        <w:rPr>
          <w:spacing w:val="-10"/>
          <w:sz w:val="24"/>
        </w:rPr>
        <w:t> </w:t>
      </w:r>
      <w:r>
        <w:rPr>
          <w:sz w:val="24"/>
        </w:rPr>
        <w:t>Wastewater.</w:t>
      </w:r>
      <w:r>
        <w:rPr>
          <w:spacing w:val="-8"/>
          <w:sz w:val="24"/>
        </w:rPr>
        <w:t> </w:t>
      </w:r>
      <w:r>
        <w:rPr>
          <w:i/>
          <w:sz w:val="24"/>
        </w:rPr>
        <w:t>Bioresource</w:t>
      </w:r>
      <w:r>
        <w:rPr>
          <w:i/>
          <w:spacing w:val="-10"/>
          <w:sz w:val="24"/>
        </w:rPr>
        <w:t> </w:t>
      </w:r>
      <w:r>
        <w:rPr>
          <w:i/>
          <w:sz w:val="24"/>
        </w:rPr>
        <w:t>Technology</w:t>
      </w:r>
      <w:r>
        <w:rPr>
          <w:sz w:val="24"/>
        </w:rPr>
        <w:t>,</w:t>
      </w:r>
      <w:r>
        <w:rPr>
          <w:spacing w:val="-9"/>
          <w:sz w:val="24"/>
        </w:rPr>
        <w:t> </w:t>
      </w:r>
      <w:r>
        <w:rPr>
          <w:sz w:val="24"/>
        </w:rPr>
        <w:t>97 (2), 336–341.</w:t>
      </w:r>
    </w:p>
    <w:p>
      <w:pPr>
        <w:pStyle w:val="BodyText"/>
        <w:spacing w:before="10"/>
        <w:rPr>
          <w:sz w:val="20"/>
        </w:rPr>
      </w:pPr>
    </w:p>
    <w:p>
      <w:pPr>
        <w:pStyle w:val="BodyText"/>
        <w:ind w:left="921" w:right="117" w:hanging="720"/>
        <w:jc w:val="both"/>
      </w:pPr>
      <w:r>
        <w:rPr/>
        <w:t>Nitschke,</w:t>
      </w:r>
      <w:r>
        <w:rPr>
          <w:spacing w:val="-5"/>
        </w:rPr>
        <w:t> </w:t>
      </w:r>
      <w:r>
        <w:rPr/>
        <w:t>M.,</w:t>
      </w:r>
      <w:r>
        <w:rPr>
          <w:spacing w:val="-5"/>
        </w:rPr>
        <w:t> </w:t>
      </w:r>
      <w:r>
        <w:rPr/>
        <w:t>Costa,</w:t>
      </w:r>
      <w:r>
        <w:rPr>
          <w:spacing w:val="-5"/>
        </w:rPr>
        <w:t> </w:t>
      </w:r>
      <w:r>
        <w:rPr/>
        <w:t>S.</w:t>
      </w:r>
      <w:r>
        <w:rPr>
          <w:spacing w:val="-5"/>
        </w:rPr>
        <w:t> </w:t>
      </w:r>
      <w:r>
        <w:rPr/>
        <w:t>G.,</w:t>
      </w:r>
      <w:r>
        <w:rPr>
          <w:spacing w:val="-5"/>
        </w:rPr>
        <w:t> </w:t>
      </w:r>
      <w:r>
        <w:rPr/>
        <w:t>&amp;</w:t>
      </w:r>
      <w:r>
        <w:rPr>
          <w:spacing w:val="-7"/>
        </w:rPr>
        <w:t> </w:t>
      </w:r>
      <w:r>
        <w:rPr/>
        <w:t>Contiero,</w:t>
      </w:r>
      <w:r>
        <w:rPr>
          <w:spacing w:val="-3"/>
        </w:rPr>
        <w:t> </w:t>
      </w:r>
      <w:r>
        <w:rPr/>
        <w:t>J.</w:t>
      </w:r>
      <w:r>
        <w:rPr>
          <w:spacing w:val="-5"/>
        </w:rPr>
        <w:t> </w:t>
      </w:r>
      <w:r>
        <w:rPr/>
        <w:t>(2005).</w:t>
      </w:r>
      <w:r>
        <w:rPr>
          <w:spacing w:val="-2"/>
        </w:rPr>
        <w:t> </w:t>
      </w:r>
      <w:r>
        <w:rPr/>
        <w:t>Rhamnolipid</w:t>
      </w:r>
      <w:r>
        <w:rPr>
          <w:spacing w:val="-5"/>
        </w:rPr>
        <w:t> </w:t>
      </w:r>
      <w:r>
        <w:rPr/>
        <w:t>surfactants:</w:t>
      </w:r>
      <w:r>
        <w:rPr>
          <w:spacing w:val="-2"/>
        </w:rPr>
        <w:t> </w:t>
      </w:r>
      <w:r>
        <w:rPr/>
        <w:t>an</w:t>
      </w:r>
      <w:r>
        <w:rPr>
          <w:spacing w:val="-5"/>
        </w:rPr>
        <w:t> </w:t>
      </w:r>
      <w:r>
        <w:rPr/>
        <w:t>update</w:t>
      </w:r>
      <w:r>
        <w:rPr>
          <w:spacing w:val="-6"/>
        </w:rPr>
        <w:t> </w:t>
      </w:r>
      <w:r>
        <w:rPr/>
        <w:t>on the general aspects of these remarkable biomolecules. </w:t>
      </w:r>
      <w:r>
        <w:rPr>
          <w:i/>
        </w:rPr>
        <w:t>Biotechnology Progress</w:t>
      </w:r>
      <w:r>
        <w:rPr/>
        <w:t>, 21 (6), 1593-1600.</w:t>
      </w:r>
    </w:p>
    <w:p>
      <w:pPr>
        <w:spacing w:after="0"/>
        <w:jc w:val="both"/>
        <w:sectPr>
          <w:pgSz w:w="11910" w:h="16840"/>
          <w:pgMar w:header="0" w:footer="1002" w:top="1320" w:bottom="1200" w:left="1500" w:right="1580"/>
        </w:sectPr>
      </w:pPr>
    </w:p>
    <w:p>
      <w:pPr>
        <w:pStyle w:val="BodyText"/>
        <w:spacing w:before="69"/>
        <w:ind w:left="202"/>
      </w:pPr>
      <w:r>
        <w:rPr/>
        <w:t>Njagi,</w:t>
      </w:r>
      <w:r>
        <w:rPr>
          <w:spacing w:val="-2"/>
        </w:rPr>
        <w:t> </w:t>
      </w:r>
      <w:r>
        <w:rPr/>
        <w:t>E.</w:t>
      </w:r>
      <w:r>
        <w:rPr>
          <w:spacing w:val="-3"/>
        </w:rPr>
        <w:t> </w:t>
      </w:r>
      <w:r>
        <w:rPr/>
        <w:t>C.,</w:t>
      </w:r>
      <w:r>
        <w:rPr>
          <w:spacing w:val="-2"/>
        </w:rPr>
        <w:t> </w:t>
      </w:r>
      <w:r>
        <w:rPr/>
        <w:t>Huang,</w:t>
      </w:r>
      <w:r>
        <w:rPr>
          <w:spacing w:val="-2"/>
        </w:rPr>
        <w:t> </w:t>
      </w:r>
      <w:r>
        <w:rPr/>
        <w:t>H.,</w:t>
      </w:r>
      <w:r>
        <w:rPr>
          <w:spacing w:val="-2"/>
        </w:rPr>
        <w:t> </w:t>
      </w:r>
      <w:r>
        <w:rPr/>
        <w:t>Stafford,</w:t>
      </w:r>
      <w:r>
        <w:rPr>
          <w:spacing w:val="-1"/>
        </w:rPr>
        <w:t> </w:t>
      </w:r>
      <w:r>
        <w:rPr/>
        <w:t>L.,</w:t>
      </w:r>
      <w:r>
        <w:rPr>
          <w:spacing w:val="-2"/>
        </w:rPr>
        <w:t> </w:t>
      </w:r>
      <w:r>
        <w:rPr/>
        <w:t>Genuino,</w:t>
      </w:r>
      <w:r>
        <w:rPr>
          <w:spacing w:val="-2"/>
        </w:rPr>
        <w:t> </w:t>
      </w:r>
      <w:r>
        <w:rPr/>
        <w:t>H.,</w:t>
      </w:r>
      <w:r>
        <w:rPr>
          <w:spacing w:val="-3"/>
        </w:rPr>
        <w:t> </w:t>
      </w:r>
      <w:r>
        <w:rPr/>
        <w:t>Galindo,</w:t>
      </w:r>
      <w:r>
        <w:rPr>
          <w:spacing w:val="-2"/>
        </w:rPr>
        <w:t> </w:t>
      </w:r>
      <w:r>
        <w:rPr/>
        <w:t>H.</w:t>
      </w:r>
      <w:r>
        <w:rPr>
          <w:spacing w:val="-2"/>
        </w:rPr>
        <w:t> </w:t>
      </w:r>
      <w:r>
        <w:rPr/>
        <w:t>M.,</w:t>
      </w:r>
      <w:r>
        <w:rPr>
          <w:spacing w:val="-2"/>
        </w:rPr>
        <w:t> </w:t>
      </w:r>
      <w:r>
        <w:rPr/>
        <w:t>Collins,</w:t>
      </w:r>
      <w:r>
        <w:rPr>
          <w:spacing w:val="-2"/>
        </w:rPr>
        <w:t> </w:t>
      </w:r>
      <w:r>
        <w:rPr/>
        <w:t>J.</w:t>
      </w:r>
      <w:r>
        <w:rPr>
          <w:spacing w:val="-5"/>
        </w:rPr>
        <w:t> </w:t>
      </w:r>
      <w:r>
        <w:rPr/>
        <w:t>B</w:t>
      </w:r>
      <w:r>
        <w:rPr>
          <w:spacing w:val="-3"/>
        </w:rPr>
        <w:t> </w:t>
      </w:r>
      <w:r>
        <w:rPr/>
        <w:t>&amp;</w:t>
      </w:r>
      <w:r>
        <w:rPr>
          <w:spacing w:val="-4"/>
        </w:rPr>
        <w:t> </w:t>
      </w:r>
      <w:r>
        <w:rPr>
          <w:spacing w:val="-2"/>
        </w:rPr>
        <w:t>Suib,</w:t>
      </w:r>
    </w:p>
    <w:p>
      <w:pPr>
        <w:pStyle w:val="BodyText"/>
        <w:spacing w:before="1"/>
        <w:ind w:left="921"/>
      </w:pPr>
      <w:r>
        <w:rPr/>
        <w:t>S. L. (2011). Biosynthesis of iron and silver nanoparticles at room temperature using aqueous sorghum bran extracts. </w:t>
      </w:r>
      <w:r>
        <w:rPr>
          <w:i/>
        </w:rPr>
        <w:t>Langmuir</w:t>
      </w:r>
      <w:r>
        <w:rPr/>
        <w:t>, 27 (1), 264-271.</w:t>
      </w:r>
    </w:p>
    <w:p>
      <w:pPr>
        <w:pStyle w:val="BodyText"/>
        <w:spacing w:before="10"/>
        <w:rPr>
          <w:sz w:val="20"/>
        </w:rPr>
      </w:pPr>
    </w:p>
    <w:p>
      <w:pPr>
        <w:pStyle w:val="BodyText"/>
        <w:ind w:left="833" w:right="115" w:hanging="632"/>
        <w:jc w:val="both"/>
      </w:pPr>
      <w:r>
        <w:rPr/>
        <w:t>Nwaguma, I. V., Chikere, C. B. &amp; Okpokwasili, G. C. (2016). Isolation, Screening and Identification</w:t>
      </w:r>
      <w:r>
        <w:rPr>
          <w:spacing w:val="-4"/>
        </w:rPr>
        <w:t> </w:t>
      </w:r>
      <w:r>
        <w:rPr/>
        <w:t>of</w:t>
      </w:r>
      <w:r>
        <w:rPr>
          <w:spacing w:val="-3"/>
        </w:rPr>
        <w:t> </w:t>
      </w:r>
      <w:r>
        <w:rPr/>
        <w:t>BiosurfactantProducing</w:t>
      </w:r>
      <w:r>
        <w:rPr>
          <w:spacing w:val="-4"/>
        </w:rPr>
        <w:t> </w:t>
      </w:r>
      <w:r>
        <w:rPr/>
        <w:t>Bacteria</w:t>
      </w:r>
      <w:r>
        <w:rPr>
          <w:spacing w:val="-6"/>
        </w:rPr>
        <w:t> </w:t>
      </w:r>
      <w:r>
        <w:rPr/>
        <w:t>from</w:t>
      </w:r>
      <w:r>
        <w:rPr>
          <w:spacing w:val="-4"/>
        </w:rPr>
        <w:t> </w:t>
      </w:r>
      <w:r>
        <w:rPr/>
        <w:t>Hydrocarbon</w:t>
      </w:r>
      <w:r>
        <w:rPr>
          <w:spacing w:val="-5"/>
        </w:rPr>
        <w:t> </w:t>
      </w:r>
      <w:r>
        <w:rPr/>
        <w:t>Polluted</w:t>
      </w:r>
      <w:r>
        <w:rPr>
          <w:spacing w:val="-4"/>
        </w:rPr>
        <w:t> </w:t>
      </w:r>
      <w:r>
        <w:rPr/>
        <w:t>and Pristine Soils within Ogoniland, Nigeria. </w:t>
      </w:r>
      <w:r>
        <w:rPr>
          <w:i/>
        </w:rPr>
        <w:t>British Microbiology Research Journal</w:t>
      </w:r>
      <w:r>
        <w:rPr/>
        <w:t>, 15 (4), 1-11.</w:t>
      </w:r>
    </w:p>
    <w:p>
      <w:pPr>
        <w:pStyle w:val="BodyText"/>
        <w:spacing w:before="10"/>
        <w:rPr>
          <w:sz w:val="20"/>
        </w:rPr>
      </w:pPr>
    </w:p>
    <w:p>
      <w:pPr>
        <w:pStyle w:val="BodyText"/>
        <w:ind w:left="921" w:right="119" w:hanging="720"/>
        <w:jc w:val="both"/>
      </w:pPr>
      <w:r>
        <w:rPr/>
        <w:t>Nwilo,</w:t>
      </w:r>
      <w:r>
        <w:rPr>
          <w:spacing w:val="-15"/>
        </w:rPr>
        <w:t> </w:t>
      </w:r>
      <w:r>
        <w:rPr/>
        <w:t>P.</w:t>
      </w:r>
      <w:r>
        <w:rPr>
          <w:spacing w:val="-15"/>
        </w:rPr>
        <w:t> </w:t>
      </w:r>
      <w:r>
        <w:rPr/>
        <w:t>C.,</w:t>
      </w:r>
      <w:r>
        <w:rPr>
          <w:spacing w:val="-15"/>
        </w:rPr>
        <w:t> </w:t>
      </w:r>
      <w:r>
        <w:rPr/>
        <w:t>&amp;</w:t>
      </w:r>
      <w:r>
        <w:rPr>
          <w:spacing w:val="-15"/>
        </w:rPr>
        <w:t> </w:t>
      </w:r>
      <w:r>
        <w:rPr/>
        <w:t>Badejo,</w:t>
      </w:r>
      <w:r>
        <w:rPr>
          <w:spacing w:val="-15"/>
        </w:rPr>
        <w:t> </w:t>
      </w:r>
      <w:r>
        <w:rPr/>
        <w:t>O.</w:t>
      </w:r>
      <w:r>
        <w:rPr>
          <w:spacing w:val="-15"/>
        </w:rPr>
        <w:t> </w:t>
      </w:r>
      <w:r>
        <w:rPr/>
        <w:t>T.</w:t>
      </w:r>
      <w:r>
        <w:rPr>
          <w:spacing w:val="-15"/>
        </w:rPr>
        <w:t> </w:t>
      </w:r>
      <w:r>
        <w:rPr/>
        <w:t>(2006).</w:t>
      </w:r>
      <w:r>
        <w:rPr>
          <w:spacing w:val="-15"/>
        </w:rPr>
        <w:t> </w:t>
      </w:r>
      <w:r>
        <w:rPr/>
        <w:t>Impacts</w:t>
      </w:r>
      <w:r>
        <w:rPr>
          <w:spacing w:val="-15"/>
        </w:rPr>
        <w:t> </w:t>
      </w:r>
      <w:r>
        <w:rPr/>
        <w:t>and</w:t>
      </w:r>
      <w:r>
        <w:rPr>
          <w:spacing w:val="-15"/>
        </w:rPr>
        <w:t> </w:t>
      </w:r>
      <w:r>
        <w:rPr/>
        <w:t>management</w:t>
      </w:r>
      <w:r>
        <w:rPr>
          <w:spacing w:val="-15"/>
        </w:rPr>
        <w:t> </w:t>
      </w:r>
      <w:r>
        <w:rPr/>
        <w:t>of</w:t>
      </w:r>
      <w:r>
        <w:rPr>
          <w:spacing w:val="-15"/>
        </w:rPr>
        <w:t> </w:t>
      </w:r>
      <w:r>
        <w:rPr/>
        <w:t>oil</w:t>
      </w:r>
      <w:r>
        <w:rPr>
          <w:spacing w:val="-15"/>
        </w:rPr>
        <w:t> </w:t>
      </w:r>
      <w:r>
        <w:rPr/>
        <w:t>spill</w:t>
      </w:r>
      <w:r>
        <w:rPr>
          <w:spacing w:val="-15"/>
        </w:rPr>
        <w:t> </w:t>
      </w:r>
      <w:r>
        <w:rPr/>
        <w:t>pollution</w:t>
      </w:r>
      <w:r>
        <w:rPr>
          <w:spacing w:val="-15"/>
        </w:rPr>
        <w:t> </w:t>
      </w:r>
      <w:r>
        <w:rPr/>
        <w:t>along the Nigerian coastal areas.</w:t>
      </w:r>
    </w:p>
    <w:p>
      <w:pPr>
        <w:pStyle w:val="BodyText"/>
        <w:spacing w:before="10"/>
        <w:rPr>
          <w:sz w:val="20"/>
        </w:rPr>
      </w:pPr>
    </w:p>
    <w:p>
      <w:pPr>
        <w:pStyle w:val="BodyText"/>
        <w:ind w:left="921" w:right="114" w:hanging="720"/>
        <w:jc w:val="both"/>
      </w:pPr>
      <w:r>
        <w:rPr/>
        <w:t>Nwogu, T. P., Azubuike, C. C., &amp; Ogugbue, C. J. (2015). Enhanced bioremediation of soil artificially contaminated with petroleum hydrocarbons aafter amendment with Capraaegagrus hircus (Goat) Manure. </w:t>
      </w:r>
      <w:r>
        <w:rPr>
          <w:i/>
        </w:rPr>
        <w:t>Biotechnology Research International, </w:t>
      </w:r>
      <w:r>
        <w:rPr/>
        <w:t>2015.</w:t>
      </w:r>
    </w:p>
    <w:p>
      <w:pPr>
        <w:pStyle w:val="BodyText"/>
        <w:spacing w:before="10"/>
        <w:rPr>
          <w:sz w:val="20"/>
        </w:rPr>
      </w:pPr>
    </w:p>
    <w:p>
      <w:pPr>
        <w:spacing w:before="1"/>
        <w:ind w:left="921" w:right="124" w:hanging="720"/>
        <w:jc w:val="both"/>
        <w:rPr>
          <w:sz w:val="24"/>
        </w:rPr>
      </w:pPr>
      <w:r>
        <w:rPr>
          <w:sz w:val="24"/>
        </w:rPr>
        <w:t>Obayori,</w:t>
      </w:r>
      <w:r>
        <w:rPr>
          <w:spacing w:val="-14"/>
          <w:sz w:val="24"/>
        </w:rPr>
        <w:t> </w:t>
      </w:r>
      <w:r>
        <w:rPr>
          <w:sz w:val="24"/>
        </w:rPr>
        <w:t>O.</w:t>
      </w:r>
      <w:r>
        <w:rPr>
          <w:spacing w:val="-14"/>
          <w:sz w:val="24"/>
        </w:rPr>
        <w:t> </w:t>
      </w:r>
      <w:r>
        <w:rPr>
          <w:sz w:val="24"/>
        </w:rPr>
        <w:t>S.,</w:t>
      </w:r>
      <w:r>
        <w:rPr>
          <w:spacing w:val="-14"/>
          <w:sz w:val="24"/>
        </w:rPr>
        <w:t> </w:t>
      </w:r>
      <w:r>
        <w:rPr>
          <w:sz w:val="24"/>
        </w:rPr>
        <w:t>&amp;</w:t>
      </w:r>
      <w:r>
        <w:rPr>
          <w:spacing w:val="-15"/>
          <w:sz w:val="24"/>
        </w:rPr>
        <w:t> </w:t>
      </w:r>
      <w:r>
        <w:rPr>
          <w:sz w:val="24"/>
        </w:rPr>
        <w:t>Salam,</w:t>
      </w:r>
      <w:r>
        <w:rPr>
          <w:spacing w:val="-14"/>
          <w:sz w:val="24"/>
        </w:rPr>
        <w:t> </w:t>
      </w:r>
      <w:r>
        <w:rPr>
          <w:sz w:val="24"/>
        </w:rPr>
        <w:t>L.</w:t>
      </w:r>
      <w:r>
        <w:rPr>
          <w:spacing w:val="-12"/>
          <w:sz w:val="24"/>
        </w:rPr>
        <w:t> </w:t>
      </w:r>
      <w:r>
        <w:rPr>
          <w:sz w:val="24"/>
        </w:rPr>
        <w:t>B.</w:t>
      </w:r>
      <w:r>
        <w:rPr>
          <w:spacing w:val="-14"/>
          <w:sz w:val="24"/>
        </w:rPr>
        <w:t> </w:t>
      </w:r>
      <w:r>
        <w:rPr>
          <w:sz w:val="24"/>
        </w:rPr>
        <w:t>(2010).</w:t>
      </w:r>
      <w:r>
        <w:rPr>
          <w:spacing w:val="-14"/>
          <w:sz w:val="24"/>
        </w:rPr>
        <w:t> </w:t>
      </w:r>
      <w:r>
        <w:rPr>
          <w:sz w:val="24"/>
        </w:rPr>
        <w:t>Degradation</w:t>
      </w:r>
      <w:r>
        <w:rPr>
          <w:spacing w:val="-14"/>
          <w:sz w:val="24"/>
        </w:rPr>
        <w:t> </w:t>
      </w:r>
      <w:r>
        <w:rPr>
          <w:sz w:val="24"/>
        </w:rPr>
        <w:t>of</w:t>
      </w:r>
      <w:r>
        <w:rPr>
          <w:spacing w:val="-15"/>
          <w:sz w:val="24"/>
        </w:rPr>
        <w:t> </w:t>
      </w:r>
      <w:r>
        <w:rPr>
          <w:sz w:val="24"/>
        </w:rPr>
        <w:t>polycyclic</w:t>
      </w:r>
      <w:r>
        <w:rPr>
          <w:spacing w:val="-13"/>
          <w:sz w:val="24"/>
        </w:rPr>
        <w:t> </w:t>
      </w:r>
      <w:r>
        <w:rPr>
          <w:sz w:val="24"/>
        </w:rPr>
        <w:t>aromatic</w:t>
      </w:r>
      <w:r>
        <w:rPr>
          <w:spacing w:val="-13"/>
          <w:sz w:val="24"/>
        </w:rPr>
        <w:t> </w:t>
      </w:r>
      <w:r>
        <w:rPr>
          <w:sz w:val="24"/>
        </w:rPr>
        <w:t>hydrocarbons: Role of plasmids. </w:t>
      </w:r>
      <w:r>
        <w:rPr>
          <w:i/>
          <w:sz w:val="24"/>
        </w:rPr>
        <w:t>Scientific Research and Essays, </w:t>
      </w:r>
      <w:r>
        <w:rPr>
          <w:sz w:val="24"/>
        </w:rPr>
        <w:t>5(25), 4093-4106.</w:t>
      </w:r>
    </w:p>
    <w:p>
      <w:pPr>
        <w:pStyle w:val="BodyText"/>
        <w:spacing w:before="9"/>
        <w:rPr>
          <w:sz w:val="20"/>
        </w:rPr>
      </w:pPr>
    </w:p>
    <w:p>
      <w:pPr>
        <w:spacing w:before="1"/>
        <w:ind w:left="833" w:right="117" w:hanging="632"/>
        <w:jc w:val="both"/>
        <w:rPr>
          <w:sz w:val="24"/>
        </w:rPr>
      </w:pPr>
      <w:r>
        <w:rPr>
          <w:sz w:val="24"/>
        </w:rPr>
        <w:t>Ogumola, O. C. &amp;Aboaba, O. A. (2016). The emulsifying effect of biosufactants Produced by food Spoilage organisms in Nigeria. </w:t>
      </w:r>
      <w:r>
        <w:rPr>
          <w:i/>
          <w:sz w:val="24"/>
        </w:rPr>
        <w:t>International Journal of Food Studies, </w:t>
      </w:r>
      <w:r>
        <w:rPr>
          <w:sz w:val="24"/>
        </w:rPr>
        <w:t>5, 12-21.</w:t>
      </w:r>
    </w:p>
    <w:p>
      <w:pPr>
        <w:pStyle w:val="BodyText"/>
        <w:spacing w:before="10"/>
        <w:rPr>
          <w:sz w:val="20"/>
        </w:rPr>
      </w:pPr>
    </w:p>
    <w:p>
      <w:pPr>
        <w:pStyle w:val="BodyText"/>
        <w:ind w:left="921" w:right="116" w:hanging="720"/>
        <w:jc w:val="both"/>
      </w:pPr>
      <w:r>
        <w:rPr/>
        <w:t>Okafor, U. C., Orji, M. U., Nwankwegu, A. S., Anaukwu, C. G., Onuorah, S. C., Archibong, E. J., Obika, I. E., &amp; Agu, K. C. (2016). Effect of chicken droppings amendment on bioremediation of crude oil-polluted soil. </w:t>
      </w:r>
      <w:r>
        <w:rPr>
          <w:i/>
        </w:rPr>
        <w:t>European Journal of Experimental Biology, </w:t>
      </w:r>
      <w:r>
        <w:rPr/>
        <w:t>6 (4), 62-68.</w:t>
      </w:r>
    </w:p>
    <w:p>
      <w:pPr>
        <w:pStyle w:val="BodyText"/>
        <w:spacing w:before="10"/>
        <w:rPr>
          <w:sz w:val="20"/>
        </w:rPr>
      </w:pPr>
    </w:p>
    <w:p>
      <w:pPr>
        <w:pStyle w:val="BodyText"/>
        <w:ind w:left="921" w:right="122" w:hanging="720"/>
        <w:jc w:val="both"/>
      </w:pPr>
      <w:r>
        <w:rPr/>
        <w:t>Okerentugba, P. O., &amp; Ezeronye, O.U. (2003). Petroleum degrading potentials of single and mixed microbial cultures isolated from rivers and refinery effluent in Nigeeria. </w:t>
      </w:r>
      <w:r>
        <w:rPr>
          <w:i/>
        </w:rPr>
        <w:t>African Journal of Biotechnology, </w:t>
      </w:r>
      <w:r>
        <w:rPr/>
        <w:t>2 (9), 288-292.</w:t>
      </w:r>
    </w:p>
    <w:p>
      <w:pPr>
        <w:pStyle w:val="BodyText"/>
        <w:spacing w:before="10"/>
        <w:rPr>
          <w:sz w:val="20"/>
        </w:rPr>
      </w:pPr>
    </w:p>
    <w:p>
      <w:pPr>
        <w:spacing w:before="0"/>
        <w:ind w:left="921" w:right="123" w:hanging="720"/>
        <w:jc w:val="both"/>
        <w:rPr>
          <w:sz w:val="24"/>
        </w:rPr>
      </w:pPr>
      <w:r>
        <w:rPr>
          <w:sz w:val="24"/>
        </w:rPr>
        <w:t>Okoh, A. I. (2006). Biodegradation alternative in the cleanup of petroleum hydrocarbon pollutants.</w:t>
      </w:r>
      <w:r>
        <w:rPr>
          <w:spacing w:val="40"/>
          <w:sz w:val="24"/>
        </w:rPr>
        <w:t> </w:t>
      </w:r>
      <w:r>
        <w:rPr>
          <w:i/>
          <w:sz w:val="24"/>
        </w:rPr>
        <w:t>Biotechnology and Molecular Biology Reviews, </w:t>
      </w:r>
      <w:r>
        <w:rPr>
          <w:sz w:val="24"/>
        </w:rPr>
        <w:t>1 (2), 38-50.</w:t>
      </w:r>
    </w:p>
    <w:p>
      <w:pPr>
        <w:pStyle w:val="BodyText"/>
        <w:spacing w:before="10"/>
        <w:rPr>
          <w:sz w:val="20"/>
        </w:rPr>
      </w:pPr>
    </w:p>
    <w:p>
      <w:pPr>
        <w:pStyle w:val="BodyText"/>
        <w:ind w:left="921" w:right="117" w:hanging="720"/>
        <w:jc w:val="both"/>
      </w:pPr>
      <w:r>
        <w:rPr/>
        <w:t>Okoli, C., Boutonnet, M., Mariey,</w:t>
      </w:r>
      <w:r>
        <w:rPr/>
        <w:t> L., Järås, S., &amp; Rajarao, G. (2015). Application of magnetic iron oxide nanoparticles prepared from microemulsions for protein purification. </w:t>
      </w:r>
      <w:r>
        <w:rPr>
          <w:i/>
        </w:rPr>
        <w:t>Journal of Chemical Technology &amp; Biotechnology</w:t>
      </w:r>
      <w:r>
        <w:rPr/>
        <w:t>, 86 (11), 1386– </w:t>
      </w:r>
      <w:r>
        <w:rPr>
          <w:spacing w:val="-2"/>
        </w:rPr>
        <w:t>1393.</w:t>
      </w:r>
    </w:p>
    <w:p>
      <w:pPr>
        <w:pStyle w:val="BodyText"/>
        <w:spacing w:before="11"/>
        <w:rPr>
          <w:sz w:val="20"/>
        </w:rPr>
      </w:pPr>
    </w:p>
    <w:p>
      <w:pPr>
        <w:pStyle w:val="BodyText"/>
        <w:ind w:left="921" w:right="116" w:hanging="720"/>
        <w:jc w:val="both"/>
      </w:pPr>
      <w:r>
        <w:rPr/>
        <w:t>Oliveira, F. R., Patel, A. K., Jaisi, D. P., Adhikari, S., Lu, H., &amp; Khanal, S. K. (2017). Environmental application of biochar: Current status and perspectives. </w:t>
      </w:r>
      <w:r>
        <w:rPr>
          <w:i/>
        </w:rPr>
        <w:t>Bioresource Technology</w:t>
      </w:r>
      <w:r>
        <w:rPr/>
        <w:t>, 246, 110-122.</w:t>
      </w:r>
    </w:p>
    <w:p>
      <w:pPr>
        <w:pStyle w:val="BodyText"/>
        <w:spacing w:before="10"/>
        <w:rPr>
          <w:sz w:val="20"/>
        </w:rPr>
      </w:pPr>
    </w:p>
    <w:p>
      <w:pPr>
        <w:spacing w:before="0"/>
        <w:ind w:left="921" w:right="121" w:hanging="720"/>
        <w:jc w:val="both"/>
        <w:rPr>
          <w:sz w:val="24"/>
        </w:rPr>
      </w:pPr>
      <w:r>
        <w:rPr>
          <w:sz w:val="24"/>
        </w:rPr>
        <w:t>Olivera, N. L., Commendatore, M. G., Delgado, O., &amp; Esteves, J. L. (2003). Microbial characterization</w:t>
      </w:r>
      <w:r>
        <w:rPr>
          <w:spacing w:val="-1"/>
          <w:sz w:val="24"/>
        </w:rPr>
        <w:t> </w:t>
      </w:r>
      <w:r>
        <w:rPr>
          <w:sz w:val="24"/>
        </w:rPr>
        <w:t>and</w:t>
      </w:r>
      <w:r>
        <w:rPr>
          <w:spacing w:val="-1"/>
          <w:sz w:val="24"/>
        </w:rPr>
        <w:t> </w:t>
      </w:r>
      <w:r>
        <w:rPr>
          <w:sz w:val="24"/>
        </w:rPr>
        <w:t>hydrocarbon biodegradation potential</w:t>
      </w:r>
      <w:r>
        <w:rPr>
          <w:spacing w:val="-1"/>
          <w:sz w:val="24"/>
        </w:rPr>
        <w:t> </w:t>
      </w:r>
      <w:r>
        <w:rPr>
          <w:sz w:val="24"/>
        </w:rPr>
        <w:t>of</w:t>
      </w:r>
      <w:r>
        <w:rPr>
          <w:spacing w:val="-2"/>
          <w:sz w:val="24"/>
        </w:rPr>
        <w:t> </w:t>
      </w:r>
      <w:r>
        <w:rPr>
          <w:sz w:val="24"/>
        </w:rPr>
        <w:t>natural bilge waste microflora. </w:t>
      </w:r>
      <w:r>
        <w:rPr>
          <w:i/>
          <w:sz w:val="24"/>
        </w:rPr>
        <w:t>Jorunal of Industrial Microbiology and Biotechnology</w:t>
      </w:r>
      <w:r>
        <w:rPr>
          <w:sz w:val="24"/>
        </w:rPr>
        <w:t>, 30, 542-548.</w:t>
      </w:r>
    </w:p>
    <w:p>
      <w:pPr>
        <w:pStyle w:val="BodyText"/>
        <w:spacing w:before="1"/>
        <w:rPr>
          <w:sz w:val="21"/>
        </w:rPr>
      </w:pPr>
    </w:p>
    <w:p>
      <w:pPr>
        <w:pStyle w:val="BodyText"/>
        <w:spacing w:line="276" w:lineRule="auto" w:before="1"/>
        <w:ind w:left="921" w:right="119" w:hanging="720"/>
        <w:jc w:val="both"/>
      </w:pPr>
      <w:r>
        <w:rPr/>
        <w:t>Olubukola,</w:t>
      </w:r>
      <w:r>
        <w:rPr>
          <w:spacing w:val="-11"/>
        </w:rPr>
        <w:t> </w:t>
      </w:r>
      <w:r>
        <w:rPr/>
        <w:t>O.</w:t>
      </w:r>
      <w:r>
        <w:rPr>
          <w:spacing w:val="-9"/>
        </w:rPr>
        <w:t> </w:t>
      </w:r>
      <w:r>
        <w:rPr/>
        <w:t>(2019).</w:t>
      </w:r>
      <w:r>
        <w:rPr>
          <w:spacing w:val="-11"/>
        </w:rPr>
        <w:t> </w:t>
      </w:r>
      <w:r>
        <w:rPr/>
        <w:t>Characterization</w:t>
      </w:r>
      <w:r>
        <w:rPr>
          <w:spacing w:val="-11"/>
        </w:rPr>
        <w:t> </w:t>
      </w:r>
      <w:r>
        <w:rPr/>
        <w:t>of</w:t>
      </w:r>
      <w:r>
        <w:rPr>
          <w:spacing w:val="-11"/>
        </w:rPr>
        <w:t> </w:t>
      </w:r>
      <w:r>
        <w:rPr/>
        <w:t>biochars</w:t>
      </w:r>
      <w:r>
        <w:rPr>
          <w:spacing w:val="-9"/>
        </w:rPr>
        <w:t> </w:t>
      </w:r>
      <w:r>
        <w:rPr/>
        <w:t>from</w:t>
      </w:r>
      <w:r>
        <w:rPr>
          <w:spacing w:val="-8"/>
        </w:rPr>
        <w:t> </w:t>
      </w:r>
      <w:r>
        <w:rPr/>
        <w:t>coconut</w:t>
      </w:r>
      <w:r>
        <w:rPr>
          <w:spacing w:val="-10"/>
        </w:rPr>
        <w:t> </w:t>
      </w:r>
      <w:r>
        <w:rPr/>
        <w:t>husk</w:t>
      </w:r>
      <w:r>
        <w:rPr>
          <w:spacing w:val="-8"/>
        </w:rPr>
        <w:t> </w:t>
      </w:r>
      <w:r>
        <w:rPr/>
        <w:t>and</w:t>
      </w:r>
      <w:r>
        <w:rPr>
          <w:spacing w:val="-9"/>
        </w:rPr>
        <w:t> </w:t>
      </w:r>
      <w:r>
        <w:rPr/>
        <w:t>plantain</w:t>
      </w:r>
      <w:r>
        <w:rPr>
          <w:spacing w:val="-10"/>
        </w:rPr>
        <w:t> </w:t>
      </w:r>
      <w:r>
        <w:rPr/>
        <w:t>trunk as</w:t>
      </w:r>
      <w:r>
        <w:rPr>
          <w:spacing w:val="24"/>
        </w:rPr>
        <w:t> </w:t>
      </w:r>
      <w:r>
        <w:rPr/>
        <w:t>possible</w:t>
      </w:r>
      <w:r>
        <w:rPr>
          <w:spacing w:val="24"/>
        </w:rPr>
        <w:t> </w:t>
      </w:r>
      <w:r>
        <w:rPr/>
        <w:t>biostimulants</w:t>
      </w:r>
      <w:r>
        <w:rPr>
          <w:spacing w:val="23"/>
        </w:rPr>
        <w:t> </w:t>
      </w:r>
      <w:r>
        <w:rPr/>
        <w:t>for</w:t>
      </w:r>
      <w:r>
        <w:rPr>
          <w:spacing w:val="23"/>
        </w:rPr>
        <w:t> </w:t>
      </w:r>
      <w:r>
        <w:rPr/>
        <w:t>the</w:t>
      </w:r>
      <w:r>
        <w:rPr>
          <w:spacing w:val="24"/>
        </w:rPr>
        <w:t> </w:t>
      </w:r>
      <w:r>
        <w:rPr/>
        <w:t>bioremediation</w:t>
      </w:r>
      <w:r>
        <w:rPr>
          <w:spacing w:val="22"/>
        </w:rPr>
        <w:t> </w:t>
      </w:r>
      <w:r>
        <w:rPr/>
        <w:t>of</w:t>
      </w:r>
      <w:r>
        <w:rPr>
          <w:spacing w:val="24"/>
        </w:rPr>
        <w:t> </w:t>
      </w:r>
      <w:r>
        <w:rPr/>
        <w:t>crude</w:t>
      </w:r>
      <w:r>
        <w:rPr>
          <w:spacing w:val="23"/>
        </w:rPr>
        <w:t> </w:t>
      </w:r>
      <w:r>
        <w:rPr/>
        <w:t>oil</w:t>
      </w:r>
      <w:r>
        <w:rPr>
          <w:spacing w:val="25"/>
        </w:rPr>
        <w:t> </w:t>
      </w:r>
      <w:r>
        <w:rPr/>
        <w:t>contaminated</w:t>
      </w:r>
      <w:r>
        <w:rPr>
          <w:spacing w:val="25"/>
        </w:rPr>
        <w:t> </w:t>
      </w:r>
      <w:r>
        <w:rPr>
          <w:spacing w:val="-4"/>
        </w:rPr>
        <w:t>soil</w:t>
      </w:r>
    </w:p>
    <w:p>
      <w:pPr>
        <w:spacing w:after="0" w:line="276" w:lineRule="auto"/>
        <w:jc w:val="both"/>
        <w:sectPr>
          <w:pgSz w:w="11910" w:h="16840"/>
          <w:pgMar w:header="0" w:footer="1002" w:top="1320" w:bottom="1200" w:left="1500" w:right="1580"/>
        </w:sectPr>
      </w:pPr>
    </w:p>
    <w:p>
      <w:pPr>
        <w:pStyle w:val="BodyText"/>
        <w:spacing w:line="278" w:lineRule="auto" w:before="72"/>
        <w:ind w:left="921"/>
      </w:pPr>
      <w:r>
        <w:rPr/>
        <w:t>(unpublished undergraduate thesis). Federal University of Technology,</w:t>
      </w:r>
      <w:r>
        <w:rPr>
          <w:spacing w:val="29"/>
        </w:rPr>
        <w:t> </w:t>
      </w:r>
      <w:r>
        <w:rPr/>
        <w:t>Minna, </w:t>
      </w:r>
      <w:r>
        <w:rPr>
          <w:spacing w:val="-2"/>
        </w:rPr>
        <w:t>Nigeria.</w:t>
      </w:r>
    </w:p>
    <w:p>
      <w:pPr>
        <w:pStyle w:val="BodyText"/>
        <w:spacing w:before="233"/>
        <w:ind w:left="921" w:right="116" w:hanging="720"/>
        <w:jc w:val="both"/>
      </w:pPr>
      <w:r>
        <w:rPr/>
        <w:t>Patil, H. I., &amp; Pratap, A. P. (2018). Production and Quantitative Analysis of Trehalose Lipid Biosurfactants Using High</w:t>
      </w:r>
      <w:r>
        <w:rPr>
          <w:rFonts w:ascii="Cambria Math" w:hAnsi="Cambria Math"/>
        </w:rPr>
        <w:t>‐</w:t>
      </w:r>
      <w:r>
        <w:rPr/>
        <w:t>Performance Liquid Chromatography. </w:t>
      </w:r>
      <w:r>
        <w:rPr>
          <w:i/>
        </w:rPr>
        <w:t>Journal of Surfactants and Detergents</w:t>
      </w:r>
      <w:r>
        <w:rPr/>
        <w:t>, 21 (4), 553-564.</w:t>
      </w:r>
    </w:p>
    <w:p>
      <w:pPr>
        <w:pStyle w:val="BodyText"/>
        <w:spacing w:before="10"/>
        <w:rPr>
          <w:sz w:val="20"/>
        </w:rPr>
      </w:pPr>
    </w:p>
    <w:p>
      <w:pPr>
        <w:spacing w:before="0"/>
        <w:ind w:left="921" w:right="116" w:hanging="720"/>
        <w:jc w:val="both"/>
        <w:rPr>
          <w:sz w:val="24"/>
        </w:rPr>
      </w:pPr>
      <w:r>
        <w:rPr>
          <w:sz w:val="24"/>
        </w:rPr>
        <w:t>Patowary, R., Patowary, K., Kalita, M. C., &amp; Deka, S. (2018). Application of biosurfactant for enhancement of bioremediation process of crude oil contaminated soil. </w:t>
      </w:r>
      <w:r>
        <w:rPr>
          <w:i/>
          <w:sz w:val="24"/>
        </w:rPr>
        <w:t>International Biodeterioration and Biodegradation, </w:t>
      </w:r>
      <w:r>
        <w:rPr>
          <w:sz w:val="24"/>
        </w:rPr>
        <w:t>129, 50- </w:t>
      </w:r>
      <w:r>
        <w:rPr>
          <w:spacing w:val="-4"/>
          <w:sz w:val="24"/>
        </w:rPr>
        <w:t>60.</w:t>
      </w:r>
    </w:p>
    <w:p>
      <w:pPr>
        <w:pStyle w:val="BodyText"/>
        <w:spacing w:before="10"/>
        <w:rPr>
          <w:sz w:val="20"/>
        </w:rPr>
      </w:pPr>
    </w:p>
    <w:p>
      <w:pPr>
        <w:spacing w:before="1"/>
        <w:ind w:left="921" w:right="119" w:hanging="720"/>
        <w:jc w:val="both"/>
        <w:rPr>
          <w:sz w:val="24"/>
        </w:rPr>
      </w:pPr>
      <w:r>
        <w:rPr>
          <w:sz w:val="24"/>
        </w:rPr>
        <w:t>Pattanayak, M., &amp; Nayak, L. (2013). Green synthesis and characteriation of zero valent iron</w:t>
      </w:r>
      <w:r>
        <w:rPr>
          <w:spacing w:val="-2"/>
          <w:sz w:val="24"/>
        </w:rPr>
        <w:t> </w:t>
      </w:r>
      <w:r>
        <w:rPr>
          <w:sz w:val="24"/>
        </w:rPr>
        <w:t>nanoparticles from</w:t>
      </w:r>
      <w:r>
        <w:rPr>
          <w:spacing w:val="-1"/>
          <w:sz w:val="24"/>
        </w:rPr>
        <w:t> </w:t>
      </w:r>
      <w:r>
        <w:rPr>
          <w:sz w:val="24"/>
        </w:rPr>
        <w:t>the</w:t>
      </w:r>
      <w:r>
        <w:rPr>
          <w:spacing w:val="-2"/>
          <w:sz w:val="24"/>
        </w:rPr>
        <w:t> </w:t>
      </w:r>
      <w:r>
        <w:rPr>
          <w:sz w:val="24"/>
        </w:rPr>
        <w:t>leaf</w:t>
      </w:r>
      <w:r>
        <w:rPr>
          <w:spacing w:val="-2"/>
          <w:sz w:val="24"/>
        </w:rPr>
        <w:t> </w:t>
      </w:r>
      <w:r>
        <w:rPr>
          <w:sz w:val="24"/>
        </w:rPr>
        <w:t>of </w:t>
      </w:r>
      <w:r>
        <w:rPr>
          <w:i/>
          <w:sz w:val="24"/>
        </w:rPr>
        <w:t>Azadirachta</w:t>
      </w:r>
      <w:r>
        <w:rPr>
          <w:i/>
          <w:spacing w:val="-1"/>
          <w:sz w:val="24"/>
        </w:rPr>
        <w:t> </w:t>
      </w:r>
      <w:r>
        <w:rPr>
          <w:i/>
          <w:sz w:val="24"/>
        </w:rPr>
        <w:t>indica </w:t>
      </w:r>
      <w:r>
        <w:rPr>
          <w:sz w:val="24"/>
        </w:rPr>
        <w:t>(Neem). </w:t>
      </w:r>
      <w:r>
        <w:rPr>
          <w:i/>
          <w:sz w:val="24"/>
        </w:rPr>
        <w:t>World</w:t>
      </w:r>
      <w:r>
        <w:rPr>
          <w:i/>
          <w:spacing w:val="-1"/>
          <w:sz w:val="24"/>
        </w:rPr>
        <w:t> </w:t>
      </w:r>
      <w:r>
        <w:rPr>
          <w:i/>
          <w:sz w:val="24"/>
        </w:rPr>
        <w:t>Journal</w:t>
      </w:r>
      <w:r>
        <w:rPr>
          <w:i/>
          <w:spacing w:val="-1"/>
          <w:sz w:val="24"/>
        </w:rPr>
        <w:t> </w:t>
      </w:r>
      <w:r>
        <w:rPr>
          <w:i/>
          <w:sz w:val="24"/>
        </w:rPr>
        <w:t>of Nano Science and Technology</w:t>
      </w:r>
      <w:r>
        <w:rPr>
          <w:sz w:val="24"/>
        </w:rPr>
        <w:t>, 2 (1), 06-09.</w:t>
      </w:r>
    </w:p>
    <w:p>
      <w:pPr>
        <w:pStyle w:val="BodyText"/>
        <w:spacing w:before="9"/>
        <w:rPr>
          <w:sz w:val="20"/>
        </w:rPr>
      </w:pPr>
    </w:p>
    <w:p>
      <w:pPr>
        <w:spacing w:before="1"/>
        <w:ind w:left="921" w:right="0" w:hanging="720"/>
        <w:jc w:val="left"/>
        <w:rPr>
          <w:sz w:val="24"/>
        </w:rPr>
      </w:pPr>
      <w:r>
        <w:rPr>
          <w:sz w:val="24"/>
        </w:rPr>
        <w:t>Pawar,</w:t>
      </w:r>
      <w:r>
        <w:rPr>
          <w:spacing w:val="25"/>
          <w:sz w:val="24"/>
        </w:rPr>
        <w:t> </w:t>
      </w:r>
      <w:r>
        <w:rPr>
          <w:sz w:val="24"/>
        </w:rPr>
        <w:t>R.</w:t>
      </w:r>
      <w:r>
        <w:rPr>
          <w:spacing w:val="26"/>
          <w:sz w:val="24"/>
        </w:rPr>
        <w:t> </w:t>
      </w:r>
      <w:r>
        <w:rPr>
          <w:sz w:val="24"/>
        </w:rPr>
        <w:t>M.</w:t>
      </w:r>
      <w:r>
        <w:rPr>
          <w:spacing w:val="26"/>
          <w:sz w:val="24"/>
        </w:rPr>
        <w:t> </w:t>
      </w:r>
      <w:r>
        <w:rPr>
          <w:sz w:val="24"/>
        </w:rPr>
        <w:t>(2015).</w:t>
      </w:r>
      <w:r>
        <w:rPr>
          <w:spacing w:val="25"/>
          <w:sz w:val="24"/>
        </w:rPr>
        <w:t> </w:t>
      </w:r>
      <w:r>
        <w:rPr>
          <w:sz w:val="24"/>
        </w:rPr>
        <w:t>The</w:t>
      </w:r>
      <w:r>
        <w:rPr>
          <w:spacing w:val="25"/>
          <w:sz w:val="24"/>
        </w:rPr>
        <w:t> </w:t>
      </w:r>
      <w:r>
        <w:rPr>
          <w:sz w:val="24"/>
        </w:rPr>
        <w:t>effect</w:t>
      </w:r>
      <w:r>
        <w:rPr>
          <w:spacing w:val="27"/>
          <w:sz w:val="24"/>
        </w:rPr>
        <w:t> </w:t>
      </w:r>
      <w:r>
        <w:rPr>
          <w:sz w:val="24"/>
        </w:rPr>
        <w:t>of</w:t>
      </w:r>
      <w:r>
        <w:rPr>
          <w:spacing w:val="25"/>
          <w:sz w:val="24"/>
        </w:rPr>
        <w:t> </w:t>
      </w:r>
      <w:r>
        <w:rPr>
          <w:sz w:val="24"/>
        </w:rPr>
        <w:t>soil</w:t>
      </w:r>
      <w:r>
        <w:rPr>
          <w:spacing w:val="27"/>
          <w:sz w:val="24"/>
        </w:rPr>
        <w:t> </w:t>
      </w:r>
      <w:r>
        <w:rPr>
          <w:sz w:val="24"/>
        </w:rPr>
        <w:t>pH</w:t>
      </w:r>
      <w:r>
        <w:rPr>
          <w:spacing w:val="26"/>
          <w:sz w:val="24"/>
        </w:rPr>
        <w:t> </w:t>
      </w:r>
      <w:r>
        <w:rPr>
          <w:sz w:val="24"/>
        </w:rPr>
        <w:t>on</w:t>
      </w:r>
      <w:r>
        <w:rPr>
          <w:spacing w:val="28"/>
          <w:sz w:val="24"/>
        </w:rPr>
        <w:t> </w:t>
      </w:r>
      <w:r>
        <w:rPr>
          <w:sz w:val="24"/>
        </w:rPr>
        <w:t>bioremediation</w:t>
      </w:r>
      <w:r>
        <w:rPr>
          <w:spacing w:val="26"/>
          <w:sz w:val="24"/>
        </w:rPr>
        <w:t> </w:t>
      </w:r>
      <w:r>
        <w:rPr>
          <w:sz w:val="24"/>
        </w:rPr>
        <w:t>of</w:t>
      </w:r>
      <w:r>
        <w:rPr>
          <w:spacing w:val="25"/>
          <w:sz w:val="24"/>
        </w:rPr>
        <w:t> </w:t>
      </w:r>
      <w:r>
        <w:rPr>
          <w:sz w:val="24"/>
        </w:rPr>
        <w:t>polycyclic</w:t>
      </w:r>
      <w:r>
        <w:rPr>
          <w:spacing w:val="27"/>
          <w:sz w:val="24"/>
        </w:rPr>
        <w:t> </w:t>
      </w:r>
      <w:r>
        <w:rPr>
          <w:sz w:val="24"/>
        </w:rPr>
        <w:t>aromatic hydrocarbons(PAHS).</w:t>
      </w:r>
      <w:r>
        <w:rPr>
          <w:spacing w:val="5"/>
          <w:sz w:val="24"/>
        </w:rPr>
        <w:t> </w:t>
      </w:r>
      <w:r>
        <w:rPr>
          <w:i/>
          <w:sz w:val="24"/>
        </w:rPr>
        <w:t>Journal</w:t>
      </w:r>
      <w:r>
        <w:rPr>
          <w:i/>
          <w:spacing w:val="5"/>
          <w:sz w:val="24"/>
        </w:rPr>
        <w:t> </w:t>
      </w:r>
      <w:r>
        <w:rPr>
          <w:i/>
          <w:sz w:val="24"/>
        </w:rPr>
        <w:t>of</w:t>
      </w:r>
      <w:r>
        <w:rPr>
          <w:i/>
          <w:spacing w:val="5"/>
          <w:sz w:val="24"/>
        </w:rPr>
        <w:t> </w:t>
      </w:r>
      <w:r>
        <w:rPr>
          <w:i/>
          <w:sz w:val="24"/>
        </w:rPr>
        <w:t>Bioremediation</w:t>
      </w:r>
      <w:r>
        <w:rPr>
          <w:i/>
          <w:spacing w:val="8"/>
          <w:sz w:val="24"/>
        </w:rPr>
        <w:t> </w:t>
      </w:r>
      <w:r>
        <w:rPr>
          <w:i/>
          <w:sz w:val="24"/>
        </w:rPr>
        <w:t>&amp;</w:t>
      </w:r>
      <w:r>
        <w:rPr>
          <w:i/>
          <w:spacing w:val="3"/>
          <w:sz w:val="24"/>
        </w:rPr>
        <w:t> </w:t>
      </w:r>
      <w:r>
        <w:rPr>
          <w:i/>
          <w:sz w:val="24"/>
        </w:rPr>
        <w:t>Biodegradation</w:t>
      </w:r>
      <w:r>
        <w:rPr>
          <w:sz w:val="24"/>
        </w:rPr>
        <w:t>,</w:t>
      </w:r>
      <w:r>
        <w:rPr>
          <w:spacing w:val="6"/>
          <w:sz w:val="24"/>
        </w:rPr>
        <w:t> </w:t>
      </w:r>
      <w:r>
        <w:rPr>
          <w:sz w:val="24"/>
        </w:rPr>
        <w:t>6</w:t>
      </w:r>
      <w:r>
        <w:rPr>
          <w:spacing w:val="8"/>
          <w:sz w:val="24"/>
        </w:rPr>
        <w:t> </w:t>
      </w:r>
      <w:r>
        <w:rPr>
          <w:sz w:val="24"/>
        </w:rPr>
        <w:t>(3),</w:t>
      </w:r>
      <w:r>
        <w:rPr>
          <w:spacing w:val="7"/>
          <w:sz w:val="24"/>
        </w:rPr>
        <w:t> </w:t>
      </w:r>
      <w:r>
        <w:rPr>
          <w:spacing w:val="-4"/>
          <w:sz w:val="24"/>
        </w:rPr>
        <w:t>291-</w:t>
      </w:r>
    </w:p>
    <w:p>
      <w:pPr>
        <w:pStyle w:val="BodyText"/>
        <w:ind w:left="921"/>
      </w:pPr>
      <w:r>
        <w:rPr>
          <w:spacing w:val="-4"/>
        </w:rPr>
        <w:t>304.</w:t>
      </w:r>
    </w:p>
    <w:p>
      <w:pPr>
        <w:pStyle w:val="BodyText"/>
        <w:spacing w:before="10"/>
        <w:rPr>
          <w:sz w:val="20"/>
        </w:rPr>
      </w:pPr>
    </w:p>
    <w:p>
      <w:pPr>
        <w:pStyle w:val="BodyText"/>
        <w:ind w:left="921" w:right="120" w:hanging="720"/>
        <w:jc w:val="both"/>
      </w:pPr>
      <w:r>
        <w:rPr/>
        <w:t>Pei, X., Zhang, X., Wang, S., Lin, Y., &amp; Zhou, L. (2010). Effects of a biosurfactant and a synthetic surfactant on phenanthrene degradation by a Sphingomonas strain. </w:t>
      </w:r>
      <w:r>
        <w:rPr>
          <w:i/>
        </w:rPr>
        <w:t>Pedosphere</w:t>
      </w:r>
      <w:r>
        <w:rPr/>
        <w:t>, 20 (6), 771–779.</w:t>
      </w:r>
    </w:p>
    <w:p>
      <w:pPr>
        <w:pStyle w:val="BodyText"/>
        <w:spacing w:before="10"/>
        <w:rPr>
          <w:sz w:val="20"/>
        </w:rPr>
      </w:pPr>
    </w:p>
    <w:p>
      <w:pPr>
        <w:pStyle w:val="BodyText"/>
        <w:ind w:right="117"/>
        <w:jc w:val="right"/>
      </w:pPr>
      <w:r>
        <w:rPr/>
        <w:t>Peng,</w:t>
      </w:r>
      <w:r>
        <w:rPr>
          <w:spacing w:val="-1"/>
        </w:rPr>
        <w:t> </w:t>
      </w:r>
      <w:r>
        <w:rPr/>
        <w:t>R.</w:t>
      </w:r>
      <w:r>
        <w:rPr>
          <w:spacing w:val="-1"/>
        </w:rPr>
        <w:t> </w:t>
      </w:r>
      <w:r>
        <w:rPr/>
        <w:t>H.,</w:t>
      </w:r>
      <w:r>
        <w:rPr>
          <w:spacing w:val="-1"/>
        </w:rPr>
        <w:t> </w:t>
      </w:r>
      <w:r>
        <w:rPr/>
        <w:t>Xiong,</w:t>
      </w:r>
      <w:r>
        <w:rPr>
          <w:spacing w:val="-1"/>
        </w:rPr>
        <w:t> </w:t>
      </w:r>
      <w:r>
        <w:rPr/>
        <w:t>A.</w:t>
      </w:r>
      <w:r>
        <w:rPr>
          <w:spacing w:val="-1"/>
        </w:rPr>
        <w:t> </w:t>
      </w:r>
      <w:r>
        <w:rPr/>
        <w:t>S.,</w:t>
      </w:r>
      <w:r>
        <w:rPr>
          <w:spacing w:val="-1"/>
        </w:rPr>
        <w:t> </w:t>
      </w:r>
      <w:r>
        <w:rPr/>
        <w:t>Xeo,</w:t>
      </w:r>
      <w:r>
        <w:rPr>
          <w:spacing w:val="-1"/>
        </w:rPr>
        <w:t> </w:t>
      </w:r>
      <w:r>
        <w:rPr/>
        <w:t>Y.,</w:t>
      </w:r>
      <w:r>
        <w:rPr>
          <w:spacing w:val="-1"/>
        </w:rPr>
        <w:t> </w:t>
      </w:r>
      <w:r>
        <w:rPr/>
        <w:t>Fu,</w:t>
      </w:r>
      <w:r>
        <w:rPr>
          <w:spacing w:val="-1"/>
        </w:rPr>
        <w:t> </w:t>
      </w:r>
      <w:r>
        <w:rPr/>
        <w:t>X.</w:t>
      </w:r>
      <w:r>
        <w:rPr>
          <w:spacing w:val="-1"/>
        </w:rPr>
        <w:t> </w:t>
      </w:r>
      <w:r>
        <w:rPr/>
        <w:t>Y.,</w:t>
      </w:r>
      <w:r>
        <w:rPr>
          <w:spacing w:val="-2"/>
        </w:rPr>
        <w:t> </w:t>
      </w:r>
      <w:r>
        <w:rPr/>
        <w:t>Gao, F.,</w:t>
      </w:r>
      <w:r>
        <w:rPr>
          <w:spacing w:val="-1"/>
        </w:rPr>
        <w:t> </w:t>
      </w:r>
      <w:r>
        <w:rPr/>
        <w:t>Zhao,</w:t>
      </w:r>
      <w:r>
        <w:rPr>
          <w:spacing w:val="-1"/>
        </w:rPr>
        <w:t> </w:t>
      </w:r>
      <w:r>
        <w:rPr/>
        <w:t>W., Tian,</w:t>
      </w:r>
      <w:r>
        <w:rPr>
          <w:spacing w:val="-1"/>
        </w:rPr>
        <w:t> </w:t>
      </w:r>
      <w:r>
        <w:rPr/>
        <w:t>Y.</w:t>
      </w:r>
      <w:r>
        <w:rPr>
          <w:spacing w:val="-1"/>
        </w:rPr>
        <w:t> </w:t>
      </w:r>
      <w:r>
        <w:rPr/>
        <w:t>S.,</w:t>
      </w:r>
      <w:r>
        <w:rPr>
          <w:spacing w:val="-1"/>
        </w:rPr>
        <w:t> </w:t>
      </w:r>
      <w:r>
        <w:rPr/>
        <w:t>&amp;</w:t>
      </w:r>
      <w:r>
        <w:rPr>
          <w:spacing w:val="4"/>
        </w:rPr>
        <w:t> </w:t>
      </w:r>
      <w:r>
        <w:rPr/>
        <w:t>Yao, </w:t>
      </w:r>
      <w:r>
        <w:rPr>
          <w:spacing w:val="-5"/>
        </w:rPr>
        <w:t>Q.</w:t>
      </w:r>
    </w:p>
    <w:p>
      <w:pPr>
        <w:pStyle w:val="BodyText"/>
        <w:ind w:right="123"/>
        <w:jc w:val="right"/>
      </w:pPr>
      <w:r>
        <w:rPr/>
        <w:t>H.</w:t>
      </w:r>
      <w:r>
        <w:rPr>
          <w:spacing w:val="39"/>
        </w:rPr>
        <w:t> </w:t>
      </w:r>
      <w:r>
        <w:rPr/>
        <w:t>(2008).</w:t>
      </w:r>
      <w:r>
        <w:rPr>
          <w:spacing w:val="38"/>
        </w:rPr>
        <w:t> </w:t>
      </w:r>
      <w:r>
        <w:rPr/>
        <w:t>Microbial</w:t>
      </w:r>
      <w:r>
        <w:rPr>
          <w:spacing w:val="39"/>
        </w:rPr>
        <w:t> </w:t>
      </w:r>
      <w:r>
        <w:rPr/>
        <w:t>biodegradation</w:t>
      </w:r>
      <w:r>
        <w:rPr>
          <w:spacing w:val="39"/>
        </w:rPr>
        <w:t> </w:t>
      </w:r>
      <w:r>
        <w:rPr/>
        <w:t>of</w:t>
      </w:r>
      <w:r>
        <w:rPr>
          <w:spacing w:val="39"/>
        </w:rPr>
        <w:t> </w:t>
      </w:r>
      <w:r>
        <w:rPr/>
        <w:t>polyaromatic</w:t>
      </w:r>
      <w:r>
        <w:rPr>
          <w:spacing w:val="39"/>
        </w:rPr>
        <w:t> </w:t>
      </w:r>
      <w:r>
        <w:rPr/>
        <w:t>hydrocarbons:</w:t>
      </w:r>
      <w:r>
        <w:rPr>
          <w:spacing w:val="39"/>
        </w:rPr>
        <w:t> </w:t>
      </w:r>
      <w:r>
        <w:rPr/>
        <w:t>a</w:t>
      </w:r>
      <w:r>
        <w:rPr>
          <w:spacing w:val="38"/>
        </w:rPr>
        <w:t> </w:t>
      </w:r>
      <w:r>
        <w:rPr>
          <w:spacing w:val="-2"/>
        </w:rPr>
        <w:t>review.</w:t>
      </w:r>
    </w:p>
    <w:p>
      <w:pPr>
        <w:spacing w:before="0"/>
        <w:ind w:left="921" w:right="0" w:firstLine="0"/>
        <w:jc w:val="left"/>
        <w:rPr>
          <w:sz w:val="24"/>
        </w:rPr>
      </w:pPr>
      <w:r>
        <w:rPr>
          <w:i/>
          <w:sz w:val="24"/>
        </w:rPr>
        <w:t>FEMS</w:t>
      </w:r>
      <w:r>
        <w:rPr>
          <w:i/>
          <w:spacing w:val="-1"/>
          <w:sz w:val="24"/>
        </w:rPr>
        <w:t> </w:t>
      </w:r>
      <w:r>
        <w:rPr>
          <w:i/>
          <w:sz w:val="24"/>
        </w:rPr>
        <w:t>Microbiology</w:t>
      </w:r>
      <w:r>
        <w:rPr>
          <w:i/>
          <w:spacing w:val="-2"/>
          <w:sz w:val="24"/>
        </w:rPr>
        <w:t> </w:t>
      </w:r>
      <w:r>
        <w:rPr>
          <w:i/>
          <w:sz w:val="24"/>
        </w:rPr>
        <w:t>Reviews</w:t>
      </w:r>
      <w:r>
        <w:rPr>
          <w:sz w:val="24"/>
        </w:rPr>
        <w:t>, 32</w:t>
      </w:r>
      <w:r>
        <w:rPr>
          <w:spacing w:val="-1"/>
          <w:sz w:val="24"/>
        </w:rPr>
        <w:t> </w:t>
      </w:r>
      <w:r>
        <w:rPr>
          <w:sz w:val="24"/>
        </w:rPr>
        <w:t>(6), </w:t>
      </w:r>
      <w:r>
        <w:rPr>
          <w:spacing w:val="-2"/>
          <w:sz w:val="24"/>
        </w:rPr>
        <w:t>927–955.</w:t>
      </w:r>
    </w:p>
    <w:p>
      <w:pPr>
        <w:pStyle w:val="BodyText"/>
        <w:spacing w:before="10"/>
        <w:rPr>
          <w:sz w:val="20"/>
        </w:rPr>
      </w:pPr>
    </w:p>
    <w:p>
      <w:pPr>
        <w:pStyle w:val="BodyText"/>
        <w:ind w:left="921" w:right="120" w:hanging="720"/>
        <w:jc w:val="both"/>
      </w:pPr>
      <w:r>
        <w:rPr/>
        <w:t>Phan, C. W., Abubakar, N. F., &amp; Hamzah, A. (2013). A comparative study on biosurfactant activity of crude oil-degrading bacteria and its correlation to total petroleum hydrocarbon degradation. </w:t>
      </w:r>
      <w:r>
        <w:rPr>
          <w:i/>
        </w:rPr>
        <w:t>Bioremediation Journal, </w:t>
      </w:r>
      <w:r>
        <w:rPr/>
        <w:t>17 (4), 240-251.</w:t>
      </w:r>
    </w:p>
    <w:p>
      <w:pPr>
        <w:pStyle w:val="BodyText"/>
        <w:spacing w:before="10"/>
        <w:rPr>
          <w:sz w:val="20"/>
        </w:rPr>
      </w:pPr>
    </w:p>
    <w:p>
      <w:pPr>
        <w:pStyle w:val="BodyText"/>
        <w:ind w:left="921" w:right="118" w:hanging="720"/>
        <w:jc w:val="both"/>
      </w:pPr>
      <w:r>
        <w:rPr/>
        <w:t>Pleaza, G.</w:t>
      </w:r>
      <w:r>
        <w:rPr>
          <w:spacing w:val="-1"/>
        </w:rPr>
        <w:t> </w:t>
      </w:r>
      <w:r>
        <w:rPr/>
        <w:t>A., Ulfig, K. R. Z. Y.</w:t>
      </w:r>
      <w:r>
        <w:rPr>
          <w:spacing w:val="-1"/>
        </w:rPr>
        <w:t> </w:t>
      </w:r>
      <w:r>
        <w:rPr/>
        <w:t>S. Z. T. O. F., &amp; Brigmon, R. L. (2005). Surface active properties</w:t>
      </w:r>
      <w:r>
        <w:rPr>
          <w:spacing w:val="-15"/>
        </w:rPr>
        <w:t> </w:t>
      </w:r>
      <w:r>
        <w:rPr/>
        <w:t>of</w:t>
      </w:r>
      <w:r>
        <w:rPr>
          <w:spacing w:val="-15"/>
        </w:rPr>
        <w:t> </w:t>
      </w:r>
      <w:r>
        <w:rPr/>
        <w:t>bacterial</w:t>
      </w:r>
      <w:r>
        <w:rPr>
          <w:spacing w:val="-15"/>
        </w:rPr>
        <w:t> </w:t>
      </w:r>
      <w:r>
        <w:rPr/>
        <w:t>strains</w:t>
      </w:r>
      <w:r>
        <w:rPr>
          <w:spacing w:val="-15"/>
        </w:rPr>
        <w:t> </w:t>
      </w:r>
      <w:r>
        <w:rPr/>
        <w:t>isolated</w:t>
      </w:r>
      <w:r>
        <w:rPr>
          <w:spacing w:val="-15"/>
        </w:rPr>
        <w:t> </w:t>
      </w:r>
      <w:r>
        <w:rPr/>
        <w:t>from</w:t>
      </w:r>
      <w:r>
        <w:rPr>
          <w:spacing w:val="-15"/>
        </w:rPr>
        <w:t> </w:t>
      </w:r>
      <w:r>
        <w:rPr/>
        <w:t>petroleum</w:t>
      </w:r>
      <w:r>
        <w:rPr>
          <w:spacing w:val="-15"/>
        </w:rPr>
        <w:t> </w:t>
      </w:r>
      <w:r>
        <w:rPr/>
        <w:t>hydrocarbon-bioremediated soil. </w:t>
      </w:r>
      <w:r>
        <w:rPr>
          <w:i/>
        </w:rPr>
        <w:t>Polish Journal of Microbiology</w:t>
      </w:r>
      <w:r>
        <w:rPr/>
        <w:t>, 54 (2), 161-167.</w:t>
      </w:r>
    </w:p>
    <w:p>
      <w:pPr>
        <w:pStyle w:val="BodyText"/>
        <w:spacing w:before="10"/>
        <w:rPr>
          <w:sz w:val="20"/>
        </w:rPr>
      </w:pPr>
    </w:p>
    <w:p>
      <w:pPr>
        <w:pStyle w:val="BodyText"/>
        <w:spacing w:before="1"/>
        <w:ind w:left="921" w:right="116" w:hanging="720"/>
        <w:jc w:val="both"/>
      </w:pPr>
      <w:r>
        <w:rPr/>
        <w:t>Qin, X., Tang, J. C., Li, D. S., &amp; Zhang, Q. M. (2015). Effect of salinity on the bioremediation of petroleum hydrocarbons in a saline-alkaline soil. </w:t>
      </w:r>
      <w:r>
        <w:rPr>
          <w:i/>
        </w:rPr>
        <w:t>Brazillian Journal of Microbiology</w:t>
      </w:r>
      <w:r>
        <w:rPr/>
        <w:t>, 55 (3), 210–217.</w:t>
      </w:r>
    </w:p>
    <w:p>
      <w:pPr>
        <w:pStyle w:val="BodyText"/>
        <w:spacing w:before="10"/>
        <w:rPr>
          <w:sz w:val="20"/>
        </w:rPr>
      </w:pPr>
    </w:p>
    <w:p>
      <w:pPr>
        <w:pStyle w:val="BodyText"/>
        <w:ind w:left="921" w:right="118" w:hanging="720"/>
        <w:jc w:val="both"/>
      </w:pPr>
      <w:r>
        <w:rPr/>
        <w:t>Quilliam,</w:t>
      </w:r>
      <w:r>
        <w:rPr/>
        <w:t> R.</w:t>
      </w:r>
      <w:r>
        <w:rPr/>
        <w:t> S., Glanville, H. C., Wade, S. C., &amp;Jones, D. L. (2013). Life in the ‘charosphere’ – doesbiochar in agricultural soil provide a significant habitat for microorganisms? </w:t>
      </w:r>
      <w:r>
        <w:rPr>
          <w:i/>
        </w:rPr>
        <w:t>Soil Biology and Biochemistry, </w:t>
      </w:r>
      <w:r>
        <w:rPr/>
        <w:t>65, 287–293.</w:t>
      </w:r>
    </w:p>
    <w:p>
      <w:pPr>
        <w:pStyle w:val="BodyText"/>
        <w:spacing w:before="10"/>
        <w:rPr>
          <w:sz w:val="20"/>
        </w:rPr>
      </w:pPr>
    </w:p>
    <w:p>
      <w:pPr>
        <w:pStyle w:val="BodyText"/>
        <w:ind w:left="921" w:right="116" w:hanging="720"/>
        <w:jc w:val="both"/>
      </w:pPr>
      <w:r>
        <w:rPr/>
        <w:t>Rahman, K. S., Rahman, T. J., Kourkoutas, Y., Petsas, I., Marchant, R., &amp; Banat, I. M. (2003).</w:t>
      </w:r>
      <w:r>
        <w:rPr>
          <w:spacing w:val="-7"/>
        </w:rPr>
        <w:t> </w:t>
      </w:r>
      <w:r>
        <w:rPr/>
        <w:t>Enhanced</w:t>
      </w:r>
      <w:r>
        <w:rPr>
          <w:spacing w:val="-4"/>
        </w:rPr>
        <w:t> </w:t>
      </w:r>
      <w:r>
        <w:rPr/>
        <w:t>bioremediation</w:t>
      </w:r>
      <w:r>
        <w:rPr>
          <w:spacing w:val="-5"/>
        </w:rPr>
        <w:t> </w:t>
      </w:r>
      <w:r>
        <w:rPr/>
        <w:t>of</w:t>
      </w:r>
      <w:r>
        <w:rPr>
          <w:spacing w:val="-7"/>
        </w:rPr>
        <w:t> </w:t>
      </w:r>
      <w:r>
        <w:rPr/>
        <w:t>n-alkane</w:t>
      </w:r>
      <w:r>
        <w:rPr>
          <w:spacing w:val="-5"/>
        </w:rPr>
        <w:t> </w:t>
      </w:r>
      <w:r>
        <w:rPr/>
        <w:t>in</w:t>
      </w:r>
      <w:r>
        <w:rPr>
          <w:spacing w:val="-5"/>
        </w:rPr>
        <w:t> </w:t>
      </w:r>
      <w:r>
        <w:rPr/>
        <w:t>petroleum</w:t>
      </w:r>
      <w:r>
        <w:rPr>
          <w:spacing w:val="-5"/>
        </w:rPr>
        <w:t> </w:t>
      </w:r>
      <w:r>
        <w:rPr/>
        <w:t>sludge</w:t>
      </w:r>
      <w:r>
        <w:rPr>
          <w:spacing w:val="-7"/>
        </w:rPr>
        <w:t> </w:t>
      </w:r>
      <w:r>
        <w:rPr/>
        <w:t>using</w:t>
      </w:r>
      <w:r>
        <w:rPr>
          <w:spacing w:val="-7"/>
        </w:rPr>
        <w:t> </w:t>
      </w:r>
      <w:r>
        <w:rPr/>
        <w:t>bacterial consortium amended with rhamnolipid and micronutrients. </w:t>
      </w:r>
      <w:r>
        <w:rPr>
          <w:i/>
        </w:rPr>
        <w:t>Bioresource Technology, </w:t>
      </w:r>
      <w:r>
        <w:rPr/>
        <w:t>90 (2), 159-168.</w:t>
      </w:r>
    </w:p>
    <w:p>
      <w:pPr>
        <w:pStyle w:val="BodyText"/>
        <w:spacing w:before="11"/>
        <w:rPr>
          <w:sz w:val="20"/>
        </w:rPr>
      </w:pPr>
    </w:p>
    <w:p>
      <w:pPr>
        <w:pStyle w:val="BodyText"/>
        <w:ind w:left="921" w:right="120" w:hanging="720"/>
        <w:jc w:val="right"/>
      </w:pPr>
      <w:r>
        <w:rPr/>
        <w:t>Ridgwell, H. (2017, November 22). Nigeria Oil Spills Double Risk of Infant Mortality, Research</w:t>
      </w:r>
      <w:r>
        <w:rPr>
          <w:spacing w:val="-1"/>
        </w:rPr>
        <w:t> </w:t>
      </w:r>
      <w:r>
        <w:rPr/>
        <w:t>Shows.</w:t>
      </w:r>
      <w:r>
        <w:rPr>
          <w:spacing w:val="-2"/>
        </w:rPr>
        <w:t> </w:t>
      </w:r>
      <w:r>
        <w:rPr/>
        <w:t>Unpublished</w:t>
      </w:r>
      <w:r>
        <w:rPr>
          <w:spacing w:val="-3"/>
        </w:rPr>
        <w:t> </w:t>
      </w:r>
      <w:r>
        <w:rPr/>
        <w:t>internet</w:t>
      </w:r>
      <w:r>
        <w:rPr>
          <w:spacing w:val="-2"/>
        </w:rPr>
        <w:t> </w:t>
      </w:r>
      <w:r>
        <w:rPr/>
        <w:t>document.</w:t>
      </w:r>
      <w:r>
        <w:rPr>
          <w:spacing w:val="-1"/>
        </w:rPr>
        <w:t> </w:t>
      </w:r>
      <w:r>
        <w:rPr/>
        <w:t>Retrieved</w:t>
      </w:r>
      <w:r>
        <w:rPr>
          <w:spacing w:val="-2"/>
        </w:rPr>
        <w:t> </w:t>
      </w:r>
      <w:r>
        <w:rPr/>
        <w:t>on</w:t>
      </w:r>
      <w:r>
        <w:rPr>
          <w:spacing w:val="-3"/>
        </w:rPr>
        <w:t> </w:t>
      </w:r>
      <w:r>
        <w:rPr/>
        <w:t>19/11/2019, </w:t>
      </w:r>
      <w:r>
        <w:rPr>
          <w:spacing w:val="-4"/>
        </w:rPr>
        <w:t>6:35</w:t>
      </w:r>
    </w:p>
    <w:p>
      <w:pPr>
        <w:spacing w:after="0"/>
        <w:jc w:val="right"/>
        <w:sectPr>
          <w:pgSz w:w="11910" w:h="16840"/>
          <w:pgMar w:header="0" w:footer="1002" w:top="1320" w:bottom="1200" w:left="1500" w:right="1580"/>
        </w:sectPr>
      </w:pPr>
    </w:p>
    <w:p>
      <w:pPr>
        <w:pStyle w:val="BodyText"/>
        <w:spacing w:before="69"/>
        <w:ind w:left="921" w:right="116"/>
      </w:pPr>
      <w:r>
        <w:rPr/>
        <w:t>pm,</w:t>
      </w:r>
      <w:r>
        <w:rPr>
          <w:spacing w:val="40"/>
        </w:rPr>
        <w:t> </w:t>
      </w:r>
      <w:r>
        <w:rPr/>
        <w:t>from</w:t>
      </w:r>
      <w:r>
        <w:rPr>
          <w:spacing w:val="40"/>
        </w:rPr>
        <w:t> </w:t>
      </w:r>
      <w:r>
        <w:rPr/>
        <w:t>https:/</w:t>
      </w:r>
      <w:hyperlink r:id="rId28">
        <w:r>
          <w:rPr/>
          <w:t>/www.voanews.com/</w:t>
        </w:r>
      </w:hyperlink>
      <w:r>
        <w:rPr/>
        <w:t>a</w:t>
      </w:r>
      <w:hyperlink r:id="rId28">
        <w:r>
          <w:rPr/>
          <w:t>frica/nigeria-oil-spills-double-risk-infant-</w:t>
        </w:r>
      </w:hyperlink>
      <w:r>
        <w:rPr/>
        <w:t> </w:t>
      </w:r>
      <w:r>
        <w:rPr>
          <w:spacing w:val="-2"/>
        </w:rPr>
        <w:t>mortality-research-shows.</w:t>
      </w:r>
    </w:p>
    <w:p>
      <w:pPr>
        <w:pStyle w:val="BodyText"/>
        <w:spacing w:before="11"/>
        <w:rPr>
          <w:sz w:val="20"/>
        </w:rPr>
      </w:pPr>
    </w:p>
    <w:p>
      <w:pPr>
        <w:pStyle w:val="BodyText"/>
        <w:ind w:left="204" w:right="121"/>
        <w:jc w:val="center"/>
      </w:pPr>
      <w:r>
        <w:rPr/>
        <w:t>Rittman,</w:t>
      </w:r>
      <w:r>
        <w:rPr>
          <w:spacing w:val="-8"/>
        </w:rPr>
        <w:t> </w:t>
      </w:r>
      <w:r>
        <w:rPr/>
        <w:t>B.</w:t>
      </w:r>
      <w:r>
        <w:rPr>
          <w:spacing w:val="-8"/>
        </w:rPr>
        <w:t> </w:t>
      </w:r>
      <w:r>
        <w:rPr/>
        <w:t>E.,</w:t>
      </w:r>
      <w:r>
        <w:rPr>
          <w:spacing w:val="-8"/>
        </w:rPr>
        <w:t> </w:t>
      </w:r>
      <w:r>
        <w:rPr/>
        <w:t>Valocchi,</w:t>
      </w:r>
      <w:r>
        <w:rPr>
          <w:spacing w:val="-6"/>
        </w:rPr>
        <w:t> </w:t>
      </w:r>
      <w:r>
        <w:rPr/>
        <w:t>A.</w:t>
      </w:r>
      <w:r>
        <w:rPr>
          <w:spacing w:val="-8"/>
        </w:rPr>
        <w:t> </w:t>
      </w:r>
      <w:r>
        <w:rPr/>
        <w:t>J.,</w:t>
      </w:r>
      <w:r>
        <w:rPr>
          <w:spacing w:val="-8"/>
        </w:rPr>
        <w:t> </w:t>
      </w:r>
      <w:r>
        <w:rPr/>
        <w:t>&amp;</w:t>
      </w:r>
      <w:r>
        <w:rPr>
          <w:spacing w:val="-8"/>
        </w:rPr>
        <w:t> </w:t>
      </w:r>
      <w:r>
        <w:rPr/>
        <w:t>Baveye,</w:t>
      </w:r>
      <w:r>
        <w:rPr>
          <w:spacing w:val="-8"/>
        </w:rPr>
        <w:t> </w:t>
      </w:r>
      <w:r>
        <w:rPr/>
        <w:t>P.</w:t>
      </w:r>
      <w:r>
        <w:rPr>
          <w:spacing w:val="-6"/>
        </w:rPr>
        <w:t> </w:t>
      </w:r>
      <w:r>
        <w:rPr/>
        <w:t>(1990).</w:t>
      </w:r>
      <w:r>
        <w:rPr>
          <w:spacing w:val="-8"/>
        </w:rPr>
        <w:t> </w:t>
      </w:r>
      <w:r>
        <w:rPr/>
        <w:t>Fundamental</w:t>
      </w:r>
      <w:r>
        <w:rPr>
          <w:spacing w:val="-8"/>
        </w:rPr>
        <w:t> </w:t>
      </w:r>
      <w:r>
        <w:rPr/>
        <w:t>Quantitative</w:t>
      </w:r>
      <w:r>
        <w:rPr>
          <w:spacing w:val="-8"/>
        </w:rPr>
        <w:t> </w:t>
      </w:r>
      <w:r>
        <w:rPr/>
        <w:t>Analysis of Microbial Activity in Aquifer Bioremediation. </w:t>
      </w:r>
      <w:r>
        <w:rPr>
          <w:i/>
        </w:rPr>
        <w:t>Progress Report, </w:t>
      </w:r>
      <w:r>
        <w:rPr/>
        <w:t>1-67.</w:t>
      </w:r>
    </w:p>
    <w:p>
      <w:pPr>
        <w:pStyle w:val="BodyText"/>
        <w:spacing w:before="10"/>
        <w:rPr>
          <w:sz w:val="20"/>
        </w:rPr>
      </w:pPr>
    </w:p>
    <w:p>
      <w:pPr>
        <w:pStyle w:val="BodyText"/>
        <w:ind w:left="205" w:right="121"/>
        <w:jc w:val="center"/>
      </w:pPr>
      <w:r>
        <w:rPr/>
        <w:t>Ron,</w:t>
      </w:r>
      <w:r>
        <w:rPr>
          <w:spacing w:val="66"/>
        </w:rPr>
        <w:t> </w:t>
      </w:r>
      <w:r>
        <w:rPr/>
        <w:t>E.</w:t>
      </w:r>
      <w:r>
        <w:rPr>
          <w:spacing w:val="67"/>
        </w:rPr>
        <w:t> </w:t>
      </w:r>
      <w:r>
        <w:rPr/>
        <w:t>Z.,</w:t>
      </w:r>
      <w:r>
        <w:rPr>
          <w:spacing w:val="67"/>
        </w:rPr>
        <w:t> </w:t>
      </w:r>
      <w:r>
        <w:rPr/>
        <w:t>&amp;</w:t>
      </w:r>
      <w:r>
        <w:rPr>
          <w:spacing w:val="64"/>
        </w:rPr>
        <w:t> </w:t>
      </w:r>
      <w:r>
        <w:rPr/>
        <w:t>Rosenberg,</w:t>
      </w:r>
      <w:r>
        <w:rPr>
          <w:spacing w:val="67"/>
        </w:rPr>
        <w:t> </w:t>
      </w:r>
      <w:r>
        <w:rPr/>
        <w:t>E.</w:t>
      </w:r>
      <w:r>
        <w:rPr>
          <w:spacing w:val="67"/>
        </w:rPr>
        <w:t> </w:t>
      </w:r>
      <w:r>
        <w:rPr/>
        <w:t>(2001).</w:t>
      </w:r>
      <w:r>
        <w:rPr>
          <w:spacing w:val="66"/>
        </w:rPr>
        <w:t> </w:t>
      </w:r>
      <w:r>
        <w:rPr/>
        <w:t>Natural</w:t>
      </w:r>
      <w:r>
        <w:rPr>
          <w:spacing w:val="69"/>
        </w:rPr>
        <w:t> </w:t>
      </w:r>
      <w:r>
        <w:rPr/>
        <w:t>roles</w:t>
      </w:r>
      <w:r>
        <w:rPr>
          <w:spacing w:val="67"/>
        </w:rPr>
        <w:t> </w:t>
      </w:r>
      <w:r>
        <w:rPr/>
        <w:t>of</w:t>
      </w:r>
      <w:r>
        <w:rPr>
          <w:spacing w:val="66"/>
        </w:rPr>
        <w:t> </w:t>
      </w:r>
      <w:r>
        <w:rPr/>
        <w:t>biosurfactants:</w:t>
      </w:r>
      <w:r>
        <w:rPr>
          <w:spacing w:val="67"/>
        </w:rPr>
        <w:t> </w:t>
      </w:r>
      <w:r>
        <w:rPr>
          <w:spacing w:val="-2"/>
        </w:rPr>
        <w:t>Minireview.</w:t>
      </w:r>
    </w:p>
    <w:p>
      <w:pPr>
        <w:spacing w:before="0"/>
        <w:ind w:left="921" w:right="0" w:firstLine="0"/>
        <w:jc w:val="left"/>
        <w:rPr>
          <w:sz w:val="24"/>
        </w:rPr>
      </w:pPr>
      <w:r>
        <w:rPr>
          <w:i/>
          <w:sz w:val="24"/>
        </w:rPr>
        <w:t>Environmental</w:t>
      </w:r>
      <w:r>
        <w:rPr>
          <w:i/>
          <w:spacing w:val="-6"/>
          <w:sz w:val="24"/>
        </w:rPr>
        <w:t> </w:t>
      </w:r>
      <w:r>
        <w:rPr>
          <w:i/>
          <w:sz w:val="24"/>
        </w:rPr>
        <w:t>microbiology,</w:t>
      </w:r>
      <w:r>
        <w:rPr>
          <w:i/>
          <w:spacing w:val="-5"/>
          <w:sz w:val="24"/>
        </w:rPr>
        <w:t> </w:t>
      </w:r>
      <w:r>
        <w:rPr>
          <w:sz w:val="24"/>
        </w:rPr>
        <w:t>3</w:t>
      </w:r>
      <w:r>
        <w:rPr>
          <w:spacing w:val="-5"/>
          <w:sz w:val="24"/>
        </w:rPr>
        <w:t> </w:t>
      </w:r>
      <w:r>
        <w:rPr>
          <w:sz w:val="24"/>
        </w:rPr>
        <w:t>(4),</w:t>
      </w:r>
      <w:r>
        <w:rPr>
          <w:spacing w:val="-6"/>
          <w:sz w:val="24"/>
        </w:rPr>
        <w:t> </w:t>
      </w:r>
      <w:r>
        <w:rPr>
          <w:sz w:val="24"/>
        </w:rPr>
        <w:t>229-</w:t>
      </w:r>
      <w:r>
        <w:rPr>
          <w:spacing w:val="-4"/>
          <w:sz w:val="24"/>
        </w:rPr>
        <w:t>236.</w:t>
      </w:r>
    </w:p>
    <w:p>
      <w:pPr>
        <w:pStyle w:val="BodyText"/>
        <w:spacing w:before="10"/>
        <w:rPr>
          <w:sz w:val="20"/>
        </w:rPr>
      </w:pPr>
    </w:p>
    <w:p>
      <w:pPr>
        <w:pStyle w:val="BodyText"/>
        <w:ind w:left="197" w:right="121"/>
        <w:jc w:val="center"/>
      </w:pPr>
      <w:r>
        <w:rPr/>
        <w:t>Roy,</w:t>
      </w:r>
      <w:r>
        <w:rPr>
          <w:spacing w:val="-1"/>
        </w:rPr>
        <w:t> </w:t>
      </w:r>
      <w:r>
        <w:rPr/>
        <w:t>A.</w:t>
      </w:r>
      <w:r>
        <w:rPr>
          <w:spacing w:val="-1"/>
        </w:rPr>
        <w:t> </w:t>
      </w:r>
      <w:r>
        <w:rPr/>
        <w:t>(2017). A</w:t>
      </w:r>
      <w:r>
        <w:rPr>
          <w:spacing w:val="-1"/>
        </w:rPr>
        <w:t> </w:t>
      </w:r>
      <w:r>
        <w:rPr/>
        <w:t>Review</w:t>
      </w:r>
      <w:r>
        <w:rPr>
          <w:spacing w:val="-2"/>
        </w:rPr>
        <w:t> </w:t>
      </w:r>
      <w:r>
        <w:rPr/>
        <w:t>on the</w:t>
      </w:r>
      <w:r>
        <w:rPr>
          <w:spacing w:val="-1"/>
        </w:rPr>
        <w:t> </w:t>
      </w:r>
      <w:r>
        <w:rPr/>
        <w:t>Biosurfactants: Properties, Types</w:t>
      </w:r>
      <w:r>
        <w:rPr>
          <w:spacing w:val="-1"/>
        </w:rPr>
        <w:t> </w:t>
      </w:r>
      <w:r>
        <w:rPr/>
        <w:t>and its</w:t>
      </w:r>
      <w:r>
        <w:rPr>
          <w:spacing w:val="-2"/>
        </w:rPr>
        <w:t> Applications.</w:t>
      </w:r>
    </w:p>
    <w:p>
      <w:pPr>
        <w:spacing w:before="0"/>
        <w:ind w:left="921" w:right="0" w:firstLine="0"/>
        <w:jc w:val="left"/>
        <w:rPr>
          <w:sz w:val="24"/>
        </w:rPr>
      </w:pPr>
      <w:r>
        <w:rPr>
          <w:i/>
          <w:sz w:val="24"/>
        </w:rPr>
        <w:t>Journal</w:t>
      </w:r>
      <w:r>
        <w:rPr>
          <w:i/>
          <w:spacing w:val="-2"/>
          <w:sz w:val="24"/>
        </w:rPr>
        <w:t> </w:t>
      </w:r>
      <w:r>
        <w:rPr>
          <w:i/>
          <w:sz w:val="24"/>
        </w:rPr>
        <w:t>of</w:t>
      </w:r>
      <w:r>
        <w:rPr>
          <w:i/>
          <w:spacing w:val="-1"/>
          <w:sz w:val="24"/>
        </w:rPr>
        <w:t> </w:t>
      </w:r>
      <w:r>
        <w:rPr>
          <w:i/>
          <w:sz w:val="24"/>
        </w:rPr>
        <w:t>Fundamentals</w:t>
      </w:r>
      <w:r>
        <w:rPr>
          <w:i/>
          <w:spacing w:val="-2"/>
          <w:sz w:val="24"/>
        </w:rPr>
        <w:t> </w:t>
      </w:r>
      <w:r>
        <w:rPr>
          <w:i/>
          <w:sz w:val="24"/>
        </w:rPr>
        <w:t>of</w:t>
      </w:r>
      <w:r>
        <w:rPr>
          <w:i/>
          <w:spacing w:val="-1"/>
          <w:sz w:val="24"/>
        </w:rPr>
        <w:t> </w:t>
      </w:r>
      <w:r>
        <w:rPr>
          <w:i/>
          <w:sz w:val="24"/>
        </w:rPr>
        <w:t>Renewable</w:t>
      </w:r>
      <w:r>
        <w:rPr>
          <w:i/>
          <w:spacing w:val="-1"/>
          <w:sz w:val="24"/>
        </w:rPr>
        <w:t> </w:t>
      </w:r>
      <w:r>
        <w:rPr>
          <w:i/>
          <w:sz w:val="24"/>
        </w:rPr>
        <w:t>Energy</w:t>
      </w:r>
      <w:r>
        <w:rPr>
          <w:i/>
          <w:spacing w:val="-3"/>
          <w:sz w:val="24"/>
        </w:rPr>
        <w:t> </w:t>
      </w:r>
      <w:r>
        <w:rPr>
          <w:i/>
          <w:sz w:val="24"/>
        </w:rPr>
        <w:t>and</w:t>
      </w:r>
      <w:r>
        <w:rPr>
          <w:i/>
          <w:spacing w:val="-1"/>
          <w:sz w:val="24"/>
        </w:rPr>
        <w:t> </w:t>
      </w:r>
      <w:r>
        <w:rPr>
          <w:i/>
          <w:sz w:val="24"/>
        </w:rPr>
        <w:t>Applications.</w:t>
      </w:r>
      <w:r>
        <w:rPr>
          <w:i/>
          <w:spacing w:val="2"/>
          <w:sz w:val="24"/>
        </w:rPr>
        <w:t> </w:t>
      </w:r>
      <w:r>
        <w:rPr>
          <w:sz w:val="24"/>
        </w:rPr>
        <w:t>8,</w:t>
      </w:r>
      <w:r>
        <w:rPr>
          <w:spacing w:val="-2"/>
          <w:sz w:val="24"/>
        </w:rPr>
        <w:t> </w:t>
      </w:r>
      <w:r>
        <w:rPr>
          <w:sz w:val="24"/>
        </w:rPr>
        <w:t>248-</w:t>
      </w:r>
      <w:r>
        <w:rPr>
          <w:spacing w:val="-4"/>
          <w:sz w:val="24"/>
        </w:rPr>
        <w:t>252.</w:t>
      </w:r>
    </w:p>
    <w:p>
      <w:pPr>
        <w:pStyle w:val="BodyText"/>
        <w:spacing w:before="10"/>
        <w:rPr>
          <w:sz w:val="20"/>
        </w:rPr>
      </w:pPr>
    </w:p>
    <w:p>
      <w:pPr>
        <w:pStyle w:val="BodyText"/>
        <w:ind w:left="921" w:right="121" w:hanging="720"/>
        <w:jc w:val="both"/>
      </w:pPr>
      <w:r>
        <w:rPr/>
        <w:t>Sajna, K. V., Sukumaran, R. K., Gottumukkala, L. D., &amp; Pandey, A. (2015). Crude oil biodegradation aided by biosurfactants from Pseudozyma sp. NII</w:t>
      </w:r>
      <w:r>
        <w:rPr/>
        <w:t> 08165</w:t>
      </w:r>
      <w:r>
        <w:rPr/>
        <w:t> or</w:t>
      </w:r>
      <w:r>
        <w:rPr/>
        <w:t> its culture broth. </w:t>
      </w:r>
      <w:r>
        <w:rPr>
          <w:i/>
        </w:rPr>
        <w:t>Bioresource Technology</w:t>
      </w:r>
      <w:r>
        <w:rPr/>
        <w:t>, 191 (1), 133–139.</w:t>
      </w:r>
    </w:p>
    <w:p>
      <w:pPr>
        <w:pStyle w:val="BodyText"/>
        <w:spacing w:before="10"/>
        <w:rPr>
          <w:sz w:val="20"/>
        </w:rPr>
      </w:pPr>
    </w:p>
    <w:p>
      <w:pPr>
        <w:pStyle w:val="BodyText"/>
        <w:spacing w:before="1"/>
        <w:ind w:left="921" w:right="121" w:hanging="720"/>
        <w:jc w:val="both"/>
      </w:pPr>
      <w:r>
        <w:rPr/>
        <w:t>Sakulchaicharoen, N., O'Carroll, D. M., &amp;Herrera, J. E. (2010). Enhanced stability and dechlorination activity of pre-synthesis stabilized nanoscale FePd particles. </w:t>
      </w:r>
      <w:r>
        <w:rPr>
          <w:i/>
        </w:rPr>
        <w:t>Journal of Contaminant Hydrology, </w:t>
      </w:r>
      <w:r>
        <w:rPr/>
        <w:t>118 (3-4), 117-127.</w:t>
      </w:r>
    </w:p>
    <w:p>
      <w:pPr>
        <w:pStyle w:val="BodyText"/>
        <w:spacing w:before="9"/>
        <w:rPr>
          <w:sz w:val="20"/>
        </w:rPr>
      </w:pPr>
    </w:p>
    <w:p>
      <w:pPr>
        <w:spacing w:before="1"/>
        <w:ind w:left="921" w:right="117" w:hanging="720"/>
        <w:jc w:val="both"/>
        <w:rPr>
          <w:sz w:val="24"/>
        </w:rPr>
      </w:pPr>
      <w:r>
        <w:rPr>
          <w:sz w:val="24"/>
        </w:rPr>
        <w:t>Salehizadeh, H., &amp; Mohammadizad, S. (2009). Microbial enhanced oil recovery using biosurfactant</w:t>
      </w:r>
      <w:r>
        <w:rPr>
          <w:spacing w:val="-15"/>
          <w:sz w:val="24"/>
        </w:rPr>
        <w:t> </w:t>
      </w:r>
      <w:r>
        <w:rPr>
          <w:sz w:val="24"/>
        </w:rPr>
        <w:t>produced</w:t>
      </w:r>
      <w:r>
        <w:rPr>
          <w:spacing w:val="-15"/>
          <w:sz w:val="24"/>
        </w:rPr>
        <w:t> </w:t>
      </w:r>
      <w:r>
        <w:rPr>
          <w:sz w:val="24"/>
        </w:rPr>
        <w:t>by</w:t>
      </w:r>
      <w:r>
        <w:rPr>
          <w:spacing w:val="-15"/>
          <w:sz w:val="24"/>
        </w:rPr>
        <w:t> </w:t>
      </w:r>
      <w:r>
        <w:rPr>
          <w:i/>
          <w:sz w:val="24"/>
        </w:rPr>
        <w:t>Alcaligenes</w:t>
      </w:r>
      <w:r>
        <w:rPr>
          <w:i/>
          <w:spacing w:val="-15"/>
          <w:sz w:val="24"/>
        </w:rPr>
        <w:t> </w:t>
      </w:r>
      <w:r>
        <w:rPr>
          <w:i/>
          <w:sz w:val="24"/>
        </w:rPr>
        <w:t>faecalis</w:t>
      </w:r>
      <w:r>
        <w:rPr>
          <w:sz w:val="24"/>
        </w:rPr>
        <w:t>.</w:t>
      </w:r>
      <w:r>
        <w:rPr>
          <w:spacing w:val="-15"/>
          <w:sz w:val="24"/>
        </w:rPr>
        <w:t> </w:t>
      </w:r>
      <w:r>
        <w:rPr>
          <w:i/>
          <w:sz w:val="24"/>
        </w:rPr>
        <w:t>Iranian</w:t>
      </w:r>
      <w:r>
        <w:rPr>
          <w:i/>
          <w:spacing w:val="-15"/>
          <w:sz w:val="24"/>
        </w:rPr>
        <w:t> </w:t>
      </w:r>
      <w:r>
        <w:rPr>
          <w:i/>
          <w:sz w:val="24"/>
        </w:rPr>
        <w:t>Journal</w:t>
      </w:r>
      <w:r>
        <w:rPr>
          <w:i/>
          <w:spacing w:val="-15"/>
          <w:sz w:val="24"/>
        </w:rPr>
        <w:t> </w:t>
      </w:r>
      <w:r>
        <w:rPr>
          <w:i/>
          <w:sz w:val="24"/>
        </w:rPr>
        <w:t>of</w:t>
      </w:r>
      <w:r>
        <w:rPr>
          <w:i/>
          <w:spacing w:val="-15"/>
          <w:sz w:val="24"/>
        </w:rPr>
        <w:t> </w:t>
      </w:r>
      <w:r>
        <w:rPr>
          <w:i/>
          <w:sz w:val="24"/>
        </w:rPr>
        <w:t>Biotechnology</w:t>
      </w:r>
      <w:r>
        <w:rPr>
          <w:sz w:val="24"/>
        </w:rPr>
        <w:t>, 7 (4), 216-223.</w:t>
      </w:r>
    </w:p>
    <w:p>
      <w:pPr>
        <w:pStyle w:val="BodyText"/>
        <w:spacing w:before="10"/>
        <w:rPr>
          <w:sz w:val="20"/>
        </w:rPr>
      </w:pPr>
    </w:p>
    <w:p>
      <w:pPr>
        <w:spacing w:before="0"/>
        <w:ind w:left="921" w:right="119" w:hanging="720"/>
        <w:jc w:val="both"/>
        <w:rPr>
          <w:sz w:val="24"/>
        </w:rPr>
      </w:pPr>
      <w:r>
        <w:rPr>
          <w:sz w:val="24"/>
        </w:rPr>
        <w:t>San-Keskin, N. O., Han, D.,Ozkan, A. D., Angun, P., Umu, O. C. O., &amp; Tekinay, T. (2015). Production and structural characterization of biosurfactant produced by newly</w:t>
      </w:r>
      <w:r>
        <w:rPr>
          <w:spacing w:val="-5"/>
          <w:sz w:val="24"/>
        </w:rPr>
        <w:t> </w:t>
      </w:r>
      <w:r>
        <w:rPr>
          <w:sz w:val="24"/>
        </w:rPr>
        <w:t>isolated </w:t>
      </w:r>
      <w:r>
        <w:rPr>
          <w:i/>
          <w:sz w:val="24"/>
        </w:rPr>
        <w:t>Staphylococcus</w:t>
      </w:r>
      <w:r>
        <w:rPr>
          <w:i/>
          <w:spacing w:val="40"/>
          <w:sz w:val="24"/>
        </w:rPr>
        <w:t> </w:t>
      </w:r>
      <w:r>
        <w:rPr>
          <w:i/>
          <w:sz w:val="24"/>
        </w:rPr>
        <w:t>xylosus </w:t>
      </w:r>
      <w:r>
        <w:rPr>
          <w:sz w:val="24"/>
        </w:rPr>
        <w:t>STF1 from petroleum contaminated soil. </w:t>
      </w:r>
      <w:r>
        <w:rPr>
          <w:i/>
          <w:sz w:val="24"/>
        </w:rPr>
        <w:t>Journal of Petroleum Science and Engineering, </w:t>
      </w:r>
      <w:r>
        <w:rPr>
          <w:sz w:val="24"/>
        </w:rPr>
        <w:t>133, 689-694.</w:t>
      </w:r>
    </w:p>
    <w:p>
      <w:pPr>
        <w:pStyle w:val="BodyText"/>
        <w:spacing w:before="10"/>
        <w:rPr>
          <w:sz w:val="20"/>
        </w:rPr>
      </w:pPr>
    </w:p>
    <w:p>
      <w:pPr>
        <w:spacing w:before="0"/>
        <w:ind w:left="921" w:right="118" w:hanging="720"/>
        <w:jc w:val="both"/>
        <w:rPr>
          <w:sz w:val="24"/>
        </w:rPr>
      </w:pPr>
      <w:r>
        <w:rPr>
          <w:sz w:val="24"/>
        </w:rPr>
        <w:t>Senthil, M., &amp; Ramesh, C. (2012) Biogenic synthesis of Fe 3 o 4 nanoparticles using </w:t>
      </w:r>
      <w:r>
        <w:rPr>
          <w:i/>
          <w:sz w:val="24"/>
        </w:rPr>
        <w:t>Tridax</w:t>
      </w:r>
      <w:r>
        <w:rPr>
          <w:i/>
          <w:sz w:val="24"/>
        </w:rPr>
        <w:t> procumbens </w:t>
      </w:r>
      <w:r>
        <w:rPr>
          <w:sz w:val="24"/>
        </w:rPr>
        <w:t>leaf extract and its antibacterial activity on </w:t>
      </w:r>
      <w:r>
        <w:rPr>
          <w:i/>
          <w:sz w:val="24"/>
        </w:rPr>
        <w:t>Pseudomonas aeruginosa</w:t>
      </w:r>
      <w:r>
        <w:rPr>
          <w:sz w:val="24"/>
        </w:rPr>
        <w:t>. </w:t>
      </w:r>
      <w:r>
        <w:rPr>
          <w:i/>
          <w:sz w:val="24"/>
        </w:rPr>
        <w:t>Digest Journal of Nanomaterials &amp; Biostructures (DJNB)</w:t>
      </w:r>
      <w:r>
        <w:rPr>
          <w:sz w:val="24"/>
        </w:rPr>
        <w:t>, 7 (4).</w:t>
      </w:r>
    </w:p>
    <w:p>
      <w:pPr>
        <w:pStyle w:val="BodyText"/>
        <w:spacing w:before="10"/>
        <w:rPr>
          <w:sz w:val="20"/>
        </w:rPr>
      </w:pPr>
    </w:p>
    <w:p>
      <w:pPr>
        <w:spacing w:before="0"/>
        <w:ind w:left="921" w:right="114" w:hanging="720"/>
        <w:jc w:val="both"/>
        <w:rPr>
          <w:sz w:val="24"/>
        </w:rPr>
      </w:pPr>
      <w:r>
        <w:rPr>
          <w:sz w:val="24"/>
        </w:rPr>
        <w:t>Shahaby,</w:t>
      </w:r>
      <w:r>
        <w:rPr>
          <w:spacing w:val="-6"/>
          <w:sz w:val="24"/>
        </w:rPr>
        <w:t> </w:t>
      </w:r>
      <w:r>
        <w:rPr>
          <w:sz w:val="24"/>
        </w:rPr>
        <w:t>A.</w:t>
      </w:r>
      <w:r>
        <w:rPr>
          <w:spacing w:val="-9"/>
          <w:sz w:val="24"/>
        </w:rPr>
        <w:t> </w:t>
      </w:r>
      <w:r>
        <w:rPr>
          <w:sz w:val="24"/>
        </w:rPr>
        <w:t>F.,</w:t>
      </w:r>
      <w:r>
        <w:rPr>
          <w:spacing w:val="-6"/>
          <w:sz w:val="24"/>
        </w:rPr>
        <w:t> </w:t>
      </w:r>
      <w:r>
        <w:rPr>
          <w:sz w:val="24"/>
        </w:rPr>
        <w:t>Alharthi,</w:t>
      </w:r>
      <w:r>
        <w:rPr>
          <w:spacing w:val="-6"/>
          <w:sz w:val="24"/>
        </w:rPr>
        <w:t> </w:t>
      </w:r>
      <w:r>
        <w:rPr>
          <w:sz w:val="24"/>
        </w:rPr>
        <w:t>A.</w:t>
      </w:r>
      <w:r>
        <w:rPr>
          <w:spacing w:val="-9"/>
          <w:sz w:val="24"/>
        </w:rPr>
        <w:t> </w:t>
      </w:r>
      <w:r>
        <w:rPr>
          <w:sz w:val="24"/>
        </w:rPr>
        <w:t>A.,</w:t>
      </w:r>
      <w:r>
        <w:rPr>
          <w:spacing w:val="-9"/>
          <w:sz w:val="24"/>
        </w:rPr>
        <w:t> </w:t>
      </w:r>
      <w:r>
        <w:rPr>
          <w:sz w:val="24"/>
        </w:rPr>
        <w:t>El-Tarras,</w:t>
      </w:r>
      <w:r>
        <w:rPr>
          <w:spacing w:val="-8"/>
          <w:sz w:val="24"/>
        </w:rPr>
        <w:t> </w:t>
      </w:r>
      <w:r>
        <w:rPr>
          <w:sz w:val="24"/>
        </w:rPr>
        <w:t>A.</w:t>
      </w:r>
      <w:r>
        <w:rPr>
          <w:spacing w:val="-6"/>
          <w:sz w:val="24"/>
        </w:rPr>
        <w:t> </w:t>
      </w:r>
      <w:r>
        <w:rPr>
          <w:sz w:val="24"/>
        </w:rPr>
        <w:t>E.</w:t>
      </w:r>
      <w:r>
        <w:rPr>
          <w:spacing w:val="-8"/>
          <w:sz w:val="24"/>
        </w:rPr>
        <w:t> </w:t>
      </w:r>
      <w:r>
        <w:rPr>
          <w:sz w:val="24"/>
        </w:rPr>
        <w:t>(2015).</w:t>
      </w:r>
      <w:r>
        <w:rPr>
          <w:spacing w:val="-8"/>
          <w:sz w:val="24"/>
        </w:rPr>
        <w:t> </w:t>
      </w:r>
      <w:r>
        <w:rPr>
          <w:sz w:val="24"/>
        </w:rPr>
        <w:t>Bioremediation</w:t>
      </w:r>
      <w:r>
        <w:rPr>
          <w:spacing w:val="-8"/>
          <w:sz w:val="24"/>
        </w:rPr>
        <w:t> </w:t>
      </w:r>
      <w:r>
        <w:rPr>
          <w:sz w:val="24"/>
        </w:rPr>
        <w:t>of</w:t>
      </w:r>
      <w:r>
        <w:rPr>
          <w:spacing w:val="-7"/>
          <w:sz w:val="24"/>
        </w:rPr>
        <w:t> </w:t>
      </w:r>
      <w:r>
        <w:rPr>
          <w:sz w:val="24"/>
        </w:rPr>
        <w:t>petroleum</w:t>
      </w:r>
      <w:r>
        <w:rPr>
          <w:spacing w:val="-8"/>
          <w:sz w:val="24"/>
        </w:rPr>
        <w:t> </w:t>
      </w:r>
      <w:r>
        <w:rPr>
          <w:sz w:val="24"/>
        </w:rPr>
        <w:t>oil by potential biosurfactant producing bacteria using gravimetric assay. </w:t>
      </w:r>
      <w:r>
        <w:rPr>
          <w:i/>
          <w:sz w:val="24"/>
        </w:rPr>
        <w:t>International Journal of Current Microbiology and Applied Science, </w:t>
      </w:r>
      <w:r>
        <w:rPr>
          <w:sz w:val="24"/>
        </w:rPr>
        <w:t>4 (5), 390- </w:t>
      </w:r>
      <w:r>
        <w:rPr>
          <w:spacing w:val="-4"/>
          <w:sz w:val="24"/>
        </w:rPr>
        <w:t>403.</w:t>
      </w:r>
    </w:p>
    <w:p>
      <w:pPr>
        <w:pStyle w:val="BodyText"/>
        <w:spacing w:before="11"/>
        <w:rPr>
          <w:sz w:val="20"/>
        </w:rPr>
      </w:pPr>
    </w:p>
    <w:p>
      <w:pPr>
        <w:pStyle w:val="BodyText"/>
        <w:ind w:left="202"/>
        <w:jc w:val="both"/>
      </w:pPr>
      <w:r>
        <w:rPr/>
        <w:t>Shahwan,</w:t>
      </w:r>
      <w:r>
        <w:rPr>
          <w:spacing w:val="-2"/>
        </w:rPr>
        <w:t> </w:t>
      </w:r>
      <w:r>
        <w:rPr/>
        <w:t>T.,</w:t>
      </w:r>
      <w:r>
        <w:rPr>
          <w:spacing w:val="-2"/>
        </w:rPr>
        <w:t> </w:t>
      </w:r>
      <w:r>
        <w:rPr/>
        <w:t>Sirriah,</w:t>
      </w:r>
      <w:r>
        <w:rPr>
          <w:spacing w:val="-2"/>
        </w:rPr>
        <w:t> </w:t>
      </w:r>
      <w:r>
        <w:rPr/>
        <w:t>S.</w:t>
      </w:r>
      <w:r>
        <w:rPr>
          <w:spacing w:val="-2"/>
        </w:rPr>
        <w:t> </w:t>
      </w:r>
      <w:r>
        <w:rPr/>
        <w:t>A.,</w:t>
      </w:r>
      <w:r>
        <w:rPr>
          <w:spacing w:val="-3"/>
        </w:rPr>
        <w:t> </w:t>
      </w:r>
      <w:r>
        <w:rPr/>
        <w:t>Nairat,</w:t>
      </w:r>
      <w:r>
        <w:rPr>
          <w:spacing w:val="-2"/>
        </w:rPr>
        <w:t> </w:t>
      </w:r>
      <w:r>
        <w:rPr/>
        <w:t>M.,</w:t>
      </w:r>
      <w:r>
        <w:rPr>
          <w:spacing w:val="-2"/>
        </w:rPr>
        <w:t> </w:t>
      </w:r>
      <w:r>
        <w:rPr/>
        <w:t>Boyaci,</w:t>
      </w:r>
      <w:r>
        <w:rPr>
          <w:spacing w:val="-2"/>
        </w:rPr>
        <w:t> </w:t>
      </w:r>
      <w:r>
        <w:rPr/>
        <w:t>E.,</w:t>
      </w:r>
      <w:r>
        <w:rPr>
          <w:spacing w:val="-2"/>
        </w:rPr>
        <w:t> </w:t>
      </w:r>
      <w:r>
        <w:rPr/>
        <w:t>Eroğlu,</w:t>
      </w:r>
      <w:r>
        <w:rPr>
          <w:spacing w:val="-1"/>
        </w:rPr>
        <w:t> </w:t>
      </w:r>
      <w:r>
        <w:rPr/>
        <w:t>A.</w:t>
      </w:r>
      <w:r>
        <w:rPr>
          <w:spacing w:val="-3"/>
        </w:rPr>
        <w:t> </w:t>
      </w:r>
      <w:r>
        <w:rPr/>
        <w:t>E.,</w:t>
      </w:r>
      <w:r>
        <w:rPr>
          <w:spacing w:val="-1"/>
        </w:rPr>
        <w:t> </w:t>
      </w:r>
      <w:r>
        <w:rPr/>
        <w:t>Scott,</w:t>
      </w:r>
      <w:r>
        <w:rPr>
          <w:spacing w:val="-1"/>
        </w:rPr>
        <w:t> </w:t>
      </w:r>
      <w:r>
        <w:rPr/>
        <w:t>T.</w:t>
      </w:r>
      <w:r>
        <w:rPr>
          <w:spacing w:val="-2"/>
        </w:rPr>
        <w:t> </w:t>
      </w:r>
      <w:r>
        <w:rPr/>
        <w:t>B.,</w:t>
      </w:r>
      <w:r>
        <w:rPr>
          <w:spacing w:val="-2"/>
        </w:rPr>
        <w:t> &amp;Hallam,</w:t>
      </w:r>
    </w:p>
    <w:p>
      <w:pPr>
        <w:pStyle w:val="BodyText"/>
        <w:ind w:left="921" w:right="120"/>
        <w:jc w:val="both"/>
      </w:pPr>
      <w:r>
        <w:rPr/>
        <w:t>K. R. (2011). Green synthesis of iron nanoparticles and their application as a Fenton-like catalyst for the degradation of aqueous cationic and anionic dyes. </w:t>
      </w:r>
      <w:r>
        <w:rPr>
          <w:i/>
        </w:rPr>
        <w:t>Chemical Engineering Journal</w:t>
      </w:r>
      <w:r>
        <w:rPr/>
        <w:t>, 172 (1), 258-266.</w:t>
      </w:r>
    </w:p>
    <w:p>
      <w:pPr>
        <w:pStyle w:val="BodyText"/>
        <w:spacing w:before="10"/>
        <w:rPr>
          <w:sz w:val="20"/>
        </w:rPr>
      </w:pPr>
    </w:p>
    <w:p>
      <w:pPr>
        <w:pStyle w:val="BodyText"/>
        <w:ind w:left="833" w:right="118" w:hanging="632"/>
        <w:jc w:val="both"/>
      </w:pPr>
      <w:r>
        <w:rPr/>
        <w:t>Singha, L. P., Kotoky, R. &amp; Pandey, P. (2017). Draft Genomic Analysis of </w:t>
      </w:r>
      <w:r>
        <w:rPr>
          <w:i/>
        </w:rPr>
        <w:t>Alcaligenesfaecalis</w:t>
      </w:r>
      <w:r>
        <w:rPr/>
        <w:t>BDB4, a Polyaromatic Hydrocarbon- Degrading Bacterium Isolated from oil - Contaminated Soil. </w:t>
      </w:r>
      <w:r>
        <w:rPr>
          <w:i/>
        </w:rPr>
        <w:t>Genome Announcement, </w:t>
      </w:r>
      <w:r>
        <w:rPr/>
        <w:t>5 (48), 1-17.</w:t>
      </w:r>
    </w:p>
    <w:p>
      <w:pPr>
        <w:pStyle w:val="BodyText"/>
        <w:spacing w:before="10"/>
        <w:rPr>
          <w:sz w:val="20"/>
        </w:rPr>
      </w:pPr>
    </w:p>
    <w:p>
      <w:pPr>
        <w:pStyle w:val="BodyText"/>
        <w:ind w:left="921" w:right="118" w:hanging="720"/>
        <w:jc w:val="both"/>
      </w:pPr>
      <w:r>
        <w:rPr/>
        <w:t>Sobrinho, H. B., Luna, J. M., Rufino, R. D., Porto, A. L. F., &amp; Sarubbo, L. A. (2013). Biosurfactants:</w:t>
      </w:r>
      <w:r>
        <w:rPr>
          <w:spacing w:val="-2"/>
        </w:rPr>
        <w:t> </w:t>
      </w:r>
      <w:r>
        <w:rPr/>
        <w:t>Classification,</w:t>
      </w:r>
      <w:r>
        <w:rPr>
          <w:spacing w:val="-3"/>
        </w:rPr>
        <w:t> </w:t>
      </w:r>
      <w:r>
        <w:rPr/>
        <w:t>properties</w:t>
      </w:r>
      <w:r>
        <w:rPr>
          <w:spacing w:val="-3"/>
        </w:rPr>
        <w:t> </w:t>
      </w:r>
      <w:r>
        <w:rPr/>
        <w:t>and</w:t>
      </w:r>
      <w:r>
        <w:rPr>
          <w:spacing w:val="-3"/>
        </w:rPr>
        <w:t> </w:t>
      </w:r>
      <w:r>
        <w:rPr/>
        <w:t>environmental</w:t>
      </w:r>
      <w:r>
        <w:rPr>
          <w:spacing w:val="-3"/>
        </w:rPr>
        <w:t> </w:t>
      </w:r>
      <w:r>
        <w:rPr/>
        <w:t>applications. </w:t>
      </w:r>
      <w:r>
        <w:rPr>
          <w:i/>
        </w:rPr>
        <w:t>Recent Developments in Biotechnology</w:t>
      </w:r>
      <w:r>
        <w:rPr/>
        <w:t>, 11, 1-29.</w:t>
      </w:r>
    </w:p>
    <w:p>
      <w:pPr>
        <w:spacing w:after="0"/>
        <w:jc w:val="both"/>
        <w:sectPr>
          <w:pgSz w:w="11910" w:h="16840"/>
          <w:pgMar w:header="0" w:footer="1002" w:top="1320" w:bottom="1200" w:left="1500" w:right="1580"/>
        </w:sectPr>
      </w:pPr>
    </w:p>
    <w:p>
      <w:pPr>
        <w:pStyle w:val="BodyText"/>
        <w:spacing w:before="69"/>
        <w:ind w:left="921" w:right="119" w:hanging="720"/>
        <w:jc w:val="both"/>
      </w:pPr>
      <w:r>
        <w:rPr/>
        <w:t>Stephen, E., Emmanuel, O. E., Emmanuel, O. S., Emmanuel, S., Temola, O. T., Musa, K., &amp; Ebiloma, I. P. (2013). In vitro study</w:t>
      </w:r>
      <w:r>
        <w:rPr>
          <w:spacing w:val="-3"/>
        </w:rPr>
        <w:t> </w:t>
      </w:r>
      <w:r>
        <w:rPr/>
        <w:t>of biodegradation of spent lubricating oil by </w:t>
      </w:r>
      <w:r>
        <w:rPr>
          <w:i/>
        </w:rPr>
        <w:t>Aspergillusniger</w:t>
      </w:r>
      <w:r>
        <w:rPr/>
        <w:t>. </w:t>
      </w:r>
      <w:r>
        <w:rPr>
          <w:i/>
        </w:rPr>
        <w:t>Nature and Science, </w:t>
      </w:r>
      <w:r>
        <w:rPr/>
        <w:t>11 (10), 40-44.</w:t>
      </w:r>
    </w:p>
    <w:p>
      <w:pPr>
        <w:pStyle w:val="BodyText"/>
        <w:spacing w:before="11"/>
        <w:rPr>
          <w:sz w:val="20"/>
        </w:rPr>
      </w:pPr>
    </w:p>
    <w:p>
      <w:pPr>
        <w:pStyle w:val="BodyText"/>
        <w:ind w:left="202"/>
      </w:pPr>
      <w:r>
        <w:rPr/>
        <w:t>Suliman,</w:t>
      </w:r>
      <w:r>
        <w:rPr>
          <w:spacing w:val="-15"/>
        </w:rPr>
        <w:t> </w:t>
      </w:r>
      <w:r>
        <w:rPr/>
        <w:t>W.,</w:t>
      </w:r>
      <w:r>
        <w:rPr>
          <w:spacing w:val="-13"/>
        </w:rPr>
        <w:t> </w:t>
      </w:r>
      <w:r>
        <w:rPr/>
        <w:t>Harsh,</w:t>
      </w:r>
      <w:r>
        <w:rPr>
          <w:spacing w:val="-14"/>
        </w:rPr>
        <w:t> </w:t>
      </w:r>
      <w:r>
        <w:rPr/>
        <w:t>J.</w:t>
      </w:r>
      <w:r>
        <w:rPr>
          <w:spacing w:val="-13"/>
        </w:rPr>
        <w:t> </w:t>
      </w:r>
      <w:r>
        <w:rPr/>
        <w:t>B.,</w:t>
      </w:r>
      <w:r>
        <w:rPr>
          <w:spacing w:val="-13"/>
        </w:rPr>
        <w:t> </w:t>
      </w:r>
      <w:r>
        <w:rPr/>
        <w:t>Abu-Lail,</w:t>
      </w:r>
      <w:r>
        <w:rPr>
          <w:spacing w:val="-14"/>
        </w:rPr>
        <w:t> </w:t>
      </w:r>
      <w:r>
        <w:rPr/>
        <w:t>N.</w:t>
      </w:r>
      <w:r>
        <w:rPr>
          <w:spacing w:val="-9"/>
        </w:rPr>
        <w:t> </w:t>
      </w:r>
      <w:r>
        <w:rPr/>
        <w:t>I.,</w:t>
      </w:r>
      <w:r>
        <w:rPr>
          <w:spacing w:val="-12"/>
        </w:rPr>
        <w:t> </w:t>
      </w:r>
      <w:r>
        <w:rPr/>
        <w:t>Fortuna,</w:t>
      </w:r>
      <w:r>
        <w:rPr>
          <w:spacing w:val="-11"/>
        </w:rPr>
        <w:t> </w:t>
      </w:r>
      <w:r>
        <w:rPr/>
        <w:t>A.</w:t>
      </w:r>
      <w:r>
        <w:rPr>
          <w:spacing w:val="-14"/>
        </w:rPr>
        <w:t> </w:t>
      </w:r>
      <w:r>
        <w:rPr/>
        <w:t>M.,</w:t>
      </w:r>
      <w:r>
        <w:rPr>
          <w:spacing w:val="-13"/>
        </w:rPr>
        <w:t> </w:t>
      </w:r>
      <w:r>
        <w:rPr/>
        <w:t>Dallmeyer,</w:t>
      </w:r>
      <w:r>
        <w:rPr>
          <w:spacing w:val="-12"/>
        </w:rPr>
        <w:t> </w:t>
      </w:r>
      <w:r>
        <w:rPr/>
        <w:t>I.,</w:t>
      </w:r>
      <w:r>
        <w:rPr>
          <w:spacing w:val="-11"/>
        </w:rPr>
        <w:t> </w:t>
      </w:r>
      <w:r>
        <w:rPr/>
        <w:t>&amp;</w:t>
      </w:r>
      <w:r>
        <w:rPr>
          <w:spacing w:val="-10"/>
        </w:rPr>
        <w:t> </w:t>
      </w:r>
      <w:r>
        <w:rPr/>
        <w:t>Garcia-</w:t>
      </w:r>
      <w:r>
        <w:rPr>
          <w:spacing w:val="-2"/>
        </w:rPr>
        <w:t>Perez,</w:t>
      </w:r>
    </w:p>
    <w:p>
      <w:pPr>
        <w:pStyle w:val="BodyText"/>
        <w:ind w:left="921"/>
      </w:pPr>
      <w:r>
        <w:rPr/>
        <w:t>M. (2016). Influence of feedstock source and pyrolysis temperature on biochar bulk and surface properties. </w:t>
      </w:r>
      <w:r>
        <w:rPr>
          <w:i/>
        </w:rPr>
        <w:t>Biomass Bioenergy. </w:t>
      </w:r>
      <w:r>
        <w:rPr/>
        <w:t>84, 37–48.</w:t>
      </w:r>
    </w:p>
    <w:p>
      <w:pPr>
        <w:pStyle w:val="BodyText"/>
        <w:spacing w:before="10"/>
        <w:rPr>
          <w:sz w:val="20"/>
        </w:rPr>
      </w:pPr>
    </w:p>
    <w:p>
      <w:pPr>
        <w:spacing w:before="0"/>
        <w:ind w:left="921" w:right="123" w:hanging="720"/>
        <w:jc w:val="both"/>
        <w:rPr>
          <w:sz w:val="24"/>
        </w:rPr>
      </w:pPr>
      <w:r>
        <w:rPr>
          <w:sz w:val="24"/>
        </w:rPr>
        <w:t>Thapa, B., Kc, A. K., &amp; Ghimire, A. (2012). A review on bioremediation of petroleum hydrocarbon contaminants in soil. </w:t>
      </w:r>
      <w:r>
        <w:rPr>
          <w:i/>
          <w:sz w:val="24"/>
        </w:rPr>
        <w:t>Kathmandu University Journal of Science, Engineering and Technology, </w:t>
      </w:r>
      <w:r>
        <w:rPr>
          <w:sz w:val="24"/>
        </w:rPr>
        <w:t>8 (1), 164-170.</w:t>
      </w:r>
    </w:p>
    <w:p>
      <w:pPr>
        <w:pStyle w:val="BodyText"/>
        <w:spacing w:before="10"/>
        <w:rPr>
          <w:sz w:val="20"/>
        </w:rPr>
      </w:pPr>
    </w:p>
    <w:p>
      <w:pPr>
        <w:spacing w:before="0"/>
        <w:ind w:left="921" w:right="124" w:hanging="720"/>
        <w:jc w:val="both"/>
        <w:rPr>
          <w:sz w:val="24"/>
        </w:rPr>
      </w:pPr>
      <w:r>
        <w:rPr>
          <w:sz w:val="24"/>
        </w:rPr>
        <w:t>Trindade,</w:t>
      </w:r>
      <w:r>
        <w:rPr>
          <w:sz w:val="24"/>
        </w:rPr>
        <w:t> L.</w:t>
      </w:r>
      <w:r>
        <w:rPr>
          <w:sz w:val="24"/>
        </w:rPr>
        <w:t> C.</w:t>
      </w:r>
      <w:r>
        <w:rPr>
          <w:sz w:val="24"/>
        </w:rPr>
        <w:t> D., Marques, E., Lopes, D. B., &amp; Ferreira, M. A. D. S. V. (2007). Development of a molecular method for detection and identification of </w:t>
      </w:r>
      <w:r>
        <w:rPr>
          <w:i/>
          <w:sz w:val="24"/>
        </w:rPr>
        <w:t>Xanthomonascampestris </w:t>
      </w:r>
      <w:r>
        <w:rPr>
          <w:sz w:val="24"/>
        </w:rPr>
        <w:t>pv. </w:t>
      </w:r>
      <w:r>
        <w:rPr>
          <w:i/>
          <w:sz w:val="24"/>
        </w:rPr>
        <w:t>Viticola</w:t>
      </w:r>
      <w:r>
        <w:rPr>
          <w:sz w:val="24"/>
        </w:rPr>
        <w:t>. </w:t>
      </w:r>
      <w:r>
        <w:rPr>
          <w:i/>
          <w:sz w:val="24"/>
        </w:rPr>
        <w:t>Summa Phytopathologica</w:t>
      </w:r>
      <w:r>
        <w:rPr>
          <w:sz w:val="24"/>
        </w:rPr>
        <w:t>, 33 (1), 16-23.</w:t>
      </w:r>
    </w:p>
    <w:p>
      <w:pPr>
        <w:pStyle w:val="BodyText"/>
        <w:spacing w:before="10"/>
        <w:rPr>
          <w:sz w:val="20"/>
        </w:rPr>
      </w:pPr>
    </w:p>
    <w:p>
      <w:pPr>
        <w:pStyle w:val="BodyText"/>
        <w:spacing w:before="1"/>
        <w:ind w:left="921" w:right="117" w:hanging="720"/>
        <w:jc w:val="both"/>
      </w:pPr>
      <w:r>
        <w:rPr/>
        <w:t>Tuček,</w:t>
      </w:r>
      <w:r>
        <w:rPr>
          <w:spacing w:val="-15"/>
        </w:rPr>
        <w:t> </w:t>
      </w:r>
      <w:r>
        <w:rPr/>
        <w:t>J.,</w:t>
      </w:r>
      <w:r>
        <w:rPr>
          <w:spacing w:val="-15"/>
        </w:rPr>
        <w:t> </w:t>
      </w:r>
      <w:r>
        <w:rPr/>
        <w:t>Machala,</w:t>
      </w:r>
      <w:r>
        <w:rPr>
          <w:spacing w:val="-13"/>
        </w:rPr>
        <w:t> </w:t>
      </w:r>
      <w:r>
        <w:rPr/>
        <w:t>L.,</w:t>
      </w:r>
      <w:r>
        <w:rPr>
          <w:spacing w:val="-15"/>
        </w:rPr>
        <w:t> </w:t>
      </w:r>
      <w:r>
        <w:rPr/>
        <w:t>Ono,</w:t>
      </w:r>
      <w:r>
        <w:rPr>
          <w:spacing w:val="-15"/>
        </w:rPr>
        <w:t> </w:t>
      </w:r>
      <w:r>
        <w:rPr/>
        <w:t>S.,</w:t>
      </w:r>
      <w:r>
        <w:rPr>
          <w:spacing w:val="-15"/>
        </w:rPr>
        <w:t> </w:t>
      </w:r>
      <w:r>
        <w:rPr/>
        <w:t>Namai,</w:t>
      </w:r>
      <w:r>
        <w:rPr>
          <w:spacing w:val="-15"/>
        </w:rPr>
        <w:t> </w:t>
      </w:r>
      <w:r>
        <w:rPr/>
        <w:t>A.,</w:t>
      </w:r>
      <w:r>
        <w:rPr>
          <w:spacing w:val="-15"/>
        </w:rPr>
        <w:t> </w:t>
      </w:r>
      <w:r>
        <w:rPr/>
        <w:t>Yoshikiyo,</w:t>
      </w:r>
      <w:r>
        <w:rPr>
          <w:spacing w:val="-15"/>
        </w:rPr>
        <w:t> </w:t>
      </w:r>
      <w:r>
        <w:rPr/>
        <w:t>M.,</w:t>
      </w:r>
      <w:r>
        <w:rPr>
          <w:spacing w:val="-13"/>
        </w:rPr>
        <w:t> </w:t>
      </w:r>
      <w:r>
        <w:rPr/>
        <w:t>Imoto,</w:t>
      </w:r>
      <w:r>
        <w:rPr>
          <w:spacing w:val="-15"/>
        </w:rPr>
        <w:t> </w:t>
      </w:r>
      <w:r>
        <w:rPr/>
        <w:t>K.,&amp;</w:t>
      </w:r>
      <w:r>
        <w:rPr>
          <w:spacing w:val="-15"/>
        </w:rPr>
        <w:t> </w:t>
      </w:r>
      <w:r>
        <w:rPr/>
        <w:t>Zbořil,</w:t>
      </w:r>
      <w:r>
        <w:rPr>
          <w:spacing w:val="-15"/>
        </w:rPr>
        <w:t> </w:t>
      </w:r>
      <w:r>
        <w:rPr/>
        <w:t>R.</w:t>
      </w:r>
      <w:r>
        <w:rPr>
          <w:spacing w:val="-15"/>
        </w:rPr>
        <w:t> </w:t>
      </w:r>
      <w:r>
        <w:rPr/>
        <w:t>(2015). Zeta-Fe 2 O 3–A new stable polymorph in iron (III) oxide family. </w:t>
      </w:r>
      <w:r>
        <w:rPr>
          <w:i/>
        </w:rPr>
        <w:t>Scientific Reports</w:t>
      </w:r>
      <w:r>
        <w:rPr/>
        <w:t>, 5, 15091.</w:t>
      </w:r>
    </w:p>
    <w:p>
      <w:pPr>
        <w:pStyle w:val="BodyText"/>
        <w:spacing w:before="9"/>
        <w:rPr>
          <w:sz w:val="20"/>
        </w:rPr>
      </w:pPr>
    </w:p>
    <w:p>
      <w:pPr>
        <w:spacing w:line="242" w:lineRule="auto" w:before="1"/>
        <w:ind w:left="921" w:right="116" w:hanging="720"/>
        <w:jc w:val="both"/>
        <w:rPr>
          <w:sz w:val="24"/>
        </w:rPr>
      </w:pPr>
      <w:r>
        <w:rPr>
          <w:sz w:val="24"/>
        </w:rPr>
        <w:t>Varjani,</w:t>
      </w:r>
      <w:r>
        <w:rPr>
          <w:sz w:val="24"/>
        </w:rPr>
        <w:t> S. J. (2017).microbial degradation of petroleum hydrocarbons. </w:t>
      </w:r>
      <w:r>
        <w:rPr>
          <w:i/>
          <w:sz w:val="24"/>
        </w:rPr>
        <w:t>Bioresorce Technology, </w:t>
      </w:r>
      <w:r>
        <w:rPr>
          <w:sz w:val="24"/>
        </w:rPr>
        <w:t>223, 277-286.</w:t>
      </w:r>
    </w:p>
    <w:p>
      <w:pPr>
        <w:pStyle w:val="BodyText"/>
        <w:spacing w:before="196"/>
        <w:ind w:left="921" w:right="115" w:hanging="720"/>
        <w:jc w:val="both"/>
      </w:pPr>
      <w:r>
        <w:rPr/>
        <w:t>Varjani, S. J., &amp; Upasani, V. N. (2016). Carbon spectrum utilization by an indigenous strain of Pseudomonas aeruginosa NCIM 5514: Production, characterization and surface</w:t>
      </w:r>
      <w:r>
        <w:rPr>
          <w:spacing w:val="-8"/>
        </w:rPr>
        <w:t> </w:t>
      </w:r>
      <w:r>
        <w:rPr/>
        <w:t>active</w:t>
      </w:r>
      <w:r>
        <w:rPr>
          <w:spacing w:val="-8"/>
        </w:rPr>
        <w:t> </w:t>
      </w:r>
      <w:r>
        <w:rPr/>
        <w:t>properties</w:t>
      </w:r>
      <w:r>
        <w:rPr>
          <w:spacing w:val="-4"/>
        </w:rPr>
        <w:t> </w:t>
      </w:r>
      <w:r>
        <w:rPr/>
        <w:t>of</w:t>
      </w:r>
      <w:r>
        <w:rPr>
          <w:spacing w:val="-7"/>
        </w:rPr>
        <w:t> </w:t>
      </w:r>
      <w:r>
        <w:rPr/>
        <w:t>biosurfactant.</w:t>
      </w:r>
      <w:r>
        <w:rPr>
          <w:spacing w:val="-5"/>
        </w:rPr>
        <w:t> </w:t>
      </w:r>
      <w:r>
        <w:rPr>
          <w:i/>
        </w:rPr>
        <w:t>Bioresource</w:t>
      </w:r>
      <w:r>
        <w:rPr>
          <w:i/>
          <w:spacing w:val="-8"/>
        </w:rPr>
        <w:t> </w:t>
      </w:r>
      <w:r>
        <w:rPr>
          <w:i/>
        </w:rPr>
        <w:t>Technology</w:t>
      </w:r>
      <w:r>
        <w:rPr/>
        <w:t>,</w:t>
      </w:r>
      <w:r>
        <w:rPr>
          <w:spacing w:val="-7"/>
        </w:rPr>
        <w:t> </w:t>
      </w:r>
      <w:r>
        <w:rPr/>
        <w:t>221</w:t>
      </w:r>
      <w:r>
        <w:rPr>
          <w:spacing w:val="-6"/>
        </w:rPr>
        <w:t> </w:t>
      </w:r>
      <w:r>
        <w:rPr/>
        <w:t>(5),</w:t>
      </w:r>
      <w:r>
        <w:rPr>
          <w:spacing w:val="-7"/>
        </w:rPr>
        <w:t> </w:t>
      </w:r>
      <w:r>
        <w:rPr/>
        <w:t>510– </w:t>
      </w:r>
      <w:r>
        <w:rPr>
          <w:spacing w:val="-4"/>
        </w:rPr>
        <w:t>516.</w:t>
      </w:r>
    </w:p>
    <w:p>
      <w:pPr>
        <w:pStyle w:val="BodyText"/>
        <w:spacing w:before="10"/>
        <w:rPr>
          <w:sz w:val="20"/>
        </w:rPr>
      </w:pPr>
    </w:p>
    <w:p>
      <w:pPr>
        <w:spacing w:before="0"/>
        <w:ind w:left="921" w:right="117" w:hanging="720"/>
        <w:jc w:val="both"/>
        <w:rPr>
          <w:sz w:val="24"/>
        </w:rPr>
      </w:pPr>
      <w:r>
        <w:rPr>
          <w:sz w:val="24"/>
        </w:rPr>
        <w:t>Varjani,</w:t>
      </w:r>
      <w:r>
        <w:rPr>
          <w:sz w:val="24"/>
        </w:rPr>
        <w:t> S. J., &amp; Upasani, V. N. (2017). A new look on factors affecting microbial degradation</w:t>
      </w:r>
      <w:r>
        <w:rPr>
          <w:spacing w:val="-2"/>
          <w:sz w:val="24"/>
        </w:rPr>
        <w:t> </w:t>
      </w:r>
      <w:r>
        <w:rPr>
          <w:sz w:val="24"/>
        </w:rPr>
        <w:t>of</w:t>
      </w:r>
      <w:r>
        <w:rPr>
          <w:spacing w:val="-2"/>
          <w:sz w:val="24"/>
        </w:rPr>
        <w:t> </w:t>
      </w:r>
      <w:r>
        <w:rPr>
          <w:sz w:val="24"/>
        </w:rPr>
        <w:t>petroleum</w:t>
      </w:r>
      <w:r>
        <w:rPr>
          <w:spacing w:val="-1"/>
          <w:sz w:val="24"/>
        </w:rPr>
        <w:t> </w:t>
      </w:r>
      <w:r>
        <w:rPr>
          <w:sz w:val="24"/>
        </w:rPr>
        <w:t>hydrocarbon</w:t>
      </w:r>
      <w:r>
        <w:rPr>
          <w:spacing w:val="-2"/>
          <w:sz w:val="24"/>
        </w:rPr>
        <w:t> </w:t>
      </w:r>
      <w:r>
        <w:rPr>
          <w:sz w:val="24"/>
        </w:rPr>
        <w:t>pollutants. </w:t>
      </w:r>
      <w:r>
        <w:rPr>
          <w:i/>
          <w:sz w:val="24"/>
        </w:rPr>
        <w:t>International</w:t>
      </w:r>
      <w:r>
        <w:rPr>
          <w:i/>
          <w:spacing w:val="-1"/>
          <w:sz w:val="24"/>
        </w:rPr>
        <w:t> </w:t>
      </w:r>
      <w:r>
        <w:rPr>
          <w:i/>
          <w:sz w:val="24"/>
        </w:rPr>
        <w:t>Biodeterioration &amp; Biodegradation</w:t>
      </w:r>
      <w:r>
        <w:rPr>
          <w:sz w:val="24"/>
        </w:rPr>
        <w:t>, 120, 71-83.</w:t>
      </w:r>
    </w:p>
    <w:p>
      <w:pPr>
        <w:pStyle w:val="BodyText"/>
        <w:spacing w:before="5"/>
      </w:pPr>
    </w:p>
    <w:p>
      <w:pPr>
        <w:pStyle w:val="BodyText"/>
        <w:spacing w:line="275" w:lineRule="exact"/>
        <w:ind w:left="202"/>
      </w:pPr>
      <w:r>
        <w:rPr/>
        <w:t>Vijayakumar,</w:t>
      </w:r>
      <w:r>
        <w:rPr>
          <w:spacing w:val="-13"/>
        </w:rPr>
        <w:t> </w:t>
      </w:r>
      <w:r>
        <w:rPr/>
        <w:t>S.</w:t>
      </w:r>
      <w:r>
        <w:rPr>
          <w:spacing w:val="-10"/>
        </w:rPr>
        <w:t> </w:t>
      </w:r>
      <w:r>
        <w:rPr/>
        <w:t>&amp;</w:t>
      </w:r>
      <w:r>
        <w:rPr>
          <w:spacing w:val="-11"/>
        </w:rPr>
        <w:t> </w:t>
      </w:r>
      <w:r>
        <w:rPr/>
        <w:t>Saravanan,</w:t>
      </w:r>
      <w:r>
        <w:rPr>
          <w:spacing w:val="-12"/>
        </w:rPr>
        <w:t> </w:t>
      </w:r>
      <w:r>
        <w:rPr/>
        <w:t>V.</w:t>
      </w:r>
      <w:r>
        <w:rPr>
          <w:spacing w:val="-11"/>
        </w:rPr>
        <w:t> </w:t>
      </w:r>
      <w:r>
        <w:rPr/>
        <w:t>(2015).</w:t>
      </w:r>
      <w:r>
        <w:rPr>
          <w:spacing w:val="40"/>
        </w:rPr>
        <w:t> </w:t>
      </w:r>
      <w:r>
        <w:rPr/>
        <w:t>Biosurfactant-Types,</w:t>
      </w:r>
      <w:r>
        <w:rPr>
          <w:spacing w:val="-13"/>
        </w:rPr>
        <w:t> </w:t>
      </w:r>
      <w:r>
        <w:rPr/>
        <w:t>sources</w:t>
      </w:r>
      <w:r>
        <w:rPr>
          <w:spacing w:val="-9"/>
        </w:rPr>
        <w:t> </w:t>
      </w:r>
      <w:r>
        <w:rPr/>
        <w:t>and</w:t>
      </w:r>
      <w:r>
        <w:rPr>
          <w:spacing w:val="-12"/>
        </w:rPr>
        <w:t> </w:t>
      </w:r>
      <w:r>
        <w:rPr>
          <w:spacing w:val="-2"/>
        </w:rPr>
        <w:t>applications.</w:t>
      </w:r>
    </w:p>
    <w:p>
      <w:pPr>
        <w:spacing w:line="275" w:lineRule="exact" w:before="0"/>
        <w:ind w:left="921" w:right="0" w:firstLine="0"/>
        <w:jc w:val="left"/>
        <w:rPr>
          <w:sz w:val="24"/>
        </w:rPr>
      </w:pPr>
      <w:r>
        <w:rPr>
          <w:i/>
          <w:sz w:val="24"/>
        </w:rPr>
        <w:t>Research</w:t>
      </w:r>
      <w:r>
        <w:rPr>
          <w:i/>
          <w:spacing w:val="-2"/>
          <w:sz w:val="24"/>
        </w:rPr>
        <w:t> </w:t>
      </w:r>
      <w:r>
        <w:rPr>
          <w:i/>
          <w:sz w:val="24"/>
        </w:rPr>
        <w:t>Journal</w:t>
      </w:r>
      <w:r>
        <w:rPr>
          <w:i/>
          <w:spacing w:val="-2"/>
          <w:sz w:val="24"/>
        </w:rPr>
        <w:t> </w:t>
      </w:r>
      <w:r>
        <w:rPr>
          <w:i/>
          <w:sz w:val="24"/>
        </w:rPr>
        <w:t>of</w:t>
      </w:r>
      <w:r>
        <w:rPr>
          <w:i/>
          <w:spacing w:val="-2"/>
          <w:sz w:val="24"/>
        </w:rPr>
        <w:t> </w:t>
      </w:r>
      <w:r>
        <w:rPr>
          <w:i/>
          <w:sz w:val="24"/>
        </w:rPr>
        <w:t>Microbiology</w:t>
      </w:r>
      <w:r>
        <w:rPr>
          <w:sz w:val="24"/>
        </w:rPr>
        <w:t>,</w:t>
      </w:r>
      <w:r>
        <w:rPr>
          <w:spacing w:val="-2"/>
          <w:sz w:val="24"/>
        </w:rPr>
        <w:t> </w:t>
      </w:r>
      <w:r>
        <w:rPr>
          <w:sz w:val="24"/>
        </w:rPr>
        <w:t>10</w:t>
      </w:r>
      <w:r>
        <w:rPr>
          <w:spacing w:val="-2"/>
          <w:sz w:val="24"/>
        </w:rPr>
        <w:t> </w:t>
      </w:r>
      <w:r>
        <w:rPr>
          <w:sz w:val="24"/>
        </w:rPr>
        <w:t>(5),</w:t>
      </w:r>
      <w:r>
        <w:rPr>
          <w:spacing w:val="-2"/>
          <w:sz w:val="24"/>
        </w:rPr>
        <w:t> </w:t>
      </w:r>
      <w:r>
        <w:rPr>
          <w:sz w:val="24"/>
        </w:rPr>
        <w:t>181-</w:t>
      </w:r>
      <w:r>
        <w:rPr>
          <w:spacing w:val="-5"/>
          <w:sz w:val="24"/>
        </w:rPr>
        <w:t>192</w:t>
      </w:r>
    </w:p>
    <w:p>
      <w:pPr>
        <w:pStyle w:val="BodyText"/>
        <w:spacing w:before="10"/>
        <w:rPr>
          <w:sz w:val="20"/>
        </w:rPr>
      </w:pPr>
    </w:p>
    <w:p>
      <w:pPr>
        <w:pStyle w:val="BodyText"/>
        <w:ind w:left="921" w:right="117" w:hanging="720"/>
        <w:jc w:val="both"/>
      </w:pPr>
      <w:r>
        <w:rPr/>
        <w:t>Vu, K.A., Tawfiq, K., &amp; Chen, G. (2015). Rhamnolipid transport in biochar-amended agricultural soil. </w:t>
      </w:r>
      <w:r>
        <w:rPr>
          <w:i/>
        </w:rPr>
        <w:t>Water Air Soil Pollution</w:t>
      </w:r>
      <w:r>
        <w:rPr/>
        <w:t>, 226 (256), 118-225.</w:t>
      </w:r>
    </w:p>
    <w:p>
      <w:pPr>
        <w:pStyle w:val="BodyText"/>
        <w:spacing w:before="11"/>
        <w:rPr>
          <w:sz w:val="20"/>
        </w:rPr>
      </w:pPr>
    </w:p>
    <w:p>
      <w:pPr>
        <w:pStyle w:val="BodyText"/>
        <w:ind w:left="921" w:right="123" w:hanging="720"/>
        <w:jc w:val="both"/>
      </w:pPr>
      <w:r>
        <w:rPr/>
        <w:t>Wang, T., Jin, X.,Chen, Z., Megharaj, M., &amp; Naidu, R. (2014). Green synthesis of Fe nanoparticles</w:t>
      </w:r>
      <w:r>
        <w:rPr>
          <w:spacing w:val="-9"/>
        </w:rPr>
        <w:t> </w:t>
      </w:r>
      <w:r>
        <w:rPr/>
        <w:t>using</w:t>
      </w:r>
      <w:r>
        <w:rPr>
          <w:spacing w:val="-12"/>
        </w:rPr>
        <w:t> </w:t>
      </w:r>
      <w:r>
        <w:rPr/>
        <w:t>Eucalyptus</w:t>
      </w:r>
      <w:r>
        <w:rPr>
          <w:spacing w:val="-9"/>
        </w:rPr>
        <w:t> </w:t>
      </w:r>
      <w:r>
        <w:rPr/>
        <w:t>leaf</w:t>
      </w:r>
      <w:r>
        <w:rPr>
          <w:spacing w:val="-10"/>
        </w:rPr>
        <w:t> </w:t>
      </w:r>
      <w:r>
        <w:rPr/>
        <w:t>extracts</w:t>
      </w:r>
      <w:r>
        <w:rPr>
          <w:spacing w:val="-9"/>
        </w:rPr>
        <w:t> </w:t>
      </w:r>
      <w:r>
        <w:rPr/>
        <w:t>for</w:t>
      </w:r>
      <w:r>
        <w:rPr>
          <w:spacing w:val="-9"/>
        </w:rPr>
        <w:t> </w:t>
      </w:r>
      <w:r>
        <w:rPr/>
        <w:t>treatment</w:t>
      </w:r>
      <w:r>
        <w:rPr>
          <w:spacing w:val="-9"/>
        </w:rPr>
        <w:t> </w:t>
      </w:r>
      <w:r>
        <w:rPr/>
        <w:t>of</w:t>
      </w:r>
      <w:r>
        <w:rPr>
          <w:spacing w:val="-10"/>
        </w:rPr>
        <w:t> </w:t>
      </w:r>
      <w:r>
        <w:rPr/>
        <w:t>eutrohic</w:t>
      </w:r>
      <w:r>
        <w:rPr>
          <w:spacing w:val="-8"/>
        </w:rPr>
        <w:t> </w:t>
      </w:r>
      <w:r>
        <w:rPr/>
        <w:t>wastewater. </w:t>
      </w:r>
      <w:r>
        <w:rPr>
          <w:i/>
        </w:rPr>
        <w:t>Science of the Total Environment</w:t>
      </w:r>
      <w:r>
        <w:rPr/>
        <w:t>, 466, 210-213.</w:t>
      </w:r>
    </w:p>
    <w:p>
      <w:pPr>
        <w:pStyle w:val="BodyText"/>
        <w:spacing w:before="10"/>
        <w:rPr>
          <w:sz w:val="20"/>
        </w:rPr>
      </w:pPr>
    </w:p>
    <w:p>
      <w:pPr>
        <w:pStyle w:val="BodyText"/>
        <w:ind w:left="921" w:right="122" w:hanging="720"/>
        <w:jc w:val="both"/>
      </w:pPr>
      <w:r>
        <w:rPr/>
        <w:t>Wang, T., Lin, J., Chen, Z., Megharaj, M., &amp; Naidu, R. (2014). Green synthesized iron nanoparticles by green tea and eucalyptus leaves extracts used for removal od nitrate in aqueous solution. </w:t>
      </w:r>
      <w:r>
        <w:rPr>
          <w:i/>
        </w:rPr>
        <w:t>Journal of Cleaner Production, </w:t>
      </w:r>
      <w:r>
        <w:rPr/>
        <w:t>83, 413-419.</w:t>
      </w:r>
    </w:p>
    <w:p>
      <w:pPr>
        <w:pStyle w:val="BodyText"/>
        <w:spacing w:before="10"/>
        <w:rPr>
          <w:sz w:val="20"/>
        </w:rPr>
      </w:pPr>
    </w:p>
    <w:p>
      <w:pPr>
        <w:spacing w:before="0"/>
        <w:ind w:left="921" w:right="117" w:hanging="720"/>
        <w:jc w:val="both"/>
        <w:rPr>
          <w:sz w:val="24"/>
        </w:rPr>
      </w:pPr>
      <w:r>
        <w:rPr>
          <w:sz w:val="24"/>
        </w:rPr>
        <w:t>Wawrik, B, Kerkhof, L., Zylstra,G. J., &amp;Kukor, J. J. (2005). Identification of Unique Type II Polyketide Synthase Genes in Soil. </w:t>
      </w:r>
      <w:r>
        <w:rPr>
          <w:i/>
          <w:sz w:val="24"/>
        </w:rPr>
        <w:t>Applied and Environmental Microbiology</w:t>
      </w:r>
      <w:r>
        <w:rPr>
          <w:sz w:val="24"/>
        </w:rPr>
        <w:t>, 71 (5), 2232–2238.</w:t>
      </w:r>
    </w:p>
    <w:p>
      <w:pPr>
        <w:pStyle w:val="BodyText"/>
        <w:spacing w:before="10"/>
        <w:rPr>
          <w:sz w:val="20"/>
        </w:rPr>
      </w:pPr>
    </w:p>
    <w:p>
      <w:pPr>
        <w:pStyle w:val="BodyText"/>
        <w:spacing w:before="1"/>
        <w:ind w:left="833" w:right="122" w:hanging="632"/>
        <w:jc w:val="both"/>
      </w:pPr>
      <w:r>
        <w:rPr/>
        <w:t>Wokem, V. C., Odokuma, L. O. &amp; Ariole, C. N. (2017). Isolation and Characterization of</w:t>
      </w:r>
      <w:r>
        <w:rPr>
          <w:spacing w:val="-2"/>
        </w:rPr>
        <w:t> </w:t>
      </w:r>
      <w:r>
        <w:rPr/>
        <w:t>Hydrocarbon</w:t>
      </w:r>
      <w:r>
        <w:rPr>
          <w:spacing w:val="1"/>
        </w:rPr>
        <w:t> </w:t>
      </w:r>
      <w:r>
        <w:rPr/>
        <w:t>Utilizing</w:t>
      </w:r>
      <w:r>
        <w:rPr>
          <w:spacing w:val="-3"/>
        </w:rPr>
        <w:t> </w:t>
      </w:r>
      <w:r>
        <w:rPr/>
        <w:t>Bacteria</w:t>
      </w:r>
      <w:r>
        <w:rPr>
          <w:spacing w:val="1"/>
        </w:rPr>
        <w:t> </w:t>
      </w:r>
      <w:r>
        <w:rPr/>
        <w:t>from</w:t>
      </w:r>
      <w:r>
        <w:rPr>
          <w:spacing w:val="1"/>
        </w:rPr>
        <w:t> </w:t>
      </w:r>
      <w:r>
        <w:rPr/>
        <w:t>Petroleum</w:t>
      </w:r>
      <w:r>
        <w:rPr>
          <w:spacing w:val="2"/>
        </w:rPr>
        <w:t> </w:t>
      </w:r>
      <w:r>
        <w:rPr/>
        <w:t>Sludge samples obtained</w:t>
      </w:r>
      <w:r>
        <w:rPr>
          <w:spacing w:val="1"/>
        </w:rPr>
        <w:t> </w:t>
      </w:r>
      <w:r>
        <w:rPr>
          <w:spacing w:val="-4"/>
        </w:rPr>
        <w:t>from</w:t>
      </w:r>
    </w:p>
    <w:p>
      <w:pPr>
        <w:spacing w:after="0"/>
        <w:jc w:val="both"/>
        <w:sectPr>
          <w:pgSz w:w="11910" w:h="16840"/>
          <w:pgMar w:header="0" w:footer="1002" w:top="1320" w:bottom="1200" w:left="1500" w:right="1580"/>
        </w:sectPr>
      </w:pPr>
    </w:p>
    <w:p>
      <w:pPr>
        <w:spacing w:before="69"/>
        <w:ind w:left="833" w:right="0" w:firstLine="0"/>
        <w:jc w:val="left"/>
        <w:rPr>
          <w:sz w:val="24"/>
        </w:rPr>
      </w:pPr>
      <w:r>
        <w:rPr>
          <w:sz w:val="24"/>
        </w:rPr>
        <w:t>crude</w:t>
      </w:r>
      <w:r>
        <w:rPr>
          <w:spacing w:val="80"/>
          <w:sz w:val="24"/>
        </w:rPr>
        <w:t> </w:t>
      </w:r>
      <w:r>
        <w:rPr>
          <w:sz w:val="24"/>
        </w:rPr>
        <w:t>oil</w:t>
      </w:r>
      <w:r>
        <w:rPr>
          <w:spacing w:val="80"/>
          <w:sz w:val="24"/>
        </w:rPr>
        <w:t> </w:t>
      </w:r>
      <w:r>
        <w:rPr>
          <w:sz w:val="24"/>
        </w:rPr>
        <w:t>Processing</w:t>
      </w:r>
      <w:r>
        <w:rPr>
          <w:spacing w:val="80"/>
          <w:sz w:val="24"/>
        </w:rPr>
        <w:t> </w:t>
      </w:r>
      <w:r>
        <w:rPr>
          <w:sz w:val="24"/>
        </w:rPr>
        <w:t>Facility</w:t>
      </w:r>
      <w:r>
        <w:rPr>
          <w:spacing w:val="80"/>
          <w:sz w:val="24"/>
        </w:rPr>
        <w:t> </w:t>
      </w:r>
      <w:r>
        <w:rPr>
          <w:sz w:val="24"/>
        </w:rPr>
        <w:t>in</w:t>
      </w:r>
      <w:r>
        <w:rPr>
          <w:spacing w:val="80"/>
          <w:sz w:val="24"/>
        </w:rPr>
        <w:t> </w:t>
      </w:r>
      <w:r>
        <w:rPr>
          <w:sz w:val="24"/>
        </w:rPr>
        <w:t>Nigeria.</w:t>
      </w:r>
      <w:r>
        <w:rPr>
          <w:spacing w:val="80"/>
          <w:w w:val="150"/>
          <w:sz w:val="24"/>
        </w:rPr>
        <w:t> </w:t>
      </w:r>
      <w:r>
        <w:rPr>
          <w:i/>
          <w:sz w:val="24"/>
        </w:rPr>
        <w:t>Journalof</w:t>
      </w:r>
      <w:r>
        <w:rPr>
          <w:i/>
          <w:spacing w:val="80"/>
          <w:sz w:val="24"/>
        </w:rPr>
        <w:t> </w:t>
      </w:r>
      <w:r>
        <w:rPr>
          <w:i/>
          <w:sz w:val="24"/>
        </w:rPr>
        <w:t>Applied</w:t>
      </w:r>
      <w:r>
        <w:rPr>
          <w:i/>
          <w:spacing w:val="80"/>
          <w:sz w:val="24"/>
        </w:rPr>
        <w:t> </w:t>
      </w:r>
      <w:r>
        <w:rPr>
          <w:i/>
          <w:sz w:val="24"/>
        </w:rPr>
        <w:t>Science</w:t>
      </w:r>
      <w:r>
        <w:rPr>
          <w:i/>
          <w:spacing w:val="80"/>
          <w:sz w:val="24"/>
        </w:rPr>
        <w:t> </w:t>
      </w:r>
      <w:r>
        <w:rPr>
          <w:i/>
          <w:sz w:val="24"/>
        </w:rPr>
        <w:t>and</w:t>
      </w:r>
      <w:r>
        <w:rPr>
          <w:i/>
          <w:spacing w:val="80"/>
          <w:sz w:val="24"/>
        </w:rPr>
        <w:t> </w:t>
      </w:r>
      <w:r>
        <w:rPr>
          <w:i/>
          <w:sz w:val="24"/>
        </w:rPr>
        <w:t>Environmental Management</w:t>
      </w:r>
      <w:r>
        <w:rPr>
          <w:sz w:val="24"/>
        </w:rPr>
        <w:t>, 121 (2), 355-359.</w:t>
      </w:r>
    </w:p>
    <w:p>
      <w:pPr>
        <w:pStyle w:val="BodyText"/>
        <w:spacing w:before="11"/>
        <w:rPr>
          <w:sz w:val="20"/>
        </w:rPr>
      </w:pPr>
    </w:p>
    <w:p>
      <w:pPr>
        <w:pStyle w:val="BodyText"/>
        <w:ind w:left="921" w:right="123" w:hanging="720"/>
        <w:jc w:val="both"/>
      </w:pPr>
      <w:r>
        <w:rPr/>
        <w:t>Wu, W., Wu, Z., Yu, T., Jiang, C., &amp; Kim, W. S. (2015). Recent progress on magnetic iron oxide nanoparticles: synthesis, surface functional strategies and biomedical applications. </w:t>
      </w:r>
      <w:r>
        <w:rPr>
          <w:i/>
        </w:rPr>
        <w:t>Science and Technology of Advanced Materials</w:t>
      </w:r>
      <w:r>
        <w:rPr/>
        <w:t>, 16 (2), 023501.</w:t>
      </w:r>
    </w:p>
    <w:p>
      <w:pPr>
        <w:pStyle w:val="BodyText"/>
        <w:spacing w:before="10"/>
        <w:rPr>
          <w:sz w:val="20"/>
        </w:rPr>
      </w:pPr>
    </w:p>
    <w:p>
      <w:pPr>
        <w:pStyle w:val="BodyText"/>
        <w:ind w:left="921" w:right="122" w:hanging="720"/>
        <w:jc w:val="both"/>
      </w:pPr>
      <w:r>
        <w:rPr/>
        <w:t>Yoon, E., Park, K., Lee, H., Yang, J. H., &amp; Lee, C. (2007). Estimation of excess cancer risk</w:t>
      </w:r>
      <w:r>
        <w:rPr>
          <w:spacing w:val="-7"/>
        </w:rPr>
        <w:t> </w:t>
      </w:r>
      <w:r>
        <w:rPr/>
        <w:t>on</w:t>
      </w:r>
      <w:r>
        <w:rPr>
          <w:spacing w:val="-7"/>
        </w:rPr>
        <w:t> </w:t>
      </w:r>
      <w:r>
        <w:rPr/>
        <w:t>time-weighted</w:t>
      </w:r>
      <w:r>
        <w:rPr>
          <w:spacing w:val="-7"/>
        </w:rPr>
        <w:t> </w:t>
      </w:r>
      <w:r>
        <w:rPr/>
        <w:t>lifetime</w:t>
      </w:r>
      <w:r>
        <w:rPr>
          <w:spacing w:val="-8"/>
        </w:rPr>
        <w:t> </w:t>
      </w:r>
      <w:r>
        <w:rPr/>
        <w:t>average</w:t>
      </w:r>
      <w:r>
        <w:rPr>
          <w:spacing w:val="-6"/>
        </w:rPr>
        <w:t> </w:t>
      </w:r>
      <w:r>
        <w:rPr/>
        <w:t>daily</w:t>
      </w:r>
      <w:r>
        <w:rPr>
          <w:spacing w:val="-12"/>
        </w:rPr>
        <w:t> </w:t>
      </w:r>
      <w:r>
        <w:rPr/>
        <w:t>intake</w:t>
      </w:r>
      <w:r>
        <w:rPr>
          <w:spacing w:val="-8"/>
        </w:rPr>
        <w:t> </w:t>
      </w:r>
      <w:r>
        <w:rPr/>
        <w:t>of</w:t>
      </w:r>
      <w:r>
        <w:rPr>
          <w:spacing w:val="-6"/>
        </w:rPr>
        <w:t> </w:t>
      </w:r>
      <w:r>
        <w:rPr/>
        <w:t>PAHs</w:t>
      </w:r>
      <w:r>
        <w:rPr>
          <w:spacing w:val="-7"/>
        </w:rPr>
        <w:t> </w:t>
      </w:r>
      <w:r>
        <w:rPr/>
        <w:t>from</w:t>
      </w:r>
      <w:r>
        <w:rPr>
          <w:spacing w:val="-8"/>
        </w:rPr>
        <w:t> </w:t>
      </w:r>
      <w:r>
        <w:rPr/>
        <w:t>food</w:t>
      </w:r>
      <w:r>
        <w:rPr>
          <w:spacing w:val="-6"/>
        </w:rPr>
        <w:t> </w:t>
      </w:r>
      <w:r>
        <w:rPr/>
        <w:t>ingestion. </w:t>
      </w:r>
      <w:r>
        <w:rPr>
          <w:i/>
        </w:rPr>
        <w:t>Human and Ecological Risk Assessesment</w:t>
      </w:r>
      <w:r>
        <w:rPr/>
        <w:t>, 13 (3), 669-680.</w:t>
      </w:r>
    </w:p>
    <w:p>
      <w:pPr>
        <w:pStyle w:val="BodyText"/>
        <w:spacing w:before="10"/>
        <w:rPr>
          <w:sz w:val="20"/>
        </w:rPr>
      </w:pPr>
    </w:p>
    <w:p>
      <w:pPr>
        <w:pStyle w:val="BodyText"/>
        <w:ind w:left="921" w:right="116" w:hanging="720"/>
        <w:jc w:val="both"/>
      </w:pPr>
      <w:r>
        <w:rPr/>
        <w:t>Youssef, N.H., Duncan, K.E., &amp;Nagle, D.P. (2004). Comparison of methods to detect biosurfactant production by</w:t>
      </w:r>
      <w:r>
        <w:rPr>
          <w:spacing w:val="-5"/>
        </w:rPr>
        <w:t> </w:t>
      </w:r>
      <w:r>
        <w:rPr/>
        <w:t>diverse</w:t>
      </w:r>
      <w:r>
        <w:rPr>
          <w:spacing w:val="-1"/>
        </w:rPr>
        <w:t> </w:t>
      </w:r>
      <w:r>
        <w:rPr/>
        <w:t>microorganisms. </w:t>
      </w:r>
      <w:r>
        <w:rPr>
          <w:i/>
        </w:rPr>
        <w:t>Journal of Microbiological Methods</w:t>
      </w:r>
      <w:r>
        <w:rPr/>
        <w:t>, 56, 339-347.</w:t>
      </w:r>
    </w:p>
    <w:p>
      <w:pPr>
        <w:pStyle w:val="BodyText"/>
        <w:spacing w:before="10"/>
        <w:rPr>
          <w:sz w:val="20"/>
        </w:rPr>
      </w:pPr>
    </w:p>
    <w:p>
      <w:pPr>
        <w:spacing w:before="1"/>
        <w:ind w:left="921" w:right="119" w:hanging="720"/>
        <w:jc w:val="both"/>
        <w:rPr>
          <w:sz w:val="24"/>
        </w:rPr>
      </w:pPr>
      <w:r>
        <w:rPr>
          <w:sz w:val="24"/>
        </w:rPr>
        <w:t>Zafra, G., &amp; Cortés-Espinosa, D. V. (2015). Biodegradation of polycyclic aromatic hydrocarbons</w:t>
      </w:r>
      <w:r>
        <w:rPr>
          <w:spacing w:val="-14"/>
          <w:sz w:val="24"/>
        </w:rPr>
        <w:t> </w:t>
      </w:r>
      <w:r>
        <w:rPr>
          <w:sz w:val="24"/>
        </w:rPr>
        <w:t>by</w:t>
      </w:r>
      <w:r>
        <w:rPr>
          <w:spacing w:val="-15"/>
          <w:sz w:val="24"/>
        </w:rPr>
        <w:t> </w:t>
      </w:r>
      <w:r>
        <w:rPr>
          <w:sz w:val="24"/>
        </w:rPr>
        <w:t>Trichoderma</w:t>
      </w:r>
      <w:r>
        <w:rPr>
          <w:spacing w:val="-13"/>
          <w:sz w:val="24"/>
        </w:rPr>
        <w:t> </w:t>
      </w:r>
      <w:r>
        <w:rPr>
          <w:sz w:val="24"/>
        </w:rPr>
        <w:t>species:</w:t>
      </w:r>
      <w:r>
        <w:rPr>
          <w:spacing w:val="-13"/>
          <w:sz w:val="24"/>
        </w:rPr>
        <w:t> </w:t>
      </w:r>
      <w:r>
        <w:rPr>
          <w:sz w:val="24"/>
        </w:rPr>
        <w:t>a</w:t>
      </w:r>
      <w:r>
        <w:rPr>
          <w:spacing w:val="-12"/>
          <w:sz w:val="24"/>
        </w:rPr>
        <w:t> </w:t>
      </w:r>
      <w:r>
        <w:rPr>
          <w:sz w:val="24"/>
        </w:rPr>
        <w:t>mini</w:t>
      </w:r>
      <w:r>
        <w:rPr>
          <w:spacing w:val="-13"/>
          <w:sz w:val="24"/>
        </w:rPr>
        <w:t> </w:t>
      </w:r>
      <w:r>
        <w:rPr>
          <w:sz w:val="24"/>
        </w:rPr>
        <w:t>review.</w:t>
      </w:r>
      <w:r>
        <w:rPr>
          <w:spacing w:val="-10"/>
          <w:sz w:val="24"/>
        </w:rPr>
        <w:t> </w:t>
      </w:r>
      <w:r>
        <w:rPr>
          <w:i/>
          <w:sz w:val="24"/>
        </w:rPr>
        <w:t>Environmental</w:t>
      </w:r>
      <w:r>
        <w:rPr>
          <w:i/>
          <w:spacing w:val="-12"/>
          <w:sz w:val="24"/>
        </w:rPr>
        <w:t> </w:t>
      </w:r>
      <w:r>
        <w:rPr>
          <w:i/>
          <w:sz w:val="24"/>
        </w:rPr>
        <w:t>Science</w:t>
      </w:r>
      <w:r>
        <w:rPr>
          <w:i/>
          <w:spacing w:val="-14"/>
          <w:sz w:val="24"/>
        </w:rPr>
        <w:t> </w:t>
      </w:r>
      <w:r>
        <w:rPr>
          <w:i/>
          <w:sz w:val="24"/>
        </w:rPr>
        <w:t>and Pollution Research</w:t>
      </w:r>
      <w:r>
        <w:rPr>
          <w:sz w:val="24"/>
        </w:rPr>
        <w:t>, 22 (24), 19426-19433.</w:t>
      </w:r>
    </w:p>
    <w:p>
      <w:pPr>
        <w:pStyle w:val="BodyText"/>
        <w:spacing w:before="9"/>
        <w:rPr>
          <w:sz w:val="20"/>
        </w:rPr>
      </w:pPr>
    </w:p>
    <w:p>
      <w:pPr>
        <w:spacing w:before="1"/>
        <w:ind w:left="986" w:right="122" w:hanging="785"/>
        <w:jc w:val="both"/>
        <w:rPr>
          <w:sz w:val="24"/>
        </w:rPr>
      </w:pPr>
      <w:r>
        <w:rPr>
          <w:sz w:val="24"/>
        </w:rPr>
        <w:t>Zajic,</w:t>
      </w:r>
      <w:r>
        <w:rPr>
          <w:spacing w:val="-4"/>
          <w:sz w:val="24"/>
        </w:rPr>
        <w:t> </w:t>
      </w:r>
      <w:r>
        <w:rPr>
          <w:sz w:val="24"/>
        </w:rPr>
        <w:t>J.</w:t>
      </w:r>
      <w:r>
        <w:rPr>
          <w:spacing w:val="-4"/>
          <w:sz w:val="24"/>
        </w:rPr>
        <w:t> </w:t>
      </w:r>
      <w:r>
        <w:rPr>
          <w:sz w:val="24"/>
        </w:rPr>
        <w:t>E.,</w:t>
      </w:r>
      <w:r>
        <w:rPr>
          <w:spacing w:val="-4"/>
          <w:sz w:val="24"/>
        </w:rPr>
        <w:t> </w:t>
      </w:r>
      <w:r>
        <w:rPr>
          <w:sz w:val="24"/>
        </w:rPr>
        <w:t>&amp;</w:t>
      </w:r>
      <w:r>
        <w:rPr>
          <w:spacing w:val="-7"/>
          <w:sz w:val="24"/>
        </w:rPr>
        <w:t> </w:t>
      </w:r>
      <w:r>
        <w:rPr>
          <w:sz w:val="24"/>
        </w:rPr>
        <w:t>Supplisson,</w:t>
      </w:r>
      <w:r>
        <w:rPr>
          <w:spacing w:val="-4"/>
          <w:sz w:val="24"/>
        </w:rPr>
        <w:t> </w:t>
      </w:r>
      <w:r>
        <w:rPr>
          <w:sz w:val="24"/>
        </w:rPr>
        <w:t>B.</w:t>
      </w:r>
      <w:r>
        <w:rPr>
          <w:spacing w:val="-4"/>
          <w:sz w:val="24"/>
        </w:rPr>
        <w:t> </w:t>
      </w:r>
      <w:r>
        <w:rPr>
          <w:sz w:val="24"/>
        </w:rPr>
        <w:t>(1972).</w:t>
      </w:r>
      <w:r>
        <w:rPr>
          <w:spacing w:val="-4"/>
          <w:sz w:val="24"/>
        </w:rPr>
        <w:t> </w:t>
      </w:r>
      <w:r>
        <w:rPr>
          <w:sz w:val="24"/>
        </w:rPr>
        <w:t>Emulsification</w:t>
      </w:r>
      <w:r>
        <w:rPr>
          <w:spacing w:val="-4"/>
          <w:sz w:val="24"/>
        </w:rPr>
        <w:t> </w:t>
      </w:r>
      <w:r>
        <w:rPr>
          <w:sz w:val="24"/>
        </w:rPr>
        <w:t>and</w:t>
      </w:r>
      <w:r>
        <w:rPr>
          <w:spacing w:val="-4"/>
          <w:sz w:val="24"/>
        </w:rPr>
        <w:t> </w:t>
      </w:r>
      <w:r>
        <w:rPr>
          <w:sz w:val="24"/>
        </w:rPr>
        <w:t>degradation</w:t>
      </w:r>
      <w:r>
        <w:rPr>
          <w:spacing w:val="-4"/>
          <w:sz w:val="24"/>
        </w:rPr>
        <w:t> </w:t>
      </w:r>
      <w:r>
        <w:rPr>
          <w:sz w:val="24"/>
        </w:rPr>
        <w:t>of</w:t>
      </w:r>
      <w:r>
        <w:rPr>
          <w:spacing w:val="-5"/>
          <w:sz w:val="24"/>
        </w:rPr>
        <w:t> </w:t>
      </w:r>
      <w:r>
        <w:rPr>
          <w:sz w:val="24"/>
        </w:rPr>
        <w:t>“Bunker</w:t>
      </w:r>
      <w:r>
        <w:rPr>
          <w:spacing w:val="-4"/>
          <w:sz w:val="24"/>
        </w:rPr>
        <w:t> </w:t>
      </w:r>
      <w:r>
        <w:rPr>
          <w:sz w:val="24"/>
        </w:rPr>
        <w:t>C”</w:t>
      </w:r>
      <w:r>
        <w:rPr>
          <w:spacing w:val="-5"/>
          <w:sz w:val="24"/>
        </w:rPr>
        <w:t> </w:t>
      </w:r>
      <w:r>
        <w:rPr>
          <w:sz w:val="24"/>
        </w:rPr>
        <w:t>fuel oil by microorganisms. </w:t>
      </w:r>
      <w:r>
        <w:rPr>
          <w:i/>
          <w:sz w:val="24"/>
        </w:rPr>
        <w:t>Biotechnology and Bioengineering, </w:t>
      </w:r>
      <w:r>
        <w:rPr>
          <w:sz w:val="24"/>
        </w:rPr>
        <w:t>14, 331-343.</w:t>
      </w:r>
    </w:p>
    <w:p>
      <w:pPr>
        <w:pStyle w:val="BodyText"/>
        <w:spacing w:before="10"/>
        <w:rPr>
          <w:sz w:val="20"/>
        </w:rPr>
      </w:pPr>
    </w:p>
    <w:p>
      <w:pPr>
        <w:spacing w:before="0"/>
        <w:ind w:left="921" w:right="117" w:hanging="720"/>
        <w:jc w:val="both"/>
        <w:rPr>
          <w:sz w:val="24"/>
        </w:rPr>
      </w:pPr>
      <w:r>
        <w:rPr>
          <w:sz w:val="24"/>
        </w:rPr>
        <w:t>Zhang, X., Liu, X., Wang, Q., Chen, X., Li, H., Wei, J., &amp;Xu, G. (2014). Diesel degradation potential of endophytic bacteria isolated from </w:t>
      </w:r>
      <w:r>
        <w:rPr>
          <w:i/>
          <w:sz w:val="24"/>
        </w:rPr>
        <w:t>Scirpus triqueter</w:t>
      </w:r>
      <w:r>
        <w:rPr>
          <w:sz w:val="24"/>
        </w:rPr>
        <w:t>. </w:t>
      </w:r>
      <w:r>
        <w:rPr>
          <w:i/>
          <w:sz w:val="24"/>
        </w:rPr>
        <w:t>International Biodeterioration &amp; Biodegradation</w:t>
      </w:r>
      <w:r>
        <w:rPr>
          <w:sz w:val="24"/>
        </w:rPr>
        <w:t>, 87, 99–105</w:t>
      </w:r>
    </w:p>
    <w:p>
      <w:pPr>
        <w:pStyle w:val="BodyText"/>
        <w:spacing w:before="10"/>
        <w:rPr>
          <w:sz w:val="20"/>
        </w:rPr>
      </w:pPr>
    </w:p>
    <w:p>
      <w:pPr>
        <w:pStyle w:val="BodyText"/>
        <w:ind w:left="921" w:right="117" w:hanging="720"/>
        <w:jc w:val="both"/>
      </w:pPr>
      <w:r>
        <w:rPr/>
        <w:t>Zhao, X., Ren, X., Zhu, R., Luo, Z., &amp; Ren, B. (2016). Zinc oxide nanoparticles induce oxidative DNA damage and ROS-triggered mitochondria-mediated apoptosis in zebrafish embryos. </w:t>
      </w:r>
      <w:r>
        <w:rPr>
          <w:i/>
        </w:rPr>
        <w:t>Aquatic Toxicology</w:t>
      </w:r>
      <w:r>
        <w:rPr/>
        <w:t>, 180, 56-70.</w:t>
      </w:r>
    </w:p>
    <w:p>
      <w:pPr>
        <w:pStyle w:val="BodyText"/>
        <w:spacing w:before="10"/>
        <w:rPr>
          <w:sz w:val="20"/>
        </w:rPr>
      </w:pPr>
    </w:p>
    <w:p>
      <w:pPr>
        <w:pStyle w:val="BodyText"/>
        <w:ind w:left="921" w:right="122" w:hanging="720"/>
        <w:jc w:val="both"/>
      </w:pPr>
      <w:r>
        <w:rPr/>
        <w:t>Zottola,</w:t>
      </w:r>
      <w:r>
        <w:rPr>
          <w:spacing w:val="-6"/>
        </w:rPr>
        <w:t> </w:t>
      </w:r>
      <w:r>
        <w:rPr/>
        <w:t>E.</w:t>
      </w:r>
      <w:r>
        <w:rPr>
          <w:spacing w:val="-4"/>
        </w:rPr>
        <w:t> </w:t>
      </w:r>
      <w:r>
        <w:rPr/>
        <w:t>A.</w:t>
      </w:r>
      <w:r>
        <w:rPr>
          <w:spacing w:val="-3"/>
        </w:rPr>
        <w:t> </w:t>
      </w:r>
      <w:r>
        <w:rPr/>
        <w:t>(1994).</w:t>
      </w:r>
      <w:r>
        <w:rPr>
          <w:spacing w:val="-6"/>
        </w:rPr>
        <w:t> </w:t>
      </w:r>
      <w:r>
        <w:rPr/>
        <w:t>Microbial</w:t>
      </w:r>
      <w:r>
        <w:rPr>
          <w:spacing w:val="-5"/>
        </w:rPr>
        <w:t> </w:t>
      </w:r>
      <w:r>
        <w:rPr/>
        <w:t>attachment</w:t>
      </w:r>
      <w:r>
        <w:rPr>
          <w:spacing w:val="-6"/>
        </w:rPr>
        <w:t> </w:t>
      </w:r>
      <w:r>
        <w:rPr/>
        <w:t>and</w:t>
      </w:r>
      <w:r>
        <w:rPr>
          <w:spacing w:val="-4"/>
        </w:rPr>
        <w:t> </w:t>
      </w:r>
      <w:r>
        <w:rPr/>
        <w:t>biofilm</w:t>
      </w:r>
      <w:r>
        <w:rPr>
          <w:spacing w:val="-5"/>
        </w:rPr>
        <w:t> </w:t>
      </w:r>
      <w:r>
        <w:rPr/>
        <w:t>formation:</w:t>
      </w:r>
      <w:r>
        <w:rPr>
          <w:spacing w:val="-5"/>
        </w:rPr>
        <w:t> </w:t>
      </w:r>
      <w:r>
        <w:rPr/>
        <w:t>a</w:t>
      </w:r>
      <w:r>
        <w:rPr>
          <w:spacing w:val="-7"/>
        </w:rPr>
        <w:t> </w:t>
      </w:r>
      <w:r>
        <w:rPr/>
        <w:t>new</w:t>
      </w:r>
      <w:r>
        <w:rPr>
          <w:spacing w:val="-6"/>
        </w:rPr>
        <w:t> </w:t>
      </w:r>
      <w:r>
        <w:rPr/>
        <w:t>problem</w:t>
      </w:r>
      <w:r>
        <w:rPr>
          <w:spacing w:val="-5"/>
        </w:rPr>
        <w:t> </w:t>
      </w:r>
      <w:r>
        <w:rPr/>
        <w:t>in</w:t>
      </w:r>
      <w:r>
        <w:rPr>
          <w:spacing w:val="-5"/>
        </w:rPr>
        <w:t> </w:t>
      </w:r>
      <w:r>
        <w:rPr/>
        <w:t>the food industry? </w:t>
      </w:r>
      <w:r>
        <w:rPr>
          <w:i/>
        </w:rPr>
        <w:t>Food Technology</w:t>
      </w:r>
      <w:r>
        <w:rPr/>
        <w:t>, 48, 107-114.</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3"/>
        </w:rPr>
      </w:pPr>
    </w:p>
    <w:p>
      <w:pPr>
        <w:pStyle w:val="Heading1"/>
        <w:ind w:right="121"/>
      </w:pPr>
      <w:r>
        <w:rPr/>
        <w:t>APPENDIX</w:t>
      </w:r>
      <w:r>
        <w:rPr>
          <w:spacing w:val="-14"/>
        </w:rPr>
        <w:t> </w:t>
      </w:r>
      <w:r>
        <w:rPr>
          <w:spacing w:val="-10"/>
        </w:rPr>
        <w:t>I</w:t>
      </w:r>
    </w:p>
    <w:p>
      <w:pPr>
        <w:pStyle w:val="BodyText"/>
        <w:rPr>
          <w:b/>
          <w:sz w:val="26"/>
        </w:rPr>
      </w:pPr>
    </w:p>
    <w:p>
      <w:pPr>
        <w:spacing w:before="176"/>
        <w:ind w:left="199" w:right="121" w:firstLine="0"/>
        <w:jc w:val="center"/>
        <w:rPr>
          <w:b/>
          <w:sz w:val="24"/>
        </w:rPr>
      </w:pPr>
      <w:r>
        <w:rPr>
          <w:b/>
          <w:sz w:val="24"/>
        </w:rPr>
        <w:t>Corn</w:t>
      </w:r>
      <w:r>
        <w:rPr>
          <w:b/>
          <w:spacing w:val="-5"/>
          <w:sz w:val="24"/>
        </w:rPr>
        <w:t> </w:t>
      </w:r>
      <w:r>
        <w:rPr>
          <w:b/>
          <w:sz w:val="24"/>
        </w:rPr>
        <w:t>silk</w:t>
      </w:r>
      <w:r>
        <w:rPr>
          <w:b/>
          <w:spacing w:val="-5"/>
          <w:sz w:val="24"/>
        </w:rPr>
        <w:t> </w:t>
      </w:r>
      <w:r>
        <w:rPr>
          <w:b/>
          <w:sz w:val="24"/>
        </w:rPr>
        <w:t>and</w:t>
      </w:r>
      <w:r>
        <w:rPr>
          <w:b/>
          <w:spacing w:val="-5"/>
          <w:sz w:val="24"/>
        </w:rPr>
        <w:t> </w:t>
      </w:r>
      <w:r>
        <w:rPr>
          <w:b/>
          <w:sz w:val="24"/>
        </w:rPr>
        <w:t>corn</w:t>
      </w:r>
      <w:r>
        <w:rPr>
          <w:b/>
          <w:spacing w:val="-5"/>
          <w:sz w:val="24"/>
        </w:rPr>
        <w:t> </w:t>
      </w:r>
      <w:r>
        <w:rPr>
          <w:b/>
          <w:sz w:val="24"/>
        </w:rPr>
        <w:t>silk</w:t>
      </w:r>
      <w:r>
        <w:rPr>
          <w:b/>
          <w:spacing w:val="-6"/>
          <w:sz w:val="24"/>
        </w:rPr>
        <w:t> </w:t>
      </w:r>
      <w:r>
        <w:rPr>
          <w:b/>
          <w:spacing w:val="-2"/>
          <w:sz w:val="24"/>
        </w:rPr>
        <w:t>extract</w:t>
      </w:r>
    </w:p>
    <w:p>
      <w:pPr>
        <w:spacing w:after="0"/>
        <w:jc w:val="center"/>
        <w:rPr>
          <w:sz w:val="24"/>
        </w:rPr>
        <w:sectPr>
          <w:pgSz w:w="11910" w:h="16840"/>
          <w:pgMar w:header="0" w:footer="1002" w:top="1320" w:bottom="1200" w:left="1500" w:right="1580"/>
        </w:sectPr>
      </w:pPr>
    </w:p>
    <w:p>
      <w:pPr>
        <w:pStyle w:val="BodyText"/>
        <w:ind w:left="230"/>
        <w:rPr>
          <w:sz w:val="20"/>
        </w:rPr>
      </w:pPr>
      <w:r>
        <w:rPr>
          <w:sz w:val="20"/>
        </w:rPr>
        <w:drawing>
          <wp:inline distT="0" distB="0" distL="0" distR="0">
            <wp:extent cx="4980115" cy="4691634"/>
            <wp:effectExtent l="0" t="0" r="0" b="0"/>
            <wp:docPr id="9" name="image17.png"/>
            <wp:cNvGraphicFramePr>
              <a:graphicFrameLocks noChangeAspect="1"/>
            </wp:cNvGraphicFramePr>
            <a:graphic>
              <a:graphicData uri="http://schemas.openxmlformats.org/drawingml/2006/picture">
                <pic:pic>
                  <pic:nvPicPr>
                    <pic:cNvPr id="10" name="image17.png"/>
                    <pic:cNvPicPr/>
                  </pic:nvPicPr>
                  <pic:blipFill>
                    <a:blip r:embed="rId29" cstate="print"/>
                    <a:stretch>
                      <a:fillRect/>
                    </a:stretch>
                  </pic:blipFill>
                  <pic:spPr>
                    <a:xfrm>
                      <a:off x="0" y="0"/>
                      <a:ext cx="4980115" cy="4691634"/>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8"/>
        </w:rPr>
      </w:pPr>
    </w:p>
    <w:p>
      <w:pPr>
        <w:pStyle w:val="Heading1"/>
        <w:spacing w:before="90"/>
        <w:ind w:left="202"/>
        <w:jc w:val="left"/>
      </w:pPr>
      <w:r>
        <w:rPr/>
        <w:t>APPENDIX</w:t>
      </w:r>
      <w:r>
        <w:rPr>
          <w:spacing w:val="-14"/>
        </w:rPr>
        <w:t> </w:t>
      </w:r>
      <w:r>
        <w:rPr>
          <w:spacing w:val="-5"/>
        </w:rPr>
        <w:t>II</w:t>
      </w:r>
    </w:p>
    <w:p>
      <w:pPr>
        <w:pStyle w:val="BodyText"/>
        <w:rPr>
          <w:b/>
          <w:sz w:val="26"/>
        </w:rPr>
      </w:pPr>
    </w:p>
    <w:p>
      <w:pPr>
        <w:spacing w:before="177"/>
        <w:ind w:left="195" w:right="121" w:firstLine="0"/>
        <w:jc w:val="center"/>
        <w:rPr>
          <w:b/>
          <w:sz w:val="24"/>
        </w:rPr>
      </w:pPr>
      <w:r>
        <w:rPr>
          <w:b/>
          <w:sz w:val="24"/>
        </w:rPr>
        <w:t>Culture</w:t>
      </w:r>
      <w:r>
        <w:rPr>
          <w:b/>
          <w:spacing w:val="-11"/>
          <w:sz w:val="24"/>
        </w:rPr>
        <w:t> </w:t>
      </w:r>
      <w:r>
        <w:rPr>
          <w:b/>
          <w:sz w:val="24"/>
        </w:rPr>
        <w:t>supernatant</w:t>
      </w:r>
      <w:r>
        <w:rPr>
          <w:b/>
          <w:spacing w:val="-10"/>
          <w:sz w:val="24"/>
        </w:rPr>
        <w:t> </w:t>
      </w:r>
      <w:r>
        <w:rPr>
          <w:b/>
          <w:sz w:val="24"/>
        </w:rPr>
        <w:t>after</w:t>
      </w:r>
      <w:r>
        <w:rPr>
          <w:b/>
          <w:spacing w:val="-10"/>
          <w:sz w:val="24"/>
        </w:rPr>
        <w:t> </w:t>
      </w:r>
      <w:r>
        <w:rPr>
          <w:b/>
          <w:sz w:val="24"/>
        </w:rPr>
        <w:t>centrifugation</w:t>
      </w:r>
      <w:r>
        <w:rPr>
          <w:b/>
          <w:spacing w:val="-10"/>
          <w:sz w:val="24"/>
        </w:rPr>
        <w:t> </w:t>
      </w:r>
      <w:r>
        <w:rPr>
          <w:b/>
          <w:sz w:val="24"/>
        </w:rPr>
        <w:t>and</w:t>
      </w:r>
      <w:r>
        <w:rPr>
          <w:b/>
          <w:spacing w:val="-10"/>
          <w:sz w:val="24"/>
        </w:rPr>
        <w:t> </w:t>
      </w:r>
      <w:r>
        <w:rPr>
          <w:b/>
          <w:spacing w:val="-2"/>
          <w:sz w:val="24"/>
        </w:rPr>
        <w:t>extraction</w:t>
      </w:r>
    </w:p>
    <w:p>
      <w:pPr>
        <w:spacing w:after="0"/>
        <w:jc w:val="center"/>
        <w:rPr>
          <w:sz w:val="24"/>
        </w:rPr>
        <w:sectPr>
          <w:pgSz w:w="11910" w:h="16840"/>
          <w:pgMar w:header="0" w:footer="1002" w:top="1400" w:bottom="1200" w:left="1500" w:right="1580"/>
        </w:sectPr>
      </w:pPr>
    </w:p>
    <w:p>
      <w:pPr>
        <w:pStyle w:val="BodyText"/>
        <w:ind w:left="230"/>
        <w:rPr>
          <w:sz w:val="20"/>
        </w:rPr>
      </w:pPr>
      <w:r>
        <w:rPr>
          <w:sz w:val="20"/>
        </w:rPr>
        <w:pict>
          <v:group style="width:407.05pt;height:456.25pt;mso-position-horizontal-relative:char;mso-position-vertical-relative:line" id="docshapegroup56" coordorigin="0,0" coordsize="8141,9125">
            <v:shape style="position:absolute;left:0;top:0;width:4140;height:9125" type="#_x0000_t75" id="docshape57" stroked="false">
              <v:imagedata r:id="rId30" o:title=""/>
            </v:shape>
            <v:shape style="position:absolute;left:4171;top:0;width:3970;height:9125" type="#_x0000_t75" id="docshape58" stroked="false">
              <v:imagedata r:id="rId31" o:title=""/>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p>
    <w:p>
      <w:pPr>
        <w:pStyle w:val="Heading1"/>
        <w:ind w:right="121"/>
      </w:pPr>
      <w:r>
        <w:rPr/>
        <w:t>APPENDIX</w:t>
      </w:r>
      <w:r>
        <w:rPr>
          <w:spacing w:val="-14"/>
        </w:rPr>
        <w:t> </w:t>
      </w:r>
      <w:r>
        <w:rPr>
          <w:spacing w:val="-5"/>
        </w:rPr>
        <w:t>III</w:t>
      </w:r>
    </w:p>
    <w:p>
      <w:pPr>
        <w:pStyle w:val="BodyText"/>
        <w:rPr>
          <w:b/>
          <w:sz w:val="26"/>
        </w:rPr>
      </w:pPr>
    </w:p>
    <w:p>
      <w:pPr>
        <w:spacing w:before="177"/>
        <w:ind w:left="199" w:right="121" w:firstLine="0"/>
        <w:jc w:val="center"/>
        <w:rPr>
          <w:b/>
          <w:sz w:val="24"/>
        </w:rPr>
      </w:pPr>
      <w:r>
        <w:rPr>
          <w:b/>
          <w:sz w:val="24"/>
        </w:rPr>
        <w:t>Mineral</w:t>
      </w:r>
      <w:r>
        <w:rPr>
          <w:b/>
          <w:spacing w:val="-4"/>
          <w:sz w:val="24"/>
        </w:rPr>
        <w:t> </w:t>
      </w:r>
      <w:r>
        <w:rPr>
          <w:b/>
          <w:sz w:val="24"/>
        </w:rPr>
        <w:t>salt</w:t>
      </w:r>
      <w:r>
        <w:rPr>
          <w:b/>
          <w:spacing w:val="-4"/>
          <w:sz w:val="24"/>
        </w:rPr>
        <w:t> </w:t>
      </w:r>
      <w:r>
        <w:rPr>
          <w:b/>
          <w:spacing w:val="-2"/>
          <w:sz w:val="24"/>
        </w:rPr>
        <w:t>medium</w:t>
      </w:r>
    </w:p>
    <w:p>
      <w:pPr>
        <w:spacing w:after="0"/>
        <w:jc w:val="center"/>
        <w:rPr>
          <w:sz w:val="24"/>
        </w:rPr>
        <w:sectPr>
          <w:pgSz w:w="11910" w:h="16840"/>
          <w:pgMar w:header="0" w:footer="1002" w:top="1400" w:bottom="1200" w:left="1500" w:right="1580"/>
        </w:sectPr>
      </w:pPr>
    </w:p>
    <w:p>
      <w:pPr>
        <w:pStyle w:val="BodyText"/>
        <w:spacing w:before="1"/>
        <w:rPr>
          <w:b/>
          <w:sz w:val="20"/>
        </w:rPr>
      </w:pPr>
    </w:p>
    <w:p>
      <w:pPr>
        <w:pStyle w:val="BodyText"/>
        <w:ind w:left="763"/>
        <w:rPr>
          <w:sz w:val="20"/>
        </w:rPr>
      </w:pPr>
      <w:r>
        <w:rPr>
          <w:sz w:val="20"/>
        </w:rPr>
        <w:drawing>
          <wp:inline distT="0" distB="0" distL="0" distR="0">
            <wp:extent cx="4704241" cy="5065871"/>
            <wp:effectExtent l="0" t="0" r="0" b="0"/>
            <wp:docPr id="11" name="image20.jpeg"/>
            <wp:cNvGraphicFramePr>
              <a:graphicFrameLocks noChangeAspect="1"/>
            </wp:cNvGraphicFramePr>
            <a:graphic>
              <a:graphicData uri="http://schemas.openxmlformats.org/drawingml/2006/picture">
                <pic:pic>
                  <pic:nvPicPr>
                    <pic:cNvPr id="12" name="image20.jpeg"/>
                    <pic:cNvPicPr/>
                  </pic:nvPicPr>
                  <pic:blipFill>
                    <a:blip r:embed="rId32" cstate="print"/>
                    <a:stretch>
                      <a:fillRect/>
                    </a:stretch>
                  </pic:blipFill>
                  <pic:spPr>
                    <a:xfrm>
                      <a:off x="0" y="0"/>
                      <a:ext cx="4704241" cy="506587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Heading1"/>
        <w:spacing w:before="90"/>
        <w:ind w:left="200" w:right="121"/>
      </w:pPr>
      <w:r>
        <w:rPr/>
        <w:t>APPENDIX</w:t>
      </w:r>
      <w:r>
        <w:rPr>
          <w:spacing w:val="-14"/>
        </w:rPr>
        <w:t> </w:t>
      </w:r>
      <w:r>
        <w:rPr>
          <w:spacing w:val="-5"/>
        </w:rPr>
        <w:t>IV</w:t>
      </w:r>
    </w:p>
    <w:p>
      <w:pPr>
        <w:spacing w:after="0"/>
        <w:sectPr>
          <w:pgSz w:w="11910" w:h="16840"/>
          <w:pgMar w:header="0" w:footer="1002" w:top="1920" w:bottom="1200" w:left="1500" w:right="1580"/>
        </w:sectPr>
      </w:pPr>
    </w:p>
    <w:p>
      <w:pPr>
        <w:pStyle w:val="BodyText"/>
        <w:spacing w:before="69"/>
        <w:ind w:left="490"/>
        <w:rPr>
          <w:i/>
        </w:rPr>
      </w:pPr>
      <w:r>
        <w:rPr/>
        <w:t>Graphical representation</w:t>
      </w:r>
      <w:r>
        <w:rPr>
          <w:spacing w:val="-1"/>
        </w:rPr>
        <w:t> </w:t>
      </w:r>
      <w:r>
        <w:rPr/>
        <w:t>of</w:t>
      </w:r>
      <w:r>
        <w:rPr>
          <w:spacing w:val="-1"/>
        </w:rPr>
        <w:t> </w:t>
      </w:r>
      <w:r>
        <w:rPr/>
        <w:t>emulsification</w:t>
      </w:r>
      <w:r>
        <w:rPr>
          <w:spacing w:val="-2"/>
        </w:rPr>
        <w:t> </w:t>
      </w:r>
      <w:r>
        <w:rPr/>
        <w:t>activity</w:t>
      </w:r>
      <w:r>
        <w:rPr>
          <w:spacing w:val="-5"/>
        </w:rPr>
        <w:t> </w:t>
      </w:r>
      <w:r>
        <w:rPr/>
        <w:t>of</w:t>
      </w:r>
      <w:r>
        <w:rPr>
          <w:spacing w:val="-2"/>
        </w:rPr>
        <w:t> </w:t>
      </w:r>
      <w:r>
        <w:rPr/>
        <w:t>biosurfactant</w:t>
      </w:r>
      <w:r>
        <w:rPr>
          <w:spacing w:val="-2"/>
        </w:rPr>
        <w:t> </w:t>
      </w:r>
      <w:r>
        <w:rPr/>
        <w:t>produced</w:t>
      </w:r>
      <w:r>
        <w:rPr>
          <w:spacing w:val="-2"/>
        </w:rPr>
        <w:t> </w:t>
      </w:r>
      <w:r>
        <w:rPr/>
        <w:t>by</w:t>
      </w:r>
      <w:r>
        <w:rPr>
          <w:spacing w:val="-2"/>
        </w:rPr>
        <w:t> </w:t>
      </w:r>
      <w:r>
        <w:rPr>
          <w:i/>
          <w:spacing w:val="-5"/>
        </w:rPr>
        <w:t>A.</w:t>
      </w:r>
    </w:p>
    <w:p>
      <w:pPr>
        <w:pStyle w:val="BodyText"/>
        <w:spacing w:before="3"/>
        <w:rPr>
          <w:i/>
        </w:rPr>
      </w:pPr>
    </w:p>
    <w:p>
      <w:pPr>
        <w:spacing w:before="0"/>
        <w:ind w:left="3740" w:right="0" w:firstLine="0"/>
        <w:jc w:val="left"/>
        <w:rPr>
          <w:sz w:val="24"/>
        </w:rPr>
      </w:pPr>
      <w:r>
        <w:rPr/>
        <w:pict>
          <v:group style="position:absolute;margin-left:84.839996pt;margin-top:37.703140pt;width:425.65pt;height:246.25pt;mso-position-horizontal-relative:page;mso-position-vertical-relative:paragraph;z-index:15739904" id="docshapegroup59" coordorigin="1697,754" coordsize="8513,4925">
            <v:shape style="position:absolute;left:2606;top:1001;width:7174;height:3948" id="docshape60" coordorigin="2606,1001" coordsize="7174,3948" path="m2734,4822l2734,1001m2606,4822l2734,4822m2606,4059l2734,4059m2606,3296l2734,3296m2606,2530l2734,2530m2606,1767l2734,1767m2606,1001l2734,1001m2734,4822l9780,4822m2734,4822l2734,4949m3674,4822l3674,4949m4613,4822l4613,4949m5554,4822l5554,4949m6492,4822l6492,4949m7433,4822l7433,4949m8371,4822l8371,4949m9312,4822l9312,4949e" filled="false" stroked="true" strokeweight=".48pt" strokecolor="#888888">
              <v:path arrowok="t"/>
              <v:stroke dashstyle="solid"/>
            </v:shape>
            <v:shape style="position:absolute;left:3673;top:1427;width:5638;height:1983" id="docshape61" coordorigin="3673,1427" coordsize="5638,1983" path="m3673,1991l4614,1427,5552,1427,6493,2133,7432,2699,8372,3410,9311,3410e" filled="false" stroked="true" strokeweight="1.56pt" strokecolor="#6fac46">
              <v:path arrowok="t"/>
              <v:stroke dashstyle="solid"/>
            </v:shape>
            <v:shape style="position:absolute;left:3618;top:1936;width:111;height:111" type="#_x0000_t75" id="docshape62" stroked="false">
              <v:imagedata r:id="rId33" o:title=""/>
            </v:shape>
            <v:shape style="position:absolute;left:4557;top:1370;width:111;height:111" type="#_x0000_t75" id="docshape63" stroked="false">
              <v:imagedata r:id="rId34" o:title=""/>
            </v:shape>
            <v:shape style="position:absolute;left:5497;top:1370;width:111;height:111" type="#_x0000_t75" id="docshape64" stroked="false">
              <v:imagedata r:id="rId33" o:title=""/>
            </v:shape>
            <v:shape style="position:absolute;left:6436;top:2078;width:111;height:111" type="#_x0000_t75" id="docshape65" stroked="false">
              <v:imagedata r:id="rId35" o:title=""/>
            </v:shape>
            <v:shape style="position:absolute;left:7377;top:2642;width:111;height:111" type="#_x0000_t75" id="docshape66" stroked="false">
              <v:imagedata r:id="rId34" o:title=""/>
            </v:shape>
            <v:shape style="position:absolute;left:8315;top:3352;width:111;height:111" type="#_x0000_t75" id="docshape67" stroked="false">
              <v:imagedata r:id="rId36" o:title=""/>
            </v:shape>
            <v:shape style="position:absolute;left:9256;top:3352;width:111;height:111" type="#_x0000_t75" id="docshape68" stroked="false">
              <v:imagedata r:id="rId35" o:title=""/>
            </v:shape>
            <v:shape style="position:absolute;left:9277;top:3468;width:384;height:111" type="#_x0000_t75" id="docshape69" stroked="false">
              <v:imagedata r:id="rId37" o:title=""/>
            </v:shape>
            <v:shape style="position:absolute;left:6213;top:5557;width:1076;height:8" id="docshape70" coordorigin="6213,5558" coordsize="1076,8" path="m7289,5558l7284,5562,7279,5558,7274,5562,7269,5558,7265,5562,7260,5558,7255,5562,7250,5558,7245,5562,7241,5558,7236,5562,7231,5558,7226,5562,7221,5558,7217,5562,7212,5558,7207,5562,7202,5558,7197,5562,7193,5558,7188,5562,7183,5558,7178,5562,7173,5558,7169,5562,7164,5558,7159,5562,7154,5558,7149,5562,7145,5558,7140,5562,7135,5558,7130,5562,7125,5558,7121,5562,7116,5558,7111,5562,7106,5558,7101,5562,7097,5558,7092,5562,7087,5558,7082,5562,7077,5558,7073,5562,7068,5558,7063,5562,7058,5558,7053,5562,7049,5558,7044,5562,7039,5558,7034,5562,7029,5558,7025,5562,7020,5558,7015,5562,7010,5558,7005,5562,7001,5558,6996,5562,6991,5558,6986,5562,6981,5558,6977,5562,6972,5558,6967,5562,6962,5558,6957,5562,6953,5558,6948,5562,6943,5558,6938,5562,6933,5558,6929,5562,6924,5558,6919,5562,6914,5558,6909,5562,6905,5558,6900,5562,6895,5558,6890,5562,6885,5558,6881,5562,6876,5558,6871,5562,6866,5558,6861,5562,6857,5558,6852,5562,6847,5558,6842,5562,6837,5558,6833,5562,6828,5558,6823,5562,6818,5558,6813,5562,6809,5558,6804,5562,6799,5558,6794,5562,6789,5558,6785,5562,6780,5558,6775,5562,6770,5558,6765,5562,6761,5558,6756,5562,6751,5558,6746,5562,6741,5558,6737,5562,6732,5558,6727,5562,6722,5558,6717,5562,6713,5558,6708,5562,6703,5558,6698,5562,6693,5558,6689,5562,6684,5558,6679,5562,6674,5558,6669,5562,6665,5558,6660,5562,6655,5558,6650,5562,6645,5558,6641,5562,6636,5558,6631,5562,6626,5558,6621,5562,6617,5558,6612,5562,6607,5558,6602,5562,6597,5558,6593,5562,6588,5558,6583,5562,6578,5558,6573,5562,6569,5558,6564,5562,6559,5558,6554,5562,6549,5558,6545,5562,6540,5558,6535,5562,6530,5558,6525,5562,6521,5558,6516,5562,6511,5558,6506,5562,6501,5558,6497,5562,6492,5558,6487,5562,6482,5558,6477,5562,6473,5558,6468,5562,6463,5558,6458,5562,6453,5558,6449,5562,6444,5558,6439,5562,6434,5558,6429,5562,6425,5558,6420,5562,6415,5558,6410,5562,6405,5558,6401,5562,6396,5558,6391,5562,6386,5558,6381,5562,6377,5558,6372,5562,6367,5558,6362,5562,6357,5558,6353,5562,6348,5558,6343,5562,6338,5558,6333,5562,6329,5558,6324,5562,6319,5558,6314,5562,6309,5558,6305,5562,6300,5558,6295,5562,6290,5558,6285,5562,6281,5558,6276,5562,6271,5558,6266,5562,6261,5558,6257,5562,6252,5558,6247,5562,6242,5558,6237,5562,6233,5558,6228,5562,6223,5558,6218,5562,6213,5558,6213,5560,6218,5565,6223,5560,6228,5565,6233,5560,6237,5565,6242,5560,6247,5565,6252,5560,6257,5565,6261,5560,6266,5565,6271,5560,6276,5565,6281,5560,6285,5565,6290,5560,6295,5565,6300,5560,6305,5565,6309,5560,6314,5565,6319,5560,6324,5565,6329,5560,6333,5565,6338,5560,6343,5565,6348,5560,6353,5565,6357,5560,6362,5565,6367,5560,6372,5565,6377,5560,6381,5565,6386,5560,6391,5565,6396,5560,6401,5565,6405,5560,6410,5565,6415,5560,6420,5565,6425,5560,6429,5565,6434,5560,6439,5565,6444,5560,6449,5565,6453,5560,6458,5565,6463,5560,6468,5565,6473,5560,6477,5565,6482,5560,6487,5565,6492,5560,6497,5565,6501,5560,6506,5565,6511,5560,6516,5565,6521,5560,6525,5565,6530,5560,6535,5565,6540,5560,6545,5565,6549,5560,6554,5565,6559,5560,6564,5565,6569,5560,6573,5565,6578,5560,6583,5565,6588,5560,6593,5565,6597,5560,6602,5565,6607,5560,6612,5565,6617,5560,6621,5565,6626,5560,6631,5565,6636,5560,6641,5565,6645,5560,6650,5565,6655,5560,6660,5565,6665,5560,6669,5565,6674,5560,6679,5565,6684,5560,6689,5565,6693,5560,6698,5565,6703,5560,6708,5565,6713,5560,6717,5565,6722,5560,6727,5565,6732,5560,6737,5565,6741,5560,6746,5565,6751,5560,6756,5565,6761,5560,6765,5565,6770,5560,6775,5565,6780,5560,6785,5565,6789,5560,6794,5565,6799,5560,6804,5565,6809,5560,6813,5565,6818,5560,6823,5565,6828,5560,6833,5565,6837,5560,6842,5565,6847,5560,6852,5565,6857,5560,6861,5565,6866,5560,6871,5565,6876,5560,6881,5565,6885,5560,6890,5565,6895,5560,6900,5565,6905,5560,6909,5565,6914,5560,6919,5565,6924,5560,6929,5565,6933,5560,6938,5565,6943,5560,6948,5565,6953,5560,6957,5565,6962,5560,6967,5565,6972,5560,6977,5565,6981,5560,6986,5565,6991,5560,6996,5565,7001,5560,7005,5565,7010,5560,7015,5565,7020,5560,7025,5565,7029,5560,7034,5565,7039,5560,7044,5565,7049,5560,7053,5565,7058,5560,7063,5565,7068,5560,7073,5565,7077,5560,7082,5565,7087,5560,7092,5565,7097,5560,7101,5565,7106,5560,7111,5565,7116,5560,7121,5565,7125,5560,7130,5565,7135,5560,7140,5565,7145,5560,7149,5565,7154,5560,7159,5565,7164,5560,7169,5565,7173,5560,7178,5565,7183,5560,7188,5565,7193,5560,7197,5565,7202,5560,7207,5565,7212,5560,7217,5565,7221,5560,7226,5565,7231,5560,7236,5565,7241,5560,7245,5565,7250,5560,7255,5565,7260,5560,7265,5565,7269,5560,7274,5565,7279,5560,7284,5565,7289,5560,7289,5558xe" filled="true" fillcolor="#ffffff" stroked="false">
              <v:path arrowok="t"/>
              <v:fill type="solid"/>
            </v:shape>
            <v:shape style="position:absolute;left:6213;top:5560;width:1076;height:8" id="docshape71" coordorigin="6213,5560" coordsize="1076,8" path="m7289,5560l7284,5565,7279,5560,7274,5565,7269,5560,7265,5565,7260,5560,7255,5565,7250,5560,7245,5565,7241,5560,7236,5565,7231,5560,7226,5565,7221,5560,7217,5565,7212,5560,7207,5565,7202,5560,7197,5565,7193,5560,7188,5565,7183,5560,7178,5565,7173,5560,7169,5565,7164,5560,7159,5565,7154,5560,7149,5565,7145,5560,7140,5565,7135,5560,7130,5565,7125,5560,7121,5565,7116,5560,7111,5565,7106,5560,7101,5565,7097,5560,7092,5565,7087,5560,7082,5565,7077,5560,7073,5565,7068,5560,7063,5565,7058,5560,7053,5565,7049,5560,7044,5565,7039,5560,7034,5565,7029,5560,7025,5565,7020,5560,7015,5565,7010,5560,7005,5565,7001,5560,6996,5565,6991,5560,6986,5565,6981,5560,6977,5565,6972,5560,6967,5565,6962,5560,6957,5565,6953,5560,6948,5565,6943,5560,6938,5565,6933,5560,6929,5565,6924,5560,6919,5565,6914,5560,6909,5565,6905,5560,6900,5565,6895,5560,6890,5565,6885,5560,6881,5565,6876,5560,6871,5565,6866,5560,6861,5565,6857,5560,6852,5565,6847,5560,6842,5565,6837,5560,6833,5565,6828,5560,6823,5565,6818,5560,6813,5565,6809,5560,6804,5565,6799,5560,6794,5565,6789,5560,6785,5565,6780,5560,6775,5565,6770,5560,6765,5565,6761,5560,6756,5565,6751,5560,6746,5565,6741,5560,6737,5565,6732,5560,6727,5565,6722,5560,6717,5565,6713,5560,6708,5565,6703,5560,6698,5565,6693,5560,6689,5565,6684,5560,6679,5565,6674,5560,6669,5565,6665,5560,6660,5565,6655,5560,6650,5565,6645,5560,6641,5565,6636,5560,6631,5565,6626,5560,6621,5565,6617,5560,6612,5565,6607,5560,6602,5565,6597,5560,6593,5565,6588,5560,6583,5565,6578,5560,6573,5565,6569,5560,6564,5565,6559,5560,6554,5565,6549,5560,6545,5565,6540,5560,6535,5565,6530,5560,6525,5565,6521,5560,6516,5565,6511,5560,6506,5565,6501,5560,6497,5565,6492,5560,6487,5565,6482,5560,6477,5565,6473,5560,6468,5565,6463,5560,6458,5565,6453,5560,6449,5565,6444,5560,6439,5565,6434,5560,6429,5565,6425,5560,6420,5565,6415,5560,6410,5565,6405,5560,6401,5565,6396,5560,6391,5565,6386,5560,6381,5565,6377,5560,6372,5565,6367,5560,6362,5565,6357,5560,6353,5565,6348,5560,6343,5565,6338,5560,6333,5565,6329,5560,6324,5565,6319,5560,6314,5565,6309,5560,6305,5565,6300,5560,6295,5565,6290,5560,6285,5565,6281,5560,6276,5565,6271,5560,6266,5565,6261,5560,6257,5565,6252,5560,6247,5565,6242,5560,6237,5565,6233,5560,6228,5565,6223,5560,6218,5565,6213,5560,6213,5562,6218,5567,6223,5562,6228,5567,6233,5562,6237,5567,6242,5562,6247,5567,6252,5562,6257,5567,6261,5562,6266,5567,6271,5562,6276,5567,6281,5562,6285,5567,6290,5562,6295,5567,6300,5562,6305,5567,6309,5562,6314,5567,6319,5562,6324,5567,6329,5562,6333,5567,6338,5562,6343,5567,6348,5562,6353,5567,6357,5562,6362,5567,6367,5562,6372,5567,6377,5562,6381,5567,6386,5562,6391,5567,6396,5562,6401,5567,6405,5562,6410,5567,6415,5562,6420,5567,6425,5562,6429,5567,6434,5562,6439,5567,6444,5562,6449,5567,6453,5562,6458,5567,6463,5562,6468,5567,6473,5562,6477,5567,6482,5562,6487,5567,6492,5562,6497,5567,6501,5562,6506,5567,6511,5562,6516,5567,6521,5562,6525,5567,6530,5562,6535,5567,6540,5562,6545,5567,6549,5562,6554,5567,6559,5562,6564,5567,6569,5562,6573,5567,6578,5562,6583,5567,6588,5562,6593,5567,6597,5562,6602,5567,6607,5562,6612,5567,6617,5562,6621,5567,6626,5562,6631,5567,6636,5562,6641,5567,6645,5562,6650,5567,6655,5562,6660,5567,6665,5562,6669,5567,6674,5562,6679,5567,6684,5562,6689,5567,6693,5562,6698,5567,6703,5562,6708,5567,6713,5562,6717,5567,6722,5562,6727,5567,6732,5562,6737,5567,6741,5562,6746,5567,6751,5562,6756,5567,6761,5562,6765,5567,6770,5562,6775,5567,6780,5562,6785,5567,6789,5562,6794,5567,6799,5562,6804,5567,6809,5562,6813,5567,6818,5562,6823,5567,6828,5562,6833,5567,6837,5562,6842,5567,6847,5562,6852,5567,6857,5562,6861,5567,6866,5562,6871,5567,6876,5562,6881,5567,6885,5562,6890,5567,6895,5562,6900,5567,6905,5562,6909,5567,6914,5562,6919,5567,6924,5562,6929,5567,6933,5562,6938,5567,6943,5562,6948,5567,6953,5562,6957,5567,6962,5562,6967,5567,6972,5562,6977,5567,6981,5562,6986,5567,6991,5562,6996,5567,7001,5562,7005,5567,7010,5562,7015,5567,7020,5562,7025,5567,7029,5562,7034,5567,7039,5562,7044,5567,7049,5562,7053,5567,7058,5562,7063,5567,7068,5562,7073,5567,7077,5562,7082,5567,7087,5562,7092,5567,7097,5562,7101,5567,7106,5562,7111,5567,7116,5562,7121,5567,7125,5562,7130,5567,7135,5562,7140,5567,7145,5562,7149,5567,7154,5562,7159,5567,7164,5562,7169,5567,7173,5562,7178,5567,7183,5562,7188,5567,7193,5562,7197,5567,7202,5562,7207,5567,7212,5562,7217,5567,7221,5562,7226,5567,7231,5562,7236,5567,7241,5562,7245,5567,7250,5562,7255,5567,7260,5562,7265,5567,7269,5562,7274,5567,7279,5562,7284,5567,7289,5562,7289,5560xe" filled="true" fillcolor="#ff0000" stroked="false">
              <v:path arrowok="t"/>
              <v:fill type="solid"/>
            </v:shape>
            <v:rect style="position:absolute;left:1701;top:758;width:8504;height:4916" id="docshape72" filled="false" stroked="true" strokeweight=".48pt" strokecolor="#888888">
              <v:stroke dashstyle="solid"/>
            </v:rect>
            <v:shape style="position:absolute;left:1957;top:817;width:424;height:401" type="#_x0000_t202" id="docshape73" filled="false" stroked="false">
              <v:textbox inset="0,0,0,0">
                <w:txbxContent>
                  <w:p>
                    <w:pPr>
                      <w:spacing w:line="401" w:lineRule="exact" w:before="0"/>
                      <w:ind w:left="0" w:right="0" w:firstLine="0"/>
                      <w:jc w:val="left"/>
                      <w:rPr>
                        <w:rFonts w:ascii="Calibri"/>
                        <w:sz w:val="40"/>
                      </w:rPr>
                    </w:pPr>
                    <w:r>
                      <w:rPr>
                        <w:rFonts w:ascii="Calibri"/>
                        <w:spacing w:val="-5"/>
                        <w:sz w:val="40"/>
                      </w:rPr>
                      <w:t>10</w:t>
                    </w:r>
                  </w:p>
                </w:txbxContent>
              </v:textbox>
              <w10:wrap type="none"/>
            </v:shape>
            <v:shape style="position:absolute;left:5684;top:981;width:561;height:360" type="#_x0000_t202" id="docshape74" filled="false" stroked="false">
              <v:textbox inset="0,0,0,0">
                <w:txbxContent>
                  <w:p>
                    <w:pPr>
                      <w:spacing w:line="360" w:lineRule="exact" w:before="0"/>
                      <w:ind w:left="0" w:right="0" w:firstLine="0"/>
                      <w:jc w:val="left"/>
                      <w:rPr>
                        <w:rFonts w:ascii="Calibri"/>
                        <w:b/>
                        <w:sz w:val="36"/>
                      </w:rPr>
                    </w:pPr>
                    <w:r>
                      <w:rPr>
                        <w:rFonts w:ascii="Calibri"/>
                        <w:b/>
                        <w:spacing w:val="-5"/>
                        <w:sz w:val="36"/>
                      </w:rPr>
                      <w:t>E24</w:t>
                    </w:r>
                  </w:p>
                </w:txbxContent>
              </v:textbox>
              <w10:wrap type="none"/>
            </v:shape>
            <v:shape style="position:absolute;left:2160;top:1581;width:224;height:1930" type="#_x0000_t202" id="docshape75" filled="false" stroked="false">
              <v:textbox inset="0,0,0,0">
                <w:txbxContent>
                  <w:p>
                    <w:pPr>
                      <w:spacing w:line="408" w:lineRule="exact" w:before="0"/>
                      <w:ind w:left="0" w:right="0" w:firstLine="0"/>
                      <w:jc w:val="left"/>
                      <w:rPr>
                        <w:rFonts w:ascii="Calibri"/>
                        <w:sz w:val="40"/>
                      </w:rPr>
                    </w:pPr>
                    <w:r>
                      <w:rPr>
                        <w:rFonts w:ascii="Calibri"/>
                        <w:w w:val="100"/>
                        <w:sz w:val="40"/>
                      </w:rPr>
                      <w:t>8</w:t>
                    </w:r>
                  </w:p>
                  <w:p>
                    <w:pPr>
                      <w:spacing w:before="276"/>
                      <w:ind w:left="0" w:right="0" w:firstLine="0"/>
                      <w:jc w:val="left"/>
                      <w:rPr>
                        <w:rFonts w:ascii="Calibri"/>
                        <w:sz w:val="40"/>
                      </w:rPr>
                    </w:pPr>
                    <w:r>
                      <w:rPr>
                        <w:rFonts w:ascii="Calibri"/>
                        <w:w w:val="100"/>
                        <w:sz w:val="40"/>
                      </w:rPr>
                      <w:t>6</w:t>
                    </w:r>
                  </w:p>
                  <w:p>
                    <w:pPr>
                      <w:spacing w:line="481" w:lineRule="exact" w:before="276"/>
                      <w:ind w:left="0" w:right="0" w:firstLine="0"/>
                      <w:jc w:val="left"/>
                      <w:rPr>
                        <w:rFonts w:ascii="Calibri"/>
                        <w:sz w:val="40"/>
                      </w:rPr>
                    </w:pPr>
                    <w:r>
                      <w:rPr>
                        <w:rFonts w:ascii="Calibri"/>
                        <w:w w:val="100"/>
                        <w:sz w:val="40"/>
                      </w:rPr>
                      <w:t>4</w:t>
                    </w:r>
                  </w:p>
                </w:txbxContent>
              </v:textbox>
              <w10:wrap type="none"/>
            </v:shape>
            <v:shape style="position:absolute;left:9703;top:3433;width:321;height:200" type="#_x0000_t202" id="docshape76" filled="false" stroked="false">
              <v:textbox inset="0,0,0,0">
                <w:txbxContent>
                  <w:p>
                    <w:pPr>
                      <w:spacing w:line="199" w:lineRule="exact" w:before="0"/>
                      <w:ind w:left="0" w:right="0" w:firstLine="0"/>
                      <w:jc w:val="left"/>
                      <w:rPr>
                        <w:rFonts w:ascii="Calibri"/>
                        <w:sz w:val="20"/>
                      </w:rPr>
                    </w:pPr>
                    <w:r>
                      <w:rPr>
                        <w:rFonts w:ascii="Calibri"/>
                        <w:spacing w:val="-5"/>
                        <w:sz w:val="20"/>
                      </w:rPr>
                      <w:t>E24</w:t>
                    </w:r>
                  </w:p>
                </w:txbxContent>
              </v:textbox>
              <w10:wrap type="none"/>
            </v:shape>
            <v:shape style="position:absolute;left:2160;top:3874;width:224;height:1165" type="#_x0000_t202" id="docshape77" filled="false" stroked="false">
              <v:textbox inset="0,0,0,0">
                <w:txbxContent>
                  <w:p>
                    <w:pPr>
                      <w:spacing w:line="408" w:lineRule="exact" w:before="0"/>
                      <w:ind w:left="0" w:right="0" w:firstLine="0"/>
                      <w:jc w:val="left"/>
                      <w:rPr>
                        <w:rFonts w:ascii="Calibri"/>
                        <w:sz w:val="40"/>
                      </w:rPr>
                    </w:pPr>
                    <w:r>
                      <w:rPr>
                        <w:rFonts w:ascii="Calibri"/>
                        <w:w w:val="100"/>
                        <w:sz w:val="40"/>
                      </w:rPr>
                      <w:t>2</w:t>
                    </w:r>
                  </w:p>
                  <w:p>
                    <w:pPr>
                      <w:spacing w:line="481" w:lineRule="exact" w:before="276"/>
                      <w:ind w:left="0" w:right="0" w:firstLine="0"/>
                      <w:jc w:val="left"/>
                      <w:rPr>
                        <w:rFonts w:ascii="Calibri"/>
                        <w:sz w:val="40"/>
                      </w:rPr>
                    </w:pPr>
                    <w:r>
                      <w:rPr>
                        <w:rFonts w:ascii="Calibri"/>
                        <w:w w:val="100"/>
                        <w:sz w:val="40"/>
                      </w:rPr>
                      <w:t>0</w:t>
                    </w:r>
                  </w:p>
                </w:txbxContent>
              </v:textbox>
              <w10:wrap type="none"/>
            </v:shape>
            <v:shape style="position:absolute;left:2633;top:5159;width:224;height:401" type="#_x0000_t202" id="docshape78" filled="false" stroked="false">
              <v:textbox inset="0,0,0,0">
                <w:txbxContent>
                  <w:p>
                    <w:pPr>
                      <w:spacing w:line="401" w:lineRule="exact" w:before="0"/>
                      <w:ind w:left="0" w:right="0" w:firstLine="0"/>
                      <w:jc w:val="left"/>
                      <w:rPr>
                        <w:rFonts w:ascii="Calibri"/>
                        <w:sz w:val="40"/>
                      </w:rPr>
                    </w:pPr>
                    <w:r>
                      <w:rPr>
                        <w:rFonts w:ascii="Calibri"/>
                        <w:w w:val="100"/>
                        <w:sz w:val="40"/>
                      </w:rPr>
                      <w:t>0</w:t>
                    </w:r>
                  </w:p>
                </w:txbxContent>
              </v:textbox>
              <w10:wrap type="none"/>
            </v:shape>
            <v:shape style="position:absolute;left:3471;top:5159;width:424;height:401" type="#_x0000_t202" id="docshape79" filled="false" stroked="false">
              <v:textbox inset="0,0,0,0">
                <w:txbxContent>
                  <w:p>
                    <w:pPr>
                      <w:spacing w:line="401" w:lineRule="exact" w:before="0"/>
                      <w:ind w:left="0" w:right="0" w:firstLine="0"/>
                      <w:jc w:val="left"/>
                      <w:rPr>
                        <w:rFonts w:ascii="Calibri"/>
                        <w:sz w:val="40"/>
                      </w:rPr>
                    </w:pPr>
                    <w:r>
                      <w:rPr>
                        <w:rFonts w:ascii="Calibri"/>
                        <w:spacing w:val="-5"/>
                        <w:sz w:val="40"/>
                      </w:rPr>
                      <w:t>24</w:t>
                    </w:r>
                  </w:p>
                </w:txbxContent>
              </v:textbox>
              <w10:wrap type="none"/>
            </v:shape>
            <v:shape style="position:absolute;left:4411;top:5159;width:424;height:401" type="#_x0000_t202" id="docshape80" filled="false" stroked="false">
              <v:textbox inset="0,0,0,0">
                <w:txbxContent>
                  <w:p>
                    <w:pPr>
                      <w:spacing w:line="401" w:lineRule="exact" w:before="0"/>
                      <w:ind w:left="0" w:right="0" w:firstLine="0"/>
                      <w:jc w:val="left"/>
                      <w:rPr>
                        <w:rFonts w:ascii="Calibri"/>
                        <w:sz w:val="40"/>
                      </w:rPr>
                    </w:pPr>
                    <w:r>
                      <w:rPr>
                        <w:rFonts w:ascii="Calibri"/>
                        <w:spacing w:val="-5"/>
                        <w:sz w:val="40"/>
                      </w:rPr>
                      <w:t>48</w:t>
                    </w:r>
                  </w:p>
                </w:txbxContent>
              </v:textbox>
              <w10:wrap type="none"/>
            </v:shape>
            <v:shape style="position:absolute;left:5098;top:5159;width:2659;height:487" type="#_x0000_t202" id="docshape81" filled="false" stroked="false">
              <v:textbox inset="0,0,0,0">
                <w:txbxContent>
                  <w:p>
                    <w:pPr>
                      <w:spacing w:line="486" w:lineRule="exact" w:before="0"/>
                      <w:ind w:left="0" w:right="0" w:firstLine="0"/>
                      <w:jc w:val="left"/>
                      <w:rPr>
                        <w:rFonts w:ascii="Calibri"/>
                        <w:sz w:val="40"/>
                      </w:rPr>
                    </w:pPr>
                    <w:r>
                      <w:rPr>
                        <w:b/>
                        <w:spacing w:val="-15"/>
                        <w:sz w:val="40"/>
                      </w:rPr>
                      <w:t>T</w:t>
                    </w:r>
                    <w:r>
                      <w:rPr>
                        <w:rFonts w:ascii="Calibri"/>
                        <w:spacing w:val="-197"/>
                        <w:position w:val="10"/>
                        <w:sz w:val="40"/>
                      </w:rPr>
                      <w:t>7</w:t>
                    </w:r>
                    <w:r>
                      <w:rPr>
                        <w:b/>
                        <w:sz w:val="40"/>
                      </w:rPr>
                      <w:t>i</w:t>
                    </w:r>
                    <w:r>
                      <w:rPr>
                        <w:b/>
                        <w:spacing w:val="-251"/>
                        <w:sz w:val="40"/>
                      </w:rPr>
                      <w:t>m</w:t>
                    </w:r>
                    <w:r>
                      <w:rPr>
                        <w:rFonts w:ascii="Calibri"/>
                        <w:position w:val="10"/>
                        <w:sz w:val="40"/>
                      </w:rPr>
                      <w:t>2</w:t>
                    </w:r>
                    <w:r>
                      <w:rPr>
                        <w:rFonts w:ascii="Calibri"/>
                        <w:spacing w:val="-45"/>
                        <w:position w:val="10"/>
                        <w:sz w:val="40"/>
                      </w:rPr>
                      <w:t> </w:t>
                    </w:r>
                    <w:r>
                      <w:rPr>
                        <w:b/>
                        <w:sz w:val="40"/>
                      </w:rPr>
                      <w:t>e </w:t>
                    </w:r>
                    <w:r>
                      <w:rPr>
                        <w:b/>
                        <w:spacing w:val="-2"/>
                        <w:sz w:val="40"/>
                      </w:rPr>
                      <w:t>(</w:t>
                    </w:r>
                    <w:r>
                      <w:rPr>
                        <w:b/>
                        <w:spacing w:val="-238"/>
                        <w:sz w:val="40"/>
                      </w:rPr>
                      <w:t>H</w:t>
                    </w:r>
                    <w:r>
                      <w:rPr>
                        <w:rFonts w:ascii="Calibri"/>
                        <w:spacing w:val="-4"/>
                        <w:position w:val="10"/>
                        <w:sz w:val="40"/>
                      </w:rPr>
                      <w:t>9</w:t>
                    </w:r>
                    <w:r>
                      <w:rPr>
                        <w:rFonts w:ascii="Calibri"/>
                        <w:spacing w:val="-172"/>
                        <w:position w:val="10"/>
                        <w:sz w:val="40"/>
                      </w:rPr>
                      <w:t>6</w:t>
                    </w:r>
                    <w:r>
                      <w:rPr>
                        <w:b/>
                        <w:spacing w:val="-2"/>
                        <w:sz w:val="40"/>
                      </w:rPr>
                      <w:t>our</w:t>
                    </w:r>
                    <w:r>
                      <w:rPr>
                        <w:b/>
                        <w:spacing w:val="-157"/>
                        <w:sz w:val="40"/>
                      </w:rPr>
                      <w:t>s</w:t>
                    </w:r>
                    <w:r>
                      <w:rPr>
                        <w:rFonts w:ascii="Calibri"/>
                        <w:spacing w:val="-50"/>
                        <w:position w:val="10"/>
                        <w:sz w:val="40"/>
                      </w:rPr>
                      <w:t>1</w:t>
                    </w:r>
                    <w:r>
                      <w:rPr>
                        <w:b/>
                        <w:spacing w:val="-90"/>
                        <w:sz w:val="40"/>
                      </w:rPr>
                      <w:t>)</w:t>
                    </w:r>
                    <w:r>
                      <w:rPr>
                        <w:rFonts w:ascii="Calibri"/>
                        <w:spacing w:val="-2"/>
                        <w:position w:val="10"/>
                        <w:sz w:val="40"/>
                      </w:rPr>
                      <w:t>20</w:t>
                    </w:r>
                  </w:p>
                </w:txbxContent>
              </v:textbox>
              <w10:wrap type="none"/>
            </v:shape>
            <v:shape style="position:absolute;left:8069;top:5159;width:1568;height:401" type="#_x0000_t202" id="docshape82" filled="false" stroked="false">
              <v:textbox inset="0,0,0,0">
                <w:txbxContent>
                  <w:p>
                    <w:pPr>
                      <w:tabs>
                        <w:tab w:pos="939" w:val="left" w:leader="none"/>
                      </w:tabs>
                      <w:spacing w:line="401" w:lineRule="exact" w:before="0"/>
                      <w:ind w:left="0" w:right="0" w:firstLine="0"/>
                      <w:jc w:val="left"/>
                      <w:rPr>
                        <w:rFonts w:ascii="Calibri"/>
                        <w:sz w:val="40"/>
                      </w:rPr>
                    </w:pPr>
                    <w:r>
                      <w:rPr>
                        <w:rFonts w:ascii="Calibri"/>
                        <w:spacing w:val="-5"/>
                        <w:sz w:val="40"/>
                      </w:rPr>
                      <w:t>144</w:t>
                    </w:r>
                    <w:r>
                      <w:rPr>
                        <w:rFonts w:ascii="Calibri"/>
                        <w:sz w:val="40"/>
                      </w:rPr>
                      <w:tab/>
                    </w:r>
                    <w:r>
                      <w:rPr>
                        <w:rFonts w:ascii="Calibri"/>
                        <w:spacing w:val="-5"/>
                        <w:sz w:val="40"/>
                      </w:rPr>
                      <w:t>168</w:t>
                    </w:r>
                  </w:p>
                </w:txbxContent>
              </v:textbox>
              <w10:wrap type="none"/>
            </v:shape>
            <w10:wrap type="none"/>
          </v:group>
        </w:pict>
      </w:r>
      <w:r>
        <w:rPr/>
        <w:pict>
          <v:shape style="position:absolute;margin-left:86.432083pt;margin-top:82.480637pt;width:47.15pt;height:126.65pt;mso-position-horizontal-relative:page;mso-position-vertical-relative:paragraph;z-index:15740416" type="#_x0000_t202" id="docshape83" filled="false" stroked="false">
            <v:textbox inset="0,0,0,0" style="layout-flow:vertical;mso-layout-flow-alt:bottom-to-top">
              <w:txbxContent>
                <w:p>
                  <w:pPr>
                    <w:spacing w:before="3"/>
                    <w:ind w:left="632" w:right="0" w:hanging="612"/>
                    <w:jc w:val="left"/>
                    <w:rPr>
                      <w:b/>
                      <w:sz w:val="40"/>
                    </w:rPr>
                  </w:pPr>
                  <w:r>
                    <w:rPr>
                      <w:b/>
                      <w:spacing w:val="-2"/>
                      <w:sz w:val="40"/>
                    </w:rPr>
                    <w:t>Emulsification activity</w:t>
                  </w:r>
                </w:p>
              </w:txbxContent>
            </v:textbox>
            <w10:wrap type="none"/>
          </v:shape>
        </w:pict>
      </w:r>
      <w:r>
        <w:rPr>
          <w:i/>
          <w:sz w:val="24"/>
        </w:rPr>
        <w:t>faecalis</w:t>
      </w:r>
      <w:r>
        <w:rPr>
          <w:i/>
          <w:spacing w:val="-1"/>
          <w:sz w:val="24"/>
        </w:rPr>
        <w:t> </w:t>
      </w:r>
      <w:r>
        <w:rPr>
          <w:sz w:val="24"/>
        </w:rPr>
        <w:t>for</w:t>
      </w:r>
      <w:r>
        <w:rPr>
          <w:spacing w:val="-2"/>
          <w:sz w:val="24"/>
        </w:rPr>
        <w:t> </w:t>
      </w:r>
      <w:r>
        <w:rPr>
          <w:sz w:val="24"/>
        </w:rPr>
        <w:t>a</w:t>
      </w:r>
      <w:r>
        <w:rPr>
          <w:spacing w:val="-1"/>
          <w:sz w:val="24"/>
        </w:rPr>
        <w:t> </w:t>
      </w:r>
      <w:r>
        <w:rPr>
          <w:sz w:val="24"/>
        </w:rPr>
        <w:t>period</w:t>
      </w:r>
      <w:r>
        <w:rPr>
          <w:spacing w:val="-1"/>
          <w:sz w:val="24"/>
        </w:rPr>
        <w:t> </w:t>
      </w:r>
      <w:r>
        <w:rPr>
          <w:sz w:val="24"/>
        </w:rPr>
        <w:t>of</w:t>
      </w:r>
      <w:r>
        <w:rPr>
          <w:spacing w:val="-1"/>
          <w:sz w:val="24"/>
        </w:rPr>
        <w:t> </w:t>
      </w:r>
      <w:r>
        <w:rPr>
          <w:sz w:val="24"/>
        </w:rPr>
        <w:t>7</w:t>
      </w:r>
      <w:r>
        <w:rPr>
          <w:spacing w:val="2"/>
          <w:sz w:val="24"/>
        </w:rPr>
        <w:t> </w:t>
      </w:r>
      <w:r>
        <w:rPr>
          <w:spacing w:val="-4"/>
          <w:sz w:val="24"/>
        </w:rPr>
        <w:t>days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3"/>
        </w:rPr>
      </w:pPr>
    </w:p>
    <w:p>
      <w:pPr>
        <w:pStyle w:val="Heading1"/>
        <w:ind w:left="3716"/>
        <w:jc w:val="left"/>
      </w:pPr>
      <w:r>
        <w:rPr/>
        <w:t>APPENDIX</w:t>
      </w:r>
      <w:r>
        <w:rPr>
          <w:spacing w:val="-14"/>
        </w:rPr>
        <w:t> </w:t>
      </w:r>
      <w:r>
        <w:rPr>
          <w:spacing w:val="-10"/>
        </w:rPr>
        <w:t>V</w:t>
      </w:r>
    </w:p>
    <w:p>
      <w:pPr>
        <w:spacing w:after="0"/>
        <w:jc w:val="left"/>
        <w:sectPr>
          <w:pgSz w:w="11910" w:h="16840"/>
          <w:pgMar w:header="0" w:footer="1002" w:top="1320" w:bottom="1200" w:left="1500" w:right="1580"/>
        </w:sectPr>
      </w:pPr>
    </w:p>
    <w:p>
      <w:pPr>
        <w:spacing w:before="77"/>
        <w:ind w:left="202" w:right="0" w:firstLine="0"/>
        <w:jc w:val="left"/>
        <w:rPr>
          <w:b/>
          <w:sz w:val="24"/>
        </w:rPr>
      </w:pPr>
      <w:r>
        <w:rPr>
          <w:b/>
          <w:sz w:val="24"/>
        </w:rPr>
        <w:t>Experimental</w:t>
      </w:r>
      <w:r>
        <w:rPr>
          <w:b/>
          <w:spacing w:val="-8"/>
          <w:sz w:val="24"/>
        </w:rPr>
        <w:t> </w:t>
      </w:r>
      <w:r>
        <w:rPr>
          <w:b/>
          <w:sz w:val="24"/>
        </w:rPr>
        <w:t>setup</w:t>
      </w:r>
      <w:r>
        <w:rPr>
          <w:b/>
          <w:spacing w:val="-7"/>
          <w:sz w:val="24"/>
        </w:rPr>
        <w:t> </w:t>
      </w:r>
      <w:r>
        <w:rPr>
          <w:b/>
          <w:sz w:val="24"/>
        </w:rPr>
        <w:t>for</w:t>
      </w:r>
      <w:r>
        <w:rPr>
          <w:b/>
          <w:spacing w:val="-9"/>
          <w:sz w:val="24"/>
        </w:rPr>
        <w:t> </w:t>
      </w:r>
      <w:r>
        <w:rPr>
          <w:b/>
          <w:sz w:val="24"/>
        </w:rPr>
        <w:t>bioremediation</w:t>
      </w:r>
      <w:r>
        <w:rPr>
          <w:b/>
          <w:spacing w:val="-7"/>
          <w:sz w:val="24"/>
        </w:rPr>
        <w:t> </w:t>
      </w:r>
      <w:r>
        <w:rPr>
          <w:b/>
          <w:sz w:val="24"/>
        </w:rPr>
        <w:t>of</w:t>
      </w:r>
      <w:r>
        <w:rPr>
          <w:b/>
          <w:spacing w:val="-7"/>
          <w:sz w:val="24"/>
        </w:rPr>
        <w:t> </w:t>
      </w:r>
      <w:r>
        <w:rPr>
          <w:b/>
          <w:sz w:val="24"/>
        </w:rPr>
        <w:t>crude</w:t>
      </w:r>
      <w:r>
        <w:rPr>
          <w:b/>
          <w:spacing w:val="-8"/>
          <w:sz w:val="24"/>
        </w:rPr>
        <w:t> </w:t>
      </w:r>
      <w:r>
        <w:rPr>
          <w:b/>
          <w:sz w:val="24"/>
        </w:rPr>
        <w:t>oil</w:t>
      </w:r>
      <w:r>
        <w:rPr>
          <w:b/>
          <w:spacing w:val="-7"/>
          <w:sz w:val="24"/>
        </w:rPr>
        <w:t> </w:t>
      </w:r>
      <w:r>
        <w:rPr>
          <w:b/>
          <w:sz w:val="24"/>
        </w:rPr>
        <w:t>contaminated</w:t>
      </w:r>
      <w:r>
        <w:rPr>
          <w:b/>
          <w:spacing w:val="-8"/>
          <w:sz w:val="24"/>
        </w:rPr>
        <w:t> </w:t>
      </w:r>
      <w:r>
        <w:rPr>
          <w:b/>
          <w:spacing w:val="-4"/>
          <w:sz w:val="24"/>
        </w:rPr>
        <w:t>soil</w:t>
      </w:r>
    </w:p>
    <w:p>
      <w:pPr>
        <w:pStyle w:val="BodyText"/>
        <w:rPr>
          <w:b/>
          <w:sz w:val="20"/>
        </w:rPr>
      </w:pPr>
    </w:p>
    <w:p>
      <w:pPr>
        <w:pStyle w:val="BodyText"/>
        <w:spacing w:before="7"/>
        <w:rPr>
          <w:b/>
          <w:sz w:val="20"/>
        </w:rPr>
      </w:pPr>
      <w:r>
        <w:rPr/>
        <w:pict>
          <v:group style="position:absolute;margin-left:87.199196pt;margin-top:13.09667pt;width:423.85pt;height:266.05pt;mso-position-horizontal-relative:page;mso-position-vertical-relative:paragraph;z-index:-15716352;mso-wrap-distance-left:0;mso-wrap-distance-right:0" id="docshapegroup84" coordorigin="1744,262" coordsize="8477,5321">
            <v:shape style="position:absolute;left:1743;top:261;width:8477;height:5321" type="#_x0000_t75" id="docshape85" stroked="false">
              <v:imagedata r:id="rId38" o:title=""/>
            </v:shape>
            <v:shape style="position:absolute;left:2092;top:898;width:660;height:407" type="#_x0000_t202" id="docshape86" filled="false" stroked="false">
              <v:textbox inset="0,0,0,0">
                <w:txbxContent>
                  <w:p>
                    <w:pPr>
                      <w:spacing w:line="405" w:lineRule="exact" w:before="0"/>
                      <w:ind w:left="0" w:right="0" w:firstLine="0"/>
                      <w:jc w:val="left"/>
                      <w:rPr>
                        <w:sz w:val="36"/>
                      </w:rPr>
                    </w:pPr>
                    <w:r>
                      <w:rPr>
                        <w:color w:val="FFFFFF"/>
                        <w:spacing w:val="-5"/>
                        <w:sz w:val="36"/>
                      </w:rPr>
                      <w:t>NPa</w:t>
                    </w:r>
                  </w:p>
                </w:txbxContent>
              </v:textbox>
              <w10:wrap type="none"/>
            </v:shape>
            <v:shape style="position:absolute;left:3724;top:789;width:680;height:407" type="#_x0000_t202" id="docshape87" filled="false" stroked="false">
              <v:textbox inset="0,0,0,0">
                <w:txbxContent>
                  <w:p>
                    <w:pPr>
                      <w:spacing w:line="405" w:lineRule="exact" w:before="0"/>
                      <w:ind w:left="0" w:right="0" w:firstLine="0"/>
                      <w:jc w:val="left"/>
                      <w:rPr>
                        <w:sz w:val="36"/>
                      </w:rPr>
                    </w:pPr>
                    <w:r>
                      <w:rPr>
                        <w:color w:val="FFFFFF"/>
                        <w:spacing w:val="-5"/>
                        <w:sz w:val="36"/>
                      </w:rPr>
                      <w:t>NPb</w:t>
                    </w:r>
                  </w:p>
                </w:txbxContent>
              </v:textbox>
              <w10:wrap type="none"/>
            </v:shape>
            <v:shape style="position:absolute;left:5248;top:789;width:633;height:407" type="#_x0000_t202" id="docshape88" filled="false" stroked="false">
              <v:textbox inset="0,0,0,0">
                <w:txbxContent>
                  <w:p>
                    <w:pPr>
                      <w:spacing w:line="405" w:lineRule="exact" w:before="0"/>
                      <w:ind w:left="0" w:right="0" w:firstLine="0"/>
                      <w:jc w:val="left"/>
                      <w:rPr>
                        <w:sz w:val="36"/>
                      </w:rPr>
                    </w:pPr>
                    <w:r>
                      <w:rPr>
                        <w:color w:val="FFFFFF"/>
                        <w:spacing w:val="-5"/>
                        <w:sz w:val="36"/>
                      </w:rPr>
                      <w:t>BSa</w:t>
                    </w:r>
                  </w:p>
                </w:txbxContent>
              </v:textbox>
              <w10:wrap type="none"/>
            </v:shape>
            <v:shape style="position:absolute;left:8623;top:462;width:673;height:407" type="#_x0000_t202" id="docshape89" filled="false" stroked="false">
              <v:textbox inset="0,0,0,0">
                <w:txbxContent>
                  <w:p>
                    <w:pPr>
                      <w:spacing w:line="405" w:lineRule="exact" w:before="0"/>
                      <w:ind w:left="0" w:right="0" w:firstLine="0"/>
                      <w:jc w:val="left"/>
                      <w:rPr>
                        <w:sz w:val="36"/>
                      </w:rPr>
                    </w:pPr>
                    <w:r>
                      <w:rPr>
                        <w:color w:val="FFFFFF"/>
                        <w:spacing w:val="-5"/>
                        <w:sz w:val="36"/>
                      </w:rPr>
                      <w:t>BCa</w:t>
                    </w:r>
                  </w:p>
                </w:txbxContent>
              </v:textbox>
              <w10:wrap type="none"/>
            </v:shape>
            <v:shape style="position:absolute;left:6772;top:898;width:653;height:407" type="#_x0000_t202" id="docshape90" filled="false" stroked="false">
              <v:textbox inset="0,0,0,0">
                <w:txbxContent>
                  <w:p>
                    <w:pPr>
                      <w:spacing w:line="405" w:lineRule="exact" w:before="0"/>
                      <w:ind w:left="0" w:right="0" w:firstLine="0"/>
                      <w:jc w:val="left"/>
                      <w:rPr>
                        <w:sz w:val="36"/>
                      </w:rPr>
                    </w:pPr>
                    <w:r>
                      <w:rPr>
                        <w:color w:val="FFFFFF"/>
                        <w:spacing w:val="-5"/>
                        <w:sz w:val="36"/>
                      </w:rPr>
                      <w:t>BSb</w:t>
                    </w:r>
                  </w:p>
                </w:txbxContent>
              </v:textbox>
              <w10:wrap type="none"/>
            </v:shape>
            <v:shape style="position:absolute;left:2309;top:2530;width:694;height:407" type="#_x0000_t202" id="docshape91" filled="false" stroked="false">
              <v:textbox inset="0,0,0,0">
                <w:txbxContent>
                  <w:p>
                    <w:pPr>
                      <w:spacing w:line="405" w:lineRule="exact" w:before="0"/>
                      <w:ind w:left="0" w:right="0" w:firstLine="0"/>
                      <w:jc w:val="left"/>
                      <w:rPr>
                        <w:sz w:val="36"/>
                      </w:rPr>
                    </w:pPr>
                    <w:r>
                      <w:rPr>
                        <w:color w:val="FFFFFF"/>
                        <w:spacing w:val="-5"/>
                        <w:sz w:val="36"/>
                      </w:rPr>
                      <w:t>BCb</w:t>
                    </w:r>
                  </w:p>
                </w:txbxContent>
              </v:textbox>
              <w10:wrap type="none"/>
            </v:shape>
            <v:shape style="position:absolute;left:3724;top:2394;width:980;height:407" type="#_x0000_t202" id="docshape92" filled="false" stroked="false">
              <v:textbox inset="0,0,0,0">
                <w:txbxContent>
                  <w:p>
                    <w:pPr>
                      <w:spacing w:line="405" w:lineRule="exact" w:before="0"/>
                      <w:ind w:left="0" w:right="0" w:firstLine="0"/>
                      <w:jc w:val="left"/>
                      <w:rPr>
                        <w:sz w:val="36"/>
                      </w:rPr>
                    </w:pPr>
                    <w:r>
                      <w:rPr>
                        <w:color w:val="FFFFFF"/>
                        <w:spacing w:val="-2"/>
                        <w:sz w:val="36"/>
                      </w:rPr>
                      <w:t>1:1:1a</w:t>
                    </w:r>
                  </w:p>
                </w:txbxContent>
              </v:textbox>
              <w10:wrap type="none"/>
            </v:shape>
            <v:shape style="position:absolute;left:5357;top:2313;width:965;height:407" type="#_x0000_t202" id="docshape93" filled="false" stroked="false">
              <v:textbox inset="0,0,0,0">
                <w:txbxContent>
                  <w:p>
                    <w:pPr>
                      <w:spacing w:line="405" w:lineRule="exact" w:before="0"/>
                      <w:ind w:left="0" w:right="0" w:firstLine="0"/>
                      <w:jc w:val="left"/>
                      <w:rPr>
                        <w:sz w:val="36"/>
                      </w:rPr>
                    </w:pPr>
                    <w:r>
                      <w:rPr>
                        <w:color w:val="FFFFFF"/>
                        <w:spacing w:val="-2"/>
                        <w:sz w:val="36"/>
                      </w:rPr>
                      <w:t>1:1:1b</w:t>
                    </w:r>
                  </w:p>
                </w:txbxContent>
              </v:textbox>
              <w10:wrap type="none"/>
            </v:shape>
            <v:shape style="position:absolute;left:6990;top:2530;width:978;height:407" type="#_x0000_t202" id="docshape94" filled="false" stroked="false">
              <v:textbox inset="0,0,0,0">
                <w:txbxContent>
                  <w:p>
                    <w:pPr>
                      <w:spacing w:line="405" w:lineRule="exact" w:before="0"/>
                      <w:ind w:left="0" w:right="0" w:firstLine="0"/>
                      <w:jc w:val="left"/>
                      <w:rPr>
                        <w:sz w:val="36"/>
                      </w:rPr>
                    </w:pPr>
                    <w:r>
                      <w:rPr>
                        <w:color w:val="FFFFFF"/>
                        <w:spacing w:val="-2"/>
                        <w:sz w:val="36"/>
                      </w:rPr>
                      <w:t>1:1:2a</w:t>
                    </w:r>
                  </w:p>
                </w:txbxContent>
              </v:textbox>
              <w10:wrap type="none"/>
            </v:shape>
            <v:shape style="position:absolute;left:8732;top:2204;width:965;height:407" type="#_x0000_t202" id="docshape95" filled="false" stroked="false">
              <v:textbox inset="0,0,0,0">
                <w:txbxContent>
                  <w:p>
                    <w:pPr>
                      <w:spacing w:line="405" w:lineRule="exact" w:before="0"/>
                      <w:ind w:left="0" w:right="0" w:firstLine="0"/>
                      <w:jc w:val="left"/>
                      <w:rPr>
                        <w:sz w:val="36"/>
                      </w:rPr>
                    </w:pPr>
                    <w:r>
                      <w:rPr>
                        <w:color w:val="FFFFFF"/>
                        <w:spacing w:val="-2"/>
                        <w:sz w:val="36"/>
                      </w:rPr>
                      <w:t>1:1:2b</w:t>
                    </w:r>
                  </w:p>
                </w:txbxContent>
              </v:textbox>
              <w10:wrap type="none"/>
            </v:shape>
            <v:shape style="position:absolute;left:2201;top:3918;width:978;height:407" type="#_x0000_t202" id="docshape96" filled="false" stroked="false">
              <v:textbox inset="0,0,0,0">
                <w:txbxContent>
                  <w:p>
                    <w:pPr>
                      <w:spacing w:line="405" w:lineRule="exact" w:before="0"/>
                      <w:ind w:left="0" w:right="0" w:firstLine="0"/>
                      <w:jc w:val="left"/>
                      <w:rPr>
                        <w:sz w:val="36"/>
                      </w:rPr>
                    </w:pPr>
                    <w:r>
                      <w:rPr>
                        <w:color w:val="FFFFFF"/>
                        <w:spacing w:val="-2"/>
                        <w:sz w:val="36"/>
                      </w:rPr>
                      <w:t>2:1:1a</w:t>
                    </w:r>
                  </w:p>
                </w:txbxContent>
              </v:textbox>
              <w10:wrap type="none"/>
            </v:shape>
            <v:shape style="position:absolute;left:3616;top:3945;width:964;height:407" type="#_x0000_t202" id="docshape97" filled="false" stroked="false">
              <v:textbox inset="0,0,0,0">
                <w:txbxContent>
                  <w:p>
                    <w:pPr>
                      <w:spacing w:line="405" w:lineRule="exact" w:before="0"/>
                      <w:ind w:left="0" w:right="0" w:firstLine="0"/>
                      <w:jc w:val="left"/>
                      <w:rPr>
                        <w:sz w:val="36"/>
                      </w:rPr>
                    </w:pPr>
                    <w:r>
                      <w:rPr>
                        <w:color w:val="FFFFFF"/>
                        <w:spacing w:val="-2"/>
                        <w:sz w:val="36"/>
                      </w:rPr>
                      <w:t>2:1:1b</w:t>
                    </w:r>
                  </w:p>
                </w:txbxContent>
              </v:textbox>
              <w10:wrap type="none"/>
            </v:shape>
            <v:shape style="position:absolute;left:5357;top:3945;width:971;height:407" type="#_x0000_t202" id="docshape98" filled="false" stroked="false">
              <v:textbox inset="0,0,0,0">
                <w:txbxContent>
                  <w:p>
                    <w:pPr>
                      <w:spacing w:line="405" w:lineRule="exact" w:before="0"/>
                      <w:ind w:left="0" w:right="0" w:firstLine="0"/>
                      <w:jc w:val="left"/>
                      <w:rPr>
                        <w:sz w:val="36"/>
                      </w:rPr>
                    </w:pPr>
                    <w:r>
                      <w:rPr>
                        <w:color w:val="FFFFFF"/>
                        <w:spacing w:val="-2"/>
                        <w:sz w:val="36"/>
                      </w:rPr>
                      <w:t>1:2:1a</w:t>
                    </w:r>
                  </w:p>
                </w:txbxContent>
              </v:textbox>
              <w10:wrap type="none"/>
            </v:shape>
            <v:shape style="position:absolute;left:6990;top:4244;width:964;height:407" type="#_x0000_t202" id="docshape99" filled="false" stroked="false">
              <v:textbox inset="0,0,0,0">
                <w:txbxContent>
                  <w:p>
                    <w:pPr>
                      <w:spacing w:line="405" w:lineRule="exact" w:before="0"/>
                      <w:ind w:left="0" w:right="0" w:firstLine="0"/>
                      <w:jc w:val="left"/>
                      <w:rPr>
                        <w:sz w:val="36"/>
                      </w:rPr>
                    </w:pPr>
                    <w:r>
                      <w:rPr>
                        <w:color w:val="FFFFFF"/>
                        <w:spacing w:val="-2"/>
                        <w:sz w:val="36"/>
                      </w:rPr>
                      <w:t>1:2:1b</w:t>
                    </w:r>
                  </w:p>
                </w:txbxContent>
              </v:textbox>
              <w10:wrap type="none"/>
            </v:shape>
            <v:shape style="position:absolute;left:8732;top:3945;width:1075;height:407" type="#_x0000_t202" id="docshape100" filled="false" stroked="false">
              <v:textbox inset="0,0,0,0">
                <w:txbxContent>
                  <w:p>
                    <w:pPr>
                      <w:spacing w:line="405" w:lineRule="exact" w:before="0"/>
                      <w:ind w:left="0" w:right="0" w:firstLine="0"/>
                      <w:jc w:val="left"/>
                      <w:rPr>
                        <w:sz w:val="36"/>
                      </w:rPr>
                    </w:pPr>
                    <w:r>
                      <w:rPr>
                        <w:color w:val="FFFFFF"/>
                        <w:spacing w:val="-2"/>
                        <w:sz w:val="36"/>
                      </w:rPr>
                      <w:t>control</w:t>
                    </w:r>
                  </w:p>
                </w:txbxContent>
              </v:textbox>
              <w10:wrap type="none"/>
            </v:shape>
            <w10:wrap type="topAndBottom"/>
          </v:group>
        </w:pic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3"/>
        </w:rPr>
      </w:pPr>
    </w:p>
    <w:p>
      <w:pPr>
        <w:pStyle w:val="Heading1"/>
        <w:ind w:left="200" w:right="121"/>
      </w:pPr>
      <w:r>
        <w:rPr/>
        <w:t>APPENDIX</w:t>
      </w:r>
      <w:r>
        <w:rPr>
          <w:spacing w:val="-14"/>
        </w:rPr>
        <w:t> </w:t>
      </w:r>
      <w:r>
        <w:rPr>
          <w:spacing w:val="-5"/>
        </w:rPr>
        <w:t>VI</w:t>
      </w:r>
    </w:p>
    <w:p>
      <w:pPr>
        <w:spacing w:after="0"/>
        <w:sectPr>
          <w:pgSz w:w="11910" w:h="16840"/>
          <w:pgMar w:header="0" w:footer="1002" w:top="1320" w:bottom="1200" w:left="1500" w:right="1580"/>
        </w:sectPr>
      </w:pPr>
    </w:p>
    <w:p>
      <w:pPr>
        <w:spacing w:before="77"/>
        <w:ind w:left="310" w:right="0" w:firstLine="0"/>
        <w:jc w:val="left"/>
        <w:rPr>
          <w:b/>
          <w:sz w:val="24"/>
        </w:rPr>
      </w:pPr>
      <w:r>
        <w:rPr/>
        <w:pict>
          <v:group style="position:absolute;margin-left:84.839996pt;margin-top:78.873131pt;width:432.25pt;height:520.4500pt;mso-position-horizontal-relative:page;mso-position-vertical-relative:paragraph;z-index:15741440" id="docshapegroup101" coordorigin="1697,1577" coordsize="8645,10409">
            <v:shape style="position:absolute;left:2726;top:4714;width:6308;height:4364" id="docshape102" coordorigin="2726,4714" coordsize="6308,4364" path="m2726,9077l9034,9077m2726,7623l9034,7623m2726,6169l9034,6169m2726,4714l9034,4714e" filled="false" stroked="true" strokeweight=".48pt" strokecolor="#888888">
              <v:path arrowok="t"/>
              <v:stroke dashstyle="solid"/>
            </v:shape>
            <v:shape style="position:absolute;left:2767;top:3485;width:4683;height:7047" id="docshape103" coordorigin="2767,3485" coordsize="4683,7047" path="m2825,4275l2767,4275,2767,10532,2825,10532,2825,4275xm3245,4712l3190,4712,3190,10532,3245,10532,3245,4712xm3665,4712l3610,4712,3610,10532,3665,10532,3665,4712xm4085,4714l4030,4714,4030,10532,4085,10532,4085,4714xm4507,3838l4450,3838,4450,10532,4507,10532,4507,3838xm4927,3581l4870,3581,4870,10532,4927,10532,4927,3581xm5347,3581l5292,3581,5292,10532,5347,10532,5347,3581xm5767,3485l5712,3485,5712,10532,5767,10532,5767,3485xm6187,3697l6132,3697,6132,10532,6187,10532,6187,3697xm6607,3838l6552,3838,6552,10532,6607,10532,6607,3838xm7030,4021l6972,4021,6972,10532,7030,10532,7030,4021xm7450,3838l7392,3838,7392,10532,7450,10532,7450,3838xe" filled="true" fillcolor="#5088bb" stroked="false">
              <v:path arrowok="t"/>
              <v:fill type="solid"/>
            </v:shape>
            <v:line style="position:absolute" from="2726,3260" to="9034,3260" stroked="true" strokeweight=".48pt" strokecolor="#888888">
              <v:stroke dashstyle="solid"/>
            </v:line>
            <v:shape style="position:absolute;left:7814;top:3003;width:896;height:7529" id="docshape104" coordorigin="7814,3003" coordsize="896,7529" path="m7870,3003l7814,3003,7814,10532,7870,10532,7870,3003xm8290,3581l8234,3581,8234,10532,8290,10532,8290,3581xm8710,4275l8654,4275,8654,10532,8710,10532,8710,4275xe" filled="true" fillcolor="#5088bb" stroked="false">
              <v:path arrowok="t"/>
              <v:fill type="solid"/>
            </v:shape>
            <v:shape style="position:absolute;left:2824;top:2352;width:5943;height:8180" id="docshape105" coordorigin="2825,2353" coordsize="5943,8180" path="m2880,3399l2825,3399,2825,10532,2880,10532,2880,3399xm3300,4275l3245,4275,3245,10532,3300,10532,3300,4275xm3722,3838l3665,3838,3665,10532,3722,10532,3722,3838xm4142,4021l4085,4021,4085,10532,4142,10532,4142,4021xm4562,3145l4507,3145,4507,10532,4562,10532,4562,3145xm4982,3003l4927,3003,4927,10532,4982,10532,4982,3003xm5402,2854l5347,2854,5347,10532,5402,10532,5402,2854xm5822,2353l5767,2353,5767,10532,5822,10532,5822,2353xm6245,3260l6187,3260,6187,10532,6245,10532,6245,3260xm6665,3399l6607,3399,6607,10532,6665,10532,6665,3399xm7085,3399l7030,3399,7030,10532,7085,10532,7085,3399xm7505,3581l7450,3581,7450,10532,7505,10532,7505,3581xm7925,2487l7870,2487,7870,10532,7925,10532,7925,2487xm8345,2679l8290,2679,8290,10532,8345,10532,8345,2679xm8767,4160l8710,4160,8710,10532,8767,10532,8767,4160xe" filled="true" fillcolor="#d26d2a" stroked="false">
              <v:path arrowok="t"/>
              <v:fill type="solid"/>
            </v:shape>
            <v:shape style="position:absolute;left:2880;top:2280;width:5943;height:8252" id="docshape106" coordorigin="2880,2281" coordsize="5943,8252" path="m2938,4714l2880,4714,2880,10532,2938,10532,2938,4714xm3358,2854l3300,2854,3300,10532,3358,10532,3358,2854xm3778,2679l3722,2679,3722,10532,3778,10532,3778,2679xm4198,2854l4142,2854,4142,10532,4198,10532,4198,2854xm4618,2679l4562,2679,4562,10532,4618,10532,4618,2679xm5038,3145l4982,3145,4982,10532,5038,10532,5038,3145xm5460,3003l5402,3003,5402,10532,5460,10532,5460,3003xm5880,2888l5822,2888,5822,10532,5880,10532,5880,2888xm6300,2854l6245,2854,6245,10532,6300,10532,6300,2854xm6720,3094l6665,3094,6665,10532,6720,10532,6720,3094xm7140,3003l7085,3003,7085,10532,7140,10532,7140,3003xm7560,2789l7505,2789,7505,10532,7560,10532,7560,2789xm7982,2281l7925,2281,7925,10532,7982,10532,7982,2281xm8402,2761l8345,2761,8345,10532,8402,10532,8402,2761xm8822,4064l8767,4064,8767,10532,8822,10532,8822,4064xe" filled="true" fillcolor="#929292" stroked="false">
              <v:path arrowok="t"/>
              <v:fill type="solid"/>
            </v:shape>
            <v:shape style="position:absolute;left:2937;top:2127;width:5940;height:8405" id="docshape107" coordorigin="2938,2127" coordsize="5940,8405" path="m2993,4275l2938,4275,2938,10532,2993,10532,2993,4275xm3413,3145l3358,3145,3358,10532,3413,10532,3413,3145xm3833,2888l3778,2888,3778,10532,3833,10532,3833,2888xm4253,3325l4198,3325,4198,10532,4253,10532,4253,3325xm4675,2888l4618,2888,4618,10532,4675,10532,4675,2888xm5095,3200l5038,3200,5038,10532,5095,10532,5095,3200xm5515,2127l5460,2127,5460,10532,5515,10532,5515,2127xm5935,3399l5880,3399,5880,10532,5935,10532,5935,3399xm6355,3003l6300,3003,6300,10532,6355,10532,6355,3003xm6775,3399l6720,3399,6720,10532,6775,10532,6775,3399xm7198,3260l7140,3260,7140,10532,7198,10532,7198,3260xm7618,3003l7560,3003,7560,10532,7618,10532,7618,3003xm8038,2924l7982,2924,7982,10532,8038,10532,8038,2924xm8458,3485l8402,3485,8402,10532,8458,10532,8458,3485xm8878,4021l8822,4021,8822,10532,8878,10532,8878,4021xe" filled="true" fillcolor="#e1aa00" stroked="false">
              <v:path arrowok="t"/>
              <v:fill type="solid"/>
            </v:shape>
            <v:shape style="position:absolute;left:2992;top:3046;width:5943;height:7486" id="docshape108" coordorigin="2993,3046" coordsize="5943,7486" path="m3048,4275l2993,4275,2993,10532,3048,10532,3048,4275xm3468,3581l3413,3581,3413,10532,3468,10532,3468,3581xm3890,4275l3833,4275,3833,10532,3890,10532,3890,4275xm4310,4021l4253,4021,4253,10532,4310,10532,4310,4021xm4730,4021l4675,4021,4675,10532,4730,10532,4730,4021xm5150,3260l5095,3260,5095,10532,5150,10532,5150,3260xm5570,3838l5515,3838,5515,10532,5570,10532,5570,3838xm5990,4712l5935,4712,5935,10532,5990,10532,5990,4712xm6413,4021l6355,4021,6355,10532,6413,10532,6413,4021xm6833,3838l6775,3838,6775,10532,6833,10532,6833,3838xm7253,3581l7198,3581,7198,10532,7253,10532,7253,3581xm7673,4021l7618,4021,7618,10532,7673,10532,7673,4021xm8093,3046l8038,3046,8038,10532,8093,10532,8093,3046xm8515,3260l8458,3260,8458,10532,8515,10532,8515,3260xm8935,3838l8878,3838,8878,10532,8935,10532,8935,3838xe" filled="true" fillcolor="#3a63ac" stroked="false">
              <v:path arrowok="t"/>
              <v:fill type="solid"/>
            </v:shape>
            <v:shape style="position:absolute;left:3048;top:3581;width:5943;height:6951" id="docshape109" coordorigin="3048,3581" coordsize="5943,6951" path="m3106,4021l3048,4021,3048,10532,3106,10532,3106,4021xm3526,4021l3468,4021,3468,10532,3526,10532,3526,4021xm3946,4275l3890,4275,3890,10532,3946,10532,3946,4275xm4366,4018l4310,4018,4310,10532,4366,10532,4366,4018xm4786,4275l4730,4275,4730,10532,4786,10532,4786,4275xm5206,3581l5150,3581,5150,10532,5206,10532,5206,3581xm5628,4275l5570,4275,5570,10532,5628,10532,5628,4275xm6048,4275l5990,4275,5990,10532,6048,10532,6048,4275xm6468,4275l6413,4275,6413,10532,6468,10532,6468,4275xm6888,4275l6833,4275,6833,10532,6888,10532,6888,4275xm7308,4275l7253,4275,7253,10532,7308,10532,7308,4275xm7730,4714l7673,4714,7673,10532,7730,10532,7730,4714xm8150,3581l8093,3581,8093,10532,8150,10532,8150,3581xm8570,4021l8515,4021,8515,10532,8570,10532,8570,4021xm8990,3838l8935,3838,8935,10532,8990,10532,8990,3838xe" filled="true" fillcolor="#61993d" stroked="false">
              <v:path arrowok="t"/>
              <v:fill type="solid"/>
            </v:shape>
            <v:shape style="position:absolute;left:2664;top:1805;width:6370;height:8792" id="docshape110" coordorigin="2664,1805" coordsize="6370,8792" path="m2726,1805l9034,1805m2726,10532l2726,1805m2664,10532l2726,10532m2664,9077l2726,9077m2664,7623l2726,7623m2664,6169l2726,6169m2664,4714l2726,4714m2664,3260l2726,3260m2664,1805l2726,1805m2726,10532l9034,10532m2726,10532l2726,10597m3146,10532l3146,10597m3566,10532l3566,10597m3986,10532l3986,10597m4409,10532l4409,10597m4829,10532l4829,10597m5249,10532l5249,10597m5669,10532l5669,10597m6089,10532l6089,10597m6511,10532l6511,10597m6931,10532l6931,10597m7351,10532l7351,10597m7771,10532l7771,10597m8191,10532l8191,10597m8611,10532l8611,10597m9034,10532l9034,10597e" filled="false" stroked="true" strokeweight=".48pt" strokecolor="#888888">
              <v:path arrowok="t"/>
              <v:stroke dashstyle="solid"/>
            </v:shape>
            <v:shape style="position:absolute;left:2677;top:10748;width:296;height:265" type="#_x0000_t75" id="docshape111" stroked="false">
              <v:imagedata r:id="rId39" o:title=""/>
            </v:shape>
            <v:shape style="position:absolute;left:3091;top:10749;width:293;height:270" type="#_x0000_t75" id="docshape112" stroked="false">
              <v:imagedata r:id="rId40" o:title=""/>
            </v:shape>
            <v:shape style="position:absolute;left:3540;top:10748;width:274;height:240" type="#_x0000_t75" id="docshape113" stroked="false">
              <v:imagedata r:id="rId41" o:title=""/>
            </v:shape>
            <v:shape style="position:absolute;left:3954;top:10747;width:271;height:248" type="#_x0000_t75" id="docshape114" stroked="false">
              <v:imagedata r:id="rId42" o:title=""/>
            </v:shape>
            <v:shape style="position:absolute;left:4371;top:10710;width:4488;height:1089" type="#_x0000_t75" id="docshape115" stroked="false">
              <v:imagedata r:id="rId43" o:title=""/>
            </v:shape>
            <v:rect style="position:absolute;left:9352;top:5823;width:111;height:108" id="docshape116" filled="true" fillcolor="#5088bb" stroked="false">
              <v:fill type="solid"/>
            </v:rect>
            <v:rect style="position:absolute;left:9352;top:6183;width:111;height:111" id="docshape117" filled="true" fillcolor="#d26d2a" stroked="false">
              <v:fill type="solid"/>
            </v:rect>
            <v:rect style="position:absolute;left:9352;top:6545;width:111;height:111" id="docshape118" filled="true" fillcolor="#929292" stroked="false">
              <v:fill type="solid"/>
            </v:rect>
            <v:rect style="position:absolute;left:9352;top:6907;width:111;height:111" id="docshape119" filled="true" fillcolor="#e1aa00" stroked="false">
              <v:fill type="solid"/>
            </v:rect>
            <v:rect style="position:absolute;left:9352;top:7267;width:111;height:111" id="docshape120" filled="true" fillcolor="#3a63ac" stroked="false">
              <v:fill type="solid"/>
            </v:rect>
            <v:rect style="position:absolute;left:9352;top:7630;width:111;height:111" id="docshape121" filled="true" fillcolor="#61993d" stroked="false">
              <v:fill type="solid"/>
            </v:rect>
            <v:rect style="position:absolute;left:1701;top:1582;width:8636;height:10400" id="docshape122" filled="false" stroked="true" strokeweight=".48pt" strokecolor="#888888">
              <v:stroke dashstyle="solid"/>
            </v:rect>
            <v:shape style="position:absolute;left:1831;top:1712;width:731;height:200" type="#_x0000_t202" id="docshape123" filled="false" stroked="false">
              <v:textbox inset="0,0,0,0">
                <w:txbxContent>
                  <w:p>
                    <w:pPr>
                      <w:spacing w:line="199" w:lineRule="exact" w:before="0"/>
                      <w:ind w:left="0" w:right="0" w:firstLine="0"/>
                      <w:jc w:val="left"/>
                      <w:rPr>
                        <w:rFonts w:ascii="Calibri"/>
                        <w:sz w:val="20"/>
                      </w:rPr>
                    </w:pPr>
                    <w:r>
                      <w:rPr>
                        <w:rFonts w:ascii="Calibri"/>
                        <w:spacing w:val="-2"/>
                        <w:sz w:val="20"/>
                      </w:rPr>
                      <w:t>1000000</w:t>
                    </w:r>
                  </w:p>
                </w:txbxContent>
              </v:textbox>
              <w10:wrap type="none"/>
            </v:shape>
            <v:shape style="position:absolute;left:1932;top:3167;width:628;height:200" type="#_x0000_t202" id="docshape124" filled="false" stroked="false">
              <v:textbox inset="0,0,0,0">
                <w:txbxContent>
                  <w:p>
                    <w:pPr>
                      <w:spacing w:line="199" w:lineRule="exact" w:before="0"/>
                      <w:ind w:left="0" w:right="0" w:firstLine="0"/>
                      <w:jc w:val="left"/>
                      <w:rPr>
                        <w:rFonts w:ascii="Calibri"/>
                        <w:sz w:val="20"/>
                      </w:rPr>
                    </w:pPr>
                    <w:r>
                      <w:rPr>
                        <w:rFonts w:ascii="Calibri"/>
                        <w:spacing w:val="-2"/>
                        <w:sz w:val="20"/>
                      </w:rPr>
                      <w:t>100000</w:t>
                    </w:r>
                  </w:p>
                </w:txbxContent>
              </v:textbox>
              <w10:wrap type="none"/>
            </v:shape>
            <v:shape style="position:absolute;left:2034;top:4622;width:527;height:200" type="#_x0000_t202" id="docshape125" filled="false" stroked="false">
              <v:textbox inset="0,0,0,0">
                <w:txbxContent>
                  <w:p>
                    <w:pPr>
                      <w:spacing w:line="199" w:lineRule="exact" w:before="0"/>
                      <w:ind w:left="0" w:right="0" w:firstLine="0"/>
                      <w:jc w:val="left"/>
                      <w:rPr>
                        <w:rFonts w:ascii="Calibri"/>
                        <w:sz w:val="20"/>
                      </w:rPr>
                    </w:pPr>
                    <w:r>
                      <w:rPr>
                        <w:rFonts w:ascii="Calibri"/>
                        <w:spacing w:val="-2"/>
                        <w:sz w:val="20"/>
                      </w:rPr>
                      <w:t>10000</w:t>
                    </w:r>
                  </w:p>
                </w:txbxContent>
              </v:textbox>
              <w10:wrap type="none"/>
            </v:shape>
            <v:shape style="position:absolute;left:2135;top:6076;width:427;height:1654" type="#_x0000_t202" id="docshape126" filled="false" stroked="false">
              <v:textbox inset="0,0,0,0">
                <w:txbxContent>
                  <w:p>
                    <w:pPr>
                      <w:spacing w:line="203" w:lineRule="exact" w:before="0"/>
                      <w:ind w:left="0" w:right="18" w:firstLine="0"/>
                      <w:jc w:val="right"/>
                      <w:rPr>
                        <w:rFonts w:ascii="Calibri"/>
                        <w:sz w:val="20"/>
                      </w:rPr>
                    </w:pPr>
                    <w:r>
                      <w:rPr>
                        <w:rFonts w:ascii="Calibri"/>
                        <w:spacing w:val="-4"/>
                        <w:sz w:val="20"/>
                      </w:rPr>
                      <w:t>1000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2"/>
                      <w:rPr>
                        <w:rFonts w:ascii="Calibri"/>
                        <w:sz w:val="19"/>
                      </w:rPr>
                    </w:pPr>
                  </w:p>
                  <w:p>
                    <w:pPr>
                      <w:spacing w:line="240" w:lineRule="exact" w:before="0"/>
                      <w:ind w:left="0" w:right="18" w:firstLine="0"/>
                      <w:jc w:val="right"/>
                      <w:rPr>
                        <w:rFonts w:ascii="Calibri"/>
                        <w:sz w:val="20"/>
                      </w:rPr>
                    </w:pPr>
                    <w:r>
                      <w:rPr>
                        <w:rFonts w:ascii="Calibri"/>
                        <w:spacing w:val="-5"/>
                        <w:sz w:val="20"/>
                      </w:rPr>
                      <w:t>100</w:t>
                    </w:r>
                  </w:p>
                </w:txbxContent>
              </v:textbox>
              <w10:wrap type="none"/>
            </v:shape>
            <v:shape style="position:absolute;left:9511;top:5785;width:644;height:2008" type="#_x0000_t202" id="docshape127" filled="false" stroked="false">
              <v:textbox inset="0,0,0,0">
                <w:txbxContent>
                  <w:p>
                    <w:pPr>
                      <w:spacing w:line="203" w:lineRule="exact" w:before="0"/>
                      <w:ind w:left="0" w:right="0" w:firstLine="0"/>
                      <w:jc w:val="left"/>
                      <w:rPr>
                        <w:rFonts w:ascii="Calibri"/>
                        <w:sz w:val="20"/>
                      </w:rPr>
                    </w:pPr>
                    <w:r>
                      <w:rPr>
                        <w:rFonts w:ascii="Calibri"/>
                        <w:sz w:val="20"/>
                      </w:rPr>
                      <w:t>WEEK</w:t>
                    </w:r>
                    <w:r>
                      <w:rPr>
                        <w:rFonts w:ascii="Calibri"/>
                        <w:spacing w:val="-4"/>
                        <w:sz w:val="20"/>
                      </w:rPr>
                      <w:t> </w:t>
                    </w:r>
                    <w:r>
                      <w:rPr>
                        <w:rFonts w:ascii="Calibri"/>
                        <w:spacing w:val="-10"/>
                        <w:sz w:val="20"/>
                      </w:rPr>
                      <w:t>0</w:t>
                    </w:r>
                  </w:p>
                  <w:p>
                    <w:pPr>
                      <w:spacing w:before="117"/>
                      <w:ind w:left="0" w:right="0" w:firstLine="0"/>
                      <w:jc w:val="left"/>
                      <w:rPr>
                        <w:rFonts w:ascii="Calibri"/>
                        <w:sz w:val="20"/>
                      </w:rPr>
                    </w:pPr>
                    <w:r>
                      <w:rPr>
                        <w:rFonts w:ascii="Calibri"/>
                        <w:sz w:val="20"/>
                      </w:rPr>
                      <w:t>WEEK</w:t>
                    </w:r>
                    <w:r>
                      <w:rPr>
                        <w:rFonts w:ascii="Calibri"/>
                        <w:spacing w:val="-4"/>
                        <w:sz w:val="20"/>
                      </w:rPr>
                      <w:t> </w:t>
                    </w:r>
                    <w:r>
                      <w:rPr>
                        <w:rFonts w:ascii="Calibri"/>
                        <w:spacing w:val="-10"/>
                        <w:sz w:val="20"/>
                      </w:rPr>
                      <w:t>1</w:t>
                    </w:r>
                  </w:p>
                  <w:p>
                    <w:pPr>
                      <w:spacing w:before="118"/>
                      <w:ind w:left="0" w:right="0" w:firstLine="0"/>
                      <w:jc w:val="left"/>
                      <w:rPr>
                        <w:rFonts w:ascii="Calibri"/>
                        <w:sz w:val="20"/>
                      </w:rPr>
                    </w:pPr>
                    <w:r>
                      <w:rPr>
                        <w:rFonts w:ascii="Calibri"/>
                        <w:sz w:val="20"/>
                      </w:rPr>
                      <w:t>WEEK</w:t>
                    </w:r>
                    <w:r>
                      <w:rPr>
                        <w:rFonts w:ascii="Calibri"/>
                        <w:spacing w:val="-4"/>
                        <w:sz w:val="20"/>
                      </w:rPr>
                      <w:t> </w:t>
                    </w:r>
                    <w:r>
                      <w:rPr>
                        <w:rFonts w:ascii="Calibri"/>
                        <w:spacing w:val="-10"/>
                        <w:sz w:val="20"/>
                      </w:rPr>
                      <w:t>2</w:t>
                    </w:r>
                  </w:p>
                  <w:p>
                    <w:pPr>
                      <w:spacing w:before="118"/>
                      <w:ind w:left="0" w:right="0" w:firstLine="0"/>
                      <w:jc w:val="left"/>
                      <w:rPr>
                        <w:rFonts w:ascii="Calibri"/>
                        <w:sz w:val="20"/>
                      </w:rPr>
                    </w:pPr>
                    <w:r>
                      <w:rPr>
                        <w:rFonts w:ascii="Calibri"/>
                        <w:sz w:val="20"/>
                      </w:rPr>
                      <w:t>WEEK</w:t>
                    </w:r>
                    <w:r>
                      <w:rPr>
                        <w:rFonts w:ascii="Calibri"/>
                        <w:spacing w:val="-4"/>
                        <w:sz w:val="20"/>
                      </w:rPr>
                      <w:t> </w:t>
                    </w:r>
                    <w:r>
                      <w:rPr>
                        <w:rFonts w:ascii="Calibri"/>
                        <w:spacing w:val="-10"/>
                        <w:sz w:val="20"/>
                      </w:rPr>
                      <w:t>3</w:t>
                    </w:r>
                  </w:p>
                  <w:p>
                    <w:pPr>
                      <w:spacing w:before="117"/>
                      <w:ind w:left="0" w:right="0" w:firstLine="0"/>
                      <w:jc w:val="left"/>
                      <w:rPr>
                        <w:rFonts w:ascii="Calibri"/>
                        <w:sz w:val="20"/>
                      </w:rPr>
                    </w:pPr>
                    <w:r>
                      <w:rPr>
                        <w:rFonts w:ascii="Calibri"/>
                        <w:sz w:val="20"/>
                      </w:rPr>
                      <w:t>WEEK</w:t>
                    </w:r>
                    <w:r>
                      <w:rPr>
                        <w:rFonts w:ascii="Calibri"/>
                        <w:spacing w:val="-4"/>
                        <w:sz w:val="20"/>
                      </w:rPr>
                      <w:t> </w:t>
                    </w:r>
                    <w:r>
                      <w:rPr>
                        <w:rFonts w:ascii="Calibri"/>
                        <w:spacing w:val="-10"/>
                        <w:sz w:val="20"/>
                      </w:rPr>
                      <w:t>4</w:t>
                    </w:r>
                  </w:p>
                  <w:p>
                    <w:pPr>
                      <w:spacing w:line="240" w:lineRule="exact" w:before="118"/>
                      <w:ind w:left="0" w:right="0" w:firstLine="0"/>
                      <w:jc w:val="left"/>
                      <w:rPr>
                        <w:rFonts w:ascii="Calibri"/>
                        <w:sz w:val="20"/>
                      </w:rPr>
                    </w:pPr>
                    <w:r>
                      <w:rPr>
                        <w:rFonts w:ascii="Calibri"/>
                        <w:sz w:val="20"/>
                      </w:rPr>
                      <w:t>WEEK</w:t>
                    </w:r>
                    <w:r>
                      <w:rPr>
                        <w:rFonts w:ascii="Calibri"/>
                        <w:spacing w:val="-4"/>
                        <w:sz w:val="20"/>
                      </w:rPr>
                      <w:t> </w:t>
                    </w:r>
                    <w:r>
                      <w:rPr>
                        <w:rFonts w:ascii="Calibri"/>
                        <w:spacing w:val="-10"/>
                        <w:sz w:val="20"/>
                      </w:rPr>
                      <w:t>5</w:t>
                    </w:r>
                  </w:p>
                </w:txbxContent>
              </v:textbox>
              <w10:wrap type="none"/>
            </v:shape>
            <v:shape style="position:absolute;left:2338;top:8986;width:222;height:200" type="#_x0000_t202" id="docshape128" filled="false" stroked="false">
              <v:textbox inset="0,0,0,0">
                <w:txbxContent>
                  <w:p>
                    <w:pPr>
                      <w:spacing w:line="199" w:lineRule="exact" w:before="0"/>
                      <w:ind w:left="0" w:right="0" w:firstLine="0"/>
                      <w:jc w:val="left"/>
                      <w:rPr>
                        <w:rFonts w:ascii="Calibri"/>
                        <w:sz w:val="20"/>
                      </w:rPr>
                    </w:pPr>
                    <w:r>
                      <w:rPr>
                        <w:rFonts w:ascii="Calibri"/>
                        <w:spacing w:val="-5"/>
                        <w:sz w:val="20"/>
                      </w:rPr>
                      <w:t>10</w:t>
                    </w:r>
                  </w:p>
                </w:txbxContent>
              </v:textbox>
              <w10:wrap type="none"/>
            </v:shape>
            <v:shape style="position:absolute;left:2439;top:10441;width:121;height:200" type="#_x0000_t202" id="docshape129"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w10:wrap type="none"/>
          </v:group>
        </w:pict>
      </w:r>
      <w:r>
        <w:rPr>
          <w:b/>
          <w:sz w:val="24"/>
        </w:rPr>
        <w:t>Log10</w:t>
      </w:r>
      <w:r>
        <w:rPr>
          <w:b/>
          <w:spacing w:val="-4"/>
          <w:sz w:val="24"/>
        </w:rPr>
        <w:t> </w:t>
      </w:r>
      <w:r>
        <w:rPr>
          <w:b/>
          <w:sz w:val="24"/>
        </w:rPr>
        <w:t>transform</w:t>
      </w:r>
      <w:r>
        <w:rPr>
          <w:b/>
          <w:spacing w:val="-8"/>
          <w:sz w:val="24"/>
        </w:rPr>
        <w:t> </w:t>
      </w:r>
      <w:r>
        <w:rPr>
          <w:b/>
          <w:sz w:val="24"/>
        </w:rPr>
        <w:t>fungal</w:t>
      </w:r>
      <w:r>
        <w:rPr>
          <w:b/>
          <w:spacing w:val="-6"/>
          <w:sz w:val="24"/>
        </w:rPr>
        <w:t> </w:t>
      </w:r>
      <w:r>
        <w:rPr>
          <w:b/>
          <w:sz w:val="24"/>
        </w:rPr>
        <w:t>count</w:t>
      </w:r>
      <w:r>
        <w:rPr>
          <w:b/>
          <w:spacing w:val="-5"/>
          <w:sz w:val="24"/>
        </w:rPr>
        <w:t> </w:t>
      </w:r>
      <w:r>
        <w:rPr>
          <w:b/>
          <w:sz w:val="24"/>
        </w:rPr>
        <w:t>of</w:t>
      </w:r>
      <w:r>
        <w:rPr>
          <w:b/>
          <w:spacing w:val="-4"/>
          <w:sz w:val="24"/>
        </w:rPr>
        <w:t> </w:t>
      </w:r>
      <w:r>
        <w:rPr>
          <w:b/>
          <w:sz w:val="24"/>
        </w:rPr>
        <w:t>bioremediated</w:t>
      </w:r>
      <w:r>
        <w:rPr>
          <w:b/>
          <w:spacing w:val="-1"/>
          <w:sz w:val="24"/>
        </w:rPr>
        <w:t> </w:t>
      </w:r>
      <w:r>
        <w:rPr>
          <w:b/>
          <w:sz w:val="24"/>
        </w:rPr>
        <w:t>soil</w:t>
      </w:r>
      <w:r>
        <w:rPr>
          <w:b/>
          <w:spacing w:val="-4"/>
          <w:sz w:val="24"/>
        </w:rPr>
        <w:t> </w:t>
      </w:r>
      <w:r>
        <w:rPr>
          <w:b/>
          <w:sz w:val="24"/>
        </w:rPr>
        <w:t>for</w:t>
      </w:r>
      <w:r>
        <w:rPr>
          <w:b/>
          <w:spacing w:val="-5"/>
          <w:sz w:val="24"/>
        </w:rPr>
        <w:t> </w:t>
      </w:r>
      <w:r>
        <w:rPr>
          <w:b/>
          <w:sz w:val="24"/>
        </w:rPr>
        <w:t>35</w:t>
      </w:r>
      <w:r>
        <w:rPr>
          <w:b/>
          <w:spacing w:val="-4"/>
          <w:sz w:val="24"/>
        </w:rPr>
        <w:t> </w:t>
      </w:r>
      <w:r>
        <w:rPr>
          <w:b/>
          <w:sz w:val="24"/>
        </w:rPr>
        <w:t>days</w:t>
      </w:r>
      <w:r>
        <w:rPr>
          <w:b/>
          <w:spacing w:val="-4"/>
          <w:sz w:val="24"/>
        </w:rPr>
        <w:t> </w:t>
      </w:r>
      <w:r>
        <w:rPr>
          <w:b/>
          <w:sz w:val="24"/>
        </w:rPr>
        <w:t>treatment</w:t>
      </w:r>
      <w:r>
        <w:rPr>
          <w:b/>
          <w:spacing w:val="-5"/>
          <w:sz w:val="24"/>
        </w:rPr>
        <w:t> </w:t>
      </w:r>
      <w:r>
        <w:rPr>
          <w:b/>
          <w:spacing w:val="-2"/>
          <w:sz w:val="24"/>
        </w:rPr>
        <w:t>period</w:t>
      </w:r>
    </w:p>
    <w:p>
      <w:pPr>
        <w:spacing w:after="0"/>
        <w:jc w:val="left"/>
        <w:rPr>
          <w:sz w:val="24"/>
        </w:rPr>
        <w:sectPr>
          <w:pgSz w:w="11910" w:h="16840"/>
          <w:pgMar w:header="0" w:footer="1002" w:top="1320" w:bottom="1200" w:left="1500" w:right="1580"/>
        </w:sectPr>
      </w:pPr>
    </w:p>
    <w:p>
      <w:pPr>
        <w:pStyle w:val="Heading1"/>
        <w:spacing w:before="76"/>
        <w:ind w:left="413" w:right="108"/>
      </w:pPr>
      <w:r>
        <w:rPr/>
        <w:t>APPENDIX</w:t>
      </w:r>
      <w:r>
        <w:rPr>
          <w:spacing w:val="-14"/>
        </w:rPr>
        <w:t> </w:t>
      </w:r>
      <w:r>
        <w:rPr>
          <w:spacing w:val="-5"/>
        </w:rPr>
        <w:t>VII</w:t>
      </w:r>
    </w:p>
    <w:p>
      <w:pPr>
        <w:pStyle w:val="BodyText"/>
        <w:rPr>
          <w:b/>
          <w:sz w:val="26"/>
        </w:rPr>
      </w:pPr>
    </w:p>
    <w:p>
      <w:pPr>
        <w:spacing w:line="482" w:lineRule="auto" w:before="174"/>
        <w:ind w:left="413" w:right="115" w:firstLine="0"/>
        <w:jc w:val="center"/>
        <w:rPr>
          <w:b/>
          <w:sz w:val="24"/>
        </w:rPr>
      </w:pPr>
      <w:r>
        <w:rPr>
          <w:b/>
          <w:sz w:val="24"/>
        </w:rPr>
        <w:t>Percentage</w:t>
      </w:r>
      <w:r>
        <w:rPr>
          <w:b/>
          <w:spacing w:val="-6"/>
          <w:sz w:val="24"/>
        </w:rPr>
        <w:t> </w:t>
      </w:r>
      <w:r>
        <w:rPr>
          <w:b/>
          <w:sz w:val="24"/>
        </w:rPr>
        <w:t>(%)</w:t>
      </w:r>
      <w:r>
        <w:rPr>
          <w:b/>
          <w:spacing w:val="-4"/>
          <w:sz w:val="24"/>
        </w:rPr>
        <w:t> </w:t>
      </w:r>
      <w:r>
        <w:rPr>
          <w:b/>
          <w:sz w:val="24"/>
        </w:rPr>
        <w:t>of</w:t>
      </w:r>
      <w:r>
        <w:rPr>
          <w:b/>
          <w:spacing w:val="-4"/>
          <w:sz w:val="24"/>
        </w:rPr>
        <w:t> </w:t>
      </w:r>
      <w:r>
        <w:rPr>
          <w:b/>
          <w:sz w:val="24"/>
        </w:rPr>
        <w:t>total</w:t>
      </w:r>
      <w:r>
        <w:rPr>
          <w:b/>
          <w:spacing w:val="-4"/>
          <w:sz w:val="24"/>
        </w:rPr>
        <w:t> </w:t>
      </w:r>
      <w:r>
        <w:rPr>
          <w:b/>
          <w:sz w:val="24"/>
        </w:rPr>
        <w:t>hydrocarbon</w:t>
      </w:r>
      <w:r>
        <w:rPr>
          <w:b/>
          <w:spacing w:val="-4"/>
          <w:sz w:val="24"/>
        </w:rPr>
        <w:t> </w:t>
      </w:r>
      <w:r>
        <w:rPr>
          <w:b/>
          <w:sz w:val="24"/>
        </w:rPr>
        <w:t>degraded</w:t>
      </w:r>
      <w:r>
        <w:rPr>
          <w:b/>
          <w:spacing w:val="-4"/>
          <w:sz w:val="24"/>
        </w:rPr>
        <w:t> </w:t>
      </w:r>
      <w:r>
        <w:rPr>
          <w:b/>
          <w:sz w:val="24"/>
        </w:rPr>
        <w:t>after</w:t>
      </w:r>
      <w:r>
        <w:rPr>
          <w:b/>
          <w:spacing w:val="-5"/>
          <w:sz w:val="24"/>
        </w:rPr>
        <w:t> </w:t>
      </w:r>
      <w:r>
        <w:rPr>
          <w:b/>
          <w:sz w:val="24"/>
        </w:rPr>
        <w:t>treatment</w:t>
      </w:r>
      <w:r>
        <w:rPr>
          <w:b/>
          <w:spacing w:val="-4"/>
          <w:sz w:val="24"/>
        </w:rPr>
        <w:t> </w:t>
      </w:r>
      <w:r>
        <w:rPr>
          <w:b/>
          <w:sz w:val="24"/>
        </w:rPr>
        <w:t>of</w:t>
      </w:r>
      <w:r>
        <w:rPr>
          <w:b/>
          <w:spacing w:val="-4"/>
          <w:sz w:val="24"/>
        </w:rPr>
        <w:t> </w:t>
      </w:r>
      <w:r>
        <w:rPr>
          <w:b/>
          <w:sz w:val="24"/>
        </w:rPr>
        <w:t>crude</w:t>
      </w:r>
      <w:r>
        <w:rPr>
          <w:b/>
          <w:spacing w:val="-5"/>
          <w:sz w:val="24"/>
        </w:rPr>
        <w:t> </w:t>
      </w:r>
      <w:r>
        <w:rPr>
          <w:b/>
          <w:sz w:val="24"/>
        </w:rPr>
        <w:t>oil</w:t>
      </w:r>
      <w:r>
        <w:rPr>
          <w:b/>
          <w:spacing w:val="-4"/>
          <w:sz w:val="24"/>
        </w:rPr>
        <w:t> </w:t>
      </w:r>
      <w:r>
        <w:rPr>
          <w:b/>
          <w:sz w:val="24"/>
        </w:rPr>
        <w:t>polluted soil with BS, BC, NP and the combinations for 35 days.</w:t>
      </w:r>
    </w:p>
    <w:p>
      <w:pPr>
        <w:pStyle w:val="BodyText"/>
        <w:rPr>
          <w:b/>
          <w:sz w:val="20"/>
        </w:rPr>
      </w:pPr>
    </w:p>
    <w:p>
      <w:pPr>
        <w:pStyle w:val="BodyText"/>
        <w:rPr>
          <w:b/>
          <w:sz w:val="20"/>
        </w:rPr>
      </w:pPr>
    </w:p>
    <w:p>
      <w:pPr>
        <w:pStyle w:val="BodyText"/>
        <w:rPr>
          <w:b/>
          <w:sz w:val="20"/>
        </w:rPr>
      </w:pPr>
    </w:p>
    <w:p>
      <w:pPr>
        <w:pStyle w:val="BodyText"/>
        <w:spacing w:before="1"/>
        <w:rPr>
          <w:b/>
          <w:sz w:val="20"/>
        </w:rPr>
      </w:pPr>
      <w:r>
        <w:rPr/>
        <w:pict>
          <v:group style="position:absolute;margin-left:99pt;margin-top:12.759024pt;width:415.1pt;height:364.6pt;mso-position-horizontal-relative:page;mso-position-vertical-relative:paragraph;z-index:-15715328;mso-wrap-distance-left:0;mso-wrap-distance-right:0" id="docshapegroup131" coordorigin="1980,255" coordsize="8302,7292">
            <v:shape style="position:absolute;left:2503;top:4579;width:257;height:1642" id="docshape132" coordorigin="2503,4580" coordsize="257,1642" path="m2503,6222l2760,6222m2503,5401l2760,5401m2503,4580l2760,4580e" filled="false" stroked="true" strokeweight=".48pt" strokecolor="#888888">
              <v:path arrowok="t"/>
              <v:stroke dashstyle="solid"/>
            </v:shape>
            <v:rect style="position:absolute;left:2760;top:4253;width:344;height:2787" id="docshape133" filled="true" fillcolor="#497eaf" stroked="false">
              <v:fill type="solid"/>
            </v:rect>
            <v:shape style="position:absolute;left:3446;top:4579;width:344;height:1642" id="docshape134" coordorigin="3446,4580" coordsize="344,1642" path="m3446,6222l3790,6222m3446,5401l3790,5401m3446,4580l3790,4580e" filled="false" stroked="true" strokeweight=".48pt" strokecolor="#888888">
              <v:path arrowok="t"/>
              <v:stroke dashstyle="solid"/>
            </v:shape>
            <v:rect style="position:absolute;left:3103;top:4498;width:344;height:2542" id="docshape135" filled="true" fillcolor="#c46627" stroked="false">
              <v:fill type="solid"/>
            </v:rect>
            <v:rect style="position:absolute;left:3446;top:4171;width:344;height:2868" id="docshape136" filled="true" fillcolor="#878787" stroked="false">
              <v:fill type="solid"/>
            </v:rect>
            <v:line style="position:absolute" from="2503,3762" to="3790,3762" stroked="true" strokeweight=".48pt" strokecolor="#888888">
              <v:stroke dashstyle="solid"/>
            </v:line>
            <v:rect style="position:absolute;left:3789;top:3351;width:341;height:3689" id="docshape137" filled="true" fillcolor="#d29e00" stroked="false">
              <v:fill type="solid"/>
            </v:rect>
            <v:rect style="position:absolute;left:4130;top:3187;width:344;height:3852" id="docshape138" filled="true" fillcolor="#375da0" stroked="false">
              <v:fill type="solid"/>
            </v:rect>
            <v:rect style="position:absolute;left:4473;top:3595;width:344;height:3444" id="docshape139" filled="true" fillcolor="#5b8e39" stroked="false">
              <v:fill type="solid"/>
            </v:rect>
            <v:shape style="position:absolute;left:2503;top:1301;width:5655;height:1640" id="docshape140" coordorigin="2503,1302" coordsize="5655,1640" path="m2503,2941l4817,2941m2503,2120l4817,2120m2503,1302l4817,1302m5160,1302l8158,1302e" filled="false" stroked="true" strokeweight=".48pt" strokecolor="#888888">
              <v:path arrowok="t"/>
              <v:stroke dashstyle="solid"/>
            </v:shape>
            <v:rect style="position:absolute;left:4816;top:891;width:344;height:6149" id="docshape141" filled="true" fillcolor="#5b9bd4" stroked="false">
              <v:fill type="solid"/>
            </v:rect>
            <v:line style="position:absolute" from="5501,2120" to="6874,2120" stroked="true" strokeweight=".48pt" strokecolor="#888888">
              <v:stroke dashstyle="solid"/>
            </v:line>
            <v:rect style="position:absolute;left:5160;top:1546;width:341;height:5494" id="docshape142" filled="true" fillcolor="#ec7c30" stroked="false">
              <v:fill type="solid"/>
            </v:rect>
            <v:line style="position:absolute" from="5844,2941" to="6187,2941" stroked="true" strokeweight=".48pt" strokecolor="#888888">
              <v:stroke dashstyle="solid"/>
            </v:line>
            <v:rect style="position:absolute;left:5500;top:2695;width:344;height:4344" id="docshape143" filled="true" fillcolor="#a4a4a4" stroked="false">
              <v:fill type="solid"/>
            </v:rect>
            <v:rect style="position:absolute;left:5844;top:3187;width:344;height:3852" id="docshape144" filled="true" fillcolor="#ffc000" stroked="false">
              <v:fill type="solid"/>
            </v:rect>
            <v:shape style="position:absolute;left:6530;top:2938;width:344;height:5" id="docshape145" coordorigin="6530,2938" coordsize="344,5" path="m6530,2943l6874,2943m6530,2938l6874,2938e" filled="false" stroked="true" strokeweight=".24pt" strokecolor="#888888">
              <v:path arrowok="t"/>
              <v:stroke dashstyle="solid"/>
            </v:shape>
            <v:rect style="position:absolute;left:6187;top:2448;width:344;height:4592" id="docshape146" filled="true" fillcolor="#4471c4" stroked="false">
              <v:fill type="solid"/>
            </v:rect>
            <v:rect style="position:absolute;left:6530;top:2940;width:344;height:4100" id="docshape147" filled="true" fillcolor="#6fac46" stroked="false">
              <v:fill type="solid"/>
            </v:rect>
            <v:shape style="position:absolute;left:7214;top:2938;width:944;height:5" id="docshape148" coordorigin="7214,2938" coordsize="944,5" path="m7214,2943l8158,2943m7214,2938l8158,2938e" filled="false" stroked="true" strokeweight=".24pt" strokecolor="#888888">
              <v:path arrowok="t"/>
              <v:stroke dashstyle="solid"/>
            </v:shape>
            <v:line style="position:absolute" from="7214,2120" to="8158,2120" stroked="true" strokeweight=".48pt" strokecolor="#888888">
              <v:stroke dashstyle="solid"/>
            </v:line>
            <v:rect style="position:absolute;left:6873;top:1793;width:341;height:5247" id="docshape149" filled="true" fillcolor="#acc5e4" stroked="false">
              <v:fill type="solid"/>
            </v:rect>
            <v:shape style="position:absolute;left:7557;top:3761;width:600;height:1640" id="docshape150" coordorigin="7558,3762" coordsize="600,1640" path="m7558,5401l8158,5401m7558,4580l8158,4580m7558,3762l8158,3762e" filled="false" stroked="true" strokeweight=".48pt" strokecolor="#888888">
              <v:path arrowok="t"/>
              <v:stroke dashstyle="solid"/>
            </v:shape>
            <v:rect style="position:absolute;left:7214;top:3269;width:344;height:3771" id="docshape151" filled="true" fillcolor="#f4b8a3" stroked="false">
              <v:fill type="solid"/>
            </v:rect>
            <v:line style="position:absolute" from="7901,6222" to="8158,6222" stroked="true" strokeweight=".48pt" strokecolor="#888888">
              <v:stroke dashstyle="solid"/>
            </v:line>
            <v:rect style="position:absolute;left:7557;top:5647;width:344;height:1392" id="docshape152" filled="true" fillcolor="#cacaca" stroked="false">
              <v:fill type="solid"/>
            </v:rect>
            <v:shape style="position:absolute;left:2440;top:480;width:5717;height:6624" id="docshape153" coordorigin="2441,481" coordsize="5717,6624" path="m2503,481l8158,481m2503,7040l2503,481m2441,7040l2503,7040m2441,6222l2503,6222m2441,5401l2503,5401m2441,4580l2503,4580m2441,3762l2503,3762m2441,2941l2503,2941m2441,2120l2503,2120m2441,1302l2503,1302m2441,481l2503,481m2503,7040l8158,7040m2503,7040l2503,7105m8158,7040l8158,7105e" filled="false" stroked="true" strokeweight=".48pt" strokecolor="#888888">
              <v:path arrowok="t"/>
              <v:stroke dashstyle="solid"/>
            </v:shape>
            <v:rect style="position:absolute;left:8476;top:1313;width:111;height:111" id="docshape154" filled="true" fillcolor="#497eaf" stroked="false">
              <v:fill type="solid"/>
            </v:rect>
            <v:rect style="position:absolute;left:8476;top:1675;width:111;height:111" id="docshape155" filled="true" fillcolor="#c46627" stroked="false">
              <v:fill type="solid"/>
            </v:rect>
            <v:rect style="position:absolute;left:8476;top:2038;width:111;height:108" id="docshape156" filled="true" fillcolor="#878787" stroked="false">
              <v:fill type="solid"/>
            </v:rect>
            <v:rect style="position:absolute;left:8476;top:2398;width:111;height:111" id="docshape157" filled="true" fillcolor="#d29e00" stroked="false">
              <v:fill type="solid"/>
            </v:rect>
            <v:rect style="position:absolute;left:8476;top:2760;width:111;height:111" id="docshape158" filled="true" fillcolor="#375da0" stroked="false">
              <v:fill type="solid"/>
            </v:rect>
            <v:rect style="position:absolute;left:8476;top:3123;width:111;height:108" id="docshape159" filled="true" fillcolor="#5b8e39" stroked="false">
              <v:fill type="solid"/>
            </v:rect>
            <v:rect style="position:absolute;left:8476;top:3483;width:111;height:111" id="docshape160" filled="true" fillcolor="#5b9bd4" stroked="false">
              <v:fill type="solid"/>
            </v:rect>
            <v:rect style="position:absolute;left:8476;top:3845;width:111;height:111" id="docshape161" filled="true" fillcolor="#ec7c30" stroked="false">
              <v:fill type="solid"/>
            </v:rect>
            <v:rect style="position:absolute;left:8476;top:4207;width:111;height:108" id="docshape162" filled="true" fillcolor="#a4a4a4" stroked="false">
              <v:fill type="solid"/>
            </v:rect>
            <v:rect style="position:absolute;left:8476;top:4567;width:111;height:111" id="docshape163" filled="true" fillcolor="#ffc000" stroked="false">
              <v:fill type="solid"/>
            </v:rect>
            <v:rect style="position:absolute;left:8476;top:4930;width:111;height:111" id="docshape164" filled="true" fillcolor="#4471c4" stroked="false">
              <v:fill type="solid"/>
            </v:rect>
            <v:rect style="position:absolute;left:8476;top:5292;width:111;height:111" id="docshape165" filled="true" fillcolor="#6fac46" stroked="false">
              <v:fill type="solid"/>
            </v:rect>
            <v:rect style="position:absolute;left:8476;top:5652;width:111;height:111" id="docshape166" filled="true" fillcolor="#acc5e4" stroked="false">
              <v:fill type="solid"/>
            </v:rect>
            <v:rect style="position:absolute;left:8476;top:6015;width:111;height:111" id="docshape167" filled="true" fillcolor="#f4b8a3" stroked="false">
              <v:fill type="solid"/>
            </v:rect>
            <v:rect style="position:absolute;left:8476;top:6377;width:111;height:111" id="docshape168" filled="true" fillcolor="#cacaca" stroked="false">
              <v:fill type="solid"/>
            </v:rect>
            <v:rect style="position:absolute;left:1984;top:259;width:8292;height:7282" id="docshape169" filled="false" stroked="true" strokeweight=".48pt" strokecolor="#888888">
              <v:stroke dashstyle="solid"/>
            </v:rect>
            <v:shape style="position:absolute;left:2115;top:388;width:222;height:200" type="#_x0000_t202" id="docshape170" filled="false" stroked="false">
              <v:textbox inset="0,0,0,0">
                <w:txbxContent>
                  <w:p>
                    <w:pPr>
                      <w:spacing w:line="199" w:lineRule="exact" w:before="0"/>
                      <w:ind w:left="0" w:right="0" w:firstLine="0"/>
                      <w:jc w:val="left"/>
                      <w:rPr>
                        <w:rFonts w:ascii="Calibri"/>
                        <w:sz w:val="20"/>
                      </w:rPr>
                    </w:pPr>
                    <w:r>
                      <w:rPr>
                        <w:rFonts w:ascii="Calibri"/>
                        <w:spacing w:val="-5"/>
                        <w:sz w:val="20"/>
                      </w:rPr>
                      <w:t>80</w:t>
                    </w:r>
                  </w:p>
                </w:txbxContent>
              </v:textbox>
              <w10:wrap type="none"/>
            </v:shape>
            <v:shape style="position:absolute;left:2115;top:1208;width:222;height:5120" type="#_x0000_t202" id="docshape171" filled="false" stroked="false">
              <v:textbox inset="0,0,0,0">
                <w:txbxContent>
                  <w:p>
                    <w:pPr>
                      <w:spacing w:line="203" w:lineRule="exact" w:before="0"/>
                      <w:ind w:left="0" w:right="0" w:firstLine="0"/>
                      <w:jc w:val="left"/>
                      <w:rPr>
                        <w:rFonts w:ascii="Calibri"/>
                        <w:sz w:val="20"/>
                      </w:rPr>
                    </w:pPr>
                    <w:r>
                      <w:rPr>
                        <w:rFonts w:ascii="Calibri"/>
                        <w:spacing w:val="-5"/>
                        <w:sz w:val="20"/>
                      </w:rPr>
                      <w:t>70</w:t>
                    </w:r>
                  </w:p>
                  <w:p>
                    <w:pPr>
                      <w:spacing w:line="240" w:lineRule="auto" w:before="0"/>
                      <w:rPr>
                        <w:rFonts w:ascii="Calibri"/>
                        <w:sz w:val="20"/>
                      </w:rPr>
                    </w:pPr>
                  </w:p>
                  <w:p>
                    <w:pPr>
                      <w:spacing w:line="240" w:lineRule="auto" w:before="2"/>
                      <w:rPr>
                        <w:rFonts w:ascii="Calibri"/>
                        <w:sz w:val="27"/>
                      </w:rPr>
                    </w:pPr>
                  </w:p>
                  <w:p>
                    <w:pPr>
                      <w:spacing w:before="0"/>
                      <w:ind w:left="0" w:right="0" w:firstLine="0"/>
                      <w:jc w:val="left"/>
                      <w:rPr>
                        <w:rFonts w:ascii="Calibri"/>
                        <w:sz w:val="20"/>
                      </w:rPr>
                    </w:pPr>
                    <w:r>
                      <w:rPr>
                        <w:rFonts w:ascii="Calibri"/>
                        <w:spacing w:val="-5"/>
                        <w:sz w:val="20"/>
                      </w:rPr>
                      <w:t>60</w:t>
                    </w:r>
                  </w:p>
                  <w:p>
                    <w:pPr>
                      <w:spacing w:line="240" w:lineRule="auto" w:before="0"/>
                      <w:rPr>
                        <w:rFonts w:ascii="Calibri"/>
                        <w:sz w:val="20"/>
                      </w:rPr>
                    </w:pPr>
                  </w:p>
                  <w:p>
                    <w:pPr>
                      <w:spacing w:line="240" w:lineRule="auto" w:before="2"/>
                      <w:rPr>
                        <w:rFonts w:ascii="Calibri"/>
                        <w:sz w:val="27"/>
                      </w:rPr>
                    </w:pPr>
                  </w:p>
                  <w:p>
                    <w:pPr>
                      <w:spacing w:before="0"/>
                      <w:ind w:left="0" w:right="0" w:firstLine="0"/>
                      <w:jc w:val="left"/>
                      <w:rPr>
                        <w:rFonts w:ascii="Calibri"/>
                        <w:sz w:val="20"/>
                      </w:rPr>
                    </w:pPr>
                    <w:r>
                      <w:rPr>
                        <w:rFonts w:ascii="Calibri"/>
                        <w:spacing w:val="-5"/>
                        <w:sz w:val="20"/>
                      </w:rPr>
                      <w:t>50</w:t>
                    </w:r>
                  </w:p>
                  <w:p>
                    <w:pPr>
                      <w:spacing w:line="240" w:lineRule="auto" w:before="0"/>
                      <w:rPr>
                        <w:rFonts w:ascii="Calibri"/>
                        <w:sz w:val="20"/>
                      </w:rPr>
                    </w:pPr>
                  </w:p>
                  <w:p>
                    <w:pPr>
                      <w:spacing w:line="240" w:lineRule="auto" w:before="2"/>
                      <w:rPr>
                        <w:rFonts w:ascii="Calibri"/>
                        <w:sz w:val="27"/>
                      </w:rPr>
                    </w:pPr>
                  </w:p>
                  <w:p>
                    <w:pPr>
                      <w:spacing w:before="1"/>
                      <w:ind w:left="0" w:right="0" w:firstLine="0"/>
                      <w:jc w:val="left"/>
                      <w:rPr>
                        <w:rFonts w:ascii="Calibri"/>
                        <w:sz w:val="20"/>
                      </w:rPr>
                    </w:pPr>
                    <w:r>
                      <w:rPr>
                        <w:rFonts w:ascii="Calibri"/>
                        <w:spacing w:val="-5"/>
                        <w:sz w:val="20"/>
                      </w:rPr>
                      <w:t>40</w:t>
                    </w:r>
                  </w:p>
                  <w:p>
                    <w:pPr>
                      <w:spacing w:line="240" w:lineRule="auto" w:before="0"/>
                      <w:rPr>
                        <w:rFonts w:ascii="Calibri"/>
                        <w:sz w:val="20"/>
                      </w:rPr>
                    </w:pPr>
                  </w:p>
                  <w:p>
                    <w:pPr>
                      <w:spacing w:line="240" w:lineRule="auto" w:before="1"/>
                      <w:rPr>
                        <w:rFonts w:ascii="Calibri"/>
                        <w:sz w:val="27"/>
                      </w:rPr>
                    </w:pPr>
                  </w:p>
                  <w:p>
                    <w:pPr>
                      <w:spacing w:before="1"/>
                      <w:ind w:left="0" w:right="0" w:firstLine="0"/>
                      <w:jc w:val="left"/>
                      <w:rPr>
                        <w:rFonts w:ascii="Calibri"/>
                        <w:sz w:val="20"/>
                      </w:rPr>
                    </w:pPr>
                    <w:r>
                      <w:rPr>
                        <w:rFonts w:ascii="Calibri"/>
                        <w:spacing w:val="-5"/>
                        <w:sz w:val="20"/>
                      </w:rPr>
                      <w:t>30</w:t>
                    </w:r>
                  </w:p>
                  <w:p>
                    <w:pPr>
                      <w:spacing w:line="240" w:lineRule="auto" w:before="0"/>
                      <w:rPr>
                        <w:rFonts w:ascii="Calibri"/>
                        <w:sz w:val="20"/>
                      </w:rPr>
                    </w:pPr>
                  </w:p>
                  <w:p>
                    <w:pPr>
                      <w:spacing w:line="240" w:lineRule="auto" w:before="2"/>
                      <w:rPr>
                        <w:rFonts w:ascii="Calibri"/>
                        <w:sz w:val="27"/>
                      </w:rPr>
                    </w:pPr>
                  </w:p>
                  <w:p>
                    <w:pPr>
                      <w:spacing w:before="0"/>
                      <w:ind w:left="0" w:right="0" w:firstLine="0"/>
                      <w:jc w:val="left"/>
                      <w:rPr>
                        <w:rFonts w:ascii="Calibri"/>
                        <w:sz w:val="20"/>
                      </w:rPr>
                    </w:pPr>
                    <w:r>
                      <w:rPr>
                        <w:rFonts w:ascii="Calibri"/>
                        <w:spacing w:val="-5"/>
                        <w:sz w:val="20"/>
                      </w:rPr>
                      <w:t>20</w:t>
                    </w:r>
                  </w:p>
                  <w:p>
                    <w:pPr>
                      <w:spacing w:line="240" w:lineRule="auto" w:before="0"/>
                      <w:rPr>
                        <w:rFonts w:ascii="Calibri"/>
                        <w:sz w:val="20"/>
                      </w:rPr>
                    </w:pPr>
                  </w:p>
                  <w:p>
                    <w:pPr>
                      <w:spacing w:line="240" w:lineRule="auto" w:before="2"/>
                      <w:rPr>
                        <w:rFonts w:ascii="Calibri"/>
                        <w:sz w:val="27"/>
                      </w:rPr>
                    </w:pPr>
                  </w:p>
                  <w:p>
                    <w:pPr>
                      <w:spacing w:line="240" w:lineRule="exact" w:before="0"/>
                      <w:ind w:left="0" w:right="0" w:firstLine="0"/>
                      <w:jc w:val="left"/>
                      <w:rPr>
                        <w:rFonts w:ascii="Calibri"/>
                        <w:sz w:val="20"/>
                      </w:rPr>
                    </w:pPr>
                    <w:r>
                      <w:rPr>
                        <w:rFonts w:ascii="Calibri"/>
                        <w:spacing w:val="-5"/>
                        <w:sz w:val="20"/>
                      </w:rPr>
                      <w:t>10</w:t>
                    </w:r>
                  </w:p>
                </w:txbxContent>
              </v:textbox>
              <w10:wrap type="none"/>
            </v:shape>
            <v:shape style="position:absolute;left:8636;top:1276;width:1459;height:5263" type="#_x0000_t202" id="docshape172" filled="false" stroked="false">
              <v:textbox inset="0,0,0,0">
                <w:txbxContent>
                  <w:p>
                    <w:pPr>
                      <w:spacing w:line="203" w:lineRule="exact" w:before="0"/>
                      <w:ind w:left="0" w:right="0" w:firstLine="0"/>
                      <w:jc w:val="left"/>
                      <w:rPr>
                        <w:rFonts w:ascii="Calibri"/>
                        <w:sz w:val="20"/>
                      </w:rPr>
                    </w:pPr>
                    <w:r>
                      <w:rPr>
                        <w:rFonts w:ascii="Calibri"/>
                        <w:spacing w:val="-5"/>
                        <w:sz w:val="20"/>
                      </w:rPr>
                      <w:t>NPa</w:t>
                    </w:r>
                  </w:p>
                  <w:p>
                    <w:pPr>
                      <w:spacing w:line="355" w:lineRule="auto" w:before="117"/>
                      <w:ind w:left="0" w:right="1119" w:firstLine="0"/>
                      <w:jc w:val="both"/>
                      <w:rPr>
                        <w:rFonts w:ascii="Calibri"/>
                        <w:sz w:val="20"/>
                      </w:rPr>
                    </w:pPr>
                    <w:r>
                      <w:rPr>
                        <w:rFonts w:ascii="Calibri"/>
                        <w:spacing w:val="-4"/>
                        <w:sz w:val="20"/>
                      </w:rPr>
                      <w:t>NPb BSa BSb BCa </w:t>
                    </w:r>
                    <w:r>
                      <w:rPr>
                        <w:rFonts w:ascii="Calibri"/>
                        <w:spacing w:val="-5"/>
                        <w:sz w:val="20"/>
                      </w:rPr>
                      <w:t>BCb</w:t>
                    </w:r>
                  </w:p>
                  <w:p>
                    <w:pPr>
                      <w:spacing w:line="355" w:lineRule="auto" w:before="2"/>
                      <w:ind w:left="0" w:right="18" w:firstLine="0"/>
                      <w:jc w:val="both"/>
                      <w:rPr>
                        <w:rFonts w:ascii="Calibri"/>
                        <w:sz w:val="20"/>
                      </w:rPr>
                    </w:pPr>
                    <w:r>
                      <w:rPr>
                        <w:rFonts w:ascii="Calibri"/>
                        <w:spacing w:val="-2"/>
                        <w:sz w:val="20"/>
                      </w:rPr>
                      <w:t>NP/BS/BC(1:1:1)a NP/BS/BC(1:1:1)b NP/BS/BC(2:1:1)a NP/BS/BC(2:1:1)b NP/BS/BC(1:2:1)a NP/BS/BC(1:2:1)b NP/BS/BC(1:1:2)a NP/BS/BC(1:1:2)b</w:t>
                    </w:r>
                  </w:p>
                  <w:p>
                    <w:pPr>
                      <w:spacing w:line="240" w:lineRule="exact" w:before="3"/>
                      <w:ind w:left="0" w:right="0" w:firstLine="0"/>
                      <w:jc w:val="left"/>
                      <w:rPr>
                        <w:rFonts w:ascii="Calibri"/>
                        <w:sz w:val="20"/>
                      </w:rPr>
                    </w:pPr>
                    <w:r>
                      <w:rPr>
                        <w:rFonts w:ascii="Calibri"/>
                        <w:spacing w:val="-2"/>
                        <w:sz w:val="20"/>
                      </w:rPr>
                      <w:t>Control</w:t>
                    </w:r>
                  </w:p>
                </w:txbxContent>
              </v:textbox>
              <w10:wrap type="none"/>
            </v:shape>
            <v:shape style="position:absolute;left:2216;top:6949;width:121;height:200" type="#_x0000_t202" id="docshape173"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600;top:7209;width:3479;height:200" type="#_x0000_t202" id="docshape174" filled="false" stroked="false">
              <v:textbox inset="0,0,0,0">
                <w:txbxContent>
                  <w:p>
                    <w:pPr>
                      <w:spacing w:line="199" w:lineRule="exact" w:before="0"/>
                      <w:ind w:left="0" w:right="0" w:firstLine="0"/>
                      <w:jc w:val="left"/>
                      <w:rPr>
                        <w:rFonts w:ascii="Calibri"/>
                        <w:sz w:val="20"/>
                      </w:rPr>
                    </w:pPr>
                    <w:r>
                      <w:rPr>
                        <w:rFonts w:ascii="Calibri"/>
                        <w:sz w:val="20"/>
                      </w:rPr>
                      <w:t>Percentage</w:t>
                    </w:r>
                    <w:r>
                      <w:rPr>
                        <w:rFonts w:ascii="Calibri"/>
                        <w:spacing w:val="-8"/>
                        <w:sz w:val="20"/>
                      </w:rPr>
                      <w:t> </w:t>
                    </w:r>
                    <w:r>
                      <w:rPr>
                        <w:rFonts w:ascii="Calibri"/>
                        <w:sz w:val="20"/>
                      </w:rPr>
                      <w:t>of</w:t>
                    </w:r>
                    <w:r>
                      <w:rPr>
                        <w:rFonts w:ascii="Calibri"/>
                        <w:spacing w:val="-5"/>
                        <w:sz w:val="20"/>
                      </w:rPr>
                      <w:t> </w:t>
                    </w:r>
                    <w:r>
                      <w:rPr>
                        <w:rFonts w:ascii="Calibri"/>
                        <w:sz w:val="20"/>
                      </w:rPr>
                      <w:t>total</w:t>
                    </w:r>
                    <w:r>
                      <w:rPr>
                        <w:rFonts w:ascii="Calibri"/>
                        <w:spacing w:val="-7"/>
                        <w:sz w:val="20"/>
                      </w:rPr>
                      <w:t> </w:t>
                    </w:r>
                    <w:r>
                      <w:rPr>
                        <w:rFonts w:ascii="Calibri"/>
                        <w:sz w:val="20"/>
                      </w:rPr>
                      <w:t>hydrocarbon</w:t>
                    </w:r>
                    <w:r>
                      <w:rPr>
                        <w:rFonts w:ascii="Calibri"/>
                        <w:spacing w:val="-8"/>
                        <w:sz w:val="20"/>
                      </w:rPr>
                      <w:t> </w:t>
                    </w:r>
                    <w:r>
                      <w:rPr>
                        <w:rFonts w:ascii="Calibri"/>
                        <w:spacing w:val="-2"/>
                        <w:sz w:val="20"/>
                      </w:rPr>
                      <w:t>degraded</w:t>
                    </w:r>
                  </w:p>
                </w:txbxContent>
              </v:textbox>
              <w10:wrap type="none"/>
            </v:shape>
            <w10:wrap type="topAndBottom"/>
          </v:group>
        </w:pict>
      </w:r>
    </w:p>
    <w:sectPr>
      <w:footerReference w:type="default" r:id="rId44"/>
      <w:pgSz w:w="12240" w:h="15840"/>
      <w:pgMar w:footer="1003" w:header="0" w:top="1200" w:bottom="1200" w:left="1720" w:right="1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410004pt;margin-top:730.255981pt;width:18.3pt;height:13.05pt;mso-position-horizontal-relative:page;mso-position-vertical-relative:page;z-index:-17284096"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410004pt;margin-top:550.255981pt;width:18.3pt;height:13.05pt;mso-position-horizontal-relative:page;mso-position-vertical-relative:page;z-index:-17283584" type="#_x0000_t202" id="docshape5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799988pt;width:18.3pt;height:13.05pt;mso-position-horizontal-relative:page;mso-position-vertical-relative:page;z-index:-17283072" type="#_x0000_t202" id="docshape5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64</w:t>
                </w:r>
                <w:r>
                  <w:rPr>
                    <w:rFonts w:ascii="Calibri"/>
                    <w:spacing w:val="-5"/>
                    <w:sz w:val="22"/>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890015pt;margin-top:730.856018pt;width:4.55pt;height:13.05pt;mso-position-horizontal-relative:page;mso-position-vertical-relative:page;z-index:-17282560" type="#_x0000_t202" id="docshape130" filled="false" stroked="false">
          <v:textbox inset="0,0,0,0">
            <w:txbxContent>
              <w:p>
                <w:pPr>
                  <w:spacing w:line="245" w:lineRule="exact" w:before="0"/>
                  <w:ind w:left="20" w:right="0" w:firstLine="0"/>
                  <w:jc w:val="left"/>
                  <w:rPr>
                    <w:rFonts w:ascii="Calibri"/>
                    <w:sz w:val="22"/>
                  </w:rPr>
                </w:pPr>
                <w:r>
                  <w:rPr>
                    <w:rFonts w:ascii="Calibri"/>
                    <w:w w:val="100"/>
                    <w:sz w:val="22"/>
                  </w:rPr>
                  <w:t>i</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5"/>
      <w:numFmt w:val="decimal"/>
      <w:lvlText w:val="%1"/>
      <w:lvlJc w:val="left"/>
      <w:pPr>
        <w:ind w:left="922" w:hanging="720"/>
        <w:jc w:val="left"/>
      </w:pPr>
      <w:rPr>
        <w:rFonts w:hint="default"/>
        <w:lang w:val="en-US" w:eastAsia="en-US" w:bidi="ar-SA"/>
      </w:rPr>
    </w:lvl>
    <w:lvl w:ilvl="1">
      <w:start w:val="0"/>
      <w:numFmt w:val="decimal"/>
      <w:lvlText w:val="%1.%2"/>
      <w:lvlJc w:val="left"/>
      <w:pPr>
        <w:ind w:left="922" w:hanging="720"/>
        <w:jc w:val="left"/>
      </w:pPr>
      <w:rPr>
        <w:rFonts w:hint="default" w:ascii="Times New Roman" w:hAnsi="Times New Roman" w:eastAsia="Times New Roman" w:cs="Times New Roman"/>
        <w:b/>
        <w:bCs/>
        <w:i w:val="0"/>
        <w:iCs w:val="0"/>
        <w:w w:val="100"/>
        <w:sz w:val="24"/>
        <w:szCs w:val="24"/>
        <w:lang w:val="en-US" w:eastAsia="en-US" w:bidi="ar-SA"/>
      </w:rPr>
    </w:lvl>
    <w:lvl w:ilvl="2">
      <w:start w:val="0"/>
      <w:numFmt w:val="bullet"/>
      <w:lvlText w:val="•"/>
      <w:lvlJc w:val="left"/>
      <w:pPr>
        <w:ind w:left="2501" w:hanging="720"/>
      </w:pPr>
      <w:rPr>
        <w:rFonts w:hint="default"/>
        <w:lang w:val="en-US" w:eastAsia="en-US" w:bidi="ar-SA"/>
      </w:rPr>
    </w:lvl>
    <w:lvl w:ilvl="3">
      <w:start w:val="0"/>
      <w:numFmt w:val="bullet"/>
      <w:lvlText w:val="•"/>
      <w:lvlJc w:val="left"/>
      <w:pPr>
        <w:ind w:left="3291" w:hanging="720"/>
      </w:pPr>
      <w:rPr>
        <w:rFonts w:hint="default"/>
        <w:lang w:val="en-US" w:eastAsia="en-US" w:bidi="ar-SA"/>
      </w:rPr>
    </w:lvl>
    <w:lvl w:ilvl="4">
      <w:start w:val="0"/>
      <w:numFmt w:val="bullet"/>
      <w:lvlText w:val="•"/>
      <w:lvlJc w:val="left"/>
      <w:pPr>
        <w:ind w:left="4082" w:hanging="720"/>
      </w:pPr>
      <w:rPr>
        <w:rFonts w:hint="default"/>
        <w:lang w:val="en-US" w:eastAsia="en-US" w:bidi="ar-SA"/>
      </w:rPr>
    </w:lvl>
    <w:lvl w:ilvl="5">
      <w:start w:val="0"/>
      <w:numFmt w:val="bullet"/>
      <w:lvlText w:val="•"/>
      <w:lvlJc w:val="left"/>
      <w:pPr>
        <w:ind w:left="4873" w:hanging="720"/>
      </w:pPr>
      <w:rPr>
        <w:rFonts w:hint="default"/>
        <w:lang w:val="en-US" w:eastAsia="en-US" w:bidi="ar-SA"/>
      </w:rPr>
    </w:lvl>
    <w:lvl w:ilvl="6">
      <w:start w:val="0"/>
      <w:numFmt w:val="bullet"/>
      <w:lvlText w:val="•"/>
      <w:lvlJc w:val="left"/>
      <w:pPr>
        <w:ind w:left="5663" w:hanging="720"/>
      </w:pPr>
      <w:rPr>
        <w:rFonts w:hint="default"/>
        <w:lang w:val="en-US" w:eastAsia="en-US" w:bidi="ar-SA"/>
      </w:rPr>
    </w:lvl>
    <w:lvl w:ilvl="7">
      <w:start w:val="0"/>
      <w:numFmt w:val="bullet"/>
      <w:lvlText w:val="•"/>
      <w:lvlJc w:val="left"/>
      <w:pPr>
        <w:ind w:left="6454" w:hanging="720"/>
      </w:pPr>
      <w:rPr>
        <w:rFonts w:hint="default"/>
        <w:lang w:val="en-US" w:eastAsia="en-US" w:bidi="ar-SA"/>
      </w:rPr>
    </w:lvl>
    <w:lvl w:ilvl="8">
      <w:start w:val="0"/>
      <w:numFmt w:val="bullet"/>
      <w:lvlText w:val="•"/>
      <w:lvlJc w:val="left"/>
      <w:pPr>
        <w:ind w:left="7245" w:hanging="720"/>
      </w:pPr>
      <w:rPr>
        <w:rFonts w:hint="default"/>
        <w:lang w:val="en-US" w:eastAsia="en-US" w:bidi="ar-SA"/>
      </w:rPr>
    </w:lvl>
  </w:abstractNum>
  <w:abstractNum w:abstractNumId="4">
    <w:multiLevelType w:val="hybridMultilevel"/>
    <w:lvl w:ilvl="0">
      <w:start w:val="4"/>
      <w:numFmt w:val="decimal"/>
      <w:lvlText w:val="%1"/>
      <w:lvlJc w:val="left"/>
      <w:pPr>
        <w:ind w:left="1560" w:hanging="1440"/>
        <w:jc w:val="left"/>
      </w:pPr>
      <w:rPr>
        <w:rFonts w:hint="default"/>
        <w:lang w:val="en-US" w:eastAsia="en-US" w:bidi="ar-SA"/>
      </w:rPr>
    </w:lvl>
    <w:lvl w:ilvl="1">
      <w:start w:val="0"/>
      <w:numFmt w:val="decimal"/>
      <w:lvlText w:val="%1.%2"/>
      <w:lvlJc w:val="left"/>
      <w:pPr>
        <w:ind w:left="1560" w:hanging="1440"/>
        <w:jc w:val="righ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840" w:hanging="720"/>
        <w:jc w:val="right"/>
      </w:pPr>
      <w:rPr>
        <w:rFonts w:hint="default" w:ascii="Times New Roman" w:hAnsi="Times New Roman" w:eastAsia="Times New Roman" w:cs="Times New Roman"/>
        <w:b/>
        <w:bCs/>
        <w:i w:val="0"/>
        <w:iCs w:val="0"/>
        <w:w w:val="100"/>
        <w:sz w:val="24"/>
        <w:szCs w:val="24"/>
        <w:lang w:val="en-US" w:eastAsia="en-US" w:bidi="ar-SA"/>
      </w:rPr>
    </w:lvl>
    <w:lvl w:ilvl="3">
      <w:start w:val="1"/>
      <w:numFmt w:val="decimal"/>
      <w:lvlText w:val="%1.%2.%3.%4"/>
      <w:lvlJc w:val="left"/>
      <w:pPr>
        <w:ind w:left="840" w:hanging="720"/>
        <w:jc w:val="left"/>
      </w:pPr>
      <w:rPr>
        <w:rFonts w:hint="default" w:ascii="Times New Roman" w:hAnsi="Times New Roman" w:eastAsia="Times New Roman" w:cs="Times New Roman"/>
        <w:b/>
        <w:bCs/>
        <w:i w:val="0"/>
        <w:iCs w:val="0"/>
        <w:w w:val="100"/>
        <w:sz w:val="24"/>
        <w:szCs w:val="24"/>
        <w:lang w:val="en-US" w:eastAsia="en-US" w:bidi="ar-SA"/>
      </w:rPr>
    </w:lvl>
    <w:lvl w:ilvl="4">
      <w:start w:val="0"/>
      <w:numFmt w:val="bullet"/>
      <w:lvlText w:val="•"/>
      <w:lvlJc w:val="left"/>
      <w:pPr>
        <w:ind w:left="4240" w:hanging="720"/>
      </w:pPr>
      <w:rPr>
        <w:rFonts w:hint="default"/>
        <w:lang w:val="en-US" w:eastAsia="en-US" w:bidi="ar-SA"/>
      </w:rPr>
    </w:lvl>
    <w:lvl w:ilvl="5">
      <w:start w:val="0"/>
      <w:numFmt w:val="bullet"/>
      <w:lvlText w:val="•"/>
      <w:lvlJc w:val="left"/>
      <w:pPr>
        <w:ind w:left="5133" w:hanging="720"/>
      </w:pPr>
      <w:rPr>
        <w:rFonts w:hint="default"/>
        <w:lang w:val="en-US" w:eastAsia="en-US" w:bidi="ar-SA"/>
      </w:rPr>
    </w:lvl>
    <w:lvl w:ilvl="6">
      <w:start w:val="0"/>
      <w:numFmt w:val="bullet"/>
      <w:lvlText w:val="•"/>
      <w:lvlJc w:val="left"/>
      <w:pPr>
        <w:ind w:left="6026" w:hanging="720"/>
      </w:pPr>
      <w:rPr>
        <w:rFonts w:hint="default"/>
        <w:lang w:val="en-US" w:eastAsia="en-US" w:bidi="ar-SA"/>
      </w:rPr>
    </w:lvl>
    <w:lvl w:ilvl="7">
      <w:start w:val="0"/>
      <w:numFmt w:val="bullet"/>
      <w:lvlText w:val="•"/>
      <w:lvlJc w:val="left"/>
      <w:pPr>
        <w:ind w:left="6920" w:hanging="720"/>
      </w:pPr>
      <w:rPr>
        <w:rFonts w:hint="default"/>
        <w:lang w:val="en-US" w:eastAsia="en-US" w:bidi="ar-SA"/>
      </w:rPr>
    </w:lvl>
    <w:lvl w:ilvl="8">
      <w:start w:val="0"/>
      <w:numFmt w:val="bullet"/>
      <w:lvlText w:val="•"/>
      <w:lvlJc w:val="left"/>
      <w:pPr>
        <w:ind w:left="7813" w:hanging="720"/>
      </w:pPr>
      <w:rPr>
        <w:rFonts w:hint="default"/>
        <w:lang w:val="en-US" w:eastAsia="en-US" w:bidi="ar-SA"/>
      </w:rPr>
    </w:lvl>
  </w:abstractNum>
  <w:abstractNum w:abstractNumId="3">
    <w:multiLevelType w:val="hybridMultilevel"/>
    <w:lvl w:ilvl="0">
      <w:start w:val="3"/>
      <w:numFmt w:val="decimal"/>
      <w:lvlText w:val="%1"/>
      <w:lvlJc w:val="left"/>
      <w:pPr>
        <w:ind w:left="840" w:hanging="720"/>
        <w:jc w:val="left"/>
      </w:pPr>
      <w:rPr>
        <w:rFonts w:hint="default"/>
        <w:lang w:val="en-US" w:eastAsia="en-US" w:bidi="ar-SA"/>
      </w:rPr>
    </w:lvl>
    <w:lvl w:ilvl="1">
      <w:start w:val="0"/>
      <w:numFmt w:val="decimal"/>
      <w:lvlText w:val="%1.%2"/>
      <w:lvlJc w:val="left"/>
      <w:pPr>
        <w:ind w:left="840" w:hanging="720"/>
        <w:jc w:val="righ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840" w:hanging="720"/>
        <w:jc w:val="left"/>
      </w:pPr>
      <w:rPr>
        <w:rFonts w:hint="default" w:ascii="Times New Roman" w:hAnsi="Times New Roman" w:eastAsia="Times New Roman" w:cs="Times New Roman"/>
        <w:b/>
        <w:bCs/>
        <w:i w:val="0"/>
        <w:iCs w:val="0"/>
        <w:w w:val="100"/>
        <w:sz w:val="24"/>
        <w:szCs w:val="24"/>
        <w:lang w:val="en-US" w:eastAsia="en-US" w:bidi="ar-SA"/>
      </w:rPr>
    </w:lvl>
    <w:lvl w:ilvl="3">
      <w:start w:val="1"/>
      <w:numFmt w:val="decimal"/>
      <w:lvlText w:val="%1.%2.%3.%4"/>
      <w:lvlJc w:val="left"/>
      <w:pPr>
        <w:ind w:left="120" w:hanging="720"/>
        <w:jc w:val="left"/>
      </w:pPr>
      <w:rPr>
        <w:rFonts w:hint="default" w:ascii="Times New Roman" w:hAnsi="Times New Roman" w:eastAsia="Times New Roman" w:cs="Times New Roman"/>
        <w:b/>
        <w:bCs/>
        <w:i w:val="0"/>
        <w:iCs w:val="0"/>
        <w:w w:val="100"/>
        <w:sz w:val="24"/>
        <w:szCs w:val="24"/>
        <w:lang w:val="en-US" w:eastAsia="en-US" w:bidi="ar-SA"/>
      </w:rPr>
    </w:lvl>
    <w:lvl w:ilvl="4">
      <w:start w:val="0"/>
      <w:numFmt w:val="bullet"/>
      <w:lvlText w:val="•"/>
      <w:lvlJc w:val="left"/>
      <w:pPr>
        <w:ind w:left="3760" w:hanging="720"/>
      </w:pPr>
      <w:rPr>
        <w:rFonts w:hint="default"/>
        <w:lang w:val="en-US" w:eastAsia="en-US" w:bidi="ar-SA"/>
      </w:rPr>
    </w:lvl>
    <w:lvl w:ilvl="5">
      <w:start w:val="0"/>
      <w:numFmt w:val="bullet"/>
      <w:lvlText w:val="•"/>
      <w:lvlJc w:val="left"/>
      <w:pPr>
        <w:ind w:left="4733" w:hanging="720"/>
      </w:pPr>
      <w:rPr>
        <w:rFonts w:hint="default"/>
        <w:lang w:val="en-US" w:eastAsia="en-US" w:bidi="ar-SA"/>
      </w:rPr>
    </w:lvl>
    <w:lvl w:ilvl="6">
      <w:start w:val="0"/>
      <w:numFmt w:val="bullet"/>
      <w:lvlText w:val="•"/>
      <w:lvlJc w:val="left"/>
      <w:pPr>
        <w:ind w:left="5706" w:hanging="720"/>
      </w:pPr>
      <w:rPr>
        <w:rFonts w:hint="default"/>
        <w:lang w:val="en-US" w:eastAsia="en-US" w:bidi="ar-SA"/>
      </w:rPr>
    </w:lvl>
    <w:lvl w:ilvl="7">
      <w:start w:val="0"/>
      <w:numFmt w:val="bullet"/>
      <w:lvlText w:val="•"/>
      <w:lvlJc w:val="left"/>
      <w:pPr>
        <w:ind w:left="6680" w:hanging="720"/>
      </w:pPr>
      <w:rPr>
        <w:rFonts w:hint="default"/>
        <w:lang w:val="en-US" w:eastAsia="en-US" w:bidi="ar-SA"/>
      </w:rPr>
    </w:lvl>
    <w:lvl w:ilvl="8">
      <w:start w:val="0"/>
      <w:numFmt w:val="bullet"/>
      <w:lvlText w:val="•"/>
      <w:lvlJc w:val="left"/>
      <w:pPr>
        <w:ind w:left="7653" w:hanging="720"/>
      </w:pPr>
      <w:rPr>
        <w:rFonts w:hint="default"/>
        <w:lang w:val="en-US" w:eastAsia="en-US" w:bidi="ar-SA"/>
      </w:rPr>
    </w:lvl>
  </w:abstractNum>
  <w:abstractNum w:abstractNumId="2">
    <w:multiLevelType w:val="hybridMultilevel"/>
    <w:lvl w:ilvl="0">
      <w:start w:val="2"/>
      <w:numFmt w:val="decimal"/>
      <w:lvlText w:val="%1"/>
      <w:lvlJc w:val="left"/>
      <w:pPr>
        <w:ind w:left="840" w:hanging="720"/>
        <w:jc w:val="left"/>
      </w:pPr>
      <w:rPr>
        <w:rFonts w:hint="default"/>
        <w:lang w:val="en-US" w:eastAsia="en-US" w:bidi="ar-SA"/>
      </w:rPr>
    </w:lvl>
    <w:lvl w:ilvl="1">
      <w:start w:val="0"/>
      <w:numFmt w:val="decimal"/>
      <w:lvlText w:val="%1.%2"/>
      <w:lvlJc w:val="left"/>
      <w:pPr>
        <w:ind w:left="840" w:hanging="720"/>
        <w:jc w:val="lef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900" w:hanging="780"/>
        <w:jc w:val="left"/>
      </w:pPr>
      <w:rPr>
        <w:rFonts w:hint="default" w:ascii="Times New Roman" w:hAnsi="Times New Roman" w:eastAsia="Times New Roman" w:cs="Times New Roman"/>
        <w:b/>
        <w:bCs/>
        <w:i w:val="0"/>
        <w:iCs w:val="0"/>
        <w:w w:val="100"/>
        <w:sz w:val="24"/>
        <w:szCs w:val="24"/>
        <w:lang w:val="en-US" w:eastAsia="en-US" w:bidi="ar-SA"/>
      </w:rPr>
    </w:lvl>
    <w:lvl w:ilvl="3">
      <w:start w:val="0"/>
      <w:numFmt w:val="bullet"/>
      <w:lvlText w:val="•"/>
      <w:lvlJc w:val="left"/>
      <w:pPr>
        <w:ind w:left="2833" w:hanging="780"/>
      </w:pPr>
      <w:rPr>
        <w:rFonts w:hint="default"/>
        <w:lang w:val="en-US" w:eastAsia="en-US" w:bidi="ar-SA"/>
      </w:rPr>
    </w:lvl>
    <w:lvl w:ilvl="4">
      <w:start w:val="0"/>
      <w:numFmt w:val="bullet"/>
      <w:lvlText w:val="•"/>
      <w:lvlJc w:val="left"/>
      <w:pPr>
        <w:ind w:left="3800" w:hanging="780"/>
      </w:pPr>
      <w:rPr>
        <w:rFonts w:hint="default"/>
        <w:lang w:val="en-US" w:eastAsia="en-US" w:bidi="ar-SA"/>
      </w:rPr>
    </w:lvl>
    <w:lvl w:ilvl="5">
      <w:start w:val="0"/>
      <w:numFmt w:val="bullet"/>
      <w:lvlText w:val="•"/>
      <w:lvlJc w:val="left"/>
      <w:pPr>
        <w:ind w:left="4766" w:hanging="780"/>
      </w:pPr>
      <w:rPr>
        <w:rFonts w:hint="default"/>
        <w:lang w:val="en-US" w:eastAsia="en-US" w:bidi="ar-SA"/>
      </w:rPr>
    </w:lvl>
    <w:lvl w:ilvl="6">
      <w:start w:val="0"/>
      <w:numFmt w:val="bullet"/>
      <w:lvlText w:val="•"/>
      <w:lvlJc w:val="left"/>
      <w:pPr>
        <w:ind w:left="5733" w:hanging="780"/>
      </w:pPr>
      <w:rPr>
        <w:rFonts w:hint="default"/>
        <w:lang w:val="en-US" w:eastAsia="en-US" w:bidi="ar-SA"/>
      </w:rPr>
    </w:lvl>
    <w:lvl w:ilvl="7">
      <w:start w:val="0"/>
      <w:numFmt w:val="bullet"/>
      <w:lvlText w:val="•"/>
      <w:lvlJc w:val="left"/>
      <w:pPr>
        <w:ind w:left="6700" w:hanging="780"/>
      </w:pPr>
      <w:rPr>
        <w:rFonts w:hint="default"/>
        <w:lang w:val="en-US" w:eastAsia="en-US" w:bidi="ar-SA"/>
      </w:rPr>
    </w:lvl>
    <w:lvl w:ilvl="8">
      <w:start w:val="0"/>
      <w:numFmt w:val="bullet"/>
      <w:lvlText w:val="•"/>
      <w:lvlJc w:val="left"/>
      <w:pPr>
        <w:ind w:left="7666" w:hanging="780"/>
      </w:pPr>
      <w:rPr>
        <w:rFonts w:hint="default"/>
        <w:lang w:val="en-US" w:eastAsia="en-US" w:bidi="ar-SA"/>
      </w:rPr>
    </w:lvl>
  </w:abstractNum>
  <w:abstractNum w:abstractNumId="1">
    <w:multiLevelType w:val="hybridMultilevel"/>
    <w:lvl w:ilvl="0">
      <w:start w:val="1"/>
      <w:numFmt w:val="upperRoman"/>
      <w:lvlText w:val="%1."/>
      <w:lvlJc w:val="left"/>
      <w:pPr>
        <w:ind w:left="319" w:hanging="200"/>
        <w:jc w:val="left"/>
      </w:pPr>
      <w:rPr>
        <w:rFonts w:hint="default" w:ascii="Times New Roman" w:hAnsi="Times New Roman" w:eastAsia="Times New Roman" w:cs="Times New Roman"/>
        <w:b w:val="0"/>
        <w:bCs w:val="0"/>
        <w:i w:val="0"/>
        <w:iCs w:val="0"/>
        <w:spacing w:val="-4"/>
        <w:w w:val="99"/>
        <w:sz w:val="24"/>
        <w:szCs w:val="24"/>
        <w:lang w:val="en-US" w:eastAsia="en-US" w:bidi="ar-SA"/>
      </w:rPr>
    </w:lvl>
    <w:lvl w:ilvl="1">
      <w:start w:val="0"/>
      <w:numFmt w:val="bullet"/>
      <w:lvlText w:val="•"/>
      <w:lvlJc w:val="left"/>
      <w:pPr>
        <w:ind w:left="1248" w:hanging="200"/>
      </w:pPr>
      <w:rPr>
        <w:rFonts w:hint="default"/>
        <w:lang w:val="en-US" w:eastAsia="en-US" w:bidi="ar-SA"/>
      </w:rPr>
    </w:lvl>
    <w:lvl w:ilvl="2">
      <w:start w:val="0"/>
      <w:numFmt w:val="bullet"/>
      <w:lvlText w:val="•"/>
      <w:lvlJc w:val="left"/>
      <w:pPr>
        <w:ind w:left="2176" w:hanging="200"/>
      </w:pPr>
      <w:rPr>
        <w:rFonts w:hint="default"/>
        <w:lang w:val="en-US" w:eastAsia="en-US" w:bidi="ar-SA"/>
      </w:rPr>
    </w:lvl>
    <w:lvl w:ilvl="3">
      <w:start w:val="0"/>
      <w:numFmt w:val="bullet"/>
      <w:lvlText w:val="•"/>
      <w:lvlJc w:val="left"/>
      <w:pPr>
        <w:ind w:left="3104" w:hanging="200"/>
      </w:pPr>
      <w:rPr>
        <w:rFonts w:hint="default"/>
        <w:lang w:val="en-US" w:eastAsia="en-US" w:bidi="ar-SA"/>
      </w:rPr>
    </w:lvl>
    <w:lvl w:ilvl="4">
      <w:start w:val="0"/>
      <w:numFmt w:val="bullet"/>
      <w:lvlText w:val="•"/>
      <w:lvlJc w:val="left"/>
      <w:pPr>
        <w:ind w:left="4032" w:hanging="200"/>
      </w:pPr>
      <w:rPr>
        <w:rFonts w:hint="default"/>
        <w:lang w:val="en-US" w:eastAsia="en-US" w:bidi="ar-SA"/>
      </w:rPr>
    </w:lvl>
    <w:lvl w:ilvl="5">
      <w:start w:val="0"/>
      <w:numFmt w:val="bullet"/>
      <w:lvlText w:val="•"/>
      <w:lvlJc w:val="left"/>
      <w:pPr>
        <w:ind w:left="4960" w:hanging="200"/>
      </w:pPr>
      <w:rPr>
        <w:rFonts w:hint="default"/>
        <w:lang w:val="en-US" w:eastAsia="en-US" w:bidi="ar-SA"/>
      </w:rPr>
    </w:lvl>
    <w:lvl w:ilvl="6">
      <w:start w:val="0"/>
      <w:numFmt w:val="bullet"/>
      <w:lvlText w:val="•"/>
      <w:lvlJc w:val="left"/>
      <w:pPr>
        <w:ind w:left="5888" w:hanging="200"/>
      </w:pPr>
      <w:rPr>
        <w:rFonts w:hint="default"/>
        <w:lang w:val="en-US" w:eastAsia="en-US" w:bidi="ar-SA"/>
      </w:rPr>
    </w:lvl>
    <w:lvl w:ilvl="7">
      <w:start w:val="0"/>
      <w:numFmt w:val="bullet"/>
      <w:lvlText w:val="•"/>
      <w:lvlJc w:val="left"/>
      <w:pPr>
        <w:ind w:left="6816" w:hanging="200"/>
      </w:pPr>
      <w:rPr>
        <w:rFonts w:hint="default"/>
        <w:lang w:val="en-US" w:eastAsia="en-US" w:bidi="ar-SA"/>
      </w:rPr>
    </w:lvl>
    <w:lvl w:ilvl="8">
      <w:start w:val="0"/>
      <w:numFmt w:val="bullet"/>
      <w:lvlText w:val="•"/>
      <w:lvlJc w:val="left"/>
      <w:pPr>
        <w:ind w:left="7744" w:hanging="200"/>
      </w:pPr>
      <w:rPr>
        <w:rFonts w:hint="default"/>
        <w:lang w:val="en-US" w:eastAsia="en-US" w:bidi="ar-SA"/>
      </w:rPr>
    </w:lvl>
  </w:abstractNum>
  <w:abstractNum w:abstractNumId="0">
    <w:multiLevelType w:val="hybridMultilevel"/>
    <w:lvl w:ilvl="0">
      <w:start w:val="1"/>
      <w:numFmt w:val="decimal"/>
      <w:lvlText w:val="%1"/>
      <w:lvlJc w:val="left"/>
      <w:pPr>
        <w:ind w:left="3841" w:hanging="3721"/>
        <w:jc w:val="left"/>
      </w:pPr>
      <w:rPr>
        <w:rFonts w:hint="default"/>
        <w:lang w:val="en-US" w:eastAsia="en-US" w:bidi="ar-SA"/>
      </w:rPr>
    </w:lvl>
    <w:lvl w:ilvl="1">
      <w:start w:val="0"/>
      <w:numFmt w:val="decimal"/>
      <w:lvlText w:val="%1.%2"/>
      <w:lvlJc w:val="left"/>
      <w:pPr>
        <w:ind w:left="3841" w:hanging="3721"/>
        <w:jc w:val="left"/>
      </w:pPr>
      <w:rPr>
        <w:rFonts w:hint="default" w:ascii="Times New Roman" w:hAnsi="Times New Roman" w:eastAsia="Times New Roman" w:cs="Times New Roman"/>
        <w:b/>
        <w:bCs/>
        <w:i w:val="0"/>
        <w:iCs w:val="0"/>
        <w:w w:val="100"/>
        <w:sz w:val="24"/>
        <w:szCs w:val="24"/>
        <w:lang w:val="en-US" w:eastAsia="en-US" w:bidi="ar-SA"/>
      </w:rPr>
    </w:lvl>
    <w:lvl w:ilvl="2">
      <w:start w:val="1"/>
      <w:numFmt w:val="decimal"/>
      <w:lvlText w:val="%1.%2.%3"/>
      <w:lvlJc w:val="left"/>
      <w:pPr>
        <w:ind w:left="120" w:hanging="720"/>
        <w:jc w:val="left"/>
      </w:pPr>
      <w:rPr>
        <w:rFonts w:hint="default" w:ascii="Times New Roman" w:hAnsi="Times New Roman" w:eastAsia="Times New Roman" w:cs="Times New Roman"/>
        <w:b/>
        <w:bCs/>
        <w:i w:val="0"/>
        <w:iCs w:val="0"/>
        <w:w w:val="100"/>
        <w:sz w:val="24"/>
        <w:szCs w:val="24"/>
        <w:lang w:val="en-US" w:eastAsia="en-US" w:bidi="ar-SA"/>
      </w:rPr>
    </w:lvl>
    <w:lvl w:ilvl="3">
      <w:start w:val="0"/>
      <w:numFmt w:val="bullet"/>
      <w:lvlText w:val="•"/>
      <w:lvlJc w:val="left"/>
      <w:pPr>
        <w:ind w:left="5120" w:hanging="720"/>
      </w:pPr>
      <w:rPr>
        <w:rFonts w:hint="default"/>
        <w:lang w:val="en-US" w:eastAsia="en-US" w:bidi="ar-SA"/>
      </w:rPr>
    </w:lvl>
    <w:lvl w:ilvl="4">
      <w:start w:val="0"/>
      <w:numFmt w:val="bullet"/>
      <w:lvlText w:val="•"/>
      <w:lvlJc w:val="left"/>
      <w:pPr>
        <w:ind w:left="5760"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040" w:hanging="720"/>
      </w:pPr>
      <w:rPr>
        <w:rFonts w:hint="default"/>
        <w:lang w:val="en-US" w:eastAsia="en-US" w:bidi="ar-SA"/>
      </w:rPr>
    </w:lvl>
    <w:lvl w:ilvl="7">
      <w:start w:val="0"/>
      <w:numFmt w:val="bullet"/>
      <w:lvlText w:val="•"/>
      <w:lvlJc w:val="left"/>
      <w:pPr>
        <w:ind w:left="7680" w:hanging="720"/>
      </w:pPr>
      <w:rPr>
        <w:rFonts w:hint="default"/>
        <w:lang w:val="en-US" w:eastAsia="en-US" w:bidi="ar-SA"/>
      </w:rPr>
    </w:lvl>
    <w:lvl w:ilvl="8">
      <w:start w:val="0"/>
      <w:numFmt w:val="bullet"/>
      <w:lvlText w:val="•"/>
      <w:lvlJc w:val="left"/>
      <w:pPr>
        <w:ind w:left="8320" w:hanging="72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99"/>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840" w:hanging="721"/>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40" w:hanging="721"/>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99"/>
      <w:ind w:left="108"/>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s://scialert.net/fulltext/?doi=jm.2015.181.192&amp;24549_ja" TargetMode="External"/><Relationship Id="rId8" Type="http://schemas.openxmlformats.org/officeDocument/2006/relationships/hyperlink" Target="https://scialert.net/fulltext/?doi=jm.2015.181.192&amp;1449765_ja" TargetMode="External"/><Relationship Id="rId9" Type="http://schemas.openxmlformats.org/officeDocument/2006/relationships/image" Target="media/image2.jpeg"/><Relationship Id="rId10" Type="http://schemas.openxmlformats.org/officeDocument/2006/relationships/hyperlink" Target="https://www.sciencedirect.com/science/article/pii/S0301479718309538#!" TargetMode="Externa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hyperlink" Target="https://discover.hubpages.com/health/To-Your-Heart-Corn-Silk" TargetMode="External"/><Relationship Id="rId28" Type="http://schemas.openxmlformats.org/officeDocument/2006/relationships/hyperlink" Target="http://www.voanews.com/africa/nigeria-oil-spills-double-risk-infant-" TargetMode="External"/><Relationship Id="rId29" Type="http://schemas.openxmlformats.org/officeDocument/2006/relationships/image" Target="media/image17.pn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jpe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footer" Target="footer4.xml"/><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dcterms:created xsi:type="dcterms:W3CDTF">2023-11-06T17:27:08Z</dcterms:created>
  <dcterms:modified xsi:type="dcterms:W3CDTF">2023-11-06T17:27:08Z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Microsoft® Word 2013</vt:lpwstr>
  </property>
</Properties>
</file>